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pl-20231231.htm"/>
      <w:bookmarkStart w:id="1" w:name="ksampl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001-40817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4"/>
        </w:rPr>
      </w:pPr>
      <w:r>
        <w:rPr>
          <w:rFonts w:ascii="Times New Roman" w:hAnsi="Times New Roman"/>
          <w:b/>
          <w:color w:val="000000"/>
          <w:sz w:val="44"/>
        </w:rPr>
        <w:t>AMPLITUDE,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201 Third Street, Suite 200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Registrant’s telephone number, including area code: (415) 231-2353</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3886"/>
        <w:gridCol w:w="146"/>
        <w:gridCol w:w="751"/>
        <w:gridCol w:w="146"/>
        <w:gridCol w:w="294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88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Stock, $0.00001 par value per share</w:t>
            </w:r>
          </w:p>
        </w:tc>
        <w:tc>
          <w:tcPr>
            <w:tcW w:w="146"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AMPL</w:t>
            </w:r>
          </w:p>
        </w:tc>
        <w:tc>
          <w:tcPr>
            <w:tcW w:w="146" w:type="dxa"/>
            <w:tcBorders/>
            <w:vAlign w:val="center"/>
          </w:tcPr>
          <w:p>
            <w:pPr>
              <w:pStyle w:val="TableContents"/>
              <w:bidi w:val="0"/>
              <w:spacing w:before="0" w:after="283"/>
              <w:jc w:val="center"/>
              <w:rPr/>
            </w:pPr>
            <w:r>
              <w:rPr/>
              <w:t> </w:t>
            </w:r>
          </w:p>
        </w:tc>
        <w:tc>
          <w:tcPr>
            <w:tcW w:w="294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caps/>
          <w:color w:val="000000"/>
          <w:sz w:val="14"/>
        </w:rPr>
        <w:t>Yes</w:t>
      </w:r>
      <w:r>
        <w:rPr>
          <w:rFonts w:ascii="Times New Roman" w:hAnsi="Times New Roman"/>
          <w:caps/>
          <w:color w:val="000000"/>
          <w:sz w:val="20"/>
        </w:rPr>
        <w:t xml:space="preserve"> </w:t>
      </w:r>
      <w:r>
        <w:rPr>
          <w:rFonts w:ascii="Times New Roman" w:hAnsi="Times New Roman"/>
          <w:color w:val="000000"/>
          <w:sz w:val="20"/>
        </w:rPr>
        <w:t xml:space="preserve">☒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r>
        <w:rPr>
          <w:rFonts w:ascii="Times New Roman" w:hAnsi="Times New Roman"/>
          <w:color w:val="000000"/>
          <w:sz w:val="14"/>
        </w:rPr>
        <w:br/>
        <w:br/>
        <w:br/>
        <w:t>Indicate by check mark whether any of those error corrections are restatements that required a recovery analysis of incentive-based compensation received by any of the registrant’s executive officers during the relevant recovery period pursuant to §240.10D-1(b). ☐</w:t>
        <w:br/>
        <w:br/>
        <w:t xml:space="preserve">Indicate by check mark whether the registrant is a shell company (as defined in Rule 12b-2 of the Exchange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voting and non-voting common equity held by non-affiliates of the Registrant, based on the closing price of the shares of Class A common stock on the Nasdaq Capital Market on June 30, 2023, was approximately $770.8</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As of February 14, 2024, there were 86,010,384</w:t>
      </w:r>
      <w:r>
        <w:rPr>
          <w:rFonts w:ascii="Times New Roman" w:hAnsi="Times New Roman"/>
          <w:color w:val="000000"/>
          <w:sz w:val="20"/>
        </w:rPr>
        <w:t xml:space="preserve"> </w:t>
      </w:r>
      <w:r>
        <w:rPr>
          <w:rFonts w:ascii="Times New Roman" w:hAnsi="Times New Roman"/>
          <w:color w:val="000000"/>
          <w:sz w:val="14"/>
        </w:rPr>
        <w:t>shares of the registrant's Class A common stock and 34,405,488</w:t>
      </w:r>
      <w:r>
        <w:rPr>
          <w:rFonts w:ascii="Times New Roman" w:hAnsi="Times New Roman"/>
          <w:color w:val="000000"/>
          <w:sz w:val="20"/>
        </w:rPr>
        <w:t xml:space="preserve"> </w:t>
      </w:r>
      <w:r>
        <w:rPr>
          <w:rFonts w:ascii="Times New Roman" w:hAnsi="Times New Roman"/>
          <w:color w:val="000000"/>
          <w:sz w:val="14"/>
        </w:rPr>
        <w:t>shares of the registrant's Class B common stock, each with a $0.00001 par value per share, outstanding.</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Portions of the registrant’s definitive proxy statement for the registrant’s 2024 annual meeting of stockholders, which will be filed with the Securities and Exchange Commission no later than 120 days after December 31, 2023, are incorporated by reference in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8789"/>
        <w:gridCol w:w="512"/>
      </w:tblGrid>
      <w:tr>
        <w:trPr/>
        <w:tc>
          <w:tcPr>
            <w:tcW w:w="904"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d_analy">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_di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and_supple">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disagreements_w_acc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ntng_fees">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usage of our Digital Analytics Platform and upsell and cross sell additional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success of our sales and marketing efforts, including our ability to grow and maintain our channel partners, and our ability to promote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public health crises and other global events, such as the ongoing war in Ukraine, on our business and the global economy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savings or operational efficiencies and charges in connection with our restructuring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associated with being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discussed in Part I, Item 1A, “Risk Factors”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available.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upon information available to us as of the date of this Annual Report on Form 10-K, and while we believe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a number of risks and uncertainties, as more fully described in Part I, Item 1A, “Risk Factors” in this Annual Report on Form 10-K.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As our costs increase, we may not be able to generate sufficient revenue to achieve and sustain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sales to larger organizations and may become more dependent on those relationships, which may increase the variability of our sales cycles and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SaaS applications develops more slowly than we expect or declines, our business would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 regulation, including import, export control, economic, and trade sanctions, and anti-corruption laws and regulations, which may expose us to liability and increase our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been, and in the future, may be, volatile, and could decline significantly and rapidly.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have the ability to influence the outcome of director elections and other matters requiring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dual class structure of our common stock has the effect of concentrating voting control with our existing stockholders, executive officers, and directors and their affiliates, which limits your ability to influence the outcome of important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transactions and to influence corporate governance matters, such as electing directors, and to approve material mergers, acquisitions, or other business combination transactions that may not be aligned with your interests.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3" w:name="item1"/>
      <w:bookmarkEnd w:id="3"/>
      <w:r>
        <w:rPr>
          <w:rFonts w:ascii="Times New Roman" w:hAnsi="Times New Roman"/>
          <w:b/>
          <w:color w:val="000000"/>
          <w:sz w:val="20"/>
        </w:rPr>
        <w:t xml:space="preserve">Item 1. </w:t>
      </w:r>
      <w:bookmarkStart w:id="4" w:name="item_1_business"/>
      <w:bookmarkEnd w:id="4"/>
      <w:r>
        <w:rPr>
          <w:rFonts w:ascii="Times New Roman" w:hAnsi="Times New Roman"/>
          <w:b/>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driving the evolution of a new category of software called digital analytics. Our Digital Analytics Platform helps businesses understand how people are using their products so they can build amazing digital experiences that increase acquisition, monetization, and retention—and drive revenue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Digital products are embedded in every part of our daily lives, and digital has become the primary way business is done. Offering compelling digital products and services is key to business growth and success. That is why digital analytics is emerging as a strategic investment for every company to survive and thrive in the digital-first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way that companies build digital products is going through a fundamental change from being intuition-based to data-driven. Product teams have historically decided what to build based on gut feel and without a firm understanding of what will drive business results. Today, the best teams make decisions based on a complete picture of what customers are doing and why. Product data makes this possible. It is the next untapped growth lever to transform how businesses build products, gain key insights into which features have the greatest business impact, and connect with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time consumers spend interacting with digital products has led to an explosion of both the quantity and diversity of data. Because digital products are data generators, in-product and in-app behavior can now be analyzed. With this data, teams can gain insight from the actions end users take within digital products and answer important questions, such as where in the purchase journey do users experience friction, what are the top user paths between signup and trial conversion, and which features increase new customer retention.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Traditionally, businesses have spent billions of dollars on a patchwork of systems, including web and marketing analytics, business intelligence tools, and sentiment tools, to help understand how their digital product investments drive business outcomes. These tools do not understand in-product behavior, nor were they built for the scale and complexity of digital products to provide actionable and real-time product-driven insights. Businesses today do not know if their digital product and web decisions are the right ones, and they do not have the insights to help ensure they 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Digital analytics can show companies what users like about their digital apps and products, where they get stuck, and what keeps them coming back. These behavioral insights enable companies to quickly take action and drive results. Teams can change a product experience to maximize sales. They can run experiments to see the impact of a new feature. They can personalize campaigns so users get the right message at the right time. Understanding the customer journey should be the precursor to any product decision.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data, engineering, and marketing teams are often forced to make business decisions in a vacuum and without understanding the linkage between product decisions and business outcomes. Digital analytics leverages the power of customer insights to create this linkage automatically. In addition, having a common lens into customer and product data helps every team transform their function, from launching brand-defining marketing campaigns to reimagining customer support. Bringing shared data and common visibility to every team will be a business-critical requirement in the digital analytics era.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How Amplitude Powers Digital Analytics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built the first Digital Analytics Platform so teams can see everything their customers do in their product, and in turn, build more engaging, personalized, and profitable experiences. We power some of the most beloved and iconic consumer and B2B digital products. We enable businesses, regardless of size, industry, or where they are in their digital maturity, to unleash digital innovation and growth. Our platform unifies product, marketing, data, and executive teams by giving them the common visibility to drive business outcomes with agility and confidence.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Digital Analytics Platform consists of the following integrated components: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Analytics</w:t>
      </w:r>
      <w:r>
        <w:rPr>
          <w:color w:val="000000"/>
        </w:rPr>
        <w:t xml:space="preserve"> </w:t>
      </w:r>
      <w:r>
        <w:rPr>
          <w:rFonts w:ascii="Times New Roman" w:hAnsi="Times New Roman"/>
          <w:color w:val="000000"/>
          <w:sz w:val="20"/>
        </w:rPr>
        <w:t xml:space="preserve">provides real-time product data and reconstructed user visits so cross-functional teams can understand what is working and what is not. Ranked #1 in multiple categories by G2, Amplitude Analytics combines the power of quantitative and qualitative insights.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Experiment </w:t>
      </w:r>
      <w:r>
        <w:rPr>
          <w:rFonts w:ascii="Times New Roman" w:hAnsi="Times New Roman"/>
          <w:color w:val="000000"/>
          <w:sz w:val="20"/>
        </w:rPr>
        <w:t>is fully integrated with Amplitude Analytics and allows teams to test new capabilities, safely roll out new features, and take the guesswork out of introducing new digital experiences.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CDP</w:t>
      </w:r>
      <w:r>
        <w:rPr>
          <w:color w:val="000000"/>
        </w:rPr>
        <w:t xml:space="preserve"> </w:t>
      </w:r>
      <w:r>
        <w:rPr>
          <w:rFonts w:ascii="Times New Roman" w:hAnsi="Times New Roman"/>
          <w:color w:val="000000"/>
          <w:sz w:val="20"/>
        </w:rPr>
        <w:t xml:space="preserve">is an insight-driven solution that encompasses our data infrastructure, audience management, and data streaming capabilities.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Session Replay </w:t>
      </w:r>
      <w:r>
        <w:rPr>
          <w:rFonts w:ascii="Times New Roman" w:hAnsi="Times New Roman"/>
          <w:color w:val="000000"/>
          <w:sz w:val="20"/>
        </w:rPr>
        <w:t>is tightly integrated with Amplitude Analytics and helps customers reconstruct a user visit by capturing how they interacted with a website, app, or digital product. It is a tool used by Product, Marketing, and Data teams to understand user behavior, diagnose product issues, and improve product outcomes. As a result, companies can get quantitative and qualitative insights to understand what their customers are doing - and why.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also offer our </w:t>
      </w:r>
      <w:r>
        <w:rPr>
          <w:rFonts w:ascii="Times New Roman" w:hAnsi="Times New Roman"/>
          <w:b/>
          <w:color w:val="000000"/>
          <w:sz w:val="20"/>
        </w:rPr>
        <w:t xml:space="preserve">Premium Success Package </w:t>
      </w:r>
      <w:r>
        <w:rPr>
          <w:rFonts w:ascii="Times New Roman" w:hAnsi="Times New Roman"/>
          <w:color w:val="000000"/>
          <w:sz w:val="20"/>
        </w:rPr>
        <w:t xml:space="preserve">(“PSP”) to help large enterprises optimize their Amplitude investment with proactive, personalized expertise. Whether they are deploying Amplitude for the first time or optimizing a mature analytics program, PSP fills in the gap between customers' in-house resources and the expert partnerships they need to drive adoption accelerate insights, and unlock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core of our Digital Analytics Platform is the Amplitude Behavioral Graph, a proprietary behavioral database purpose-built for complex, interactive behavioral queries, with novel approaches to normalizing, classifying, and partitioning behavioral data. The Behavioral Graph scales to look at every individual customer action taken in a digital product and identifies combinations of actions that lead to a desired outcome. The Behavioral Graph processes behavioral data points to help answer questions like why do users convert or drop off, which interactions predict likelihood to buy, and what are the most common paths users take.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Mission Critical to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served more than 2,700 paying customers globally, from the most ambitious startups to the largest global enterprises. We are their trusted source of customer and product insights, and we serve customers across virtually every industry, including finance, media, retail, industrials, hospitality, healthcare, and telecom.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help them to see what their customers do, understand what they like and where they get stuck and build better digital products as a result - all from an integrated platform that is fast, connected and easy-to-use. Our ability to drive revenue, increase profitability and reduce churn has made us mission-critical to the success of thousands of organizations across the globe.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broad applicability and ease of use of our platform results in significant commitments by our customers as part of their core technology stack. As of December 31, 2023 and 2022, we had 511 and 480 customers, respectively, that each represented greater than $100,000 in Annual Recurring Revenue (“ARR”) and 39 and 30 customers, respectively, that each represented greater than $1 million in ARR, demonstrating how critical we are to our customers’ success.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through selling subscriptions to our platform. We reach customers through a direct sales motion, solution partners, and product-led growth initiatives, including subscription plans to meet the needs of a diverse range of companies. Our pricing model is based on both the platform functionality required by our customers as well as committed volume. For the year ended December 31, 2023, subscription revenue comprised 97% of our total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typically start out using our platform for a specific business use case. As they see the value of our data, insights, and actions to drive positive business outcomes, they frequently expand beyond that initial use case. Examples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data, users or new functionality to meet the needs of teams across the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our platform for additional digital products in their portfolio and empowering the teams responsible for them (product, marketing, engineering, and analytics);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Layering additional offerings onto core Analytics to power new capabilities and drive additional business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expand within our customer base is also demonstrated by our dollar-based net retention rate. As of December 31, 2023 and 2022, our dollar-based net retention rate for the trailing twelve months (“TTM”) across paying customers was 101% and 119%,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Industry Trends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Digital is the New Battlefield for Business Survival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Today, digital products are embedded in every part of our daily lives. The ability for companies to offer compelling digital products and services has become a matter of survival. Several mega-trends are forcing companies to move to digital-first,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rise of mobile and cloud, making it easier than ever for new entrants to disrupt existing markets through digital; the rise of the digital economy; and businesses' shift in focus from customer acquisition to customer retention.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is a Convergence Between Marketing and Product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growing importance of product-led growth has fundamentally shifted how companies go to market and invest in innovation.</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Until recently, product and marketing teams operated in silos. They had different definitions of success and they used different tools to get their work done. Today, a convergence is underway. User engagement, user behavior, customer retention, and customer lifetime value have become the new standard metrics to measure the productivity and efficiency of any business. That means product and marketing teams are now working toward shared metrics. As functional lines blur, businesses need an easy and intuitive way for teams to get the insights they need, get on the same page, and make better decisions together. Additionally, as heightened user and data privacy concerns move to limit the type of data app developers and advertisers can use or sell to target customers, it will become increasingly difficult for businesses to acquire their way to growth through traditional marketing and advertising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Approach to Building Digital Products is Being Reinvented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way that companies build digital products is going through a fundamental shift from being intuition-based to using data derived from the digital product itself to make decisions. Data-driven products: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Are Centered in Behavioral Data. </w:t>
      </w:r>
      <w:r>
        <w:rPr>
          <w:rFonts w:ascii="Times New Roman" w:hAnsi="Times New Roman"/>
          <w:color w:val="000000"/>
          <w:sz w:val="20"/>
        </w:rPr>
        <w:t>The amount of time that consumers spend interacting with digital products has led to an explosion of both the quantity and diversity of data. Because digital products generate data, in-product behavior can be observed and analyzed for the first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Adapt to the Customer. </w:t>
      </w:r>
      <w:r>
        <w:rPr>
          <w:rFonts w:ascii="Times New Roman" w:hAnsi="Times New Roman"/>
          <w:color w:val="000000"/>
          <w:sz w:val="20"/>
        </w:rPr>
        <w:t xml:space="preserve">In a world of abundant choice, consumers expect businesses to deliver highly personalized digital products. Best-in-class digital companies leverage product data and artificial intelligence (“AI”) to deliver technology that adapts to people, not the other way around.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Leverage Data Democratization and Common Visibility. </w:t>
      </w:r>
      <w:r>
        <w:rPr>
          <w:rFonts w:ascii="Times New Roman" w:hAnsi="Times New Roman"/>
          <w:color w:val="000000"/>
          <w:sz w:val="20"/>
        </w:rPr>
        <w:t>Between product management, engineering, design, marketing, sales, customer success, business operations, and executive teams, there may be thousands of people in an organization who rely on data as part of their daily responsibilities. Centralized data teams have traditionally been tasked with aggregating data from various data silos, analyzing data to extract insights, and distributing reports to stakeholders. Even simple data requests can lead to weeks or months of cycle time, reducing the agility for business owners to get the data they need to make critical business and product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Data and insights are only valuable if they can be leveraged by cross-functional stakeholders jointly responsible for making decisions. When product data acts as a single source of truth, every team has access to the same common data to explore and reach alignment on shared goals and action plans. Organizations that make data both accessible and actionable enable their teams to expedite the decision-making process, thereby iterating on and improving their digital products with greater agility. The faster organizations are able to iterate, the stronger their systematic advantages are against competitors that lack such expertise.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Digital Transformation Requires Digital Analytics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digital transformation has long focused on building web-enabled customer experiences, the role that digital analytics plays is becoming increasingly important.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Digital analytics brings product data to bear on decisions about how a business is run, how to accelerate product innovation, and how to drive growth. And its promise is rooted in the connection between product decisions and business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Digital analytics can show companies what users like about their products, where they get stuck, and what keeps them coming back. These insights enable companies to adapt their digital product experiences to maximize engagement, retention, and lifetime value. And they show companies how to innovate, what changes to make, and when to double down or go in a different direction.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digital analytics is essential to any organization's digital transformation journey, and is the key to understanding how digital investments drive growth.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Businesses Need a Fundamentally New Approach to Drive Digital Analytics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Businesses have spent billions of dollars on a patchwork of systems to help understand how their digital product investments drive business outcomes. However, these systems were not built to deliver insight into product data in real-time and at scale.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Why is product data different?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pPr>
      <w:r>
        <w:rPr>
          <w:rFonts w:ascii="Times New Roman" w:hAnsi="Times New Roman"/>
          <w:b/>
          <w:color w:val="000000"/>
          <w:sz w:val="20"/>
        </w:rPr>
        <w:t xml:space="preserve">Complexity. </w:t>
      </w:r>
      <w:r>
        <w:rPr>
          <w:rFonts w:ascii="Times New Roman" w:hAnsi="Times New Roman"/>
          <w:color w:val="000000"/>
          <w:sz w:val="20"/>
        </w:rPr>
        <w:t>Digital products are complex, which means that product data operates at a qualitatively different scale than transactional or digital marketing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pPr>
      <w:r>
        <w:rPr>
          <w:rFonts w:ascii="Times New Roman" w:hAnsi="Times New Roman"/>
          <w:b/>
          <w:color w:val="000000"/>
          <w:sz w:val="20"/>
        </w:rPr>
        <w:t xml:space="preserve">Non-Linear. </w:t>
      </w:r>
      <w:r>
        <w:rPr>
          <w:rFonts w:ascii="Times New Roman" w:hAnsi="Times New Roman"/>
          <w:color w:val="000000"/>
          <w:sz w:val="20"/>
        </w:rPr>
        <w:t>Unlike traditional marketing funnels where the goal is strictly increasing conversion, users do not take a linear journey through a digital product. Based on our customer data, we estimate that, on average, there are approximately 2,500 distinct events that can be measured within each digital product. Therefore, each user navigates an application across multiple devices in a way that is unique from every other user. This situation makes it much harder to understand what is happening in the aggregate and generate insights at scale.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pPr>
      <w:r>
        <w:rPr>
          <w:rFonts w:ascii="Times New Roman" w:hAnsi="Times New Roman"/>
          <w:b/>
          <w:color w:val="000000"/>
          <w:sz w:val="20"/>
        </w:rPr>
        <w:t xml:space="preserve">Scale. </w:t>
      </w:r>
      <w:r>
        <w:rPr>
          <w:rFonts w:ascii="Times New Roman" w:hAnsi="Times New Roman"/>
          <w:color w:val="000000"/>
          <w:sz w:val="20"/>
        </w:rPr>
        <w:t>Combining the number of digital product users a company may have and the amount of engagement per user can result in billions of potential events per product. This scale presents near-insurmountable challenges for any business looking to optimize its digital products to drive outcomes on both a micro and macro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 of all this complexity means existing categories of software were not designed to understand product data or address the needs of today’s businesses: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Web and Marketing Analytics.</w:t>
      </w:r>
      <w:r>
        <w:rPr>
          <w:color w:val="000000"/>
        </w:rPr>
        <w:t xml:space="preserve"> </w:t>
      </w:r>
      <w:r>
        <w:rPr>
          <w:rFonts w:ascii="Times New Roman" w:hAnsi="Times New Roman"/>
          <w:color w:val="000000"/>
          <w:sz w:val="20"/>
        </w:rPr>
        <w:t>These solutions focus on using web and demographic data to analyze target users and advertising spend. They were most relevant for the Web 1.0 era when marketers focused on pageviews, campaign sources, clicks, and other surface-level metrics. They were not built for in-product and in-app behavior, deep personalization based on AI and ML, multi-platform user journeys, and modern digital measurements. Moreover, many of these solutions are built on a pre-computation data framework – whereby queries are completed in advance and cached versus performed on the fly – which prohibits flexibility for real-time analysis. This data approach is incompatible with fast-moving, collaborative teams that need data to power personalized experiences.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Business Intelligence.</w:t>
      </w:r>
      <w:r>
        <w:rPr>
          <w:color w:val="000000"/>
        </w:rPr>
        <w:t xml:space="preserve"> </w:t>
      </w:r>
      <w:r>
        <w:rPr>
          <w:rFonts w:ascii="Times New Roman" w:hAnsi="Times New Roman"/>
          <w:color w:val="000000"/>
          <w:sz w:val="20"/>
        </w:rPr>
        <w:t>These solutions are horizontally focused and built for reporting on object-level data and transactional data, not behavioral data. The implementation of these systems can often take years and requires significant investments to deploy, maintain, and use. Oftentimes built on large data lakes of structured and unstructured data, data teams must scrub, clean, instrument, and canonicalize the data, and then use complex SQL queries to answer even the most basic questions. This process is cumbersome and slow because SQL queries are not designed for user-joins, which connect disparate end-user actions together and are the key to understanding end-user behavior in a product. As a result, product and business teams are bottlenecked as they wait for answers. Even when these “blank canvas” environments have been custom-built for non-technical users, they are often inflexible and disconnected from their workflows – leaving teams without answers or the ability to act.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Sentiment / Survey-based Solutions.</w:t>
      </w:r>
      <w:r>
        <w:rPr>
          <w:color w:val="000000"/>
        </w:rPr>
        <w:t xml:space="preserve"> </w:t>
      </w:r>
      <w:r>
        <w:rPr>
          <w:rFonts w:ascii="Times New Roman" w:hAnsi="Times New Roman"/>
          <w:color w:val="000000"/>
          <w:sz w:val="20"/>
        </w:rPr>
        <w:t>These solutions are focused on uncovering and understanding customer sentiment to improve customer experiences – often non-digital – and include qualitative measurements such as surveys. They are not designed to generate product insight and analyze behavioral data, limiting their applicability outside of customer service, researchers, and marketing teams. Relying on sentiment data in a silo provides an imprecise and incomplete picture of the customer and does not close the loop from insight to action.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Amplitude Digital Analytics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built the first Digital Analytics Platform so businesses can see everything their customers do in their products, and in turn, build more engaging, personalized, and profitable experiences. We power the most beloved digital products and teams with actionable data and insights – regardless of size, industry, or digital maturity – so they can unleash digital innovation and growth. We make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data accessible and actionable to every team – allowing product, marketing, engineering, analytics, customer success, and executive teams to align around common visibility and to drive business outcomes with greater speed, agility, and confidence.</w:t>
      </w:r>
    </w:p>
    <w:p>
      <w:pPr>
        <w:pStyle w:val="TextBody"/>
        <w:bidi w:val="0"/>
        <w:spacing w:before="240" w:after="283"/>
        <w:jc w:val="center"/>
        <w:rPr/>
      </w:pPr>
      <w:r>
        <w:rPr/>
        <w:drawing>
          <wp:inline distT="0" distB="0" distL="0" distR="0">
            <wp:extent cx="6267450" cy="3619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67450" cy="36195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today’s digital-first world, we believe every organization must transform to build data-driven teams and products that create competitive advantages and long-term value for both their customers and businesses. A Digital Analytics Platform is essential in this new reality – helping businesses understand how their customers use their products, make better decisions, build personalized experiences that engage and retain customers, and measure performance. With Amplitude, teams have access to a fully integrated, self-service platform for data, analytics, and personalization – with intelligence and collaboration built in to help teams innovate at the speed of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instance, we helped a leader in online food delivery answer, “What is the most profitable delivery model that also maximizes order frequency and size?” A popular meditation app discovered the answer to, “How can we redesign our content and app to increase user retention?” And a software company aligned thousands of users across the organization around key metrics and explored questions like, “Why do certain marketing channels show high engagement but low downstream user conversions and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Digital Analytics Platform consists of the following integrated components: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Analytics</w:t>
      </w:r>
      <w:r>
        <w:rPr>
          <w:color w:val="000000"/>
        </w:rPr>
        <w:t xml:space="preserve"> </w:t>
      </w:r>
      <w:r>
        <w:rPr>
          <w:rFonts w:ascii="Times New Roman" w:hAnsi="Times New Roman"/>
          <w:color w:val="000000"/>
          <w:sz w:val="20"/>
        </w:rPr>
        <w:t>provides real-time product data and reconstructed user visits so cross-functional teams can understand what is working and what is not. Ranked #1 in multiple categories by G2, Amplitude Analytics combines the power of quantitative and qualitative insights.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Experiment</w:t>
      </w:r>
      <w:r>
        <w:rPr>
          <w:color w:val="000000"/>
        </w:rPr>
        <w:t xml:space="preserve"> </w:t>
      </w:r>
      <w:r>
        <w:rPr>
          <w:rFonts w:ascii="Times New Roman" w:hAnsi="Times New Roman"/>
          <w:color w:val="000000"/>
          <w:sz w:val="20"/>
        </w:rPr>
        <w:t xml:space="preserve">is fully integrated with Amplitude Analytics and allows teams to test new capabilities, safely roll out new features, and take the guesswork out of introducing new digital experiences.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Amplitude CDP</w:t>
      </w:r>
      <w:r>
        <w:rPr>
          <w:color w:val="000000"/>
        </w:rPr>
        <w:t xml:space="preserve"> </w:t>
      </w:r>
      <w:r>
        <w:rPr>
          <w:rFonts w:ascii="Times New Roman" w:hAnsi="Times New Roman"/>
          <w:color w:val="000000"/>
          <w:sz w:val="20"/>
        </w:rPr>
        <w:t xml:space="preserve">is an insight-driven solution that encompasses our data infrastructure, audience management, and data streaming capabilities.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Amplitude Session Replay </w:t>
      </w:r>
      <w:r>
        <w:rPr>
          <w:rFonts w:ascii="Times New Roman" w:hAnsi="Times New Roman"/>
          <w:color w:val="000000"/>
          <w:sz w:val="20"/>
        </w:rPr>
        <w:t>is tightly integrated with Amplitude Analytics and helps customers reconstruct a user visit by capturing how they interacted with a website, app, or digital product. It's a tool used by Product, Marketing, and Data teams to understand user behavior, diagnose product issues, and improve product outcomes. As a result, companies can get quantitative and qualitative insights to understand what their customers are doing - and why.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power digital analytics for our customers through the following platform capabilities: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Behavioral Data at the Core.</w:t>
      </w:r>
      <w:r>
        <w:rPr>
          <w:color w:val="000000"/>
        </w:rPr>
        <w:t xml:space="preserve"> </w:t>
      </w:r>
      <w:r>
        <w:rPr>
          <w:rFonts w:ascii="Times New Roman" w:hAnsi="Times New Roman"/>
          <w:color w:val="000000"/>
          <w:sz w:val="20"/>
        </w:rPr>
        <w:t>We designed data and machine learning (“ML”) infrastructure purpose-built to understand cross-device and cross-product end-user data – enabling businesses to see, analyze, and act on behavioral data. Our infrastructure is structured around user-joins and partitioned by end users, which is the key to understanding customer behavior in-product. The Amplitude Behavioral Graph processes behavioral data points to help answer questions like why users convert or drop off, which interactions increase the likelihood to buy, and what are the most common paths end users take.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Built-In Data Management. </w:t>
      </w:r>
      <w:r>
        <w:rPr>
          <w:rFonts w:ascii="Times New Roman" w:hAnsi="Times New Roman"/>
          <w:color w:val="000000"/>
          <w:sz w:val="20"/>
        </w:rPr>
        <w:t>Our platform includes a comprehensive, built-in data integration and governance suite to plan, integrate, and manage large, distributed data sources in real time. It automatically resolves user identities, normalizes and transforms data into one stream, and governs data quality, consistency, and access across organizations of any size. Trusted data management is critical for analytics and personalization initiatives.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Real-time Analytics and Insight. </w:t>
      </w:r>
      <w:r>
        <w:rPr>
          <w:rFonts w:ascii="Times New Roman" w:hAnsi="Times New Roman"/>
          <w:color w:val="000000"/>
          <w:sz w:val="20"/>
        </w:rPr>
        <w:t>We enable teams to access out-of-the-box reporting to instantly answer both simple and complex questions about product and customer behaviors. Teams can easily analyze any end-user path across multiple devices, products, and channels from an aggregate or an individual end-user level. By combining the power of quantitative and qualitative data, Amplitude gives the context behind every end-user action and helps identify opportunities to improve the digital product experience.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Easy Adoption and Collaboration. </w:t>
      </w:r>
      <w:r>
        <w:rPr>
          <w:rFonts w:ascii="Times New Roman" w:hAnsi="Times New Roman"/>
          <w:color w:val="000000"/>
          <w:sz w:val="20"/>
        </w:rPr>
        <w:t>Our platform provides an easy-to-use interface that allows for viral adoption and democratization of insights within an organization, regardless of technical abilities. Within minutes a new Amplitude customer can start generating insights and engaging with collaborative dashboards, reports, and tools. This ease of use fuels cross-functional adoption that can scale to thousands of active users surfacing insights and sharing findings.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Powering Data-Driven Action. </w:t>
      </w:r>
      <w:r>
        <w:rPr>
          <w:rFonts w:ascii="Times New Roman" w:hAnsi="Times New Roman"/>
          <w:color w:val="000000"/>
          <w:sz w:val="20"/>
        </w:rPr>
        <w:t>Our platform allows teams to turn end-user insights into personalized, Netflix-like product experiences in a few clicks. We use sophisticated identity resolution and targeting to reach the right end user, ML recommendations to decide the right content, and real-time integrations with systems our customers already use for delivery at the right time. Additionally, our customers can deploy and test new experiences using the first experimentation and feature management solution powered by behavioral data and product analytics. For example, our platform can predict the likelihood a customer will churn based on their behavior and of those statistically similar, and then automatically test which campaign or in-product experience is best optimized to drive retention.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Enterprise-grade Platform.</w:t>
      </w:r>
      <w:r>
        <w:rPr>
          <w:color w:val="000000"/>
        </w:rPr>
        <w:t xml:space="preserve"> </w:t>
      </w:r>
      <w:r>
        <w:rPr>
          <w:rFonts w:ascii="Times New Roman" w:hAnsi="Times New Roman"/>
          <w:color w:val="000000"/>
          <w:sz w:val="20"/>
        </w:rPr>
        <w:t>Our platform is architected to handle a scale qualitatively different from what is capable by existing customer engagement and experience tools. We offer top-tier security and reliability as our platform is SOC2 Type-2 and ISO 27001 certified, offers single sign-on support and user permissioning, is a recognized AWS Partner for Digital Customer Experience, and has delivered a 99.97% data ingestion uptime service-level agreement (“SLA”) with 99.90% data durability for the year ended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Key Benefits to Our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provides the following key benefits to our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Enable the Right Product Bets and Accelerate Innovation</w:t>
      </w:r>
      <w:r>
        <w:rPr>
          <w:rFonts w:ascii="Times New Roman" w:hAnsi="Times New Roman"/>
          <w:b/>
          <w:i/>
          <w:color w:val="000000"/>
          <w:sz w:val="20"/>
        </w:rPr>
        <w:t xml:space="preserve">. </w:t>
      </w:r>
      <w:r>
        <w:rPr>
          <w:rFonts w:ascii="Times New Roman" w:hAnsi="Times New Roman"/>
          <w:color w:val="000000"/>
          <w:sz w:val="20"/>
        </w:rPr>
        <w:t>We enable our customers to answer critical questions about how their customers are using their digital products and what behaviors lead to better business outcomes. Every click, every interaction, and every event we collect is input from end users that help to inform what actions teams can take to optimize digital products in real time. Our customers are able to analyze behaviors, track engagement, spot friction in the buying process, and understand the drivers of conversion. These insights allow teams to make the right product bets, assess and measure the impact of those decisions, feed learnings back into the platform, and rapidly iterate to resolve potential problems before they impact customer acquisition, retention, and lifetime value.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Unify Teams with Common Visibility. </w:t>
      </w:r>
      <w:r>
        <w:rPr>
          <w:rFonts w:ascii="Times New Roman" w:hAnsi="Times New Roman"/>
          <w:color w:val="000000"/>
          <w:sz w:val="20"/>
        </w:rPr>
        <w:t>We bring a common set of user behavior and in-product engagement data to every team, from product, to marketing, to data science, and beyond. Out-of-the-box dashboards and analytics reports provide common visibility so teams can easily click into each report to get as much granularity as required to inform actions and recommendations. Dashboards allow teams to also solve use cases specific to their area of responsibility, such as understanding what behavior drives conversions to optimize marketing campaigns. This visibility results in better decisions, faster actions, better outcomes, and transformed customer experiences. Our platform represents a single source of truth about in-product customer behavior, and a common place where teams can share results, learn from each other, and plan together.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Maximize Value of Product Investments.</w:t>
      </w:r>
      <w:r>
        <w:rPr>
          <w:color w:val="000000"/>
        </w:rPr>
        <w:t xml:space="preserve"> </w:t>
      </w:r>
      <w:r>
        <w:rPr>
          <w:rFonts w:ascii="Times New Roman" w:hAnsi="Times New Roman"/>
          <w:color w:val="000000"/>
          <w:sz w:val="20"/>
        </w:rPr>
        <w:t>The ability of our platform to attribute revenue to specific product investments transforms what has traditionally been viewed as a cost center into a revenue center. This ability empowers companies to invest in the product experience with confidence.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Growth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pursue the following growth strategies: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Acquire New Customers Across Every Industry.</w:t>
      </w:r>
      <w:r>
        <w:rPr>
          <w:color w:val="000000"/>
        </w:rPr>
        <w:t xml:space="preserve"> </w:t>
      </w:r>
      <w:r>
        <w:rPr>
          <w:rFonts w:ascii="Times New Roman" w:hAnsi="Times New Roman"/>
          <w:color w:val="000000"/>
          <w:sz w:val="20"/>
        </w:rPr>
        <w:t>We believe that our Digital Analytics Platform is applicable to businesses across industries, company size, and stage of digital maturity. And we offer product packages that meet companies where they are in their digital analytics journey. We plan to invest to capture the significant market opportunity we believe is only in its early innings. We have experienced rapid growth in our customer base since our inception and had 2,723 paying customers and 26 of the Fortune 100 as of December 31, 2023, which demonstrates both our successful traction to date as well as our significant opportunity to continue to penetrate the largest global organizations. We believe our go-to-market motion will allow us to continue to acquire new customers and grow our customer base. Additionally, as more companies and industries continue their transformation into digital-first companies, we believe our immediate potential customer base will grow as we help these companies address their digital analytics needs. We are focused on winning key reference accounts among industries and emerging use cases to establish ourselves as the platform of choice for the next wave of digital innovation.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Expand Across Our Existing Customer Base. </w:t>
      </w:r>
      <w:r>
        <w:rPr>
          <w:rFonts w:ascii="Times New Roman" w:hAnsi="Times New Roman"/>
          <w:color w:val="000000"/>
          <w:sz w:val="20"/>
        </w:rPr>
        <w:t>We believe there are significant opportunities to continue to expand our relationships with existing customers. Our pricing model allows us to grow as our customers grow. We employ a land-and-expand business model designed to land with an initial use case and expand through onboarding additional functional teams, products, and use cases.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rPr>
        <w:t xml:space="preserve">Promote Upsell: </w:t>
      </w:r>
      <w:r>
        <w:rPr>
          <w:rFonts w:ascii="Times New Roman" w:hAnsi="Times New Roman"/>
          <w:color w:val="000000"/>
          <w:sz w:val="20"/>
        </w:rPr>
        <w:t>Once a customer is on our platform there are many ways we can promote upsell opportunities. Customers can expand an initial use case by adding additional functionality to generate deeper analytics. They can also expand into additional functional teams who are looking to address a related use case or bring new digital products on our platform, both of which require additional data to be instrumented. As the strategic value of our platform grows as more data is instrumented and insights generated and shared, it becomes easier to find additional upsell opportunities across digital products, use cases, and teams.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rPr>
        <w:t>Drive Cross-sell:</w:t>
      </w:r>
      <w:r>
        <w:rPr>
          <w:color w:val="000000"/>
        </w:rPr>
        <w:t xml:space="preserve"> </w:t>
      </w:r>
      <w:r>
        <w:rPr>
          <w:rFonts w:ascii="Times New Roman" w:hAnsi="Times New Roman"/>
          <w:color w:val="000000"/>
          <w:sz w:val="20"/>
        </w:rPr>
        <w:t>Our platform delivers end-to-end capabilities that allow our customers to expand beyond analytics and layer on additional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our largest customers, we have demonstrated our ability to grow our reach to include thousands of users across their organization who leverage our platform to drive business outcomes. Our dollar-based net retention rate (TTM) as of December 31, 2023 and 2022 was 101% and 119%, respectively, for paying customers. As of December 31, 2023 and 2022, we had 511 and 480 customers, respectively, that each represented greater than $100,000 in ARR and 39 and 30 customers, respectively, that each represented greater than $1 million in ARR, demonstrating how critical we are to our customers’ success.</w:t>
      </w:r>
    </w:p>
    <w:p>
      <w:pPr>
        <w:pStyle w:val="TextBody"/>
        <w:bidi w:val="0"/>
        <w:spacing w:before="240" w:after="283"/>
        <w:jc w:val="center"/>
        <w:rPr/>
      </w:pPr>
      <w:r>
        <w:rPr/>
        <w:drawing>
          <wp:inline distT="0" distB="0" distL="0" distR="0">
            <wp:extent cx="5943600" cy="3343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3275"/>
                    </a:xfrm>
                    <a:prstGeom prst="rect">
                      <a:avLst/>
                    </a:prstGeom>
                  </pic:spPr>
                </pic:pic>
              </a:graphicData>
            </a:graphic>
          </wp:inline>
        </w:drawing>
      </w: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Extend Product Leadership with Continued Investment in Our Platform.</w:t>
      </w:r>
      <w:r>
        <w:rPr>
          <w:color w:val="000000"/>
        </w:rPr>
        <w:t xml:space="preserve"> </w:t>
      </w:r>
      <w:r>
        <w:rPr>
          <w:rFonts w:ascii="Times New Roman" w:hAnsi="Times New Roman"/>
          <w:color w:val="000000"/>
          <w:sz w:val="20"/>
        </w:rPr>
        <w:t>We see significant opportunities to leverage the same data stream powering our core analytics suite to layer on additional products that address adjacent high-value use cases desired by our customers. As a product-led company, the valuable feedback loop we have established with our own customers helps us identify platform enhancements best aligned to drive our future growth.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Expand our Global and Partnership Reach.</w:t>
      </w:r>
      <w:r>
        <w:rPr>
          <w:color w:val="000000"/>
        </w:rPr>
        <w:t xml:space="preserve"> </w:t>
      </w:r>
      <w:r>
        <w:rPr>
          <w:rFonts w:ascii="Times New Roman" w:hAnsi="Times New Roman"/>
          <w:color w:val="000000"/>
          <w:sz w:val="20"/>
        </w:rPr>
        <w:t>We believe there is significant potential to continue to grow our business in international markets because of the universal nature of the problem we help to solve. For the years ended December 31, 2023 and 2022, 39% and 38% of our revenue was generated outside of the United States, respectively. Additionally, we plan to continue to invest in our partner network to strengthen our ecosystem and extend our reach.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Platform and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enters our platform through many sources, including our software-development kits (“SDKs”), server side, and integration with our partner systems. It then goes through the processing and cleanup stage before being stored in our behavioral graph which is a user-oriented distributed columnar data store. Our Behavioral Graph powers the analytics, collaboration, prediction, and recommendation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designed a platform that can process large amounts of data and provide an interactive query/response model. Instead of building a general-purpose data storage and processing system similar to data warehouses that would require our users to know SQL and wait a long time to get answers to their analytics-oriented join-heavy queries, we have built a brand new platform from the ground up focused on end-user behavior analysis that is optimized to ingest, process, and store it in a specific format and structure to power low latency query/response.</w:t>
      </w:r>
    </w:p>
    <w:p>
      <w:pPr>
        <w:pStyle w:val="TextBody"/>
        <w:bidi w:val="0"/>
        <w:spacing w:before="360" w:after="283"/>
        <w:jc w:val="left"/>
        <w:rPr>
          <w:rFonts w:ascii="Times New Roman" w:hAnsi="Times New Roman"/>
          <w:sz w:val="20"/>
        </w:rPr>
      </w:pPr>
      <w:r>
        <w:rPr>
          <w:rFonts w:ascii="Times New Roman" w:hAnsi="Times New Roman"/>
          <w:b/>
          <w:i/>
          <w:color w:val="000000"/>
          <w:sz w:val="20"/>
        </w:rPr>
        <w:t>Real-time Data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underpinning of the Digital Analytics Platform is our real-time Data Management layer. This layer includes our core data platform that offers our customers a number of tools and capabilities for ingesting data, resolving identity issues, and managing customer and product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features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Structured, event-based schema.</w:t>
      </w:r>
      <w:r>
        <w:rPr>
          <w:color w:val="000000"/>
        </w:rPr>
        <w:t xml:space="preserve"> </w:t>
      </w:r>
      <w:r>
        <w:rPr>
          <w:rFonts w:ascii="Times New Roman" w:hAnsi="Times New Roman"/>
          <w:color w:val="000000"/>
          <w:sz w:val="20"/>
        </w:rPr>
        <w:t>We ingest and process event data. Each event represents an interaction that an end user or device performed on our customers’ products. Event data has information about the event as well as the end user and device that has performed the event, and it follows a specific but flexible schema. As event data enters our platform, it gets ingested, sanitized, enriched, and canonicalized and is stored in an optimized format in our behavioral graph to enable low latency query/response.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Breadth and scale of digital sources. </w:t>
      </w:r>
      <w:r>
        <w:rPr>
          <w:rFonts w:ascii="Times New Roman" w:hAnsi="Times New Roman"/>
          <w:color w:val="000000"/>
          <w:sz w:val="20"/>
        </w:rPr>
        <w:t>We have a number of tools and offerings, such as several client-side and server-side SDKs, APIs, and integration with customer storage systems. For example, Amazon S3 and data warehouse integrations allow us to ingest from a number of sources, including mobile applications, websites, and backend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Identity resolution for a multi-platform world. </w:t>
      </w:r>
      <w:r>
        <w:rPr>
          <w:rFonts w:ascii="Times New Roman" w:hAnsi="Times New Roman"/>
          <w:color w:val="000000"/>
          <w:sz w:val="20"/>
        </w:rPr>
        <w:t>In the multi-platform world, end users interact with our customers’ products through many devices. Through continuous event streaming, our identity resolution service automatically captures one consistent view of a customer’s usage as end users log in and out, browse anonymously, and use multiple devices.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Data governance and observability.</w:t>
      </w:r>
      <w:r>
        <w:rPr>
          <w:color w:val="000000"/>
        </w:rPr>
        <w:t xml:space="preserve"> </w:t>
      </w:r>
      <w:r>
        <w:rPr>
          <w:rFonts w:ascii="Times New Roman" w:hAnsi="Times New Roman"/>
          <w:color w:val="000000"/>
          <w:sz w:val="20"/>
        </w:rPr>
        <w:t>With the rapid expansion of customer and product data, organizations require tools to manage the complexity and maintain trust. Our governance toolkit provides a two-pronged approach that is both proactive – through schema planning, validation and error reporting – and reactive – through retroactive data merges and schema changes. Our observability gives data leaders insights and visibility into how data is being used by their organization so they can make informed decisions about what to track.</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Amplitude Behavioral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 data is fed into the Amplitude Behavioral Graph, which is purpose-built to handle the scale, speed, and complexity of user behavior in digital products. It is the foundation of our Digital Analytics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differentiators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Complex distributed joins.</w:t>
      </w:r>
      <w:r>
        <w:rPr>
          <w:color w:val="000000"/>
        </w:rPr>
        <w:t xml:space="preserve"> </w:t>
      </w:r>
      <w:r>
        <w:rPr>
          <w:rFonts w:ascii="Times New Roman" w:hAnsi="Times New Roman"/>
          <w:color w:val="000000"/>
          <w:sz w:val="20"/>
        </w:rPr>
        <w:t>Answering the most important user behavior questions involves looking at many different points in a user’s journey, traditionally referred to as “joins” in SQL-based systems. At scale, this must be done in a distributed manner, and the more sophisticated the product, the more complex the questions become. We built a database from the ground up using state-of-the-art columnar storage techniques and embedded it at every layer with knowledge of behavioral data and questions –for example, pre-partitioning data by user and caching partial, reusable computations. We can express the varied semantics of product questions while running at the speed of native code, allowing us to answer customers’ questions in seconds.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Real-time data observation.</w:t>
      </w:r>
      <w:r>
        <w:rPr>
          <w:color w:val="000000"/>
        </w:rPr>
        <w:t xml:space="preserve"> </w:t>
      </w:r>
      <w:r>
        <w:rPr>
          <w:rFonts w:ascii="Times New Roman" w:hAnsi="Times New Roman"/>
          <w:color w:val="000000"/>
          <w:sz w:val="20"/>
        </w:rPr>
        <w:t>We built our database to match the speed at which digital products evolve. We use a lambda architecture with separate real-time and batch-processing layers so that data is not only available for querying within seconds, but also optimized for long-term trend analysis.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Multi-tenancy and scale.</w:t>
      </w:r>
      <w:r>
        <w:rPr>
          <w:color w:val="000000"/>
        </w:rPr>
        <w:t xml:space="preserve"> </w:t>
      </w:r>
      <w:r>
        <w:rPr>
          <w:rFonts w:ascii="Times New Roman" w:hAnsi="Times New Roman"/>
          <w:color w:val="000000"/>
          <w:sz w:val="20"/>
        </w:rPr>
        <w:t>At any point in time, there are hundreds of queries running simultaneously on our database, each of varying cost and complexity. We use a multi-tenant architecture to achieve economies of scale, and we have designed a differentiated throttling mechanism in order to isolate the effects of customers’ queries on each other.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AutoML. </w:t>
      </w:r>
      <w:r>
        <w:rPr>
          <w:rFonts w:ascii="Times New Roman" w:hAnsi="Times New Roman"/>
          <w:color w:val="000000"/>
          <w:sz w:val="20"/>
        </w:rPr>
        <w:t>Using our structured, event-based schema and database that is embedded with an understanding of behavioral data, we have automated the most challenging part of ML pipelines and feature extraction. Our Behavioral Graph can generate a meaningful and robust set of thousands of features for each user in the platform, which is used for a variety of applications. By having this automation with little to no customer input, we can offer truly self-service ML via AutoML.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Digital Analytics Platform is used globally by organizations of all sizes and across a vast range of industries. As of December 31, 2023 and 2022, we had 2,723 and 1,994 paying customers, respectively, representing year-over-year growth of 37%. We also had 26 and 28 of the Fortune 100 as of December 31, 2023 and 2022, respectively, with two of our customers falling out of the Fortune 100 list in the year ended December 31, 2023. We believe that our Digital Analytics Platform can help organizations of all sizes, from the smallest startups to the largest global organizations. We continue to increase the number of customers who have entered and grown into larger subscriptions with us. As of December 31, 2023 and 2022, we had 511 and 480 customers, respectively, that each represented greater than $100,000 in ARR, representing a 6% increase year-over-year. Additionally, we had 39 and 30 customers, respectively, that each represented greater than $1 million in ARR, up 30% year-over-year. The number of customers representing greater than $100,000 and $1 million in ARR demonstrates the strategic importance of our platform and our ability to both initially land significant accounts and grow them over time.</w:t>
      </w:r>
    </w:p>
    <w:p>
      <w:pPr>
        <w:pStyle w:val="TextBody"/>
        <w:bidi w:val="0"/>
        <w:spacing w:before="36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efforts focus on landing customer accounts by addressing an initial digital analytics use case across one or more digital products and expanding those relationships over time as we deliver ongoing value and meet a greater portion of our customers’ digital analytics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employ a multi-pronged go-to-market strategy combining direct sales (including field and inside sales), product-led growth initiatives, and marketing initiatives to build brand awareness and generate demand. Our field sales personnel focus on attracting new customers as well as expanding usage within our existing customer base. Our sales team is supported by business and sales development professionals and solution consultants who facilitate the sales process through identifying use cases based on customer needs, assessing requirements, addressing security and technical questions, consulting on customers’ data stacks, and finding additional expansion use cases.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meet companies wherever they are in their analytics journey, we offer a variety of free and paid plans depending on our customers’ needs. For example, we offer a </w:t>
      </w:r>
      <w:r>
        <w:rPr>
          <w:rFonts w:ascii="Times New Roman" w:hAnsi="Times New Roman"/>
          <w:i/>
          <w:color w:val="000000"/>
          <w:sz w:val="20"/>
        </w:rPr>
        <w:t xml:space="preserve">Free </w:t>
      </w:r>
      <w:r>
        <w:rPr>
          <w:rFonts w:ascii="Times New Roman" w:hAnsi="Times New Roman"/>
          <w:color w:val="000000"/>
          <w:sz w:val="20"/>
        </w:rPr>
        <w:t xml:space="preserve">plan for early-stage startups and individuals. Our self-serve </w:t>
      </w:r>
      <w:r>
        <w:rPr>
          <w:rFonts w:ascii="Times New Roman" w:hAnsi="Times New Roman"/>
          <w:i/>
          <w:color w:val="000000"/>
          <w:sz w:val="20"/>
        </w:rPr>
        <w:t>Plus</w:t>
      </w:r>
      <w:r>
        <w:rPr>
          <w:rFonts w:ascii="Times New Roman" w:hAnsi="Times New Roman"/>
          <w:color w:val="000000"/>
          <w:sz w:val="20"/>
        </w:rPr>
        <w:t xml:space="preserve"> plan is built for growing startups and small teams who need more customization and access to feature management and Amplitude CDP capabilities. Our </w:t>
      </w:r>
      <w:r>
        <w:rPr>
          <w:rFonts w:ascii="Times New Roman" w:hAnsi="Times New Roman"/>
          <w:i/>
          <w:color w:val="000000"/>
          <w:sz w:val="20"/>
        </w:rPr>
        <w:t xml:space="preserve">Growth </w:t>
      </w:r>
      <w:r>
        <w:rPr>
          <w:rFonts w:ascii="Times New Roman" w:hAnsi="Times New Roman"/>
          <w:color w:val="000000"/>
          <w:sz w:val="20"/>
        </w:rPr>
        <w:t xml:space="preserve">plan provides access to additional capabilities, such as automated insights, experiments, and audience management. And our </w:t>
      </w:r>
      <w:r>
        <w:rPr>
          <w:rFonts w:ascii="Times New Roman" w:hAnsi="Times New Roman"/>
          <w:i/>
          <w:color w:val="000000"/>
          <w:sz w:val="20"/>
        </w:rPr>
        <w:t xml:space="preserve">Enterprise </w:t>
      </w:r>
      <w:r>
        <w:rPr>
          <w:rFonts w:ascii="Times New Roman" w:hAnsi="Times New Roman"/>
          <w:color w:val="000000"/>
          <w:sz w:val="20"/>
        </w:rPr>
        <w:t>plan is ideal for larger organizations that have more sophisticated needs and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professional services team helps customers design and execute their digital analytics, product-led growth, and personalization projects. We offer our customers implementation, training, and related services to help them realize the full benefits of our Digital Analytics Platform. We also work closely with our partner ecosystem to help them deploy our solutions and build our technology into their services offerings, providing opportunities for us to increase the breadth and depth of our deployment within new and existing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over 50 partners in the Amplitude partner ecosystem program, which provides solutions to help accelerate our customers’ digital analytics initiatives. Our ecosystem consists of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Solutions partners, </w:t>
      </w:r>
      <w:r>
        <w:rPr>
          <w:rFonts w:ascii="Times New Roman" w:hAnsi="Times New Roman"/>
          <w:color w:val="000000"/>
          <w:sz w:val="20"/>
        </w:rPr>
        <w:t>including global systems integrators, consultancies, and digital agencies, partner with Amplitude to provide business transformation strategy, best practices, and support.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Technology partners, </w:t>
      </w:r>
      <w:r>
        <w:rPr>
          <w:rFonts w:ascii="Times New Roman" w:hAnsi="Times New Roman"/>
          <w:color w:val="000000"/>
          <w:sz w:val="20"/>
        </w:rPr>
        <w:t>who</w:t>
      </w:r>
      <w:r>
        <w:rPr>
          <w:color w:val="000000"/>
        </w:rPr>
        <w:t xml:space="preserve"> </w:t>
      </w:r>
      <w:r>
        <w:rPr>
          <w:rFonts w:ascii="Times New Roman" w:hAnsi="Times New Roman"/>
          <w:color w:val="000000"/>
          <w:sz w:val="20"/>
        </w:rPr>
        <w:t>integrate their software with our Digital Analytics Platform to build and deliver end-to-end enterprise technology solutions. Amplitude has dozens of technology integrations and partners across more than a dozen software categories, including marketing automation, attribution tools, data warehouses, and customer data platforms, to name a few.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marketing efforts focus on driving our go-to-market demand generation engine across all market segments and across both new and existing customers, as well as raising our brand profile globally. To do this, we utilize a combination of online and offline marketing programs such as online advertising, blogs, public relations, social media, educational white papers and webinars, product demos, workshops, roundtables, and customer case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370 employees in our sales and marketing organization.</w:t>
      </w:r>
    </w:p>
    <w:p>
      <w:pPr>
        <w:pStyle w:val="TextBody"/>
        <w:bidi w:val="0"/>
        <w:spacing w:before="36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company culture enables us to achieve our mission, is a core driver of our business success, and is a significant reason why people choose to build their careers at Amplitude. We are pioneers in this field who endeavor to make product, business, and people decisions that allow us to carry out our mission while staying true to our values. We believe Diversity, Equity, and Inclusion (“DEI”) are rooted in the fabric of our culture. We advance our culture of belonging–in which Humility, Ownership, and Growth Mindset are at the center–by coming together to make a collective impact in our work and our communities. Through strategic initiatives and partnerships, policy development and stewardship, innovation and education, our DEI-embedded culture shapes our future to one where all employees can fully realize their potential.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Humility. </w:t>
      </w:r>
      <w:r>
        <w:rPr>
          <w:rFonts w:ascii="Times New Roman" w:hAnsi="Times New Roman"/>
          <w:color w:val="000000"/>
          <w:sz w:val="20"/>
        </w:rPr>
        <w:t>No ego – we operate from a place of empathy and openness and seek to understand many points of view.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Ownership. </w:t>
      </w:r>
      <w:r>
        <w:rPr>
          <w:rFonts w:ascii="Times New Roman" w:hAnsi="Times New Roman"/>
          <w:color w:val="000000"/>
          <w:sz w:val="20"/>
        </w:rPr>
        <w:t>We take the initiative to solve problems that drive our shared company success.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Growth Mindset. </w:t>
      </w:r>
      <w:r>
        <w:rPr>
          <w:rFonts w:ascii="Times New Roman" w:hAnsi="Times New Roman"/>
          <w:color w:val="000000"/>
          <w:sz w:val="20"/>
        </w:rPr>
        <w:t>We’re tenacious in the face of challenges and seek input in order to grow ourselves and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our values as the cornerstone for setting the tone for how we show up with one another and our customers. We are intentional about embedding them as the lens through which we operate. We are deliberate in operationalizing our values through our selection of talent and how we reward success. We regularly recognize and celebrate those who are exemplary models of our values through our Quarterly Values Awards. We believe that it is this focus on our values that is what sets us apart in building a culture of empathy and accountability.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from a place of openness, taking initiative to drive our shared company success, while seeking input in order to grow ourselves and our customers. Our values fuel our growth, guiding us as we learn, succeed, and celebrate 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a total of 675 employees, including 157 employees located outside the United States. None of our employees is represented by a labor union or covered by collective bargaining agreements. We have not experienced any work stoppages. We consider our relationship with our employees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are focused on continued innovation, enhancing our platform features and functionalities, and expanding the services we offer to increase market penetration and deepen our relationships with our customers. We believe the timely development of new, and the enhancement of our existing platform features and services is essential to maintaining our competitive position. We continually incorporate feedback and new cases from our customers into our platform. As of December 31, 2023, we had 182 employees in our research and development organization. We intend to continue to invest in our research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capabilities to extend our platform. Research and development expenses totaled $90.1 million and $80.6 million in years ended December 31, 2023 and 2022,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digital analytics is new and evolving. Businesses have used a range of point solutions built for other use cases in an effort to address their needs, none of which offer the breadth and depth of capabilities offered by our Digital Analytics Platform. However, we do compete with a number of companies, ranging from large and diversified businesses to smaller start-ups, that offer certain solutions and functionality similar to aspects of our platform. These competitors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analytics point solutions such as Pendo, Mixpanel, and Heap;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Experimentation vendors such as Optimizely and LaunchDarkly;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CDP providers such as mParticle and Twilio Segment;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Session Replay solutions such as Fullstory, Contentsquare, and Quantum Metric;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Web and marketing analytics vendors such as Adobe Experience Cloud and Google Analytics.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competitive factors for companies in our industry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Powerful and flexible infrastructure that can ingest and manage a broad variety and large volume of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functionality, including speed, scale, and breadth and depth of insights;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end-user base and level of customer adoption;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Enterprise-grade technology that is secure and reliable;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Product-led growth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enable collaboration across numerous teams;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Ease of integration and deployment with existing IT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Mindshare with line of business and non-technical teams;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address a variety of evolving customer needs and use cases;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total cost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awareness and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of professional services and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 of sales and marketing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Adherence to industry standards and 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basis of the factors above, we believe that we compare favorably to our competitors. However, some of our actual and potential competitors have advantages over us, such as substantially greater financial, technical, and other resources, such as larger sales forces and marketing budgets, greater brand recognition, broader distribution networks and global presence, longer operating histories, more established relationships with current or potential customers and commercial partners, and more mature intellectual property portfolios. They may be able to leverage these resources to gain market share and prevent potential customers from purchasing our products. Additionally, we expect the industry to attract new entrants who could compete with our business and introduce new offerings. As we scale and expand our business, we may enter new markets and encounter additional competition.</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is an important part of our business. We rely on patent, copyright, trade secret, and trademark laws, as well as confidentiality agreements, license agreements, intellectual property assignment agreements, and similar contracts, to establish and protect our proprietary rights. We maintain a policy requiring our employees, contractors, consultants, and other third parties to enter into confidentiality and proprietary rights agreements to control access to our proprietary information. However, these laws, agreements, and policies provide only limited protection, and our intellectual property rights and other proprietary rights may still be challenged, invalidated, infringed, or misappropriated in the United States and in foreign jurisdictions. The laws of certain jurisdictions do not protect proprietary rights to the same extent as the laws of the United States, and it may therefore be difficult,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impossible, or otherwise not commercially reasonable to protect our proprietary rights in certain jurisdictions. In addition, we use software components licensed from third parties under open-source software licenses, which licenses generally do not contain warranties or indemnifications from the licensors with respect to infringement, security vulnerabilities, or other issues. As a result, we would not have contractual protections if our use of the open-source software licensed from third parties infringes third-party intellectual property rights or if we encounter other issues with respect to our use of third-party open-source software. We also publicly license our SDK and certain other components to third parties pursuant to open-source licenses. The value of the software we publicly license to third parties pursuant to open-source licenses may be diminished given that such licenses grant those third parties broad rights to modify and distribute such software and could allow a competitor to more easily develop a competing product by examining our software.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pursue the registration of our domain names, trademarks, and service marks and pursue patent protection of our technology in the United States and in certain locations outside the United States. As of December 31, 2023, we had two issued U.S. patents and five U.S. and seven foreign patent applications pending. We continually review our development efforts to assess the existence and patentability of new intellectual property, and the extension of our intellectual property rights abroad. As of December 31, 2023, we had five registered trademarks in the United States, one pending U.S. trademark, and 11 registered trademarks internationally.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Data Privacy &amp;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state, federal, and foreign laws and regulations, including consumer protection laws and regulations and data breach notification laws, govern the collection, dissemination, processing, use, access to, confidentiality, and security of personal information and could apply to our operations or the operations of our partners. In addition, certain foreign laws govern the privacy and security of personal data. Many of these laws differ from each other in significant ways and may not have the same effect, thus complicating compliance efforts. Failure to comply with these laws, where applicable, can result in, among other things, the imposition of significant civil and/or criminal penalties and private litigation. Privacy and security laws, regulations, and other obligations are constantly evolving, may conflict with each other, and can result in investigations, proceedings, or actions that lead to significant civil and/or criminal penalties and restrictions on data processing.</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the State of Delaware in November 2011 as Sonalight, Inc. and founded our Amplitude business in 2012. In December 2014, we changed our name to Amplitude, Inc. Our principal executive offices are located at 201 Third Street, Suite 200, San Francisco, California 94103. Our telephone number is (415) 231-2353 and our website address is www.amplitude.com. Information contained on, or that can be accessed through, our website is not incorporated by reference into this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Annual Report on Form 10-K, Quarterly Reports on Form 10-Q, Current Reports on Form 8-K, and amendments to these reports filed pursuant to Sections 13(a) and 15(d) of the Exchange Act are filed with the SEC. Such reports and other information filed or furnished by us with the SEC are available free of charge on our investor relations website at investors.amplitude.com, as soon as reasonably practicable after we file such material with, or furnish it to, the SEC, when such reports are available on the SEC’s website at www.sec.gov.</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0" w:after="360"/>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was $276.3 million and $238.1 million for the fiscal years ended December 31, 2023 and 2022, respectively. However, you should not rely on our historical revenue growth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Annual Report on Form 10-K.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history of losses. As our costs increase, we may not be able to generate sufficient revenue to achieve and sustain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net losses in each period since inception. We generated net losses of $90.4 million and $93.4 million for the fiscal years ended December 31, 2023 and 2022, respectively. As of December 31, 2023, we had an accumulated deficit of $363.5 million. We expect our costs and expenses to increase in future periods. In particular, we intend to continue to invest significant resources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infrastructure, including expansion of our activities in third-party data centers that we may lease, enhancements to our network operations and infrastructure, and hiring of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international expansion, in an effort to increase our customer base and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administration, including legal, accounting, and other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demand for, or pricing of, our Digital Analytics Platform, including as a result of our introduction of new products, features, and functionality;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usage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expansion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new products, features, and functionality;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customers’ purchases;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speed with which customers are able to migrate data onto our platform after purchasing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awareness of our brand on a global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or delays in purchasing decisions in anticipation of new products, features, or functionality developed or acquired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customers’ budgets and in the timing of their budget cycles and purchasing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our cloud computing infrastructure, particularly the cloud services provided by Amazon Web Services (“AWS”);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and sales and marketing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non-cash expenses, including stock-based compensation, goodwill impairments, and other non-cash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and retaining and motivating existing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identify and complete, and the effects of, mergers, acquisitions, or strategic partnerships, and the ensuing integration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impact of climate change, natural disasters, health epidemics (such as the COVID-19 pandemic or similar outbreaks of disease), political and social instability, including acts of war or other armed conflicts (including the war in Ukraine and the conflict in the Middle East), and terrorist activities, on our business, operations, and the markets and communities in which we and our customers and partners operate and the disruption these events may cause to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accounting pronouncements;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tax laws or judicial or regulatory interpretations of tax laws, which are recorded in the period such laws are enacted or interpretations are issued and may significantly affect the effective tax rate of that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security breaches of, technical difficulties with, or interruptions to, the delivery and use of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and other factors, or the cumulative effect of some of these factors, may cause our results of operations to vary significantly. If our results of operations fall below the expectations of investors and securities analysts who follow our stock, the trading price of our Class A common stock could decline substantially, and we could face costly lawsuits, including securities class action litigation.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focus on sales to larger organizations and may become more dependent on those relationships, which may increase the variability of our sales cycle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educate prospective customers about the uses and benefits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nature of evaluation and purchasing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recent and potential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In connection with unfavorable macroeconomic conditions and the related impact on our customers, in April 2023, we authorized a restructuring plan to reduce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recent restructuring plan may not result in anticipated savings or operational efficiencies and could result in total costs and expenses that are greater than expected, which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we authorized a restructuring plan to reduce our global workforce, which is intended to improve operational efficiencies and reduce operating costs, which we believe will allow us to scale for the future, continue our path to profitability, and deliver on our long-term vision. In connection with this reduction in our workforce, we incurred non-recurring charges of $8.1 million in the year ended December 31, 2023. Our restructuring plan may result in unintended consequences and costs, such as the loss of institutional knowledge and expertise, decreased morale among our remaining employees, and the risk that we may not achieve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benefits and savings, in full or in part, of the workforce reduction. Moreover, if employees who were not affected by the workforce reduction seek alternative employment, this could result in unplanned additional expense to ensure adequate resourcing or harm our productivity. In addition, while positions have been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our restructuring plan, or if we experience significant adverse consequences from the workforce reduction, our business, financial condition, and results of operations could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for SaaS applications develops more slowly than we expect or declines, our business would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and if we do not compete effectively,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in-house software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integrated systems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smaller companies offering alternative SaaS applications;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or emerging entrants seeking to develop competing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able to compete successfully against our current and future competitors, which would harm our business. For more information about the competitive landscape in which we operate, see “Part I, Item 1. Business—Competition” in this Annual Report on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effectively manage our growth and changes to our business over time,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to reduce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Public health crises, such as pandemics or similar outbreaks, have impacted and could continue to have an adverse impact, on our business and operations, and the markets and communities in which we, our partners, and customers operate, and the impact of any public health crisis is difficult to assess or predict.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business and operations, and the businesses and operations of our partners and customers, have been, and could in the future be, adversely impacted by public health crises, including the COVID-19 pandemic. Public health measures implemented to control COVID-19’s spread and severity substantially curtailed the movement of people, goods, and services worldwide, including regions where we and our partners and customers operate, and significantly impacted economic activity and financial markets. While we have developed and continue to develop strategies to help mitigate any continuing negative effects of the COVID-19 pandemic and other potential public health crises on our business and operations, such efforts may prove to be insufficient to adequately address the negative impacts of the COVID-19 pandemic and other potential public health crises. The duration and extent of the impact of the COVID-19 pandemic and other potential public health crises cannot be accurately assessed or predicted at this time, and could adversely impact our business, financial condition, and results of operations. </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platform stores, transmits, and processes our customers’ proprietary data, including personal or identifying information of their customers or employees. Unauthorized disclosure of, access to, or security breaches of our platform and information technology systems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 </w:t>
      </w:r>
    </w:p>
    <w:p>
      <w:pPr>
        <w:pStyle w:val="TextBody"/>
        <w:bidi w:val="0"/>
        <w:jc w:val="left"/>
        <w:rPr>
          <w:rFonts w:ascii="Times New Roman" w:hAnsi="Times New Roman"/>
          <w:sz w:val="20"/>
        </w:rPr>
      </w:pPr>
      <w:r>
        <w:rPr>
          <w:rFonts w:ascii="Times New Roman" w:hAnsi="Times New Roman"/>
          <w:b/>
          <w:i/>
          <w:color w:val="000000"/>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 We depend and rely on third-party hosted cloud services and internet infrastructure in order to operate critical functions of our business. For example,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Real or perceived errors, failures, vulnerabilities or bugs in our platform could materially adversely affect our business and growth prospects.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pStyle w:val="TextBody"/>
        <w:bidi w:val="0"/>
        <w:jc w:val="left"/>
        <w:rPr>
          <w:rFonts w:ascii="Times New Roman" w:hAnsi="Times New Roman"/>
          <w:sz w:val="20"/>
        </w:rPr>
      </w:pPr>
      <w:r>
        <w:rPr>
          <w:rFonts w:ascii="Times New Roman" w:hAnsi="Times New Roman"/>
          <w:b/>
          <w:i/>
          <w:color w:val="000000"/>
          <w:sz w:val="20"/>
        </w:rPr>
        <w:t>Any failure to offer high-quality product support may adversely affect our relationships with our customers, our reputation, and our business, financial condition, and results of operations.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Incorrect or improper implementation or use of our Digital Analytics Platform could result in customer dissatisfaction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and demand, then our Digital Analytics Platform may become less marketable, less competitive, or obsolete, and our business, financial condition, results of operations, and growth prospects could be materially adversely affected. </w:t>
      </w:r>
    </w:p>
    <w:p>
      <w:pPr>
        <w:pStyle w:val="TextBody"/>
        <w:bidi w:val="0"/>
        <w:jc w:val="left"/>
        <w:rPr>
          <w:rFonts w:ascii="Times New Roman" w:hAnsi="Times New Roman"/>
          <w:sz w:val="20"/>
        </w:rPr>
      </w:pPr>
      <w:r>
        <w:rPr>
          <w:rFonts w:ascii="Times New Roman" w:hAnsi="Times New Roman"/>
          <w:b/>
          <w:i/>
          <w:color w:val="000000"/>
          <w:sz w:val="20"/>
        </w:rPr>
        <w:t>We do not have the history with our subscription or pricing models necessary to accurately predict optimal pricing necessary to attract new customers and retain existing customers.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 </w:t>
      </w:r>
    </w:p>
    <w:p>
      <w:pPr>
        <w:pStyle w:val="TextBody"/>
        <w:bidi w:val="0"/>
        <w:jc w:val="left"/>
        <w:rPr>
          <w:rFonts w:ascii="Times New Roman" w:hAnsi="Times New Roman"/>
          <w:sz w:val="20"/>
        </w:rPr>
      </w:pPr>
      <w:r>
        <w:rPr>
          <w:rFonts w:ascii="Times New Roman" w:hAnsi="Times New Roman"/>
          <w:b/>
          <w:i/>
          <w:color w:val="000000"/>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marketing strategies are not effective in attracting new customers and retaining existing customers, our business and ability to grow our revenues would be harmed.</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pStyle w:val="TextBody"/>
        <w:bidi w:val="0"/>
        <w:spacing w:before="240" w:after="283"/>
        <w:jc w:val="left"/>
        <w:rPr>
          <w:rFonts w:ascii="Times New Roman" w:hAnsi="Times New Roman"/>
          <w:sz w:val="20"/>
        </w:rPr>
      </w:pPr>
      <w:r>
        <w:rPr>
          <w:rFonts w:ascii="Times New Roman" w:hAnsi="Times New Roman"/>
          <w:b/>
          <w:i/>
          <w:color w:val="000000"/>
          <w:sz w:val="20"/>
        </w:rPr>
        <w:t>Sales efforts to larger organizations involve risks that may not be present or that are present to a lesser extent with respect to sales to smaller organizations.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maintain and enhance our brand, our business, financial condition, and results of operations may be materially adversely affected.</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perception of our Digital Analytics Platform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competitors, and we could lose customers or fail to attract potential customers, all of which would materially adversely affect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Our operations are international in scope, and we plan further geographic expansion, creating a variety of operational challenges.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For the years ended December 31, 2023 and 2022, 39% and 38%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current and future international business and operations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anticipated public cloud adoption by international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which may be unexpected, in a specific country’s or region’s political, economic, or legal and regulatory environment, including Brexit, armed conflicts, pandemics, terrorist activities, tariffs, trade wars, or long-term environmental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adapt and localize our Digital Analytics Platform for specific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a business in new markets with diverse cultures, languages, customs, legal systems, alternative dispute systems, and regulatory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travel, real estate, infrastructure, and legal compliance costs associated with international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ability to reinvest earnings from operations in one country to fund the capital needs of our operations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business practices favoring local competitors or general market preferences for local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 epidemics, or other global political, social or macroeconomic events, including the war in Ukraine and the conflict in the Middle East,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or preferences for domestic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technical standards, existing or future regulatory and certification requirements, and required features and functionality;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privacy and data security, including the E.U. General Data Protection Regulation (“GDPR”) and similar laws and regulations in other jurisdictions;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If we invest substantial time and resources to further expand our international operations and are unable to do so successfully and in a timely manner, our business, financial condition, and results of operations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war in Ukraine could materially adversely affect our business, results of operations, and financial condition.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Annual Report on Form 10-K.</w:t>
      </w:r>
    </w:p>
    <w:p>
      <w:pPr>
        <w:pStyle w:val="TextBody"/>
        <w:bidi w:val="0"/>
        <w:jc w:val="left"/>
        <w:rPr>
          <w:rFonts w:ascii="Times New Roman" w:hAnsi="Times New Roman"/>
          <w:sz w:val="20"/>
        </w:rPr>
      </w:pPr>
      <w:r>
        <w:rPr>
          <w:rFonts w:ascii="Times New Roman" w:hAnsi="Times New Roman"/>
          <w:b/>
          <w:i/>
          <w:color w:val="000000"/>
          <w:sz w:val="20"/>
        </w:rPr>
        <w:t>We derive, and expect to continue for some time to derive, substantially all of our revenue from our Amplitude Analytics product.</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Although we have released our Amplitude CDP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For the years ended December 31, 2023 and 2022, our research and development expenses were 33% and 34%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jc w:val="left"/>
        <w:rPr>
          <w:rFonts w:ascii="Times New Roman" w:hAnsi="Times New Roman"/>
          <w:sz w:val="20"/>
        </w:rPr>
      </w:pPr>
      <w:r>
        <w:rPr>
          <w:rFonts w:ascii="Times New Roman" w:hAnsi="Times New Roman"/>
          <w:b/>
          <w:i/>
          <w:color w:val="000000"/>
          <w:sz w:val="20"/>
        </w:rPr>
        <w:t>We agree to indemnify customers and other third parties, which exposes us to substantial potential liability.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patents and other intellectual property rights for important innovations or maintain appropriate confidentiality and other protective measures to establish and maintain our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and evolution of, legal standards relating to the validity, enforceability, and scope of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invalidation of our intellectual property rights through administrative processes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by us to detect infringement or other misappropriation of our intellectual property rights by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practical, resource, or business limitations on our ability to enforce our rights.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 </w:t>
      </w:r>
    </w:p>
    <w:p>
      <w:pPr>
        <w:pStyle w:val="TextBody"/>
        <w:bidi w:val="0"/>
        <w:jc w:val="left"/>
        <w:rPr>
          <w:rFonts w:ascii="Times New Roman" w:hAnsi="Times New Roman"/>
          <w:sz w:val="20"/>
        </w:rPr>
      </w:pPr>
      <w:r>
        <w:rPr>
          <w:rFonts w:ascii="Times New Roman" w:hAnsi="Times New Roman"/>
          <w:b/>
          <w:i/>
          <w:color w:val="000000"/>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intellectual property litigation to which we become a party may require us to do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selling, licensing, or using products or features that incorporate the intellectual property rights that we allegedly infringe, misappropriate, or violate;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substantial payments for legal fees, settlement payments, subscription fee refunds, or other costs or damages, including indemnification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or enter into a royalty agreement, either of which may not be available on reasonable terms or at all, in order to obtain the right to sell or use the relevant intellectual property;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the allegedly infringing products to avoid infringement, misappropriation, or violation, which could be costly, time-consuming, or impossible.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 xml:space="preserve">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Our use of “open-source” software could negatively affect our ability to sell our platform and subject us to possible litigation.</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subject to government regulation, including import, export control, economic, and trade sanctions, and anti-corruption laws and regulations, which may expose us to liability and increase our costs.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on some of the largest state-owned and private Russian financial institutions (and their subsequent removal from the Society for Worldwide Interbank Financial Telecommunication (“SWIFT”) payment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certain Russian businessmen and their businesses, some of which have significant financial and trade ties to the European Union;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sectoral sanctions in various sectors of the Russian and Belarusian economies and the defense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United Kingdom sanctions introducing restrictions on providing loans to, and dealing in securities issued by, persons connected with Russia;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access to the financial and capital markets in the European Union, as well as prohibitions on aircraft leasing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closure of airspace to Russian aircraft;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oil, liquefied natural gas, and coal to the United States and on “new investment” in Russia’s energy sector (often with similar bans being enacted in the United Kingdom and the E.U.);</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 on imports of Russian fish, seafood, and preparations thereof, alcoholic beverages, non-industrial diamonds, and gold to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 on “new investment” in the Russian Federation by a U.S. person, which may be interpreted broadly (with a similar prohibition also enacted by the United Kingdom);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certain professional services, including accounting, trust and corporate formation, auditing, and management consulting services, among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services related to the worldwide maritime transportation of seaborne Russian oil, if purchased above a specific price cap.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currently rely on the E.U. standard contractual clauses and the UK Addendum to the E.U. standard contractual clauses to transfer personal data outside the EEA and its member states, the United Kingdom, and/or Switzerland, including to the United States.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of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and provides for penalties for noncompliance. Additionally, the California Privacy Rights Act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Any future litigation against us could be costly and time-consuming to defend.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Tax and Accounting Matters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t>
      </w:r>
    </w:p>
    <w:p>
      <w:pPr>
        <w:pStyle w:val="TextBody"/>
        <w:bidi w:val="0"/>
        <w:jc w:val="left"/>
        <w:rPr>
          <w:rFonts w:ascii="Times New Roman" w:hAnsi="Times New Roman"/>
          <w:sz w:val="20"/>
        </w:rPr>
      </w:pPr>
      <w:r>
        <w:rPr>
          <w:rFonts w:ascii="Times New Roman" w:hAnsi="Times New Roman"/>
          <w:b/>
          <w:i/>
          <w:color w:val="000000"/>
          <w:sz w:val="20"/>
        </w:rPr>
        <w:t>Our global operations and structure subject us to potentially adverse tax consequences.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 </w:t>
      </w:r>
    </w:p>
    <w:p>
      <w:pPr>
        <w:pStyle w:val="TextBody"/>
        <w:bidi w:val="0"/>
        <w:jc w:val="left"/>
        <w:rPr>
          <w:rFonts w:ascii="Times New Roman" w:hAnsi="Times New Roman"/>
          <w:sz w:val="20"/>
        </w:rPr>
      </w:pPr>
      <w:r>
        <w:rPr>
          <w:rFonts w:ascii="Times New Roman" w:hAnsi="Times New Roman"/>
          <w:b/>
          <w:i/>
          <w:color w:val="000000"/>
          <w:sz w:val="20"/>
        </w:rPr>
        <w:t>Our ability to use our net operating loss carryforwards may be limited.</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2022 and have determined that none of our NOLs generated through December 31, 2022, will expire solely due to Section 382 limitations caused by ownership changes prior to December 31, 2022. We are in the process of updating our Section 382 study through December 31, 2023. However, we may have experienced ownership changes after December 31, 2022,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 </w:t>
      </w:r>
    </w:p>
    <w:p>
      <w:pPr>
        <w:pStyle w:val="TextBody"/>
        <w:bidi w:val="0"/>
        <w:jc w:val="left"/>
        <w:rPr>
          <w:rFonts w:ascii="Times New Roman" w:hAnsi="Times New Roman"/>
          <w:sz w:val="20"/>
        </w:rPr>
      </w:pPr>
      <w:r>
        <w:rPr>
          <w:rFonts w:ascii="Times New Roman" w:hAnsi="Times New Roman"/>
          <w:b/>
          <w:i/>
          <w:color w:val="000000"/>
          <w:sz w:val="20"/>
        </w:rPr>
        <w:t>Changes in our effective tax rate or tax liability may have a material adverse effect on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materially affect our financial results in the period or periods in which such outcome is determined.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could increase due to several factors, including: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relative amounts of income before taxes in the various jurisdictions in which we operate that have differing statutory tax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tax treaties, and regulations or the interpretation of them, such as the Tax Cuts and Jobs Act, the Coronavirus Aid, Relief, and Economic Security Act, and the Inflation Reduction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developments could materially adversely affect our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 </w:t>
      </w:r>
    </w:p>
    <w:p>
      <w:pPr>
        <w:pStyle w:val="TextBody"/>
        <w:bidi w:val="0"/>
        <w:spacing w:before="240" w:after="360"/>
        <w:jc w:val="left"/>
        <w:rPr>
          <w:rFonts w:ascii="Times New Roman" w:hAnsi="Times New Roman"/>
          <w:sz w:val="20"/>
        </w:rPr>
      </w:pPr>
      <w:r>
        <w:rPr>
          <w:rFonts w:ascii="Times New Roman" w:hAnsi="Times New Roman"/>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 w:hAnsi="Times New Roman"/>
          <w:i/>
          <w:color w:val="000000"/>
          <w:sz w:val="20"/>
        </w:rPr>
        <w:t>South Dakota v. Wayfair, Inc. et al. (“Wayfair”)</w:t>
      </w:r>
      <w:r>
        <w:rPr>
          <w:rFonts w:ascii="Times New Roman" w:hAnsi="Times New Roman"/>
          <w:color w:val="000000"/>
          <w:sz w:val="20"/>
        </w:rPr>
        <w:t xml:space="preserve">, that online sellers can be required to collect sales and use tax despite not having a physical presence in the buyer’s state. In response to </w:t>
      </w:r>
      <w:r>
        <w:rPr>
          <w:rFonts w:ascii="Times New Roman" w:hAnsi="Times New Roman"/>
          <w:i/>
          <w:color w:val="000000"/>
          <w:sz w:val="20"/>
        </w:rPr>
        <w:t>Wayfair</w:t>
      </w:r>
      <w:r>
        <w:rPr>
          <w:rFonts w:ascii="Times New Roman" w:hAnsi="Times New Roman"/>
          <w:color w:val="000000"/>
          <w:sz w:val="20"/>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jc w:val="left"/>
        <w:rPr>
          <w:rFonts w:ascii="Times New Roman" w:hAnsi="Times New Roman"/>
          <w:sz w:val="20"/>
        </w:rPr>
      </w:pPr>
      <w:r>
        <w:rPr>
          <w:rFonts w:ascii="Times New Roman" w:hAnsi="Times New Roman"/>
          <w:b/>
          <w:i/>
          <w:color w:val="000000"/>
          <w:sz w:val="20"/>
        </w:rPr>
        <w:t>Our reported financial results may be adversely affected by changes in accounting principles generally accepted in the United States.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 </w:t>
      </w:r>
    </w:p>
    <w:p>
      <w:pPr>
        <w:pStyle w:val="TextBody"/>
        <w:bidi w:val="0"/>
        <w:jc w:val="left"/>
        <w:rPr>
          <w:rFonts w:ascii="Times New Roman" w:hAnsi="Times New Roman"/>
          <w:sz w:val="20"/>
        </w:rPr>
      </w:pPr>
      <w:r>
        <w:rPr>
          <w:rFonts w:ascii="Times New Roman" w:hAnsi="Times New Roman"/>
          <w:b/>
          <w:i/>
          <w:color w:val="000000"/>
          <w:sz w:val="20"/>
        </w:rPr>
        <w:t>If our estimates or judgments relating to our critical accounting policies prove to be incorrect, our results of operations could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goodwill or intangible assets become impaired, we may be required to record a significant charge to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 </w:t>
      </w:r>
    </w:p>
    <w:p>
      <w:pPr>
        <w:pStyle w:val="TextBody"/>
        <w:bidi w:val="0"/>
        <w:spacing w:before="360" w:after="120"/>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The trading price of our Class A common stock has been, and in the future, may be, volatile, and could decline significantly and rapidly.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fluctuated and may in the future fluctuate substantially in response to numerous factors in addition to the ones described in the preceding risk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results of operations, or operating metrics and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pricing of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or growth rate of our addressable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Digital Analytics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data breaches, disruptions to, or other incidents involving,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board of directors,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Class A common stock made available for trading;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economic slowdowns, recessions, inflationary pressures, rising interest rates, financial market fluctuations, and 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or armed conflicts (including those in Ukraine and the Middle East), incidents of terrorism, pandemics (such as the COVID-19 pandemic or similar outbreaks of disease), elections, or responses to these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have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this Annual Report on Form 10-K,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In addition, while we do not expect to issue any additional shares of Class B common stock, any future issuances of Class B common stock would be dilutive to holders of Class A common stock. </w:t>
      </w:r>
    </w:p>
    <w:p>
      <w:pPr>
        <w:pStyle w:val="TextBody"/>
        <w:bidi w:val="0"/>
        <w:jc w:val="left"/>
        <w:rPr>
          <w:rFonts w:ascii="Times New Roman" w:hAnsi="Times New Roman"/>
          <w:sz w:val="20"/>
        </w:rPr>
      </w:pPr>
      <w:r>
        <w:rPr>
          <w:rFonts w:ascii="Times New Roman" w:hAnsi="Times New Roman"/>
          <w:b/>
          <w:i/>
          <w:color w:val="000000"/>
          <w:sz w:val="20"/>
        </w:rPr>
        <w:t>We cannot predict the impact our dual class structure may have on the trading price of our Class A common stock.</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 </w:t>
      </w:r>
    </w:p>
    <w:p>
      <w:pPr>
        <w:pStyle w:val="TextBody"/>
        <w:bidi w:val="0"/>
        <w:jc w:val="left"/>
        <w:rPr>
          <w:rFonts w:ascii="Times New Roman" w:hAnsi="Times New Roman"/>
          <w:sz w:val="20"/>
        </w:rPr>
      </w:pPr>
      <w:r>
        <w:rPr>
          <w:rFonts w:ascii="Times New Roman" w:hAnsi="Times New Roman"/>
          <w:b/>
          <w:i/>
          <w:color w:val="000000"/>
          <w:sz w:val="20"/>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our securityholders are subject to any contractual lock-up or other contractual restriction on the transfer or sale of their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have filed registration statements to register all shares subject to options and RSUs outstanding or reserved for future issuance under our equity compensation plans. As of December 31, 2023, we had options outstanding that, if fully exercised, would result in the issuance of 14,268,055 shares of Class A common stock, as well as 11,301,279 shares of Class A common stock subject to restricted stock unit (“RSU”) awards.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these shares will be able to be freely sold in the public market upon issuance, subject to applicable vesting requirements and compliance by affiliates with Rule 144.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w:t>
      </w:r>
    </w:p>
    <w:p>
      <w:pPr>
        <w:pStyle w:val="TextBody"/>
        <w:bidi w:val="0"/>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only be removed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w:t>
      </w:r>
      <w:r>
        <w:rPr>
          <w:rFonts w:ascii="Times New Roman" w:hAnsi="Times New Roman"/>
          <w:color w:val="000000"/>
          <w:sz w:val="20"/>
        </w:rPr>
        <w:t xml:space="preserve"> </w:t>
      </w:r>
      <w:r>
        <w:rPr>
          <w:rFonts w:ascii="Times New Roman" w:hAnsi="Times New Roman"/>
          <w:b/>
          <w:i/>
          <w:color w:val="000000"/>
          <w:sz w:val="20"/>
        </w:rPr>
        <w:t>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provide that we will indemnify our directors and officers, in each case to the fullest extent permitted by Delaware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permitted by Section 145 of the Delaware General Corporation Law, our amended and restated bylaws and indemnification agreements that we have entered into with our directors and officers provide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retroactively amend our amended and restated bylaws to reduce our indemnification obligations to directors, officers, employees, and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inability to attract and retain highly skilled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For example, in April 2023, we approved a restructuring plan to reduce our global workforce.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could materially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For example, in February 2023, we announced that Hoang Vuong, our Chief Financial Officer, would no longer serve as Chief Financial Officer, effective February 22, 2023. Our board of directors appointed Christopher Harms as our Chief Financial Officer, effective February 22, 2023. Our inability to successfully manage executive transitions could disrupt our business, affect our culture, harm our ability to retain personnel, and adversely affect our financial condition and results of operations. We do not have employment agreements with our executive officers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business, regulatory, or political climate in the San Francisco Bay Area could adversely affect our operations.</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 </w:t>
      </w:r>
    </w:p>
    <w:p>
      <w:pPr>
        <w:pStyle w:val="TextBody"/>
        <w:bidi w:val="0"/>
        <w:jc w:val="left"/>
        <w:rPr>
          <w:rFonts w:ascii="Times New Roman" w:hAnsi="Times New Roman"/>
          <w:sz w:val="20"/>
        </w:rPr>
      </w:pPr>
      <w:r>
        <w:rPr>
          <w:rFonts w:ascii="Times New Roman" w:hAnsi="Times New Roman"/>
          <w:b/>
          <w:i/>
          <w:color w:val="000000"/>
          <w:sz w:val="20"/>
        </w:rPr>
        <w:t>Changes in laws and regulations related to the internet or changes in the internet infrastructure itself may diminish the demand for our Digital Analytics Platform, and could harm our business.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 </w:t>
      </w:r>
    </w:p>
    <w:p>
      <w:pPr>
        <w:pStyle w:val="TextBody"/>
        <w:bidi w:val="0"/>
        <w:spacing w:before="0" w:after="120"/>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 </w:t>
      </w:r>
    </w:p>
    <w:p>
      <w:pPr>
        <w:pStyle w:val="TextBody"/>
        <w:bidi w:val="0"/>
        <w:jc w:val="left"/>
        <w:rPr>
          <w:rFonts w:ascii="Times New Roman" w:hAnsi="Times New Roman"/>
          <w:sz w:val="20"/>
        </w:rPr>
      </w:pPr>
      <w:r>
        <w:rPr>
          <w:rFonts w:ascii="Times New Roman" w:hAnsi="Times New Roman"/>
          <w:b/>
          <w:i/>
          <w:color w:val="000000"/>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jc w:val="left"/>
        <w:rPr>
          <w:rFonts w:ascii="Times New Roman" w:hAnsi="Times New Roman"/>
          <w:sz w:val="20"/>
        </w:rPr>
      </w:pPr>
      <w:r>
        <w:rPr>
          <w:rFonts w:ascii="Times New Roman" w:hAnsi="Times New Roman"/>
          <w:b/>
          <w:i/>
          <w:color w:val="000000"/>
          <w:sz w:val="20"/>
        </w:rPr>
        <w:t>Our business could be disrupted by catastrophic occurrences and similar events.</w:t>
      </w:r>
      <w:r>
        <w:rPr>
          <w:rFonts w:ascii="Times New Roman" w:hAnsi="Times New Roman"/>
          <w:color w:val="000000"/>
          <w:sz w:val="20"/>
        </w:rPr>
        <w:t xml:space="preserve">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Natural disasters or other catastrophic events may cause damage or disruption to our operations, international commerce, and the global economy, and could harm our business. The majority of our employees are located in the San Francisco Bay Area.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event of a major earthquake, fire, power loss, telecommunications failure, cyberattack, war or armed conflict (including the war in Ukraine and conflict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pStyle w:val="TextBody"/>
        <w:bidi w:val="0"/>
        <w:spacing w:before="360" w:after="120"/>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bookmarkStart w:id="6" w:name="item_1b_unresolved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7" w:name="item_1c_cyber"/>
      <w:bookmarkEnd w:id="7"/>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 and assess our program based on industry-standard frameworks, such as the National Institute of Standards and Technology Cybersecurity Framework (“NIST CSF”), SOC2, ISO 27000, and ISO 27018. This does not imply that we meet any particular technical standards, specifications, or requirements, only that we use these frameworks as a guide to help us identify, assess, and manage cybersecurity risks relevant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program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assessments designed to help identify material cybersecurity risks to our critical systems, information, products, services, and our broader enterprise information technology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security team principally responsible for managing (i) our cybersecurity risk assessment processes, (ii) our security controls, and (iii) our response to cybersecurity incidents;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external service providers, where appropriate, to assess, test or otherwise assist with aspects of our security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awareness training of our employees, incident response personnel, and senior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cybersecurity incident response plan that includes procedures for responding to cybersecurity incidents;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third-party risk management process for service providers, suppliers, and vendors who have access to our critical systems and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Factor—Risks Related to Our Business Operations and Industry—If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pStyle w:val="TextBody"/>
        <w:bidi w:val="0"/>
        <w:spacing w:before="360" w:after="283"/>
        <w:jc w:val="left"/>
        <w:rPr>
          <w:rFonts w:ascii="Times New Roman" w:hAnsi="Times New Roman"/>
          <w:sz w:val="20"/>
        </w:rPr>
      </w:pPr>
      <w:r>
        <w:rPr>
          <w:rFonts w:ascii="Times New Roman" w:hAnsi="Times New Roman"/>
          <w:b/>
          <w:i/>
          <w:color w:val="000000"/>
          <w:sz w:val="20"/>
        </w:rPr>
        <w:t>Cybersecurity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considers cybersecurity risk as part of its risk oversight function and oversees management’s implementation of our cybersecurity risk management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receives periodic reports and presentations from management on our cybersecurity risks and cyber risk management program. In addition, management updates the Board, as necessary, regarding any material cybersecurity incidents, as well as any incidents with lesser impact potential.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more than 30 years in professional roles supporting and leading cybersecurity and cloud security programs for technology companies, including, (i) our Chief Information Security Officer (CISO), Dustin Pearce, who has previously led the Security and Governance, Risk, and Compliance (GRC) and Infrastructure functions, at Instacart and Slack, respectively, which included responsibility for assessing and managing various aspects of platform security for users, and (ii) our Executive Vice President of Engineering, Shadi Rostami, who has extensive experience in overseeing security for cloud services from an engineering perspective, including at Palo Alto Networks, while serving as Vice President of Engineering with responsibility for overseeing key cloud services, ensuring the security of cloud offerings and developing several cybersecurity solutions. Our management team supervises efforts to prevent, detect, mitigate,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w:t>
      </w:r>
    </w:p>
    <w:p>
      <w:pPr>
        <w:pStyle w:val="TextBody"/>
        <w:bidi w:val="0"/>
        <w:spacing w:before="360" w:after="283"/>
        <w:jc w:val="left"/>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 is located in San Francisco and consists of approximately 57,530 square feet of space under a sublease that expires on September 30, 2025. We also lease six additional offices in Amsterdam, Paris, Singapore, London, Vancouver, and New York. 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pStyle w:val="TextBody"/>
        <w:bidi w:val="0"/>
        <w:spacing w:before="36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On February 14, 2024, a putative securities class action (the “Putative Class Action”) was filed in the United States District Court for the Northern District of California captioned Fagan v. Amplitude, Inc., et al., Case No. 3:24-cv-00898, naming us, our Chief Executive Officer, and former Chief Financial Officer as defendants. The lawsuit is purportedly brought on behalf of all those who purchased or acquired our common stock between September 21, 2021 and February 16, 2022. The complaint alleges claims under Sections 10(b) and 20(a) of the Securities Exchange Act of 1934 based on allegedly false or misleading statements related to our business and financial outlook. The lawsuit seeks unspecified damages and other relief. The defendants intend to deny the allegations of wrongdoing and vigorously defend against the claims in the Putative Class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matters discussed above, from time to time, we are party to litigation and other legal proceedings in the ordinary course of business. While we do not believe the ultimate resolution of pending legal matters is likely to have a material adverse effect on our financial position, the results of any litigation or other legal proceedings are uncertain and as such the resolution of such legal proceedings, either individually or in the aggregate, could have a material adverse effect on our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00" w:after="283"/>
        <w:jc w:val="left"/>
        <w:rPr>
          <w:rFonts w:ascii="Times New Roman" w:hAnsi="Times New Roman"/>
          <w:b/>
          <w:color w:val="000000"/>
          <w:sz w:val="20"/>
        </w:rPr>
      </w:pPr>
      <w:bookmarkStart w:id="11" w:name="item_5_market_for_registrants_common_eq"/>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Class A common stock has been traded on the Nasdaq Capital Market under the symbol “AMPL” since September 28, 2021. Prior to that date, there was no public trading market for our Class A common stock. Our Class B common stock is neither listed nor publicly traded.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14, 2024, there were 27 holders of record of our Class A common stock and 32 holders of record of our Class B common stock. The actual number of stockholders is greater than the number of holders of record and includes stockholders who are beneficial owners but whose shares are held in street name by brokers and other nominees.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do not expect to declare or pay any cash dividends in the foreseeable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section titled “Security Ownership of Certain Beneficial Owners and Management and Related Stockholder Matters” for information regarding securities authorized for issuance.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 compares (i) the cumulative total stockholder return on our Class A common stock from September 28, 2021 (the date our Class A common stock commenced trading on the Nasdaq Capital Market) through December 31, 2023 with (ii) the cumulative total return of the Nasdaq Composite Index and the Nasdaq Emerging Cloud Index over the same period, assuming the investment of $100 in our Class A common stock and in both of the other indices on September 28, 2021 and the reinvestment of dividends. The graph uses the beginning market price on September 28, 2021 of $50 per share as the initial value of our Class A common stock. As discussed above, we have never declared or paid a cash dividend on our Class A common stock and do not anticipate declaring or paying a cash dividend in the foreseeable future.</w:t>
      </w:r>
    </w:p>
    <w:p>
      <w:pPr>
        <w:pStyle w:val="TextBody"/>
        <w:bidi w:val="0"/>
        <w:spacing w:before="240" w:after="283"/>
        <w:jc w:val="center"/>
        <w:rPr/>
      </w:pPr>
      <w:r>
        <w:rPr/>
        <w:drawing>
          <wp:inline distT="0" distB="0" distL="0" distR="0">
            <wp:extent cx="5705475" cy="3381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5475" cy="3381375"/>
                    </a:xfrm>
                    <a:prstGeom prst="rect">
                      <a:avLst/>
                    </a:prstGeom>
                  </pic:spPr>
                </pic:pic>
              </a:graphicData>
            </a:graphic>
          </wp:inline>
        </w:drawing>
      </w: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spacing w:before="160" w:after="283"/>
        <w:jc w:val="left"/>
        <w:rPr>
          <w:rFonts w:ascii="Times New Roman" w:hAnsi="Times New Roman"/>
          <w:sz w:val="20"/>
        </w:rPr>
      </w:pPr>
      <w:bookmarkStart w:id="12" w:name="item_6_reserved"/>
      <w:bookmarkEnd w:id="12"/>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[Reserved.]</w:t>
      </w:r>
    </w:p>
    <w:p>
      <w:pPr>
        <w:pStyle w:val="TextBody"/>
        <w:bidi w:val="0"/>
        <w:spacing w:before="360" w:after="283"/>
        <w:jc w:val="left"/>
        <w:rPr>
          <w:rFonts w:ascii="Times New Roman" w:hAnsi="Times New Roman"/>
          <w:sz w:val="20"/>
        </w:rPr>
      </w:pPr>
      <w:bookmarkStart w:id="13" w:name="item_7_managements_discussion_and_analy"/>
      <w:bookmarkEnd w:id="13"/>
      <w:r>
        <w:rPr>
          <w:rFonts w:ascii="Times New Roman" w:hAnsi="Times New Roman"/>
          <w:b/>
          <w:color w:val="000000"/>
          <w:sz w:val="20"/>
        </w:rPr>
        <w:t>Item 7.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included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 Item 1A in this Annual Report on Form 10-K. Our fiscal year ends December 31.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Unless the context otherwise requires, all references in this report to “Amplitude,” the “Company,” “we,” “our,” “us,” or similar terms refer to Amplitude, Inc. and its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Amplitude is a leading Digital Analytics Platform that helps businesses understand how people are using their products so they can build amazing digital experiences that increase acquisition, monetization and retention - and drive revenue growth. We work with more than 2,700 paying customers of various sizes and stages of digital maturity, across many industries, including the teams behind some of the most-beloved digital products in the world. We have experienced significant growth in recent years, with approximately 675 employees in seven global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platform.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experienced significant growth in recent years driven by the rapid adoption of our Digital Analytics Platform by our global, diversified base of 2,723 paying customers as of December 31, 2023. Our customers span across industries and sizes, from the leading digital innovators to those earlier in their digital transformation journey. For the years ended December 31, 2023 and 2022, our revenue was $276.3 million and $238.1 million, respectively, representing year-over-year growth of 16%. For the years ended December 31, 2023 and 2022, our net loss was $90.4 million and $93.4 million, respectively. For the years ended December 31, 2023 and 2022, our net cash provided by (used in) operating activities was $25.6 million and $(5.4) million, respectively, and our free cash flow was $22.4 million and $(11.2) million,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through selling subscriptions to our platform. We reach customers through a direct sales motion, solution partners, and product-led growth initiatives, including subscription plans to meet the needs of a diverse range of companies. For the year ended December 31, 2023, subscription revenue comprised 97% of our total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typically start out using our platform for a specific business use case. As they see the value of our data, insights, and actions to drive positive business outcomes, they frequently expand beyond that initial use case. Examples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data, users or new functionality to meet the needs of teams across the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Using our platform for additional digital products in their portfolio and empowering the teams responsible for them (product, marketing, engineering, and analytics);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Layering additional offerings onto core Analytics to power new capabilities and drive additional business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pricing model is based on both the platform functionality required by our customers as well as committed volume of events or monthly tracked users ("MTUs"). An event could be any action that a user takes in a digital product, such as ‘Create account’, ‘Add to cart’, or ‘Share photo’. Events can also be actions that occur in a product without user action, such as ‘Verification completed’. Customers have the flexibility to choose the events sent to our platform and can also attach custom properties to an event to enable greater insight on the digital product end user. An MTU is a unique user who triggers one or more events within a calendar month.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been effective in helping our customers to gauge the proper event volume or MTUs to contract to ensure that they maximize their investment in our platform. In situations where customers exceed their committed volume in a given period, they incur overage charges that we have the contractual right to bill at our discretion. Depending on the circumstances, we often use this as an opportunity to renegotiate a customer contract to ensure they have the right contracted volume to meet their business objectives. Historically, overage charges have not made up a significant portion of our revenue. In many cases, customers will proactively expand their contract within the contract term, generally increasing event or MTU volume and platform capabilities to expand existing or address new use cases. Substantially all of our customer contracts have a subscription period of one year or longer. In the fiscal year ended December 31, 2023, we billed a majority of these contracts annually in advance with the remainder billed quarterly, semi-annually, or monthly.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offer a variety of free and paid plans depending on our customers’ needs wherever they are in their analytics journey. For example, we offer a </w:t>
      </w:r>
      <w:r>
        <w:rPr>
          <w:rFonts w:ascii="Times New Roman" w:hAnsi="Times New Roman"/>
          <w:i/>
          <w:color w:val="000000"/>
          <w:sz w:val="20"/>
        </w:rPr>
        <w:t xml:space="preserve">Free </w:t>
      </w:r>
      <w:r>
        <w:rPr>
          <w:rFonts w:ascii="Times New Roman" w:hAnsi="Times New Roman"/>
          <w:color w:val="000000"/>
          <w:sz w:val="20"/>
        </w:rPr>
        <w:t xml:space="preserve">plan for early-stage startups and individuals. Our self-serve </w:t>
      </w:r>
      <w:r>
        <w:rPr>
          <w:rFonts w:ascii="Times New Roman" w:hAnsi="Times New Roman"/>
          <w:i/>
          <w:color w:val="000000"/>
          <w:sz w:val="20"/>
        </w:rPr>
        <w:t xml:space="preserve">Plus </w:t>
      </w:r>
      <w:r>
        <w:rPr>
          <w:rFonts w:ascii="Times New Roman" w:hAnsi="Times New Roman"/>
          <w:color w:val="000000"/>
          <w:sz w:val="20"/>
        </w:rPr>
        <w:t xml:space="preserve">plan is built for growing startups and small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teams who need more customization and access to feature management and CDP capabilities. Our </w:t>
      </w:r>
      <w:r>
        <w:rPr>
          <w:rFonts w:ascii="Times New Roman" w:hAnsi="Times New Roman"/>
          <w:i/>
          <w:color w:val="000000"/>
          <w:sz w:val="20"/>
        </w:rPr>
        <w:t xml:space="preserve">Growth </w:t>
      </w:r>
      <w:r>
        <w:rPr>
          <w:rFonts w:ascii="Times New Roman" w:hAnsi="Times New Roman"/>
          <w:color w:val="000000"/>
          <w:sz w:val="20"/>
        </w:rPr>
        <w:t xml:space="preserve">plan provides access to additional capabilities, such as automated insights, experiments, and audience management. Users also get access to dedicated customer support to further maximize the value from our platform. And our </w:t>
      </w:r>
      <w:r>
        <w:rPr>
          <w:rFonts w:ascii="Times New Roman" w:hAnsi="Times New Roman"/>
          <w:i/>
          <w:color w:val="000000"/>
          <w:sz w:val="20"/>
        </w:rPr>
        <w:t xml:space="preserve">Enterprise </w:t>
      </w:r>
      <w:r>
        <w:rPr>
          <w:rFonts w:ascii="Times New Roman" w:hAnsi="Times New Roman"/>
          <w:color w:val="000000"/>
          <w:sz w:val="20"/>
        </w:rPr>
        <w:t xml:space="preserve">plan is designed for larger organizations that have more sophisticated needs and requirements, and includes everything in the </w:t>
      </w:r>
      <w:r>
        <w:rPr>
          <w:rFonts w:ascii="Times New Roman" w:hAnsi="Times New Roman"/>
          <w:i/>
          <w:color w:val="000000"/>
          <w:sz w:val="20"/>
        </w:rPr>
        <w:t>Growth</w:t>
      </w:r>
      <w:r>
        <w:rPr>
          <w:rFonts w:ascii="Times New Roman" w:hAnsi="Times New Roman"/>
          <w:color w:val="000000"/>
          <w:sz w:val="20"/>
        </w:rPr>
        <w:t xml:space="preserve"> plan as well as additional robust features such as advanced data governance, custom user permissions and roles, automated insights, and more. At any point, a customer that needs additional capabilities can purchase add-on functionality or products, which are natively integrated with Amplitude Analytics.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land-and-expand business model is powered by the ease of use, rapid time to value, and broad applicability of our platform to provide actionable insights in real time to numerous teams across an organization. This model has enabled us, in many cases, to significantly expand the reach of our platform within organizations.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had 511 customers that each represented greater than $100,000 in ARR and 39 customers that each represented greater than $1 million in ARR, demonstrating the mission critical nature of our platform to help customers succeed in the new digital age. In comparison, we had 480 customers that each represented greater than $100,000 in ARR and 30 customers that each represented greater than $1 million in ARR for the years ended December 31, 2022. Customers that each represented greater than $100,000 in ARR accounted for approximately 74% and 75% of our total ARR as of December 31, 2023 and 2022, respectively. We define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it is an operating metric that can be impacted by contract start and end dates and renewal rates. No single customer accounted for more than 3% and 4% of our revenue in the years ended December 31, 2023 and 2022,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expand within our customer base is also demonstrated by our strong dollar-based net retention rate. As of December 31, 2023 and 2022, our dollar-based net retention rate (TTM) across paying customers was 101% and 119%,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we had 2,723 and 1,994 paying customers, respectively, representing an increase of 37% year-over-year. As of December 31, 2023 and 2022, 26 and 28 of the Fortune 100 were paying customers, respectively, with two of our customers falling out of the Fortune 100 list in the year ended December 31, 2023, which demonstrates both our traction to date as well as our significant opportunity to continue to penetrate into the largest global organizations. Our relationship with some of the world’s most beloved product-led companies has resulted in increased brand credibility and access to many attractive growth opportunities.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been successful at efficiently growing our customer spend over time as evidenced by our dollar-based net retention rates. As of December 31, 2023 and 2022, our dollar-based net retention rate (TTM) was 101% and 119%, respectively, for paying customers. Additionally, our ending dollar-based net retention rate for paying customers as of December 31, 2023 and 2022, was 98% and 110%, respectively. We continue to increase the number of customers who have entered and grown into larger subscriptions with us. As of December 31, 2023 and 2022, we had 511 and 480 customers, respectively, that each represented greater than $100,000 in ARR, representing a 6% increase year-over-year. Additionally, we had 39 and 30 customers, respectively, that each represented greater than $1 million in ARR, up 30% year-over-year. The number of customers representing greater than $100,000 and $1 million in ARR demonstrates the strategic importance of our platform and our ability to both initially land significant accounts and grow them over time.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 predictive analytics and data instrumentation capabilities. Going forward, we may pursue both strategic partnerships and acquisitions that we believe will be complementary to our business, accelerate customer acquisition, increase usage of our platform, and/or expand our product offerings in our core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for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October 2023, we introduced Plus to bring the full power of digital analytics to every team for less. We believe the evolution of our technology and product offerings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Although there have been recent cost savings due to our restructuring, as we continue to invest in our platform, we expect our research and development expenses to increase in dollar amount over time. Over the longer term, we believe these expenses as a percentage of revenue will decrease, though these expenses as a percentage of revenue could increase in the short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there have been recent cost savings due to our restructuring, as we continue to invest in our sales efforts, we expect our sales and marketing expenses to increase in dollar amount over time. Over the longer term, we believe these expenses as a percentage of revenue will decrease over the longer term, though these expenses as a percentage of revenue could increase in the short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Finally, we see opportunities to expand offices and headcount internationally to better service targeted international markets where we believe we have significant opportunity to accelerate existing traction and success. For the years ended December 31, 2023 and 2022, 39% and 38% of our revenue was generated outside the United States, respectively. As we seek to expand our business globally, we may be adversely affected by global economic and political instability. For example, as a result of the Russia-Ukraine war, we terminated certain relationships with customers in Russia and some of the businesses of our customers in the impacted regions have experienced disruptions that have affected their ability to pay for our services. See “Risk Factors–Risks Related to Our Business and Industry–Our operations are international in scope, and we plan further geographic expansion, creating a variety of operational challenges.” </w:t>
      </w:r>
    </w:p>
    <w:p>
      <w:pPr>
        <w:pStyle w:val="TextBody"/>
        <w:bidi w:val="0"/>
        <w:spacing w:before="3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 </w:t>
      </w:r>
    </w:p>
    <w:p>
      <w:pPr>
        <w:pStyle w:val="TextBody"/>
        <w:bidi w:val="0"/>
        <w:spacing w:before="120" w:after="283"/>
        <w:jc w:val="left"/>
        <w:rPr/>
      </w:pPr>
      <w:r>
        <w:rPr/>
        <w:t> </w:t>
      </w:r>
    </w:p>
    <w:tbl>
      <w:tblPr>
        <w:tblW w:w="7136" w:type="dxa"/>
        <w:jc w:val="left"/>
        <w:tblInd w:w="0" w:type="dxa"/>
        <w:tblLayout w:type="fixed"/>
        <w:tblCellMar>
          <w:top w:w="28" w:type="dxa"/>
          <w:left w:w="28" w:type="dxa"/>
          <w:bottom w:w="28" w:type="dxa"/>
          <w:right w:w="28" w:type="dxa"/>
        </w:tblCellMar>
      </w:tblPr>
      <w:tblGrid>
        <w:gridCol w:w="3376"/>
        <w:gridCol w:w="146"/>
        <w:gridCol w:w="211"/>
        <w:gridCol w:w="571"/>
        <w:gridCol w:w="271"/>
        <w:gridCol w:w="146"/>
        <w:gridCol w:w="211"/>
        <w:gridCol w:w="571"/>
        <w:gridCol w:w="271"/>
        <w:gridCol w:w="146"/>
        <w:gridCol w:w="12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tcBorders/>
            <w:shd w:fill="FFFFFF" w:val="cle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Growth</w:t>
            </w:r>
          </w:p>
        </w:tc>
      </w:tr>
      <w:tr>
        <w:trPr/>
        <w:tc>
          <w:tcPr>
            <w:tcW w:w="33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(dollar values in millions)</w:t>
            </w:r>
          </w:p>
        </w:tc>
        <w:tc>
          <w:tcPr>
            <w:tcW w:w="1216" w:type="dxa"/>
            <w:tcBorders/>
            <w:shd w:fill="FFFFFF" w:val="cle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Recurring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Dollar-Based Net Retention Rate (TTM)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216" w:type="dxa"/>
            <w:tcBorders/>
            <w:shd w:fill="FFFFFF" w:val="clear"/>
            <w:vAlign w:val="center"/>
          </w:tcPr>
          <w:p>
            <w:pPr>
              <w:pStyle w:val="TableContents"/>
              <w:bidi w:val="0"/>
              <w:spacing w:before="0" w:after="283"/>
              <w:jc w:val="righ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Paying Customers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Annual Recurring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annual recurring revenue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an operating metric that can be impacted by contract start and end dates and renewal rates. ARR is also not intended to be a forecast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Dollar-Based Net Retention Rate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pStyle w:val="TextBody"/>
        <w:bidi w:val="0"/>
        <w:spacing w:before="360" w:after="283"/>
        <w:jc w:val="left"/>
        <w:rPr>
          <w:rFonts w:ascii="Times New Roman" w:hAnsi="Times New Roman"/>
          <w:sz w:val="20"/>
        </w:rPr>
      </w:pPr>
      <w:r>
        <w:rPr>
          <w:rFonts w:ascii="Times New Roman" w:hAnsi="Times New Roman"/>
          <w:b/>
          <w:i/>
          <w:color w:val="000000"/>
          <w:sz w:val="20"/>
        </w:rPr>
        <w:t>Paying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2023, we authorized a restructuring plan (the “Restructuring Plan”) to reduce our global workforce by approximately 13% to improve operational efficiencies and reduce operating costs. We do not expect to incur additional expenses of any significance related to the Restructuring Plan in future periods.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Non-GAAP Financial Measures and related Non-GAAP reconciliations are for the year ended December 31, 2023, compared to the same period in 2022, unless otherwise stated. Non-GAAP Financial Measures and related Non-GAAP reconciliations for the year ended December 31, 2022 compared to the year ended December 31, 2021 may be found in the section titled “Management’s Discussion and Analysis of Financial Condition and Results of Operations” in our Annual Report on Form 10-K for the fiscal year ended December 31, 2022, filed with the SEC on February 16, 2023.</w:t>
      </w:r>
    </w:p>
    <w:p>
      <w:pPr>
        <w:pStyle w:val="TextBody"/>
        <w:bidi w:val="0"/>
        <w:spacing w:before="240" w:after="283"/>
        <w:jc w:val="left"/>
        <w:rPr/>
      </w:pPr>
      <w:r>
        <w:rPr/>
        <w:t> </w:t>
      </w:r>
    </w:p>
    <w:tbl>
      <w:tblPr>
        <w:tblW w:w="8473" w:type="dxa"/>
        <w:jc w:val="left"/>
        <w:tblInd w:w="0" w:type="dxa"/>
        <w:tblLayout w:type="fixed"/>
        <w:tblCellMar>
          <w:top w:w="28" w:type="dxa"/>
          <w:left w:w="28" w:type="dxa"/>
          <w:bottom w:w="28" w:type="dxa"/>
          <w:right w:w="28" w:type="dxa"/>
        </w:tblCellMar>
      </w:tblPr>
      <w:tblGrid>
        <w:gridCol w:w="5011"/>
        <w:gridCol w:w="146"/>
        <w:gridCol w:w="246"/>
        <w:gridCol w:w="981"/>
        <w:gridCol w:w="386"/>
        <w:gridCol w:w="170"/>
        <w:gridCol w:w="246"/>
        <w:gridCol w:w="911"/>
        <w:gridCol w:w="376"/>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0"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204,361</w:t>
            </w:r>
          </w:p>
        </w:tc>
        <w:tc>
          <w:tcPr>
            <w:tcW w:w="38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167,625</w:t>
            </w:r>
          </w:p>
        </w:tc>
        <w:tc>
          <w:tcPr>
            <w:tcW w:w="376" w:type="dxa"/>
            <w:tcBorders/>
            <w:shd w:fill="CFF0FC" w:val="clear"/>
            <w:vAlign w:val="center"/>
          </w:tcPr>
          <w:p>
            <w:pPr>
              <w:pStyle w:val="TableContents"/>
              <w:bidi w:val="0"/>
              <w:spacing w:before="0" w:after="283"/>
              <w:jc w:val="left"/>
              <w:rPr/>
            </w:pPr>
            <w:r>
              <w:rPr/>
              <w:t> </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212,899</w:t>
            </w:r>
          </w:p>
        </w:tc>
        <w:tc>
          <w:tcPr>
            <w:tcW w:w="38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176,110</w:t>
            </w:r>
          </w:p>
        </w:tc>
        <w:tc>
          <w:tcPr>
            <w:tcW w:w="376" w:type="dxa"/>
            <w:tcBorders/>
            <w:shd w:fill="FFFFFF" w:val="clear"/>
            <w:vAlign w:val="center"/>
          </w:tcPr>
          <w:p>
            <w:pPr>
              <w:pStyle w:val="TableContents"/>
              <w:bidi w:val="0"/>
              <w:spacing w:before="0" w:after="283"/>
              <w:jc w:val="left"/>
              <w:rPr/>
            </w:pPr>
            <w:r>
              <w:rPr/>
              <w:t> </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(102,520</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Margin</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25,630</w:t>
            </w:r>
          </w:p>
        </w:tc>
        <w:tc>
          <w:tcPr>
            <w:tcW w:w="38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w:t>
            </w:r>
          </w:p>
        </w:tc>
        <w:tc>
          <w:tcPr>
            <w:tcW w:w="38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5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 Margin</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i/>
          <w:color w:val="000000"/>
          <w:sz w:val="20"/>
        </w:rPr>
        <w:t>Non-GAAP Gross Profit, Non-GAAP Gross Margin, Non-GAAP Income (Loss) from Operations, and Non-GAAP Income (Loss) from Operations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and Reconciliations of 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reconcile the most directly comparable U.S. GAAP financial measure to each of these non-GAAP financial measures.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and Gross Margin</w:t>
      </w:r>
      <w:r>
        <w:rPr>
          <w:rFonts w:ascii="Times New Roman" w:hAnsi="Times New Roman"/>
          <w:color w:val="000000"/>
          <w:sz w:val="20"/>
        </w:rPr>
        <w:t xml:space="preserve"> </w:t>
      </w:r>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w:t>
            </w:r>
          </w:p>
        </w:tc>
        <w:tc>
          <w:tcPr>
            <w:tcW w:w="3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3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212,899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176,110</w:t>
            </w:r>
          </w:p>
        </w:tc>
        <w:tc>
          <w:tcPr>
            <w:tcW w:w="3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Stock-based compensation expense-related charges include employer payroll tax-related expenses on employee stock transactions.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Income (Loss) From Operations and Income (Loss) From Operations Margin</w:t>
      </w:r>
      <w:r>
        <w:rPr>
          <w:rFonts w:ascii="Times New Roman" w:hAnsi="Times New Roman"/>
          <w:color w:val="000000"/>
          <w:sz w:val="20"/>
        </w:rPr>
        <w:t xml:space="preserve"> </w:t>
      </w:r>
    </w:p>
    <w:p>
      <w:pPr>
        <w:pStyle w:val="TextBody"/>
        <w:bidi w:val="0"/>
        <w:jc w:val="left"/>
        <w:rPr/>
      </w:pPr>
      <w:r>
        <w:rPr/>
        <w:t> </w:t>
      </w:r>
    </w:p>
    <w:tbl>
      <w:tblPr>
        <w:tblW w:w="7249" w:type="dxa"/>
        <w:jc w:val="left"/>
        <w:tblInd w:w="0" w:type="dxa"/>
        <w:tblLayout w:type="fixed"/>
        <w:tblCellMar>
          <w:top w:w="28" w:type="dxa"/>
          <w:left w:w="28" w:type="dxa"/>
          <w:bottom w:w="28" w:type="dxa"/>
          <w:right w:w="28" w:type="dxa"/>
        </w:tblCellMar>
      </w:tblPr>
      <w:tblGrid>
        <w:gridCol w:w="4216"/>
        <w:gridCol w:w="146"/>
        <w:gridCol w:w="211"/>
        <w:gridCol w:w="841"/>
        <w:gridCol w:w="331"/>
        <w:gridCol w:w="146"/>
        <w:gridCol w:w="211"/>
        <w:gridCol w:w="736"/>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6"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89,472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68,297</w:t>
            </w:r>
          </w:p>
        </w:tc>
        <w:tc>
          <w:tcPr>
            <w:tcW w:w="4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41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pPr>
      <w:r>
        <w:rPr>
          <w:rFonts w:ascii="Times New Roman" w:hAnsi="Times New Roman"/>
          <w:color w:val="000000"/>
          <w:sz w:val="16"/>
        </w:rPr>
        <w:t>Stock-based compensation expense-related charges include employer payroll tax-related expenses on employee stock transactions, but exclude stock-based compensation costs included in</w:t>
      </w:r>
      <w:r>
        <w:rPr>
          <w:color w:val="000000"/>
        </w:rPr>
        <w:t xml:space="preserve"> </w:t>
      </w:r>
      <w:r>
        <w:rPr>
          <w:rFonts w:ascii="Times New Roman" w:hAnsi="Times New Roman"/>
          <w:i/>
          <w:color w:val="000000"/>
          <w:sz w:val="16"/>
        </w:rPr>
        <w:t>Restructuring and Other Related Charges.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jc w:val="left"/>
        <w:rPr/>
      </w:pPr>
      <w:r>
        <w:rPr/>
        <w:t> </w:t>
      </w:r>
    </w:p>
    <w:tbl>
      <w:tblPr>
        <w:tblW w:w="7712" w:type="dxa"/>
        <w:jc w:val="left"/>
        <w:tblInd w:w="0" w:type="dxa"/>
        <w:tblLayout w:type="fixed"/>
        <w:tblCellMar>
          <w:top w:w="28" w:type="dxa"/>
          <w:left w:w="28" w:type="dxa"/>
          <w:bottom w:w="28" w:type="dxa"/>
          <w:right w:w="28" w:type="dxa"/>
        </w:tblCellMar>
      </w:tblPr>
      <w:tblGrid>
        <w:gridCol w:w="4216"/>
        <w:gridCol w:w="146"/>
        <w:gridCol w:w="275"/>
        <w:gridCol w:w="884"/>
        <w:gridCol w:w="354"/>
        <w:gridCol w:w="189"/>
        <w:gridCol w:w="275"/>
        <w:gridCol w:w="962"/>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39"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41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w:t>
            </w:r>
          </w:p>
        </w:tc>
        <w:tc>
          <w:tcPr>
            <w:tcW w:w="354"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41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25,630</w:t>
            </w:r>
          </w:p>
        </w:tc>
        <w:tc>
          <w:tcPr>
            <w:tcW w:w="354"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center"/>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w:t>
            </w:r>
          </w:p>
        </w:tc>
        <w:tc>
          <w:tcPr>
            <w:tcW w:w="354"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research and development, sales and marketing, and general and administrative expenses. Personnel and 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Although there have been recent cost savings due to our restructuring,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product development initiatives. In the short term, research and development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make strategic investments in our sales and marketing organization, and we expect sales and marketing expenses to remain our largest operating expense in dollar amount. Although there have been recent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Although there have been recent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 and Other Related Charges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and other related charges, related to the Restructuring Plan, consist primarily of charges related to employee transition, severance payments, employee benefits, and stock-based compensation. These expenses are not expected to recur.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interest income on our cash, cash equivalents, and marketable securities holdings and foreign currency transaction gains and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$434.5 million and tax credit carryforwards of $13.0 million, net of reserves as of December 31, 2023, which begin expiring in 2032 and 2033, respectively. We expect to maintain this full valuation allowance in U.S. jurisdictions for the foreseeable future as it is not more likely than not the deferred tax assets will be realized based on our history of losses.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revenue for those periods. The period-to-period comparison of financial results is not necessarily indicative of financial results to be achieved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are for the year ended December 31, 2023, compared to the same period in 2022, unless otherwise stated. Discussion and analysis for the year ended December 31, 2022 compared to the year ended December 31, 2021 may be found in the section titled “Management’s Discussion and Analysis of Financial Condition and Results of Operations” in our Annual Report on Form 10-K for the fiscal year ended December 31, 2022, filed with the SEC on February 16, 2023.</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4771"/>
        <w:gridCol w:w="146"/>
        <w:gridCol w:w="211"/>
        <w:gridCol w:w="841"/>
        <w:gridCol w:w="166"/>
        <w:gridCol w:w="146"/>
        <w:gridCol w:w="211"/>
        <w:gridCol w:w="78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238,067</w:t>
            </w:r>
          </w:p>
        </w:tc>
        <w:tc>
          <w:tcPr>
            <w:tcW w:w="39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Restructuring and other related charges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(96,562</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before provision for (benefit from)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(92,581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Amounts include stock-based compensation expense as follows: </w:t>
      </w:r>
    </w:p>
    <w:tbl>
      <w:tblPr>
        <w:tblW w:w="6098" w:type="dxa"/>
        <w:jc w:val="left"/>
        <w:tblInd w:w="0" w:type="dxa"/>
        <w:tblLayout w:type="fixed"/>
        <w:tblCellMar>
          <w:top w:w="28" w:type="dxa"/>
          <w:left w:w="28" w:type="dxa"/>
          <w:bottom w:w="28" w:type="dxa"/>
          <w:right w:w="28" w:type="dxa"/>
        </w:tblCellMar>
      </w:tblPr>
      <w:tblGrid>
        <w:gridCol w:w="3451"/>
        <w:gridCol w:w="146"/>
        <w:gridCol w:w="236"/>
        <w:gridCol w:w="756"/>
        <w:gridCol w:w="163"/>
        <w:gridCol w:w="163"/>
        <w:gridCol w:w="236"/>
        <w:gridCol w:w="75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0"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center"/>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27,855</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center"/>
              <w:rPr/>
            </w:pPr>
            <w:r>
              <w:rPr/>
              <w:t> </w:t>
            </w:r>
          </w:p>
        </w:tc>
        <w:tc>
          <w:tcPr>
            <w:tcW w:w="23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17,143</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components of our consolidated statements of operations and comprehensive loss data, for each of the periods presented, as a percentage of revenue. </w:t>
      </w:r>
    </w:p>
    <w:p>
      <w:pPr>
        <w:pStyle w:val="TextBody"/>
        <w:bidi w:val="0"/>
        <w:jc w:val="left"/>
        <w:rPr/>
      </w:pPr>
      <w:r>
        <w:rPr/>
        <w:t> </w:t>
      </w:r>
    </w:p>
    <w:tbl>
      <w:tblPr>
        <w:tblW w:w="7902" w:type="dxa"/>
        <w:jc w:val="left"/>
        <w:tblInd w:w="0" w:type="dxa"/>
        <w:tblLayout w:type="fixed"/>
        <w:tblCellMar>
          <w:top w:w="28" w:type="dxa"/>
          <w:left w:w="28" w:type="dxa"/>
          <w:bottom w:w="28" w:type="dxa"/>
          <w:right w:w="28" w:type="dxa"/>
        </w:tblCellMar>
      </w:tblPr>
      <w:tblGrid>
        <w:gridCol w:w="4771"/>
        <w:gridCol w:w="146"/>
        <w:gridCol w:w="1218"/>
        <w:gridCol w:w="295"/>
        <w:gridCol w:w="1472"/>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5" w:type="dxa"/>
            <w:gridSpan w:val="3"/>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center"/>
              <w:rPr/>
            </w:pPr>
            <w:r>
              <w:rPr/>
              <w:t> </w:t>
            </w:r>
          </w:p>
        </w:tc>
        <w:tc>
          <w:tcPr>
            <w:tcW w:w="121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95" w:type="dxa"/>
            <w:tcBorders/>
            <w:shd w:fill="CFF0FC" w:val="clear"/>
            <w:vAlign w:val="center"/>
          </w:tcPr>
          <w:p>
            <w:pPr>
              <w:pStyle w:val="TableContents"/>
              <w:bidi w:val="0"/>
              <w:spacing w:before="0" w:after="283"/>
              <w:jc w:val="center"/>
              <w:rPr/>
            </w:pPr>
            <w:r>
              <w:rPr/>
              <w:t> </w:t>
            </w:r>
          </w:p>
        </w:tc>
        <w:tc>
          <w:tcPr>
            <w:tcW w:w="147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center"/>
              <w:rPr/>
            </w:pPr>
            <w:r>
              <w:rPr/>
              <w:t> </w:t>
            </w:r>
          </w:p>
        </w:tc>
        <w:tc>
          <w:tcPr>
            <w:tcW w:w="295" w:type="dxa"/>
            <w:tcBorders/>
            <w:shd w:fill="FFFFFF" w:val="clear"/>
            <w:vAlign w:val="center"/>
          </w:tcPr>
          <w:p>
            <w:pPr>
              <w:pStyle w:val="TableContents"/>
              <w:bidi w:val="0"/>
              <w:spacing w:before="0" w:after="283"/>
              <w:jc w:val="center"/>
              <w:rPr/>
            </w:pPr>
            <w:r>
              <w:rPr/>
              <w:t> </w:t>
            </w:r>
          </w:p>
        </w:tc>
        <w:tc>
          <w:tcPr>
            <w:tcW w:w="1472" w:type="dxa"/>
            <w:tcBorders/>
            <w:shd w:fill="FFFFFF" w:val="clear"/>
            <w:vAlign w:val="center"/>
          </w:tcPr>
          <w:p>
            <w:pPr>
              <w:pStyle w:val="TableContents"/>
              <w:bidi w:val="0"/>
              <w:spacing w:before="0" w:after="283"/>
              <w:ind w:left="0" w:right="0" w:firstLine="200"/>
              <w:jc w:val="center"/>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295" w:type="dxa"/>
            <w:tcBorders/>
            <w:shd w:fill="CFF0FC" w:val="clear"/>
            <w:vAlign w:val="center"/>
          </w:tcPr>
          <w:p>
            <w:pPr>
              <w:pStyle w:val="TableContents"/>
              <w:bidi w:val="0"/>
              <w:spacing w:before="0" w:after="283"/>
              <w:jc w:val="center"/>
              <w:rPr/>
            </w:pPr>
            <w:r>
              <w:rPr/>
              <w:t> </w:t>
            </w:r>
          </w:p>
        </w:tc>
        <w:tc>
          <w:tcPr>
            <w:tcW w:w="1472"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34%</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295" w:type="dxa"/>
            <w:tcBorders/>
            <w:shd w:fill="FFFFFF" w:val="clear"/>
            <w:vAlign w:val="center"/>
          </w:tcPr>
          <w:p>
            <w:pPr>
              <w:pStyle w:val="TableContents"/>
              <w:bidi w:val="0"/>
              <w:spacing w:before="0" w:after="283"/>
              <w:jc w:val="center"/>
              <w:rPr/>
            </w:pPr>
            <w:r>
              <w:rPr/>
              <w:t> </w:t>
            </w:r>
          </w:p>
        </w:tc>
        <w:tc>
          <w:tcPr>
            <w:tcW w:w="1472"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55%</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21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295" w:type="dxa"/>
            <w:tcBorders/>
            <w:shd w:fill="CFF0FC" w:val="clear"/>
            <w:vAlign w:val="center"/>
          </w:tcPr>
          <w:p>
            <w:pPr>
              <w:pStyle w:val="TableContents"/>
              <w:bidi w:val="0"/>
              <w:spacing w:before="0" w:after="283"/>
              <w:jc w:val="center"/>
              <w:rPr/>
            </w:pPr>
            <w:r>
              <w:rPr/>
              <w:t> </w:t>
            </w:r>
          </w:p>
        </w:tc>
        <w:tc>
          <w:tcPr>
            <w:tcW w:w="1472"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23%</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295" w:type="dxa"/>
            <w:tcBorders/>
            <w:shd w:fill="FFFFFF" w:val="clear"/>
            <w:vAlign w:val="center"/>
          </w:tcPr>
          <w:p>
            <w:pPr>
              <w:pStyle w:val="TableContents"/>
              <w:bidi w:val="0"/>
              <w:spacing w:before="0" w:after="283"/>
              <w:jc w:val="center"/>
              <w:rPr/>
            </w:pPr>
            <w:r>
              <w:rPr/>
              <w:t> </w:t>
            </w:r>
          </w:p>
        </w:tc>
        <w:tc>
          <w:tcPr>
            <w:tcW w:w="14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47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Loss before provision for (benefit from) income taxes</w:t>
            </w:r>
          </w:p>
        </w:tc>
        <w:tc>
          <w:tcPr>
            <w:tcW w:w="14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295" w:type="dxa"/>
            <w:tcBorders/>
            <w:shd w:fill="FFFFFF" w:val="clear"/>
            <w:vAlign w:val="center"/>
          </w:tcPr>
          <w:p>
            <w:pPr>
              <w:pStyle w:val="TableContents"/>
              <w:bidi w:val="0"/>
              <w:spacing w:before="0" w:after="283"/>
              <w:jc w:val="center"/>
              <w:rPr/>
            </w:pPr>
            <w:r>
              <w:rPr/>
              <w:t> </w:t>
            </w:r>
          </w:p>
        </w:tc>
        <w:tc>
          <w:tcPr>
            <w:tcW w:w="14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121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295" w:type="dxa"/>
            <w:tcBorders/>
            <w:shd w:fill="FFFFFF" w:val="clear"/>
            <w:vAlign w:val="center"/>
          </w:tcPr>
          <w:p>
            <w:pPr>
              <w:pStyle w:val="TableContents"/>
              <w:bidi w:val="0"/>
              <w:spacing w:before="0" w:after="283"/>
              <w:jc w:val="center"/>
              <w:rPr/>
            </w:pPr>
            <w:r>
              <w:rPr/>
              <w:t> </w:t>
            </w:r>
          </w:p>
        </w:tc>
        <w:tc>
          <w:tcPr>
            <w:tcW w:w="14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bl>
    <w:p>
      <w:pPr>
        <w:pStyle w:val="TextBody"/>
        <w:bidi w:val="0"/>
        <w:jc w:val="left"/>
        <w:rPr>
          <w:rFonts w:ascii="Times New Roman" w:hAnsi="Times New Roman"/>
          <w:sz w:val="20"/>
        </w:rPr>
      </w:pPr>
      <w:r>
        <w:rPr>
          <w:rFonts w:ascii="Times New Roman" w:hAnsi="Times New Roman"/>
          <w:color w:val="000000"/>
          <w:sz w:val="16"/>
        </w:rPr>
        <w:t>* Less than 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Note: Certain figures may not sum due to rounding </w:t>
      </w:r>
    </w:p>
    <w:p>
      <w:pPr>
        <w:pStyle w:val="TextBody"/>
        <w:bidi w:val="0"/>
        <w:spacing w:before="360" w:after="283"/>
        <w:jc w:val="left"/>
        <w:rPr>
          <w:rFonts w:ascii="Times New Roman" w:hAnsi="Times New Roman"/>
          <w:sz w:val="20"/>
        </w:rPr>
      </w:pPr>
      <w:r>
        <w:rPr>
          <w:rFonts w:ascii="Times New Roman" w:hAnsi="Times New Roman"/>
          <w:b/>
          <w:i/>
          <w:color w:val="000000"/>
          <w:sz w:val="20"/>
        </w:rPr>
        <w:t>Comparison of Fiscal Years Ended December 31,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6154" w:type="dxa"/>
        <w:jc w:val="left"/>
        <w:tblInd w:w="0" w:type="dxa"/>
        <w:tblLayout w:type="fixed"/>
        <w:tblCellMar>
          <w:top w:w="28" w:type="dxa"/>
          <w:left w:w="28" w:type="dxa"/>
          <w:bottom w:w="28" w:type="dxa"/>
          <w:right w:w="28" w:type="dxa"/>
        </w:tblCellMar>
      </w:tblPr>
      <w:tblGrid>
        <w:gridCol w:w="841"/>
        <w:gridCol w:w="146"/>
        <w:gridCol w:w="241"/>
        <w:gridCol w:w="894"/>
        <w:gridCol w:w="167"/>
        <w:gridCol w:w="167"/>
        <w:gridCol w:w="241"/>
        <w:gridCol w:w="894"/>
        <w:gridCol w:w="167"/>
        <w:gridCol w:w="167"/>
        <w:gridCol w:w="214"/>
        <w:gridCol w:w="687"/>
        <w:gridCol w:w="146"/>
        <w:gridCol w:w="146"/>
        <w:gridCol w:w="103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8" w:type="dxa"/>
            <w:gridSpan w:val="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238,067</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Revenue increased $38.2 million, or 16%, in fiscal 2023 compared to fiscal 2022. The increase in revenue was primarily due to growth of our paying customer base of 37% and revenue generated from our existing paying customers as reflected by our NRR (TTM) of 101% as of December 31, 2023.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p>
      <w:pPr>
        <w:pStyle w:val="TextBody"/>
        <w:bidi w:val="0"/>
        <w:jc w:val="left"/>
        <w:rPr/>
      </w:pPr>
      <w:r>
        <w:rPr/>
        <w:t> </w:t>
      </w:r>
    </w:p>
    <w:tbl>
      <w:tblPr>
        <w:tblW w:w="6707" w:type="dxa"/>
        <w:jc w:val="left"/>
        <w:tblInd w:w="0" w:type="dxa"/>
        <w:tblLayout w:type="fixed"/>
        <w:tblCellMar>
          <w:top w:w="28" w:type="dxa"/>
          <w:left w:w="28" w:type="dxa"/>
          <w:bottom w:w="28" w:type="dxa"/>
          <w:right w:w="28" w:type="dxa"/>
        </w:tblCellMar>
      </w:tblPr>
      <w:tblGrid>
        <w:gridCol w:w="1396"/>
        <w:gridCol w:w="146"/>
        <w:gridCol w:w="237"/>
        <w:gridCol w:w="762"/>
        <w:gridCol w:w="305"/>
        <w:gridCol w:w="164"/>
        <w:gridCol w:w="237"/>
        <w:gridCol w:w="762"/>
        <w:gridCol w:w="305"/>
        <w:gridCol w:w="164"/>
        <w:gridCol w:w="243"/>
        <w:gridCol w:w="658"/>
        <w:gridCol w:w="146"/>
        <w:gridCol w:w="146"/>
        <w:gridCol w:w="103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6" w:type="dxa"/>
            <w:gridSpan w:val="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71,923</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70,442</w:t>
            </w:r>
          </w:p>
        </w:tc>
        <w:tc>
          <w:tcPr>
            <w:tcW w:w="305"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center"/>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jc w:val="left"/>
        <w:rPr>
          <w:rFonts w:ascii="Times New Roman" w:hAnsi="Times New Roman"/>
          <w:color w:val="000000"/>
          <w:sz w:val="20"/>
        </w:rPr>
      </w:pPr>
      <w:r>
        <w:rPr>
          <w:rFonts w:ascii="Times New Roman" w:hAnsi="Times New Roman"/>
          <w:color w:val="000000"/>
          <w:sz w:val="20"/>
        </w:rPr>
        <w:t>Cost of revenue increased $1.5 million, or 2%, in fiscal 2023 compared to fiscal 2022. The increase was primarily due to an increase of $0.8 million in stock-based compensation expense and related payroll taxes, and an increase of $0.3 million in third-party hosting costs as we increased capacity to support paying customer usage and growth of our paying customer base.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margin increased in fiscal 2023 compared to fiscal 2022 mainly due to a decrease in our third-party hosting costs as a percentage of revenue and a decrease in personnel and related expenses as a result of our Restructuring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tbl>
      <w:tblPr>
        <w:tblW w:w="8614" w:type="dxa"/>
        <w:jc w:val="left"/>
        <w:tblInd w:w="0" w:type="dxa"/>
        <w:tblLayout w:type="fixed"/>
        <w:tblCellMar>
          <w:top w:w="28" w:type="dxa"/>
          <w:left w:w="28" w:type="dxa"/>
          <w:bottom w:w="28" w:type="dxa"/>
          <w:right w:w="28" w:type="dxa"/>
        </w:tblCellMar>
      </w:tblPr>
      <w:tblGrid>
        <w:gridCol w:w="3301"/>
        <w:gridCol w:w="146"/>
        <w:gridCol w:w="241"/>
        <w:gridCol w:w="894"/>
        <w:gridCol w:w="167"/>
        <w:gridCol w:w="167"/>
        <w:gridCol w:w="241"/>
        <w:gridCol w:w="894"/>
        <w:gridCol w:w="167"/>
        <w:gridCol w:w="167"/>
        <w:gridCol w:w="214"/>
        <w:gridCol w:w="687"/>
        <w:gridCol w:w="146"/>
        <w:gridCol w:w="146"/>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8" w:type="dxa"/>
            <w:gridSpan w:val="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90,138</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80,589</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153,714</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129,962</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54,887</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4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53,636</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306,881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264,187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i/>
          <w:color w:val="000000"/>
          <w:sz w:val="16"/>
        </w:rPr>
        <w:t xml:space="preserve">* </w:t>
      </w:r>
      <w:r>
        <w:rPr>
          <w:rFonts w:ascii="Times New Roman" w:hAnsi="Times New Roman"/>
          <w:color w:val="000000"/>
          <w:sz w:val="16"/>
        </w:rPr>
        <w:t>Not meaningful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$9.5 million, or 12%, in fiscal 2023 compared to fiscal 2022. The increase was primarily due to an increase of $9.0 million in stock-based compensation expense and related payroll taxes and an increase of $0.7 million in software subscription costs. </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$23.8 million, or 18%, in fiscal 2023 compared to fiscal 2022. The increase was primarily due to an increase of $12.8 million in stock-based compensation expenses and related payroll taxes and an increase of $8.5 million in personnel and related expenses, including an increase in allocated overhead costs. The increase was also attributable to an increase of $6.6 million in bonuses and commissions related to an increase in the amortization of capitalized commissions in the period compared to the same period in the prior year and amounts earned in the year. The increase was partially offset by a decrease of $5.5 million related to marketing expenses mainly attributed to expenses to support hosting of Amplify, our in-person and virtual product and growth conference held in the year ended December 31, 2022 that was not repeated in the year ended December 31, 2023.</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$1.3 million, or 2%, in fiscal 2023 compared to fiscal 2022.The increase was primarily attributable to an increase of $2.7 million in personnel and related expenses, including an increase in allocated overhead costs. The increase was partially offset by a decrease of $1.5 million in stock-based compensation expense and related payroll taxes.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 and Other Related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other related charges were $8.1 million in fiscal 2023 related to charges related to employee transition, severance payments, employee benefits, and stock-based compensation. We did not have related expenses in fiscal 2022.</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698" w:type="dxa"/>
        <w:jc w:val="left"/>
        <w:tblInd w:w="0" w:type="dxa"/>
        <w:tblLayout w:type="fixed"/>
        <w:tblCellMar>
          <w:top w:w="28" w:type="dxa"/>
          <w:left w:w="28" w:type="dxa"/>
          <w:bottom w:w="28" w:type="dxa"/>
          <w:right w:w="28" w:type="dxa"/>
        </w:tblCellMar>
      </w:tblPr>
      <w:tblGrid>
        <w:gridCol w:w="2386"/>
        <w:gridCol w:w="146"/>
        <w:gridCol w:w="275"/>
        <w:gridCol w:w="882"/>
        <w:gridCol w:w="190"/>
        <w:gridCol w:w="190"/>
        <w:gridCol w:w="275"/>
        <w:gridCol w:w="745"/>
        <w:gridCol w:w="190"/>
        <w:gridCol w:w="190"/>
        <w:gridCol w:w="183"/>
        <w:gridCol w:w="718"/>
        <w:gridCol w:w="146"/>
        <w:gridCol w:w="146"/>
        <w:gridCol w:w="103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7" w:type="dxa"/>
            <w:gridSpan w:val="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center"/>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center"/>
              <w:rPr/>
            </w:pPr>
            <w:r>
              <w:rPr/>
              <w:t> </w:t>
            </w:r>
          </w:p>
        </w:tc>
        <w:tc>
          <w:tcPr>
            <w:tcW w:w="18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 net increased $9.4 million, in fiscal 2023 compared to fiscal 2022. The increase was primarily related to a $9.4 million increase in interest income due to rising interest rates and interest earned on investments in money market funds and marketable securities held during the year ended December 31, 2023 that were purchased in the second half of the year ended December 31,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(Benefit from) Income Taxes</w:t>
      </w:r>
      <w:r>
        <w:rPr>
          <w:rFonts w:ascii="Times New Roman" w:hAnsi="Times New Roman"/>
          <w:color w:val="000000"/>
          <w:sz w:val="20"/>
        </w:rPr>
        <w:t xml:space="preserve"> </w:t>
      </w:r>
    </w:p>
    <w:tbl>
      <w:tblPr>
        <w:tblW w:w="8746" w:type="dxa"/>
        <w:jc w:val="left"/>
        <w:tblInd w:w="0" w:type="dxa"/>
        <w:tblLayout w:type="fixed"/>
        <w:tblCellMar>
          <w:top w:w="28" w:type="dxa"/>
          <w:left w:w="28" w:type="dxa"/>
          <w:bottom w:w="28" w:type="dxa"/>
          <w:right w:w="28" w:type="dxa"/>
        </w:tblCellMar>
      </w:tblPr>
      <w:tblGrid>
        <w:gridCol w:w="3436"/>
        <w:gridCol w:w="146"/>
        <w:gridCol w:w="310"/>
        <w:gridCol w:w="840"/>
        <w:gridCol w:w="214"/>
        <w:gridCol w:w="214"/>
        <w:gridCol w:w="310"/>
        <w:gridCol w:w="619"/>
        <w:gridCol w:w="214"/>
        <w:gridCol w:w="214"/>
        <w:gridCol w:w="300"/>
        <w:gridCol w:w="601"/>
        <w:gridCol w:w="146"/>
        <w:gridCol w:w="146"/>
        <w:gridCol w:w="103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shd w:fill="FFFFFF"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5" w:type="dxa"/>
            <w:gridSpan w:val="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4"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4"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center"/>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(benefit from) income taxes increased $0.5 million, or 59%, in fiscal 2023 compared to fiscal 2022, primarily due to an increase in foreign taxes resulting from foreign deferred tax balance changes during the year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$363.5 million as of December 31, 2023. We generated positive cash flows from operating activities during the year ended December 31, 2023;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our principal sources of liquidity were cash and cash equivalents of $248.5 million and restricted cash of $0.9 million. We also had $73.9 million in marketable securities that provide additional capital resources. Additionally, a substantial source of our cash provided by operating activities is our deferred revenue, which is included on our consolidated balance sheets as a liability. Deferred revenue consists of the unearned portion of billed fees for our subscriptions, which is recorded as revenue over the term of the subscription agreement. As of December 31, 2023, we had $102.6 million of deferred revenue, all of which was recorded as a current liability. This deferred revenue will be recognized as revenue when or as the related performance obligations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periods presented: </w:t>
      </w:r>
    </w:p>
    <w:p>
      <w:pPr>
        <w:pStyle w:val="TextBody"/>
        <w:bidi w:val="0"/>
        <w:jc w:val="left"/>
        <w:rPr/>
      </w:pPr>
      <w:r>
        <w:rPr/>
        <w:t> </w:t>
      </w:r>
    </w:p>
    <w:tbl>
      <w:tblPr>
        <w:tblW w:w="6899" w:type="dxa"/>
        <w:jc w:val="left"/>
        <w:tblInd w:w="0" w:type="dxa"/>
        <w:tblLayout w:type="fixed"/>
        <w:tblCellMar>
          <w:top w:w="28" w:type="dxa"/>
          <w:left w:w="28" w:type="dxa"/>
          <w:bottom w:w="28" w:type="dxa"/>
          <w:right w:w="28" w:type="dxa"/>
        </w:tblCellMar>
      </w:tblPr>
      <w:tblGrid>
        <w:gridCol w:w="4216"/>
        <w:gridCol w:w="146"/>
        <w:gridCol w:w="211"/>
        <w:gridCol w:w="676"/>
        <w:gridCol w:w="166"/>
        <w:gridCol w:w="146"/>
        <w:gridCol w:w="211"/>
        <w:gridCol w:w="73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21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largest source of operating cash is cash collection from sales of subscriptions to our paying customers. Our primary uses of cash from operating activities are for personnel and related expenses, marketing expenses, and third-party hosting-related and software expenses. For the year ended December 31, 2023, we have generated positive cash flow from operating activities; however, in the past several years, we generated negative cash flows from operating activities and have supplemented working capital requirements through net proceeds from the sale of preferred stock and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operating activities of $25.6 million for fiscal 2023 reflects our net loss of $90.4 million, adjusted by non-cash items such as stock-based compensation expense of $88.3 million, depreciation and amortization of $5.6 million, and non-cash operating lease costs of $3.9 million as well as net cash provided by changes in our operating assets and liabilities of $18.5 million. The net cash provided by changes in operating assets and liabilities primarily consisted of collections outpacing revenue recognized as evidenced through the net increase in cash of $4.1 million from changes in accounts receivable and deferred revenue. Additionally, an increase in accrued expenses and accounts payable of $14.4 million due to timing of payments made and a decrease in prepaid expenses and other current and noncurrent assets of $5.8 million contributed to the net cash provided by operating activities. These changes were offset by an increase in deferred commissions of $1.7 million, and a $4.1 million decrease in operating lease liabilities due to payments related to our operating lease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operating activities of $5.4 million for fiscal 2022 reflects our net loss of $93.4 million, adjusted by non-cash items such as stock-based compensation expense of $67.2 million, depreciation and amortization of $4.7 million, and non-cash operating lease costs of $3.7 million as well as net cash provided by changes in our operating assets and liabilities of $12.3 million. The net cash provided by changes in operating assets and liabilities primarily consisted of a $20.7 million increase in deferred revenue, resulting from increased billings and collections for subscriptions, a net increase in accrued expenses and accounts payable of $1.7 million due to timing of payments made, and a net decrease in prepaid expenses and other current and noncurrent assets of $4.0 million. These changes were offset by an increase in deferred commissions of $8.0 million, a $2.4 million increase in accounts receivable due to higher customer billing, and a $3.6 million decrease in operating lease liabilities due to payments related to our operating lease obligations.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of $9.3 million for fiscal 2023 consisted of $12.5 million of cash received from the maturities of marketable securities, offset by $1.9 million of capitalized internal-use software development costs, and $1.3 million in purchases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of $89.4 million for fiscal 2022 consisted of $83.2 million of purchases of marketable securities, $2.2 million of capitalized internal-use software development costs, $3.6 million in purchases of property and equipment, and $0.4 million of cash paid for acquisitions, net of cash acquired.</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of $4.9 million for fiscal 2023 primarily consisted of $4.6 million in proceeds from the exercise of stock options offset by $8.9 million in net tax remittance on equity awards primarily driven by a change in tax withholding settlement method related to vesting of RSU awards from sell-to-cover to withhold-to-cover that occurred in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$5.8 million for fiscal 2022 primarily consisted of $6.9 million in proceeds from the exercise of stock options offset by $1.1 million of net cash used from sales of common stock to cover tax-related amounts that were remitted to the respective taxing jurisdictions in excess of cash received during the period. It is expected that cash received and paid for these amounts will be cash flow neutral over time. </w:t>
      </w:r>
    </w:p>
    <w:p>
      <w:pPr>
        <w:pStyle w:val="TextBody"/>
        <w:bidi w:val="0"/>
        <w:spacing w:before="36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Remaining performance obligations (“RPO”) as of December 31, 2023 and 2022, including the expected timing of recognition, is as follows: </w:t>
      </w:r>
    </w:p>
    <w:p>
      <w:pPr>
        <w:pStyle w:val="TextBody"/>
        <w:bidi w:val="0"/>
        <w:jc w:val="left"/>
        <w:rPr/>
      </w:pPr>
      <w:r>
        <w:rPr/>
        <w:t> </w:t>
      </w:r>
    </w:p>
    <w:tbl>
      <w:tblPr>
        <w:tblW w:w="7201"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103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Annual Report on Form 10-K.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7"/>
        <w:gridCol w:w="146"/>
        <w:gridCol w:w="211"/>
        <w:gridCol w:w="781"/>
        <w:gridCol w:w="146"/>
        <w:gridCol w:w="146"/>
        <w:gridCol w:w="211"/>
        <w:gridCol w:w="676"/>
        <w:gridCol w:w="146"/>
        <w:gridCol w:w="146"/>
        <w:gridCol w:w="212"/>
        <w:gridCol w:w="789"/>
        <w:gridCol w:w="146"/>
        <w:gridCol w:w="146"/>
        <w:gridCol w:w="344"/>
        <w:gridCol w:w="569"/>
        <w:gridCol w:w="146"/>
        <w:gridCol w:w="146"/>
        <w:gridCol w:w="344"/>
        <w:gridCol w:w="563"/>
        <w:gridCol w:w="394"/>
      </w:tblGrid>
      <w:tr>
        <w:trPr/>
        <w:tc>
          <w:tcPr>
            <w:tcW w:w="3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2028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797"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8" w:type="dxa"/>
            <w:gridSpan w:val="18"/>
            <w:tcBorders/>
            <w:shd w:fill="FFFFFF" w:val="cle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394" w:type="dxa"/>
            <w:tcBorders/>
            <w:shd w:fill="FFFFFF" w:val="clear"/>
            <w:vAlign w:val="center"/>
          </w:tcPr>
          <w:p>
            <w:pPr>
              <w:pStyle w:val="TableContents"/>
              <w:bidi w:val="0"/>
              <w:spacing w:before="0" w:after="283"/>
              <w:jc w:val="center"/>
              <w:rPr/>
            </w:pPr>
            <w:r>
              <w:rPr/>
              <w:t> </w:t>
            </w:r>
          </w:p>
        </w:tc>
      </w:tr>
      <w:tr>
        <w:trPr/>
        <w:tc>
          <w:tcPr>
            <w:tcW w:w="379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and real estate-related commitments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Purchase commitments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contractual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Consists of future real estate-related non-cancellable minimum rental payments under operating leases and real estate commitments with substitution rights.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Included in this commitment is a hosting arrangement with AWS. We entered into the 60-month contract in August 2021. The contract may be terminated by either party if the other party is in material breach of the contract and such breach remains uncured for 30 days. Pursuant to the terms of the contract, we are required to spend a minimum of $267 million over the five-year term of the contract. As of December 31, 2023, we had $174 million remaining on this commitment.</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are prepared in accordance with U.S. GAAP. The preparation of these financial statements requires us to make estimates and assumptions that affect the reported amounts of assets, liabilities, revenues,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critical accounting estimates, assumptions, and judgments that we believe have the most significant impact on our consolidated financial statements are described below.</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Revenue is recognized when, or as, the RPO is satisfied by transferring the control of the promised service to a customer. The amount of revenue recognized reflects the consideration that we expect to be entitled to receive in exchange for these services. We account for revenue contracts with customers by applying the requirements of ASC 606, which includes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contract, or contracts, with the customer;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of the revenue when, or as, a performance obligation is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SaaS subscription agreements with customers enable them to access and send event volume data to our cloud-based platform. Subscription arrangements with customers do not provide the customer with the right to take possession of our software at any time. Instead, customers are granted continuous access to the platform over the contractual period. A time-elapsed method is used to measure progress because our obligation is to provide continuous service over the contractual period and control is transferred evenly over the contractual period. Accordingly, the fixed consideration related to subscription revenue is recognized ratably over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term beginning on the date access to the subscription product is provisioned. The typical subscription term is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Contract Acquisition Costs (Deferred Commissions)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 sales commissions that are recoverable and incremental due to the acquisition of customer contracts. We determine whether costs should be deferred based on its sales compensation plans, if the commissions are in fact incremental and would not have occurred absent the customer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We determine the period of benefit for renewal subscription contracts by considering the contractual term for renewal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statements of operations and comprehensive loss. We periodically review these deferred commissions to determine whether events or changes in circumstances have occurred that could impact recoverability or the period of benefit. There were no impairment losses recorded during the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to our consolidated financial statements included in Part II, Item 8 of this Annual Report on Form 10-K for more information regarding 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7a_quantitative_and_qualitative_di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and marketable securities primarily consist of cash on hand and highly liquid investments in money market funds and U.S. government securities. As of December 31, 2023, we had cash and cash equivalents of $248.5 million and marketable securities, including non-current investments, of $73.9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8_financial_statements_and_supple"/>
      <w:bookmarkEnd w:id="15"/>
      <w:r>
        <w:rPr>
          <w:rFonts w:ascii="Times New Roman" w:hAnsi="Times New Roman"/>
          <w:b/>
          <w:color w:val="000000"/>
          <w:sz w:val="20"/>
        </w:rPr>
        <w:t>Item 8. Financial Statements and Supplementary Data.</w:t>
      </w:r>
    </w:p>
    <w:p>
      <w:pPr>
        <w:pStyle w:val="TextBody"/>
        <w:bidi w:val="0"/>
        <w:jc w:val="left"/>
        <w:rPr/>
      </w:pPr>
      <w:r>
        <w:rPr/>
        <w:t> </w:t>
      </w:r>
    </w:p>
    <w:tbl>
      <w:tblPr>
        <w:tblW w:w="9332" w:type="dxa"/>
        <w:jc w:val="left"/>
        <w:tblInd w:w="0" w:type="dxa"/>
        <w:tblLayout w:type="fixed"/>
        <w:tblCellMar>
          <w:top w:w="28" w:type="dxa"/>
          <w:left w:w="28" w:type="dxa"/>
          <w:bottom w:w="28" w:type="dxa"/>
          <w:right w:w="28" w:type="dxa"/>
        </w:tblCellMar>
      </w:tblPr>
      <w:tblGrid>
        <w:gridCol w:w="8536"/>
        <w:gridCol w:w="796"/>
      </w:tblGrid>
      <w:tr>
        <w:trPr/>
        <w:tc>
          <w:tcPr>
            <w:tcW w:w="85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8536" w:type="dxa"/>
            <w:tcBorders/>
            <w:vAlign w:val="center"/>
          </w:tcPr>
          <w:p>
            <w:pPr>
              <w:pStyle w:val="TableContents"/>
              <w:pBdr/>
              <w:bidi w:val="0"/>
              <w:spacing w:before="0" w:after="283"/>
              <w:ind w:left="0" w:right="0" w:hanging="240"/>
              <w:jc w:val="left"/>
              <w:rPr/>
            </w:pPr>
            <w:hyperlink w:anchor="report_of_independent_registered">
              <w:r>
                <w:rPr>
                  <w:rStyle w:val="InternetLink"/>
                  <w:rFonts w:ascii="Times New Roman" w:hAnsi="Times New Roman"/>
                  <w:color w:val="0000FF"/>
                  <w:sz w:val="20"/>
                  <w:u w:val="single"/>
                </w:rPr>
                <w:t>Report of Independent Registered Public Accounting Firm (PCAOB ID 185)</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67</w:t>
            </w:r>
          </w:p>
        </w:tc>
      </w:tr>
      <w:tr>
        <w:trPr/>
        <w:tc>
          <w:tcPr>
            <w:tcW w:w="8536" w:type="dxa"/>
            <w:tcBorders/>
            <w:vAlign w:val="center"/>
          </w:tcPr>
          <w:p>
            <w:pPr>
              <w:pStyle w:val="TableContents"/>
              <w:pBdr/>
              <w:bidi w:val="0"/>
              <w:spacing w:before="0" w:after="283"/>
              <w:ind w:left="0" w:right="0" w:hanging="240"/>
              <w:jc w:val="left"/>
              <w:rPr/>
            </w:pPr>
            <w:hyperlink w:anchor="consolidatedbalancesheets">
              <w:r>
                <w:rPr>
                  <w:rStyle w:val="InternetLink"/>
                  <w:rFonts w:ascii="Times New Roman" w:hAnsi="Times New Roman"/>
                  <w:color w:val="0000FF"/>
                  <w:sz w:val="20"/>
                  <w:u w:val="single"/>
                </w:rPr>
                <w:t>Consolidated Balance Sheets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69</w:t>
            </w:r>
          </w:p>
        </w:tc>
      </w:tr>
      <w:tr>
        <w:trPr/>
        <w:tc>
          <w:tcPr>
            <w:tcW w:w="8536" w:type="dxa"/>
            <w:tcBorders/>
            <w:vAlign w:val="center"/>
          </w:tcPr>
          <w:p>
            <w:pPr>
              <w:pStyle w:val="TableContents"/>
              <w:pBdr/>
              <w:bidi w:val="0"/>
              <w:spacing w:before="0" w:after="283"/>
              <w:ind w:left="0" w:right="0" w:hanging="240"/>
              <w:jc w:val="left"/>
              <w:rPr/>
            </w:pPr>
            <w:hyperlink w:anchor="consolidatedstatementsofoperations">
              <w:r>
                <w:rPr>
                  <w:rStyle w:val="InternetLink"/>
                  <w:rFonts w:ascii="Times New Roman" w:hAnsi="Times New Roman"/>
                  <w:color w:val="0000FF"/>
                  <w:sz w:val="20"/>
                  <w:u w:val="single"/>
                </w:rPr>
                <w:t>Consolidated Statements of Operations and Comprehensive Loss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70</w:t>
            </w:r>
          </w:p>
        </w:tc>
      </w:tr>
      <w:tr>
        <w:trPr/>
        <w:tc>
          <w:tcPr>
            <w:tcW w:w="8536" w:type="dxa"/>
            <w:tcBorders/>
            <w:vAlign w:val="center"/>
          </w:tcPr>
          <w:p>
            <w:pPr>
              <w:pStyle w:val="TableContents"/>
              <w:pBdr/>
              <w:bidi w:val="0"/>
              <w:spacing w:before="0" w:after="283"/>
              <w:ind w:left="0" w:right="0" w:hanging="240"/>
              <w:jc w:val="left"/>
              <w:rPr/>
            </w:pPr>
            <w:hyperlink w:anchor="consolidatedstatementsofequity">
              <w:r>
                <w:rPr>
                  <w:rStyle w:val="InternetLink"/>
                  <w:rFonts w:ascii="Times New Roman" w:hAnsi="Times New Roman"/>
                  <w:color w:val="0000FF"/>
                  <w:sz w:val="20"/>
                  <w:u w:val="single"/>
                </w:rPr>
                <w:t>Consolidated Statements of Redeemable Convertible Preferred Stock and Stockholders’ Equity (Deficit</w:t>
              </w:r>
            </w:hyperlink>
            <w:r>
              <w:rPr>
                <w:rFonts w:ascii="Times New Roman" w:hAnsi="Times New Roman"/>
                <w:color w:val="000000"/>
                <w:sz w:val="20"/>
              </w:rPr>
              <w:t>)</w:t>
            </w:r>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71</w:t>
            </w:r>
          </w:p>
        </w:tc>
      </w:tr>
      <w:tr>
        <w:trPr/>
        <w:tc>
          <w:tcPr>
            <w:tcW w:w="8536" w:type="dxa"/>
            <w:tcBorders/>
            <w:vAlign w:val="center"/>
          </w:tcPr>
          <w:p>
            <w:pPr>
              <w:pStyle w:val="TableContents"/>
              <w:pBdr/>
              <w:bidi w:val="0"/>
              <w:spacing w:before="0" w:after="283"/>
              <w:ind w:left="0" w:right="0" w:hanging="240"/>
              <w:jc w:val="left"/>
              <w:rPr/>
            </w:pPr>
            <w:hyperlink w:anchor="consolidatedstatementsofcashflows">
              <w:r>
                <w:rPr>
                  <w:rStyle w:val="InternetLink"/>
                  <w:rFonts w:ascii="Times New Roman" w:hAnsi="Times New Roman"/>
                  <w:color w:val="0000FF"/>
                  <w:sz w:val="20"/>
                  <w:u w:val="single"/>
                </w:rPr>
                <w:t>Consolidated Statements of Cash Flows</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72</w:t>
            </w:r>
          </w:p>
        </w:tc>
      </w:tr>
      <w:tr>
        <w:trPr/>
        <w:tc>
          <w:tcPr>
            <w:tcW w:w="8536" w:type="dxa"/>
            <w:tcBorders/>
            <w:vAlign w:val="center"/>
          </w:tcPr>
          <w:p>
            <w:pPr>
              <w:pStyle w:val="TableContents"/>
              <w:pBdr/>
              <w:bidi w:val="0"/>
              <w:spacing w:before="0" w:after="283"/>
              <w:ind w:left="0" w:right="0" w:hanging="240"/>
              <w:jc w:val="left"/>
              <w:rPr/>
            </w:pPr>
            <w:hyperlink w:anchor="notestotheconsolidatedfinancial">
              <w:r>
                <w:rPr>
                  <w:rStyle w:val="InternetLink"/>
                  <w:rFonts w:ascii="Times New Roman" w:hAnsi="Times New Roman"/>
                  <w:color w:val="0000FF"/>
                  <w:sz w:val="20"/>
                  <w:u w:val="single"/>
                </w:rPr>
                <w:t>Notes to Consolidated Financial Statements</w:t>
              </w:r>
            </w:hyperlink>
          </w:p>
        </w:tc>
        <w:tc>
          <w:tcPr>
            <w:tcW w:w="79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report_of_independent_registered"/>
      <w:bookmarkEnd w:id="16"/>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br/>
        <w:t>Amplitude, Inc.:</w:t>
      </w:r>
    </w:p>
    <w:p>
      <w:pPr>
        <w:pStyle w:val="TextBody"/>
        <w:bidi w:val="0"/>
        <w:spacing w:before="360" w:after="283"/>
        <w:jc w:val="left"/>
        <w:rPr>
          <w:rFonts w:ascii="Times New Roman" w:hAnsi="Times New Roman"/>
          <w:sz w:val="20"/>
        </w:rPr>
      </w:pPr>
      <w:r>
        <w:rPr>
          <w:rFonts w:ascii="Times New Roman" w:hAnsi="Times New Roman"/>
          <w:i/>
          <w:color w:val="000000"/>
          <w:sz w:val="20"/>
        </w:rPr>
        <w:t>Opinions on the Consolidated Financial Statements and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Amplitude, Inc. and subsidiaries (the Company) as of December 31, 2023 and 2022, the related consolidated statements of operations and comprehensive loss, redeemable convertible preferred stock and stockholders’ equity (deficit),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arrangements with non-standard terms and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 to the consolidated financial statements, the Company generates revenue from Software as a Service (SaaS) subscriptions to customers. Most customer contracts are subject to standard terms and conditions; however, certain contracts contain nonstandard terms that may impact the timing of revenue recognition. For the year ended December 31, 2023, the Company’s revenue was $276.3 million, which included revenue related to sales of SaaS subscription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evaluation of revenue from SaaS subscription arrangements with non-standard terms and conditions as a critical audit matter. Significant auditor judgment was required to evaluate the Company’s assessment of the impact on revenue recognition of certain terms and conditions that are unique to certain contracts. Specifically, complex auditor judgment was required to evaluate the Company’s determination of the timing of revenue recognition for SaaS subscription arrangements with non-standard terms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evaluated the design and tested the operating effectiveness of certain internal controls related to the Company’s revenue recognition process, including controls related to the assessment of contractual terms that impact the determination of the timing of SaaS subscription revenue recognition. We selected a sample of SaaS subscription revenue transactions and evaluated the Company’s identification and assessment of the terms and conditions impacting revenue recognition by reading the underlying contracts and accounting analysis to evaluate whether management’s analysis determined the appropriate timing of revenue recognition.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 KPMG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Santa Clara, California</w:t>
        <w:br/>
        <w:t>February 20,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condensed_consolidated_balance_sheets"/>
      <w:bookmarkStart w:id="18" w:name="consolidatedbalancesheets"/>
      <w:bookmarkEnd w:id="17"/>
      <w:bookmarkEnd w:id="1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8890" w:type="dxa"/>
        <w:jc w:val="left"/>
        <w:tblInd w:w="0" w:type="dxa"/>
        <w:tblLayout w:type="fixed"/>
        <w:tblCellMar>
          <w:top w:w="28" w:type="dxa"/>
          <w:left w:w="28" w:type="dxa"/>
          <w:bottom w:w="28" w:type="dxa"/>
          <w:right w:w="28" w:type="dxa"/>
        </w:tblCellMar>
      </w:tblPr>
      <w:tblGrid>
        <w:gridCol w:w="5451"/>
        <w:gridCol w:w="146"/>
        <w:gridCol w:w="245"/>
        <w:gridCol w:w="940"/>
        <w:gridCol w:w="166"/>
        <w:gridCol w:w="146"/>
        <w:gridCol w:w="245"/>
        <w:gridCol w:w="940"/>
        <w:gridCol w:w="611"/>
      </w:tblGrid>
      <w:tr>
        <w:trPr/>
        <w:tc>
          <w:tcPr>
            <w:tcW w:w="5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 xml:space="preserve">December 31, </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 xml:space="preserve">December 31, </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54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248,491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218,494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 current</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 net of allowance for doubtful accounts of $1,101</w:t>
              <w:br/>
              <w:t>   and $690</w:t>
            </w:r>
            <w:r>
              <w:rPr>
                <w:rFonts w:ascii="Times New Roman" w:hAnsi="Times New Roman"/>
                <w:color w:val="000000"/>
                <w:sz w:val="20"/>
              </w:rPr>
              <w:t> </w:t>
            </w:r>
            <w:r>
              <w:rPr>
                <w:rFonts w:ascii="Times New Roman" w:hAnsi="Times New Roman"/>
                <w:color w:val="000000"/>
                <w:sz w:val="18"/>
              </w:rPr>
              <w:t>as of December 31, 2023 and 2022, respectively</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commissions, current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284,434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 noncurrent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71,217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Restricted cash, noncurrent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commissions, noncurrent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413,755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4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109,182</w:t>
            </w:r>
          </w:p>
        </w:tc>
        <w:tc>
          <w:tcPr>
            <w:tcW w:w="611" w:type="dxa"/>
            <w:tcBorders/>
            <w:shd w:fill="CFF0FC" w:val="clear"/>
            <w:vAlign w:val="center"/>
          </w:tcPr>
          <w:p>
            <w:pPr>
              <w:pStyle w:val="TableContents"/>
              <w:bidi w:val="0"/>
              <w:spacing w:before="0" w:after="283"/>
              <w:jc w:val="left"/>
              <w:rPr/>
            </w:pPr>
            <w:r>
              <w:rPr/>
              <w:t> </w:t>
            </w:r>
          </w:p>
        </w:tc>
      </w:tr>
      <w:tr>
        <w:trPr/>
        <w:tc>
          <w:tcPr>
            <w:tcW w:w="54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7,093</w:t>
            </w:r>
          </w:p>
        </w:tc>
        <w:tc>
          <w:tcPr>
            <w:tcW w:w="611" w:type="dxa"/>
            <w:tcBorders/>
            <w:shd w:fill="FFFFFF" w:val="clear"/>
            <w:vAlign w:val="center"/>
          </w:tcPr>
          <w:p>
            <w:pPr>
              <w:pStyle w:val="TableContents"/>
              <w:bidi w:val="0"/>
              <w:spacing w:before="0" w:after="283"/>
              <w:jc w:val="left"/>
              <w:rPr/>
            </w:pPr>
            <w:r>
              <w:rPr/>
              <w:t> </w:t>
            </w:r>
          </w:p>
        </w:tc>
      </w:tr>
      <w:tr>
        <w:trPr/>
        <w:tc>
          <w:tcPr>
            <w:tcW w:w="54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54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per share; 20,000</w:t>
            </w:r>
            <w:r>
              <w:rPr>
                <w:rFonts w:ascii="Times New Roman" w:hAnsi="Times New Roman"/>
                <w:color w:val="000000"/>
                <w:sz w:val="20"/>
              </w:rPr>
              <w:t> </w:t>
            </w:r>
            <w:r>
              <w:rPr>
                <w:rFonts w:ascii="Times New Roman" w:hAnsi="Times New Roman"/>
                <w:color w:val="000000"/>
                <w:sz w:val="18"/>
              </w:rPr>
              <w:t xml:space="preserve">shares authorized </w:t>
              <w:br/>
              <w:t>   as of December 31, 2023 and 2022; zero</w:t>
            </w:r>
            <w:r>
              <w:rPr>
                <w:rFonts w:ascii="Times New Roman" w:hAnsi="Times New Roman"/>
                <w:color w:val="000000"/>
                <w:sz w:val="20"/>
              </w:rPr>
              <w:t> </w:t>
            </w:r>
            <w:r>
              <w:rPr>
                <w:rFonts w:ascii="Times New Roman" w:hAnsi="Times New Roman"/>
                <w:color w:val="000000"/>
                <w:sz w:val="18"/>
              </w:rPr>
              <w:t xml:space="preserve">shares issued and </w:t>
              <w:br/>
              <w:t>   outstanding as of December 31, 2023 and 2022</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45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Class A common stock, $0.00001</w:t>
            </w:r>
            <w:r>
              <w:rPr>
                <w:rFonts w:ascii="Times New Roman" w:hAnsi="Times New Roman"/>
                <w:color w:val="000000"/>
                <w:sz w:val="20"/>
              </w:rPr>
              <w:t> </w:t>
            </w:r>
            <w:r>
              <w:rPr>
                <w:rFonts w:ascii="Times New Roman" w:hAnsi="Times New Roman"/>
                <w:color w:val="000000"/>
                <w:sz w:val="18"/>
              </w:rPr>
              <w:t>par value per share; 600,000</w:t>
            </w:r>
            <w:r>
              <w:rPr>
                <w:rFonts w:ascii="Times New Roman" w:hAnsi="Times New Roman"/>
                <w:color w:val="000000"/>
                <w:sz w:val="20"/>
              </w:rPr>
              <w:t> </w:t>
            </w:r>
            <w:r>
              <w:rPr>
                <w:rFonts w:ascii="Times New Roman" w:hAnsi="Times New Roman"/>
                <w:color w:val="000000"/>
                <w:sz w:val="18"/>
              </w:rPr>
              <w:t xml:space="preserve">shares </w:t>
              <w:br/>
              <w:t xml:space="preserve">   authorized as of December 31, 2023 and 2022; </w:t>
              <w:br/>
              <w:t>   85,628</w:t>
            </w:r>
            <w:r>
              <w:rPr>
                <w:rFonts w:ascii="Times New Roman" w:hAnsi="Times New Roman"/>
                <w:color w:val="000000"/>
                <w:sz w:val="20"/>
              </w:rPr>
              <w:t> </w:t>
            </w:r>
            <w:r>
              <w:rPr>
                <w:rFonts w:ascii="Times New Roman" w:hAnsi="Times New Roman"/>
                <w:color w:val="000000"/>
                <w:sz w:val="18"/>
              </w:rPr>
              <w:t>and 76,351</w:t>
            </w:r>
            <w:r>
              <w:rPr>
                <w:rFonts w:ascii="Times New Roman" w:hAnsi="Times New Roman"/>
                <w:color w:val="000000"/>
                <w:sz w:val="20"/>
              </w:rPr>
              <w:t> </w:t>
            </w:r>
            <w:r>
              <w:rPr>
                <w:rFonts w:ascii="Times New Roman" w:hAnsi="Times New Roman"/>
                <w:color w:val="000000"/>
                <w:sz w:val="18"/>
              </w:rPr>
              <w:t xml:space="preserve">shares issued and outstanding as of </w:t>
              <w:br/>
              <w:t>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45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Class B common stock, $0.00001</w:t>
            </w:r>
            <w:r>
              <w:rPr>
                <w:rFonts w:ascii="Times New Roman" w:hAnsi="Times New Roman"/>
                <w:color w:val="000000"/>
                <w:sz w:val="20"/>
              </w:rPr>
              <w:t> </w:t>
            </w:r>
            <w:r>
              <w:rPr>
                <w:rFonts w:ascii="Times New Roman" w:hAnsi="Times New Roman"/>
                <w:color w:val="000000"/>
                <w:sz w:val="18"/>
              </w:rPr>
              <w:t>par value per share; 600,000</w:t>
              <w:br/>
              <w:t>   shares authorized as of December 31, 2023 and 2022; 34,382</w:t>
              <w:br/>
              <w:t>   and 37,848</w:t>
            </w:r>
            <w:r>
              <w:rPr>
                <w:rFonts w:ascii="Times New Roman" w:hAnsi="Times New Roman"/>
                <w:color w:val="000000"/>
                <w:sz w:val="20"/>
              </w:rPr>
              <w:t> </w:t>
            </w:r>
            <w:r>
              <w:rPr>
                <w:rFonts w:ascii="Times New Roman" w:hAnsi="Times New Roman"/>
                <w:color w:val="000000"/>
                <w:sz w:val="18"/>
              </w:rPr>
              <w:t xml:space="preserve">shares issued and outstanding as of </w:t>
              <w:br/>
              <w:t>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4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568,889</w:t>
            </w:r>
          </w:p>
        </w:tc>
        <w:tc>
          <w:tcPr>
            <w:tcW w:w="611" w:type="dxa"/>
            <w:tcBorders/>
            <w:shd w:fill="FFFFFF" w:val="clear"/>
            <w:vAlign w:val="center"/>
          </w:tcPr>
          <w:p>
            <w:pPr>
              <w:pStyle w:val="TableContents"/>
              <w:bidi w:val="0"/>
              <w:spacing w:before="0" w:after="283"/>
              <w:jc w:val="left"/>
              <w:rPr/>
            </w:pPr>
            <w:r>
              <w:rPr/>
              <w:t> </w:t>
            </w:r>
          </w:p>
        </w:tc>
      </w:tr>
      <w:tr>
        <w:trPr/>
        <w:tc>
          <w:tcPr>
            <w:tcW w:w="54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vAlign w:val="center"/>
          </w:tcPr>
          <w:p>
            <w:pPr>
              <w:pStyle w:val="TableContents"/>
              <w:bidi w:val="0"/>
              <w:spacing w:before="0" w:after="283"/>
              <w:jc w:val="center"/>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413,755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fin143868_3"/>
      <w:bookmarkEnd w:id="19"/>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0" w:name="consolidatedstatementsofoperations"/>
      <w:bookmarkEnd w:id="20"/>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78"/>
        <w:gridCol w:w="256"/>
        <w:gridCol w:w="947"/>
        <w:gridCol w:w="166"/>
        <w:gridCol w:w="146"/>
        <w:gridCol w:w="256"/>
        <w:gridCol w:w="947"/>
        <w:gridCol w:w="166"/>
        <w:gridCol w:w="146"/>
        <w:gridCol w:w="256"/>
        <w:gridCol w:w="947"/>
        <w:gridCol w:w="594"/>
      </w:tblGrid>
      <w:tr>
        <w:trPr/>
        <w:tc>
          <w:tcPr>
            <w:tcW w:w="53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5378" w:type="dxa"/>
            <w:tcBorders/>
            <w:shd w:fill="FFFFFF" w:val="cle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8" w:type="dxa"/>
            <w:tcBorders/>
            <w:shd w:fill="FFFFFF" w:val="cle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8"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53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167,261</w:t>
            </w:r>
          </w:p>
        </w:tc>
        <w:tc>
          <w:tcPr>
            <w:tcW w:w="594" w:type="dxa"/>
            <w:tcBorders/>
            <w:shd w:fill="CFF0FC" w:val="clear"/>
            <w:vAlign w:val="center"/>
          </w:tcPr>
          <w:p>
            <w:pPr>
              <w:pStyle w:val="TableContents"/>
              <w:bidi w:val="0"/>
              <w:spacing w:before="0" w:after="283"/>
              <w:jc w:val="left"/>
              <w:rPr/>
            </w:pPr>
            <w:r>
              <w:rPr/>
              <w:t> </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53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48,251</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53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25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53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53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189,646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(73,954</w:t>
            </w:r>
          </w:p>
        </w:tc>
        <w:tc>
          <w:tcPr>
            <w:tcW w:w="5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53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w:t>
              <w:br/>
              <w:t>   Class A and Class B common stockholders:</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53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8" w:type="dxa"/>
            <w:tcBorders/>
            <w:shd w:fill="FFFFFF" w:val="clear"/>
            <w:vAlign w:val="center"/>
          </w:tcPr>
          <w:p>
            <w:pPr>
              <w:pStyle w:val="TableContents"/>
              <w:bidi w:val="0"/>
              <w:spacing w:before="0" w:after="283"/>
              <w:ind w:left="400" w:right="0" w:firstLine="400"/>
              <w:jc w:val="left"/>
              <w:rPr/>
            </w:pPr>
            <w:r>
              <w:rPr/>
              <w:t> </w:t>
            </w:r>
          </w:p>
        </w:tc>
        <w:tc>
          <w:tcPr>
            <w:tcW w:w="120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5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03"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53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unrealized gains (losses) on marketable securities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7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statementsofequity"/>
      <w:bookmarkEnd w:id="21"/>
      <w:r>
        <w:rPr>
          <w:rFonts w:ascii="Times New Roman" w:hAnsi="Times New Roman"/>
          <w:b/>
          <w:color w:val="000000"/>
          <w:sz w:val="20"/>
        </w:rPr>
        <w:t>Consolidated Statements of Redeemable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1059" w:type="dxa"/>
        <w:jc w:val="left"/>
        <w:tblInd w:w="0" w:type="dxa"/>
        <w:tblLayout w:type="fixed"/>
        <w:tblCellMar>
          <w:top w:w="28" w:type="dxa"/>
          <w:left w:w="28" w:type="dxa"/>
          <w:bottom w:w="28" w:type="dxa"/>
          <w:right w:w="28" w:type="dxa"/>
        </w:tblCellMar>
      </w:tblPr>
      <w:tblGrid>
        <w:gridCol w:w="991"/>
        <w:gridCol w:w="146"/>
        <w:gridCol w:w="146"/>
        <w:gridCol w:w="556"/>
        <w:gridCol w:w="151"/>
        <w:gridCol w:w="146"/>
        <w:gridCol w:w="241"/>
        <w:gridCol w:w="146"/>
        <w:gridCol w:w="631"/>
        <w:gridCol w:w="151"/>
        <w:gridCol w:w="146"/>
        <w:gridCol w:w="146"/>
        <w:gridCol w:w="586"/>
        <w:gridCol w:w="151"/>
        <w:gridCol w:w="146"/>
        <w:gridCol w:w="241"/>
        <w:gridCol w:w="179"/>
        <w:gridCol w:w="392"/>
        <w:gridCol w:w="146"/>
        <w:gridCol w:w="146"/>
        <w:gridCol w:w="241"/>
        <w:gridCol w:w="149"/>
        <w:gridCol w:w="602"/>
        <w:gridCol w:w="151"/>
        <w:gridCol w:w="146"/>
        <w:gridCol w:w="181"/>
        <w:gridCol w:w="277"/>
        <w:gridCol w:w="714"/>
        <w:gridCol w:w="151"/>
        <w:gridCol w:w="146"/>
        <w:gridCol w:w="241"/>
        <w:gridCol w:w="163"/>
        <w:gridCol w:w="708"/>
        <w:gridCol w:w="151"/>
        <w:gridCol w:w="146"/>
        <w:gridCol w:w="241"/>
        <w:gridCol w:w="173"/>
        <w:gridCol w:w="698"/>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187,811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(104,824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(67,120</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34,773</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16,982</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connection</w:t>
              <w:br/>
              <w:t>   with an acquisition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7,402</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redeemable convertible</w:t>
              <w:br/>
              <w:t>   preferred stock, net of issuance</w:t>
              <w:br/>
              <w:t>   costs of $198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199,802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redeemable convertible</w:t>
              <w:br/>
              <w:t>   preferred stock to common stock upon</w:t>
              <w:br/>
              <w:t>   Direct Listing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(387,613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387,612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387,613</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1,881</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486,354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(179,807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306,548</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68,576</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6,899</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2,323</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4,738</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unvested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Cumulative impact of Topic 842 adoption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(93,377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(93,377</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568,889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(273,167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294,969</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90,022</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4,619</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4,062</w:t>
            </w:r>
          </w:p>
        </w:tc>
        <w:tc>
          <w:tcPr>
            <w:tcW w:w="196" w:type="dxa"/>
            <w:tcBorders/>
            <w:shd w:fill="CFF0FC" w:val="cle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net share settlement</w:t>
              <w:br/>
              <w: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(9,844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(9,844</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unvested stock options</w:t>
            </w:r>
          </w:p>
        </w:tc>
        <w:tc>
          <w:tcPr>
            <w:tcW w:w="146" w:type="dxa"/>
            <w:tcBorders/>
            <w:shd w:fill="CFF0FC" w:val="clear"/>
            <w:vAlign w:val="center"/>
          </w:tcPr>
          <w:p>
            <w:pPr>
              <w:pStyle w:val="TableContents"/>
              <w:bidi w:val="0"/>
              <w:spacing w:before="0" w:after="283"/>
              <w:jc w:val="left"/>
              <w:rPr/>
            </w:pPr>
            <w:r>
              <w:rPr/>
              <w:t> </w:t>
            </w:r>
          </w:p>
        </w:tc>
        <w:tc>
          <w:tcPr>
            <w:tcW w:w="7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(90,363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(90,363</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658,463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(363,530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294,753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fin143868_5"/>
      <w:bookmarkEnd w:id="22"/>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3" w:name="consolidatedstatementsofcashflows"/>
      <w:bookmarkEnd w:id="2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72"/>
        <w:gridCol w:w="146"/>
        <w:gridCol w:w="242"/>
        <w:gridCol w:w="898"/>
        <w:gridCol w:w="166"/>
        <w:gridCol w:w="146"/>
        <w:gridCol w:w="242"/>
        <w:gridCol w:w="898"/>
        <w:gridCol w:w="166"/>
        <w:gridCol w:w="146"/>
        <w:gridCol w:w="233"/>
        <w:gridCol w:w="934"/>
        <w:gridCol w:w="1016"/>
      </w:tblGrid>
      <w:tr>
        <w:trPr/>
        <w:tc>
          <w:tcPr>
            <w:tcW w:w="4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49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49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34,394</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49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49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color w:val="000000"/>
              </w:rPr>
            </w:pPr>
            <w:r>
              <w:rPr>
                <w:color w:val="000000"/>
              </w:rPr>
              <w:t>—</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49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600"/>
              <w:jc w:val="right"/>
              <w:rPr/>
            </w:pPr>
            <w:r>
              <w:rPr/>
              <w:t> </w:t>
            </w:r>
          </w:p>
        </w:tc>
      </w:tr>
      <w:tr>
        <w:trPr/>
        <w:tc>
          <w:tcPr>
            <w:tcW w:w="49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(12,222</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commissions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016" w:type="dxa"/>
            <w:tcBorders/>
            <w:shd w:fill="FFFFFF" w:val="clear"/>
            <w:vAlign w:val="center"/>
          </w:tcPr>
          <w:p>
            <w:pPr>
              <w:pStyle w:val="TableContents"/>
              <w:bidi w:val="0"/>
              <w:spacing w:before="0" w:after="283"/>
              <w:ind w:left="0" w:right="0" w:firstLine="600"/>
              <w:jc w:val="left"/>
              <w:rPr/>
            </w:pPr>
            <w:r>
              <w:rPr/>
              <w:t> </w:t>
            </w:r>
          </w:p>
        </w:tc>
      </w:tr>
      <w:tr>
        <w:trPr/>
        <w:tc>
          <w:tcPr>
            <w:tcW w:w="49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28,470</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49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97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from 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color w:val="000000"/>
              </w:rPr>
            </w:pPr>
            <w:r>
              <w:rPr>
                <w:color w:val="000000"/>
              </w:rPr>
              <w:t>—</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0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acquisitions, net of cash acquired</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97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21,783</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issuance of redeemable convertible preferred stock, net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199,802</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for tax withholding obligations on equity</w:t>
              <w:br/>
              <w:t>   award settlements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145,481</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tax withholding obligations on equity award settlements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(144,420</w:t>
            </w:r>
          </w:p>
        </w:tc>
        <w:tc>
          <w:tcPr>
            <w:tcW w:w="10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 of unvested stock options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97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222,643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97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189,432</w:t>
            </w:r>
          </w:p>
        </w:tc>
        <w:tc>
          <w:tcPr>
            <w:tcW w:w="1016" w:type="dxa"/>
            <w:tcBorders/>
            <w:shd w:fill="FFFFFF" w:val="clear"/>
            <w:vAlign w:val="center"/>
          </w:tcPr>
          <w:p>
            <w:pPr>
              <w:pStyle w:val="TableContents"/>
              <w:bidi w:val="0"/>
              <w:spacing w:before="0" w:after="283"/>
              <w:jc w:val="left"/>
              <w:rPr/>
            </w:pPr>
            <w:r>
              <w:rPr/>
              <w:t> </w:t>
            </w:r>
          </w:p>
        </w:tc>
      </w:tr>
      <w:tr>
        <w:trPr/>
        <w:tc>
          <w:tcPr>
            <w:tcW w:w="49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118,863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308,295</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016" w:type="dxa"/>
            <w:tcBorders/>
            <w:shd w:fill="FFFFFF" w:val="clear"/>
            <w:vAlign w:val="center"/>
          </w:tcPr>
          <w:p>
            <w:pPr>
              <w:pStyle w:val="TableContents"/>
              <w:bidi w:val="0"/>
              <w:spacing w:before="0" w:after="283"/>
              <w:jc w:val="left"/>
              <w:rPr/>
            </w:pPr>
            <w:r>
              <w:rPr/>
              <w:t> </w:t>
            </w:r>
          </w:p>
        </w:tc>
      </w:tr>
      <w:tr>
        <w:trPr/>
        <w:tc>
          <w:tcPr>
            <w:tcW w:w="49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Vesting of early exercised options</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49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 included in liabilities</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color w:val="000000"/>
              </w:rPr>
            </w:pPr>
            <w:r>
              <w:rPr>
                <w:color w:val="000000"/>
              </w:rPr>
              <w:t>—</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49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capitalized as internal-use software costs</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0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4" w:name="notestotheconsolidatedfinancial"/>
      <w:bookmarkEnd w:id="24"/>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Summary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Amplitude, Inc. (the “Company”) was incorporated in the state of Delaware in 2011 and is headquartered in San Francisco, California. The Company provides a Digital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the Disaggregation of Revenue section below.</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reporting currency of the Company is the United States dollar. The functional currency of the Company’s foreign subsidiaries is also the United States dollar. Foreign currency transaction gains and losses are recognized in “Other income (expense), net” in the consolidated statements of operations and comprehensive loss, and have not been material for any of the periods presented.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Direct 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21, 2021, the Company’s registration statement (the “Registration Statement”) related to the direct listing of the Company's Class A common stock on the Nasdaq Capital Market (the “Direct Listing”) was declared effective by the SEC, and on September 28, 2021, the Company’s Class A common stock commenced trading. The Company incurred fees related to financial advisory service, audit, and legal expenses in connection with the Direct Listing and recorded general and administrative expenses of $18.2 million for the year ended December 31,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Direct Listing, on August 30, 2021, an amended and restated certificate of incorporation of the Company was filed with the Secretary of State of the State of Delaware, which resulted in the creation of Class A common stock and Class B common stock. All existing shares of common stock issued and outstanding were reclassified into shares of Class B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effectiveness of the Registration Statement, all 68.0 million outstanding shares of redeemable convertible preferred stock were converted into an equivalent number of shares of Class B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period of benefit for deferred commissions;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of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of goodwill and intangible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measurement, and valuation of deferred tax assets and income tax uncertainties;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borrowing rates used for operating leases.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primarily from sales of subscription services. Revenue is recognized when, or as, the related performance obligation is satisfied by transferring the control of the promised service to a customer. The amount of revenue recognized reflects the consideration that the Company expects to be entitled to receive in exchange for these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achieve the core principle of the revenue standard, the Company applies the following steps: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Identification of the contract, or contracts, with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the terms and conditions of the contract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Identification of the performance obligations in the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whereby the transfer of the services and the products is separately identifiable from other promises in the contract. The Company’s performance obligations consist of (1) core subscription services and (2) professional and other services.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Determination of the transaction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transaction price is determined based on the consideration to which the Company expects to be entitled in exchange for transferring services to the customer. The transaction price includes SaaS subscription fees based on the contracted usage as well as variable consideration associated with overage fees on exceeded volume limits.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(iv)</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Allocation of the transaction price to the performance obligations in the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Contracts that contain multiple performance obligations require an allocation of the transaction price to each performance obligation based on each performance obligation’s relative standalone selling price. Contracts typically have one performance obligation of providing access to the core subscription service. On occasion, contracts include professional services to customers, which are separate performance obligations. Professional services revenue has historically not been significant.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Recognition of the revenue when, or as, a performance obligation is satisfied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at the time the related performance obligation is satisfied by transferring the control of the promised service to a customer. For subscription services, revenue is recognized as the customer is given access to the core subscription service, in an amount that reflects the consideration that the Company expects to receive in exchange for access to the services. With respect to professional services, the Company recognizes revenue as services are delivered. The Company generates all its revenue from contracts with customers. </w:t>
      </w:r>
    </w:p>
    <w:p>
      <w:pPr>
        <w:pStyle w:val="TextBody"/>
        <w:bidi w:val="0"/>
        <w:spacing w:before="360" w:after="283"/>
        <w:jc w:val="left"/>
        <w:rPr>
          <w:rFonts w:ascii="Times New Roman" w:hAnsi="Times New Roman"/>
          <w:sz w:val="20"/>
        </w:rPr>
      </w:pPr>
      <w:r>
        <w:rPr>
          <w:rFonts w:ascii="Times New Roman" w:hAnsi="Times New Roman"/>
          <w:i/>
          <w:color w:val="000000"/>
          <w:sz w:val="20"/>
        </w:rPr>
        <w:t>Subscription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revenue from subscription services including SaaS subscriptions and customer support services subject to contractual subscription terms. SaaS subscriptions enable customers to access and send event volume data to the Company’s cloud-based platform. Subscription arrangements with customers do not provide the customer with the right to take possession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Company’s software at any time. Instead, customers are granted continuous access to the platform over the contractual period. A time-elapsed method is used to measure progress because the Company’s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The typical subscription term is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 </w:t>
      </w:r>
    </w:p>
    <w:p>
      <w:pPr>
        <w:pStyle w:val="TextBody"/>
        <w:bidi w:val="0"/>
        <w:spacing w:before="360" w:after="283"/>
        <w:jc w:val="left"/>
        <w:rPr>
          <w:rFonts w:ascii="Times New Roman" w:hAnsi="Times New Roman"/>
          <w:sz w:val="20"/>
        </w:rPr>
      </w:pPr>
      <w:r>
        <w:rPr>
          <w:rFonts w:ascii="Times New Roman" w:hAnsi="Times New Roman"/>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contracts with customers generally include one combined performance obligation, its core subscription offering, which is a series of distinct services transferred to the customer ratably over the respective obligation’s term. Other performance obligations that may be identified in contracts include professional services. As of December 31, 2023, the unrecognized transaction price related to remaining performance obligations was $239.4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remaining performance obligations as of December 31, 2023 are expected to be recognized as follows (in thousands): </w:t>
      </w:r>
    </w:p>
    <w:p>
      <w:pPr>
        <w:pStyle w:val="TextBody"/>
        <w:bidi w:val="0"/>
        <w:jc w:val="left"/>
        <w:rPr/>
      </w:pPr>
      <w:r>
        <w:rPr/>
        <w:t> </w:t>
      </w:r>
    </w:p>
    <w:tbl>
      <w:tblPr>
        <w:tblW w:w="6064"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190,595</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shows the Company’s disaggregation of revenue by geographic areas, as determined based on the address of the Company's customers (in thousands): </w:t>
      </w:r>
    </w:p>
    <w:p>
      <w:pPr>
        <w:pStyle w:val="TextBody"/>
        <w:bidi w:val="0"/>
        <w:jc w:val="left"/>
        <w:rPr/>
      </w:pPr>
      <w:r>
        <w:rPr/>
        <w:t> </w:t>
      </w:r>
    </w:p>
    <w:tbl>
      <w:tblPr>
        <w:tblW w:w="5143" w:type="dxa"/>
        <w:jc w:val="left"/>
        <w:tblInd w:w="0" w:type="dxa"/>
        <w:tblLayout w:type="fixed"/>
        <w:tblCellMar>
          <w:top w:w="28" w:type="dxa"/>
          <w:left w:w="28" w:type="dxa"/>
          <w:bottom w:w="28" w:type="dxa"/>
          <w:right w:w="28" w:type="dxa"/>
        </w:tblCellMar>
      </w:tblPr>
      <w:tblGrid>
        <w:gridCol w:w="1246"/>
        <w:gridCol w:w="146"/>
        <w:gridCol w:w="211"/>
        <w:gridCol w:w="781"/>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shd w:fill="FFFFFF" w:val="cle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107,244</w:t>
            </w:r>
          </w:p>
        </w:tc>
        <w:tc>
          <w:tcPr>
            <w:tcW w:w="19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Accounts Receivable,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primarily comprised of cash due from customers and are recorded at the invoiced amount, net of an allowance for doubtful accounts. The Company has a well-established collections history from its customers. Credit is extended to customers based on an evaluation of their financial condition and other factors. In determining the necessary allowance for doubtful accounts, the Company estimates the lifetime expected credit losses against the existing accounts receivable balance. The Company's estimate is based on certain factors including historical loss rates, current economic conditions, reasonable and supportable forecasts, and customer-specific circumstances. The Company maintained an allowance of $1.1 million and $0.7 million for doubtful accounts as of December 31, 2023 and 2022, respectively. The movements in the allowance for doubtful accounts were not material for any of the periods presented. The Company does not have any off-balance-sheet credit exposure related to its customers.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 and Significant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customer accounted for 10% or more of total revenue for the years ended December 31, 2023, 2022, and 2021. As of the year ended December 31, 2023, one customer represented 10% of accounts receivable. As of the year end December 31, 2022 no customers represented 10% or more of accounts receivable.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of payments received in advance of revenue recognition and is recognized when, or as, performance obligations are satisfied. The Company generally invoices its customers annually or in semi-annual, quarterly, or monthly installments. Accordingly, the deferred revenue balance does not represent the total contract value of annual non-cancellable subscription agreements. The amount of revenue recognized in the years ended December 31, 2023 and 2022 that was included in deferred revenue at the beginning of the period was $89.6 million and $68.8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Commissions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sales commissions that are recoverable and incremental due to the acquisition of customer contracts. The Company determines whether costs should be deferred based on its sales compensation plans, if the commissions are in fact incremental and would not have occurred absent the customer contract.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The Company determines the period of benefit for renewal subscription contracts by considering the contractual term for renewal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 of operations and comprehensive loss. The Company periodically reviews these deferred commissions to determine whether events or changes in circumstances have occurred that could impact recoverability or the period of benefit. There were no impairment losses recorded during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represents a roll-forward of the Company’s deferred commissions as of December 31, 2023 and 2022 (in thousands): </w:t>
      </w:r>
    </w:p>
    <w:tbl>
      <w:tblPr>
        <w:tblW w:w="6224" w:type="dxa"/>
        <w:jc w:val="left"/>
        <w:tblInd w:w="0" w:type="dxa"/>
        <w:tblLayout w:type="fixed"/>
        <w:tblCellMar>
          <w:top w:w="28" w:type="dxa"/>
          <w:left w:w="28" w:type="dxa"/>
          <w:bottom w:w="28" w:type="dxa"/>
          <w:right w:w="28" w:type="dxa"/>
        </w:tblCellMar>
      </w:tblPr>
      <w:tblGrid>
        <w:gridCol w:w="3721"/>
        <w:gridCol w:w="146"/>
        <w:gridCol w:w="211"/>
        <w:gridCol w:w="736"/>
        <w:gridCol w:w="166"/>
        <w:gridCol w:w="146"/>
        <w:gridCol w:w="211"/>
        <w:gridCol w:w="67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211" w:type="dxa"/>
            <w:tcBorders/>
            <w:shd w:fill="FFFFFF" w:val="cle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28,685</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deferred commissions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w:t>
            </w:r>
          </w:p>
        </w:tc>
        <w:tc>
          <w:tcPr>
            <w:tcW w:w="21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commissions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current portion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w:t>
            </w:r>
          </w:p>
        </w:tc>
        <w:tc>
          <w:tcPr>
            <w:tcW w:w="21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net of current portion</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commissions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primarily consists of costs related to third-party hosting costs; employee-related expenses, including salaries, stock-based compensation and benefits for operations and support personnel; software license fees; certain developed technology and acquired developed software amortization; and allocated overhead.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costs related to research, design, maintenance, and minor enhancements of the Company’s platform are expensed as incurred. These costs consist primarily of personnel-related expenses, including stock-based compensation and allocated overhead costs, contractor and consulting fees related to the design, development, testing, and enhancements of the Company’s platform, and software, hardware, and cloud infrastructure fees for staging and development related to research and development activities necessary to support growth in the Company’s employee base and in the adoption of its platform.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expenses all advertising costs as incurred as a component of sales and marketing expenses. Advertising expenses of $5.5 million, $5.8 million, and $4.5 million were incurred during the years ended December 31, 2023, 2022, and 2021,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stock-based compensation expense for all stock-based awards, including stock options, restricted stock units (“RSUs”) and purchase rights issued under the 2021 Employee Stock Purchase Plan (“ESPP”), made to employees, non-employees, and directors based on estimated fair values recognized over the requisite service period. The Company measures and recognizes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newly hired employees vest ratably each month over a 36-month period to 48-month period. RSUs typically vest ratably each quarter over a three-year period and is contingent upon continued employment on each vesting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compensation expense for service-based stock-based awards as an expense over the employee’s or director’s requisite service period on a straight-line basis. The Company also has certain options and awards that have performance-based vesting conditions upon certain liquidity events. As a result of the Direct Listing, the liquidity event was met for all outstanding awards with a performance condition and therefore the related expense was recognized using the accelerated attribution method. Forfeitures are accounted for as they occur. Stock-based compensation expense is allocated to cost of revenue and operating expenses on the consolidated statements of operations and comprehensive loss based on where the associated employee’s functional department is located.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stock options granted under the 2021 Plan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For stock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or purchase right. The Company’s expected dividend yield input is zero as it has not historically paid, nor does it expect in the future to pay, cash dividends on its common stock. Stock-based compensation expense for RSUs granted under the 2021 Plan is measured based on the fair value of the underlying shares on the date of grant. </w:t>
      </w:r>
    </w:p>
    <w:p>
      <w:pPr>
        <w:pStyle w:val="TextBody"/>
        <w:bidi w:val="0"/>
        <w:spacing w:before="360" w:after="283"/>
        <w:jc w:val="left"/>
        <w:rPr>
          <w:rFonts w:ascii="Times New Roman" w:hAnsi="Times New Roman"/>
          <w:sz w:val="20"/>
        </w:rPr>
      </w:pPr>
      <w:r>
        <w:rPr>
          <w:rFonts w:ascii="Times New Roman" w:hAnsi="Times New Roman"/>
          <w:b/>
          <w:i/>
          <w:color w:val="000000"/>
          <w:sz w:val="20"/>
        </w:rPr>
        <w:t>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uncertain tax positions taken or expected to be taken in the course of preparing its tax return to determine whether the tax positions are more likely than not of being sustained upon challenge by the applicable tax authority.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a maturity of three months or less when purchased to be cash equivalents. Cash and cash equivalents are stated at fair value. Restricted cash represents cash held to collateralize lease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 to the Company's property leases. As of December 31, 2023 and 2022, $0.9 million of restricted cash is recorded as noncurrent assets. The following table represents the Company's cash, cash equivalents, and restricted cash at each period end (in thousands): </w:t>
      </w:r>
    </w:p>
    <w:tbl>
      <w:tblPr>
        <w:tblW w:w="6604" w:type="dxa"/>
        <w:jc w:val="left"/>
        <w:tblInd w:w="0" w:type="dxa"/>
        <w:tblLayout w:type="fixed"/>
        <w:tblCellMar>
          <w:top w:w="28" w:type="dxa"/>
          <w:left w:w="28" w:type="dxa"/>
          <w:bottom w:w="28" w:type="dxa"/>
          <w:right w:w="28" w:type="dxa"/>
        </w:tblCellMar>
      </w:tblPr>
      <w:tblGrid>
        <w:gridCol w:w="3991"/>
        <w:gridCol w:w="146"/>
        <w:gridCol w:w="211"/>
        <w:gridCol w:w="781"/>
        <w:gridCol w:w="146"/>
        <w:gridCol w:w="146"/>
        <w:gridCol w:w="211"/>
        <w:gridCol w:w="78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shd w:fill="FFFFFF" w:val="cle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218,494</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Investments in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marketable securities consist of commercial paper, corporate notes, and bonds, as well as U.S. Treasury and government agency securities. Management determines the appropriate classification of investments at the time of purchase and reevaluates such determination at each balance sheet date. Marketable securities are classified as available-for-sale and are carried at fair value in the consolidated balance sheets and are classified as short-term or long-term based on their remaining contractual maturities.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its investments with unrealized loss positions at the individual security level to determine whether the unrealized loss was related to credit or noncredit factors. The Company considers whether a credit loss exists based on the extent of the unrealized loss position, any adverse conditions specifically related to the security or the issuer's operating environment, pay structure of the security, the issuer's payment history and any changes in the issuer's credit rating. Estimated credit losses are determined using a discounted cash flow model and recorded as an allowance, with changes in expected credit losses on the Company's investments recorded in “Other income (expense), net” in the consolidated statements of operations and comprehensive loss. Unrealized gains and losses related to noncredit factors are reflected in “Accumulated other comprehensive loss” on the consolidated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 Unadjusted quoted prices in active markets for identical assets or liabilities that are accessible at the measurement date for assets or liabilities; the fair value hierarchy gives the highest priority to Level 1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 Unobservable inputs for the asset or liability used to measure fair value to the extent that observable inputs are not available, thereby allowing for situations in which there is little, if any, market activity for the asset or liability at the measurement date; the fair value hierarchy gives the lowest priority to Level 3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Observable inputs are based on market data obtained from independent sources. The fair value of cash, cash equivalents, restricted cash, accounts receivable, accounts payable, and accrued liabilities approximated their carrying values as of December 31, 2023 and 2022 due to their short-term nature. The fair values of all of these instruments are categorized as Level 1 in the fair value hierarchy. The fair value of the Company's marketable securities as categorized by the fair value level hierarchy is detailed in Note 3.</w:t>
      </w:r>
    </w:p>
    <w:p>
      <w:pPr>
        <w:pStyle w:val="TextBody"/>
        <w:bidi w:val="0"/>
        <w:spacing w:before="36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 based on the acquisition method of accounting. The excess of the fair value of purchase consideration over the values of these identifiable assets and liabilities is recorded as goodwill. When determining the fair value of assets acquired and liabilities assumed, management makes significant estimates and assumptions, particularly to acquired intangible assets. These assumptions include, but are not limited to, reproduction costs and appropriate discount rates. Management’s estimates of fair value are based upon assumptions believed to be reasonable, but which are inherently uncertain and unpredictable and, as a result, actual results may differ from estimates. Acquisition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such as legal and consulting fees, are expensed as incurred. During the measurement period, the Company may record adjustments to the assets acquired and liabilities assumed, with the corresponding offset to goodwill. Upon the conclusion of the measurement period, any subsequent adjustments are recorded in the consolidated statement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Other Acquired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net assets acquired in connection with business combinations accounted for using the acquisition method of accounting. The Company has one reporting unit and performs testing of goodwill in the fourth quarter of each year, or as events occur or circumstances change that would more likely than not reduce the fair value of a reporting unit below its carrying amount. These triggering events that may indicate impairment include, but are not limited to, a significant adverse change in customer demand or business climate that could affect the value of goodwill or a significant decrease in expected cash flows.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less than the carrying amount, then a quantitative goodwill impairment test is required. There were no impairments of goodwill recorded for the years ended December 31, 2023, 2022, and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mainly consist of developed technology resulting from the Company’s acquisitions. Acquired intangible assets are recorded at cost, net of accumulated amortization. Intangible assets are amortized on a straight-line basis over their estimated useful lives, which was determined to be three years for all acquired intangibles. For developed technology, amortization costs were included within cost of revenue in the consolidated statements of operations upon the related product release date. Long-lived assets, including intangible assets, are reviewed for impairment whenever events or changes in circumstances indicate that the carrying amount of the asset may not be recoverable. There was no impairment of intangible assets recorded for the years ended December 31, 2023, 2022, and 2021.</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is calculated on a straight-line basis over the estimated useful lives of those assets, as follows: </w:t>
      </w:r>
    </w:p>
    <w:tbl>
      <w:tblPr>
        <w:tblW w:w="7033" w:type="dxa"/>
        <w:jc w:val="left"/>
        <w:tblInd w:w="0" w:type="dxa"/>
        <w:tblLayout w:type="fixed"/>
        <w:tblCellMar>
          <w:top w:w="28" w:type="dxa"/>
          <w:left w:w="28" w:type="dxa"/>
          <w:bottom w:w="28" w:type="dxa"/>
          <w:right w:w="28" w:type="dxa"/>
        </w:tblCellMar>
      </w:tblPr>
      <w:tblGrid>
        <w:gridCol w:w="3391"/>
        <w:gridCol w:w="146"/>
        <w:gridCol w:w="349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Property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96"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vAlign w:val="center"/>
          </w:tcPr>
          <w:p>
            <w:pPr>
              <w:pStyle w:val="TableContents"/>
              <w:bidi w:val="0"/>
              <w:spacing w:before="0" w:after="283"/>
              <w:jc w:val="right"/>
              <w:rPr/>
            </w:pPr>
            <w:r>
              <w:rPr/>
              <w:t> </w:t>
            </w:r>
          </w:p>
        </w:tc>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right"/>
              <w:rPr/>
            </w:pPr>
            <w:r>
              <w:rPr/>
              <w:t> </w:t>
            </w:r>
          </w:p>
        </w:tc>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right"/>
              <w:rPr/>
            </w:pPr>
            <w:r>
              <w:rPr/>
              <w:t> </w:t>
            </w:r>
          </w:p>
        </w:tc>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remaining lease term or 5 years</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including internal-use software</w:t>
            </w:r>
          </w:p>
        </w:tc>
        <w:tc>
          <w:tcPr>
            <w:tcW w:w="146" w:type="dxa"/>
            <w:tcBorders/>
            <w:shd w:fill="FFFFFF" w:val="clear"/>
            <w:vAlign w:val="center"/>
          </w:tcPr>
          <w:p>
            <w:pPr>
              <w:pStyle w:val="TableContents"/>
              <w:bidi w:val="0"/>
              <w:spacing w:before="0" w:after="283"/>
              <w:jc w:val="right"/>
              <w:rPr/>
            </w:pPr>
            <w:r>
              <w:rPr/>
              <w:t> </w:t>
            </w:r>
          </w:p>
        </w:tc>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Maintenance and repairs are charged to expense as incurred and improvements are capitalized. When assets are retired or otherwise disposed of, the cost and accumulated depreciation is removed from the accounts and any resulting gain or loss is reflected in the statements of operations and comprehensive loss for the period realized.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 ROU assets and liabilities were recognized at adoption date or lease commencement date,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 terms may include options to extend or terminate the lease when it is reasonably certain that the Company will exercise that option.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 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leases are classified in “Operating lease right-of-use assets” and “Operating lease liabilities, noncurrent” on the Company's consolidated balance sheets. The current balance of the operating lease liabilities is included within “Accrued expenses” on the Company's consolidated balance sheets. Operating lease expense is recognized on a straight-line basis over the expected lease term and included in “Operating expenses” in the Company's consolidated statements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Capitalized Internal-Use Software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capitalizes development costs related to its platform and certain other projects for internal use. The Company considered the guidance set forth in Financial Accounting Standards Board (“FASB”) Accounting Standards Codification (“ASC”) Subtopic 350-40-15, </w:t>
      </w:r>
      <w:r>
        <w:rPr>
          <w:rFonts w:ascii="Times New Roman" w:hAnsi="Times New Roman"/>
          <w:i/>
          <w:color w:val="000000"/>
          <w:sz w:val="20"/>
        </w:rPr>
        <w:t>Accounting for the Cost of Computer Software Developed or Obtained for Internal Use</w:t>
      </w:r>
      <w:r>
        <w:rPr>
          <w:rFonts w:ascii="Times New Roman" w:hAnsi="Times New Roman"/>
          <w:color w:val="000000"/>
          <w:sz w:val="20"/>
        </w:rPr>
        <w:t>, which requires companies to capitalize qualifying computer software costs that are incurred during the application development stage, and then amortize them over the software’s estimated useful life. Costs related to preliminary project activities and post-implementation activities are expensed as incurred. Capitalized internal-use software costs are included in “Property and equipment, net” on the Company's consolidated balance sheets and are amortized on a straight-line basis over its estimated useful life into cost of revenue within the consolidated statements of operations and comprehensive loss. All software development costs prior to capitalization have been recorded in research and development expense in the consolidated statements of operations. There was no impairment to capitalized internal-use software costs during the years ended December 31, 2023, 2022, and 2021.</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comparison of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No impairment loss on long-lived assets was recognized in the years ended December 31, 2023, 2022, and 2021.</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the net loss attributable to the Company’s common stockholders by the weighted-average number of shares of common stock outstanding during the period. Diluted net loss per share is the same as basic net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 per share for all periods presented because the effects of potentially dilutive items were anti-dilutive given the Company’s net loss position in each period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delivers its applications over the internet as a subscription service using a SaaS model. Each subscription is subject to the terms of the contractual arrangement with the customer and often includes certain provisions for holding the customer harmless against and indemnifying the customer from costs, damages, losses, liabilities, and expenses arising from claims that the Company’s software infringes upon a copyright, trademark, or other trade secret rights, and third-party claims arising from the Company’s breach of the contract. Customers also indemnify the Company for claims relating their improper use of the service or intellectual property claims originating from customer actions or content.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incurred any expense in defense or reimbursement of any of its customers for losses related to indemnification provisions, and no material claims against the Company are outstanding as of December 31, 2023, 2022, and 2021. The Company’s exposure under these indemnification provisions is often capped at a fixed amount in many customer agreements and uncapped in others. Due primarily to the lack of history of prior indemnification claims and the unique facts and circumstances involved in each particular contractual arrangement, the Company has determined that potential costs related to indemnification are not probable or estimable and, as such, has not recorded a reserve for the years ended December 31, 2023 and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ordinary course of business, the Company may provide indemnifications of varying scope and terms to vendors, directors, officers, and other parties with respect to certain matters. The Company has not incurred any material costs as a result of such indemnifications and have not accrued any liabilities related to such obligations in its consolidated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Warranties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certain customers, the Company provides a performance warranty for accessibility to the Company’s platform as identified in an order form during the order duration. The Company’s software products are generally warranted for certain customers to substantially conform to the specifications set forth in the related customer contract and published documentation. In the event there is a failure of such warranties, the Company generally will correct the problem or provide a reasonable workaround or replacement product. The Company has the standard 30-day cure period for failures that amount to a material breach, and no warranted time frame for nonmaterial failures. If the Company cannot correct or provide a workaround or replacement product for material failures within the cure period, then the customer’s remedy is generally limited to termination of the contractual arrangement related to the nonconforming product services with a pro rata refund of the related fees paid. The Company has not incurred significant expense under these service warranties, nor does it expect that any future expense is probable. Accordingly, the Company has determined that potential costs related to warranties are not probable or estimable and, as such, has not recorded a reserve as of December 31, 2023 and 2022.</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accounting pronouncements during the year ended December 31, 2023.</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In December 2023, the FASB issued Accounting Standards Update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show the Company’s financial statement details as of December 31, 2023 and 2022.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4056"/>
        <w:gridCol w:w="146"/>
        <w:gridCol w:w="211"/>
        <w:gridCol w:w="676"/>
        <w:gridCol w:w="146"/>
        <w:gridCol w:w="146"/>
        <w:gridCol w:w="211"/>
        <w:gridCol w:w="676"/>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4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shd w:fill="FFFFFF" w:val="clear"/>
            <w:vAlign w:val="center"/>
          </w:tcPr>
          <w:p>
            <w:pPr>
              <w:pStyle w:val="TableContents"/>
              <w:bidi w:val="0"/>
              <w:spacing w:before="0" w:after="283"/>
              <w:jc w:val="center"/>
              <w:rPr/>
            </w:pPr>
            <w:r>
              <w:rPr/>
              <w:t> </w:t>
            </w:r>
          </w:p>
        </w:tc>
      </w:tr>
      <w:tr>
        <w:trPr/>
        <w:tc>
          <w:tcPr>
            <w:tcW w:w="4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hosting</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w:t>
            </w:r>
          </w:p>
        </w:tc>
        <w:tc>
          <w:tcPr>
            <w:tcW w:w="391" w:type="dxa"/>
            <w:tcBorders/>
            <w:shd w:fill="CFF0FC" w:val="clear"/>
            <w:vAlign w:val="center"/>
          </w:tcPr>
          <w:p>
            <w:pPr>
              <w:pStyle w:val="TableContents"/>
              <w:bidi w:val="0"/>
              <w:spacing w:before="0" w:after="283"/>
              <w:jc w:val="left"/>
              <w:rPr/>
            </w:pPr>
            <w:r>
              <w:rPr/>
              <w:t> </w:t>
            </w:r>
          </w:p>
        </w:tc>
      </w:tr>
      <w:tr>
        <w:trPr/>
        <w:tc>
          <w:tcPr>
            <w:tcW w:w="4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 and other current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6694" w:type="dxa"/>
        <w:jc w:val="left"/>
        <w:tblInd w:w="0" w:type="dxa"/>
        <w:tblLayout w:type="fixed"/>
        <w:tblCellMar>
          <w:top w:w="28" w:type="dxa"/>
          <w:left w:w="28" w:type="dxa"/>
          <w:bottom w:w="28" w:type="dxa"/>
          <w:right w:w="28" w:type="dxa"/>
        </w:tblCellMar>
      </w:tblPr>
      <w:tblGrid>
        <w:gridCol w:w="4051"/>
        <w:gridCol w:w="146"/>
        <w:gridCol w:w="211"/>
        <w:gridCol w:w="676"/>
        <w:gridCol w:w="166"/>
        <w:gridCol w:w="146"/>
        <w:gridCol w:w="211"/>
        <w:gridCol w:w="676"/>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41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13,445</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related to property and equipment for the years ended December 31, 2023, 2022, and 2021 was $4.2 million, $2.6 million, and $1.4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changes in the carrying value of capitalized internal-use software costs for the periods presented below are as follows (in thousands): </w:t>
      </w:r>
    </w:p>
    <w:p>
      <w:pPr>
        <w:pStyle w:val="TextBody"/>
        <w:bidi w:val="0"/>
        <w:jc w:val="left"/>
        <w:rPr/>
      </w:pPr>
      <w:r>
        <w:rPr/>
        <w:t> </w:t>
      </w:r>
    </w:p>
    <w:tbl>
      <w:tblPr>
        <w:tblW w:w="4875" w:type="dxa"/>
        <w:jc w:val="left"/>
        <w:tblInd w:w="0" w:type="dxa"/>
        <w:tblLayout w:type="fixed"/>
        <w:tblCellMar>
          <w:top w:w="28" w:type="dxa"/>
          <w:left w:w="28" w:type="dxa"/>
          <w:bottom w:w="28" w:type="dxa"/>
          <w:right w:w="28" w:type="dxa"/>
        </w:tblCellMar>
      </w:tblPr>
      <w:tblGrid>
        <w:gridCol w:w="3676"/>
        <w:gridCol w:w="146"/>
        <w:gridCol w:w="211"/>
        <w:gridCol w:w="63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2021</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internal-use software costs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internal-use software costs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jc w:val="left"/>
        <w:rPr/>
      </w:pPr>
      <w:r>
        <w:rPr/>
        <w:t> </w:t>
      </w:r>
    </w:p>
    <w:tbl>
      <w:tblPr>
        <w:tblW w:w="6744" w:type="dxa"/>
        <w:jc w:val="left"/>
        <w:tblInd w:w="0" w:type="dxa"/>
        <w:tblLayout w:type="fixed"/>
        <w:tblCellMar>
          <w:top w:w="28" w:type="dxa"/>
          <w:left w:w="28" w:type="dxa"/>
          <w:bottom w:w="28" w:type="dxa"/>
          <w:right w:w="28" w:type="dxa"/>
        </w:tblCellMar>
      </w:tblPr>
      <w:tblGrid>
        <w:gridCol w:w="4141"/>
        <w:gridCol w:w="146"/>
        <w:gridCol w:w="211"/>
        <w:gridCol w:w="676"/>
        <w:gridCol w:w="146"/>
        <w:gridCol w:w="146"/>
        <w:gridCol w:w="211"/>
        <w:gridCol w:w="676"/>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4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hosting</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employee related taxes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tax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from early exercised stock options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 withholding</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for financial assets measured at fair value, the respective fair value and classification by level of input within the fair value hierarchy (in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9"/>
        <w:gridCol w:w="146"/>
        <w:gridCol w:w="211"/>
        <w:gridCol w:w="181"/>
        <w:gridCol w:w="971"/>
        <w:gridCol w:w="146"/>
        <w:gridCol w:w="146"/>
        <w:gridCol w:w="211"/>
        <w:gridCol w:w="457"/>
        <w:gridCol w:w="1089"/>
        <w:gridCol w:w="146"/>
        <w:gridCol w:w="146"/>
        <w:gridCol w:w="211"/>
        <w:gridCol w:w="364"/>
        <w:gridCol w:w="1203"/>
        <w:gridCol w:w="166"/>
        <w:gridCol w:w="146"/>
        <w:gridCol w:w="211"/>
        <w:gridCol w:w="227"/>
        <w:gridCol w:w="1214"/>
        <w:gridCol w:w="194"/>
      </w:tblGrid>
      <w:tr>
        <w:trPr/>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5"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4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41" w:type="dxa"/>
            <w:gridSpan w:val="2"/>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center"/>
              <w:rPr/>
            </w:pPr>
            <w:r>
              <w:rPr/>
              <w:t> </w:t>
            </w:r>
          </w:p>
        </w:tc>
      </w:tr>
      <w:tr>
        <w:trPr/>
        <w:tc>
          <w:tcPr>
            <w:tcW w:w="24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r>
      <w:tr>
        <w:trPr/>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vAlign w:val="center"/>
          </w:tcPr>
          <w:p>
            <w:pPr>
              <w:pStyle w:val="TableContents"/>
              <w:bidi w:val="0"/>
              <w:spacing w:before="0" w:after="283"/>
              <w:jc w:val="left"/>
              <w:rPr/>
            </w:pPr>
            <w:r>
              <w:rPr/>
              <w:t> </w:t>
            </w:r>
          </w:p>
        </w:tc>
        <w:tc>
          <w:tcPr>
            <w:tcW w:w="12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211,741</w:t>
            </w:r>
          </w:p>
        </w:tc>
        <w:tc>
          <w:tcPr>
            <w:tcW w:w="194" w:type="dxa"/>
            <w:tcBorders/>
            <w:shd w:fill="CFF0FC"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5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41"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24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4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5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41"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285,650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9"/>
        <w:gridCol w:w="146"/>
        <w:gridCol w:w="211"/>
        <w:gridCol w:w="181"/>
        <w:gridCol w:w="971"/>
        <w:gridCol w:w="146"/>
        <w:gridCol w:w="146"/>
        <w:gridCol w:w="211"/>
        <w:gridCol w:w="457"/>
        <w:gridCol w:w="1089"/>
        <w:gridCol w:w="146"/>
        <w:gridCol w:w="146"/>
        <w:gridCol w:w="211"/>
        <w:gridCol w:w="364"/>
        <w:gridCol w:w="1203"/>
        <w:gridCol w:w="166"/>
        <w:gridCol w:w="146"/>
        <w:gridCol w:w="211"/>
        <w:gridCol w:w="227"/>
        <w:gridCol w:w="1214"/>
        <w:gridCol w:w="194"/>
      </w:tblGrid>
      <w:tr>
        <w:trPr/>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5"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201" w:type="dxa"/>
            <w:gridSpan w:val="7"/>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4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4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41" w:type="dxa"/>
            <w:gridSpan w:val="2"/>
            <w:tcBorders/>
            <w:shd w:fill="CFF0FC" w:val="clear"/>
            <w:vAlign w:val="center"/>
          </w:tcPr>
          <w:p>
            <w:pPr>
              <w:pStyle w:val="TableContents"/>
              <w:bidi w:val="0"/>
              <w:spacing w:before="0" w:after="283"/>
              <w:jc w:val="center"/>
              <w:rPr/>
            </w:pPr>
            <w:r>
              <w:rPr/>
              <w:t> </w:t>
            </w:r>
          </w:p>
        </w:tc>
        <w:tc>
          <w:tcPr>
            <w:tcW w:w="194" w:type="dxa"/>
            <w:tcBorders/>
            <w:shd w:fill="CFF0FC" w:val="clear"/>
            <w:vAlign w:val="center"/>
          </w:tcPr>
          <w:p>
            <w:pPr>
              <w:pStyle w:val="TableContents"/>
              <w:bidi w:val="0"/>
              <w:spacing w:before="0" w:after="283"/>
              <w:jc w:val="center"/>
              <w:rPr/>
            </w:pPr>
            <w:r>
              <w:rPr/>
              <w:t> </w:t>
            </w:r>
          </w:p>
        </w:tc>
      </w:tr>
      <w:tr>
        <w:trPr/>
        <w:tc>
          <w:tcPr>
            <w:tcW w:w="24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r>
      <w:tr>
        <w:trPr/>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CFF0FC" w:val="clear"/>
            <w:vAlign w:val="center"/>
          </w:tcPr>
          <w:p>
            <w:pPr>
              <w:pStyle w:val="TableContents"/>
              <w:bidi w:val="0"/>
              <w:spacing w:before="0" w:after="283"/>
              <w:jc w:val="left"/>
              <w:rPr/>
            </w:pPr>
            <w:r>
              <w:rPr/>
              <w:t> </w:t>
            </w:r>
          </w:p>
        </w:tc>
        <w:tc>
          <w:tcPr>
            <w:tcW w:w="10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vAlign w:val="center"/>
          </w:tcPr>
          <w:p>
            <w:pPr>
              <w:pStyle w:val="TableContents"/>
              <w:bidi w:val="0"/>
              <w:spacing w:before="0" w:after="283"/>
              <w:jc w:val="left"/>
              <w:rPr/>
            </w:pPr>
            <w:r>
              <w:rPr/>
              <w:t> </w:t>
            </w:r>
          </w:p>
        </w:tc>
        <w:tc>
          <w:tcPr>
            <w:tcW w:w="12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168,730</w:t>
            </w:r>
          </w:p>
        </w:tc>
        <w:tc>
          <w:tcPr>
            <w:tcW w:w="194" w:type="dxa"/>
            <w:tcBorders/>
            <w:shd w:fill="CFF0FC"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5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41"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24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1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4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5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41"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r>
      <w:tr>
        <w:trPr/>
        <w:tc>
          <w:tcPr>
            <w:tcW w:w="24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governmental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251,918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sz w:val="24"/>
        </w:rPr>
      </w:pPr>
      <w:r>
        <w:rPr>
          <w:rFonts w:ascii="Times New Roman" w:hAnsi="Times New Roman"/>
          <w:color w:val="000000"/>
          <w:sz w:val="16"/>
        </w:rPr>
        <w:t>Included in “Cash and cash equivalents” in the Company's consolidated balance sheets as of December 31, 2023 and 2022, in addition to cash of $36.8</w:t>
      </w:r>
      <w:r>
        <w:rPr>
          <w:rFonts w:ascii="Times New Roman" w:hAnsi="Times New Roman"/>
          <w:color w:val="000000"/>
          <w:sz w:val="24"/>
        </w:rPr>
        <w:t xml:space="preserve"> </w:t>
      </w:r>
      <w:r>
        <w:rPr>
          <w:rFonts w:ascii="Times New Roman" w:hAnsi="Times New Roman"/>
          <w:color w:val="000000"/>
          <w:sz w:val="16"/>
        </w:rPr>
        <w:t>million</w:t>
      </w:r>
      <w:r>
        <w:rPr>
          <w:rFonts w:ascii="Times New Roman" w:hAnsi="Times New Roman"/>
          <w:color w:val="000000"/>
          <w:sz w:val="24"/>
        </w:rPr>
        <w:t xml:space="preserve"> </w:t>
      </w:r>
      <w:r>
        <w:rPr>
          <w:rFonts w:ascii="Times New Roman" w:hAnsi="Times New Roman"/>
          <w:color w:val="000000"/>
          <w:sz w:val="16"/>
        </w:rPr>
        <w:t>and $49.8</w:t>
      </w:r>
      <w:r>
        <w:rPr>
          <w:rFonts w:ascii="Times New Roman" w:hAnsi="Times New Roman"/>
          <w:color w:val="000000"/>
          <w:sz w:val="24"/>
        </w:rPr>
        <w:t xml:space="preserve"> </w:t>
      </w:r>
      <w:r>
        <w:rPr>
          <w:rFonts w:ascii="Times New Roman" w:hAnsi="Times New Roman"/>
          <w:color w:val="000000"/>
          <w:sz w:val="16"/>
        </w:rPr>
        <w:t xml:space="preserve">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available-for-sale securities as of December 31, 2023, by remaining contractual maturities, was as follows (in thousands):</w:t>
      </w:r>
    </w:p>
    <w:p>
      <w:pPr>
        <w:pStyle w:val="TextBody"/>
        <w:bidi w:val="0"/>
        <w:jc w:val="left"/>
        <w:rPr/>
      </w:pPr>
      <w:r>
        <w:rPr/>
        <w:t> </w:t>
      </w:r>
    </w:p>
    <w:tbl>
      <w:tblPr>
        <w:tblW w:w="5512" w:type="dxa"/>
        <w:jc w:val="left"/>
        <w:tblInd w:w="0" w:type="dxa"/>
        <w:tblLayout w:type="fixed"/>
        <w:tblCellMar>
          <w:top w:w="28" w:type="dxa"/>
          <w:left w:w="28" w:type="dxa"/>
          <w:bottom w:w="28" w:type="dxa"/>
          <w:right w:w="28" w:type="dxa"/>
        </w:tblCellMar>
      </w:tblPr>
      <w:tblGrid>
        <w:gridCol w:w="2401"/>
        <w:gridCol w:w="146"/>
        <w:gridCol w:w="146"/>
        <w:gridCol w:w="146"/>
        <w:gridCol w:w="146"/>
        <w:gridCol w:w="146"/>
        <w:gridCol w:w="519"/>
        <w:gridCol w:w="167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73,909</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greater than one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periodically evaluates its investments for expected credit losses. The unrealized losses on the available-for-sale securities were primarily due to unfavorable changes in interest rates subsequent to the initial purchase of these securities. None of the Company's available-for-sale securities have been in a continuous unrealized loss position for twelve months or longer as of December 31, 2023.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December 31, 2023 and 2022 to represent a credit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Net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 Other Than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net consisted of the following (in thousands): </w:t>
      </w:r>
    </w:p>
    <w:tbl>
      <w:tblPr>
        <w:tblW w:w="10205" w:type="dxa"/>
        <w:jc w:val="left"/>
        <w:tblInd w:w="0" w:type="dxa"/>
        <w:tblLayout w:type="fixed"/>
        <w:tblCellMar>
          <w:top w:w="28" w:type="dxa"/>
          <w:left w:w="28" w:type="dxa"/>
          <w:bottom w:w="28" w:type="dxa"/>
          <w:right w:w="28" w:type="dxa"/>
        </w:tblCellMar>
      </w:tblPr>
      <w:tblGrid>
        <w:gridCol w:w="1209"/>
        <w:gridCol w:w="346"/>
        <w:gridCol w:w="211"/>
        <w:gridCol w:w="164"/>
        <w:gridCol w:w="644"/>
        <w:gridCol w:w="146"/>
        <w:gridCol w:w="146"/>
        <w:gridCol w:w="211"/>
        <w:gridCol w:w="213"/>
        <w:gridCol w:w="923"/>
        <w:gridCol w:w="166"/>
        <w:gridCol w:w="146"/>
        <w:gridCol w:w="211"/>
        <w:gridCol w:w="205"/>
        <w:gridCol w:w="594"/>
        <w:gridCol w:w="146"/>
        <w:gridCol w:w="146"/>
        <w:gridCol w:w="211"/>
        <w:gridCol w:w="164"/>
        <w:gridCol w:w="644"/>
        <w:gridCol w:w="146"/>
        <w:gridCol w:w="146"/>
        <w:gridCol w:w="211"/>
        <w:gridCol w:w="213"/>
        <w:gridCol w:w="923"/>
        <w:gridCol w:w="166"/>
        <w:gridCol w:w="146"/>
        <w:gridCol w:w="211"/>
        <w:gridCol w:w="162"/>
        <w:gridCol w:w="637"/>
        <w:gridCol w:w="398"/>
      </w:tblGrid>
      <w:tr>
        <w:trPr/>
        <w:tc>
          <w:tcPr>
            <w:tcW w:w="12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20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Amount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0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1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9" w:type="dxa"/>
            <w:gridSpan w:val="2"/>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center"/>
              <w:rPr/>
            </w:pPr>
            <w:r>
              <w:rPr/>
              <w:t> </w:t>
            </w:r>
          </w:p>
        </w:tc>
      </w:tr>
      <w:tr>
        <w:trPr/>
        <w:tc>
          <w:tcPr>
            <w:tcW w:w="12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398" w:type="dxa"/>
            <w:tcBorders/>
            <w:shd w:fill="CFF0FC" w:val="clear"/>
            <w:vAlign w:val="center"/>
          </w:tcPr>
          <w:p>
            <w:pPr>
              <w:pStyle w:val="TableContents"/>
              <w:bidi w:val="0"/>
              <w:spacing w:before="0" w:after="283"/>
              <w:jc w:val="left"/>
              <w:rPr/>
            </w:pPr>
            <w:r>
              <w:rPr/>
              <w:t> </w:t>
            </w:r>
          </w:p>
        </w:tc>
      </w:tr>
      <w:tr>
        <w:trPr/>
        <w:tc>
          <w:tcPr>
            <w:tcW w:w="12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related</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0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of intangible assets was $1.4 million, $2.1 million, and $1.7 million for the years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future amortization expense is expected to be as follows (in thousands): </w:t>
      </w:r>
    </w:p>
    <w:tbl>
      <w:tblPr>
        <w:tblW w:w="2074" w:type="dxa"/>
        <w:jc w:val="left"/>
        <w:tblInd w:w="0" w:type="dxa"/>
        <w:tblLayout w:type="fixed"/>
        <w:tblCellMar>
          <w:top w:w="28" w:type="dxa"/>
          <w:left w:w="28" w:type="dxa"/>
          <w:bottom w:w="28" w:type="dxa"/>
          <w:right w:w="28" w:type="dxa"/>
        </w:tblCellMar>
      </w:tblPr>
      <w:tblGrid>
        <w:gridCol w:w="756"/>
        <w:gridCol w:w="146"/>
        <w:gridCol w:w="260"/>
        <w:gridCol w:w="521"/>
        <w:gridCol w:w="391"/>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shd w:fill="FFFFFF" w:val="clear"/>
            <w:vAlign w:val="center"/>
          </w:tcPr>
          <w:p>
            <w:pPr>
              <w:pStyle w:val="TableContents"/>
              <w:bidi w:val="0"/>
              <w:spacing w:before="0" w:after="283"/>
              <w:jc w:val="center"/>
              <w:rPr/>
            </w:pPr>
            <w:r>
              <w:rPr/>
              <w:t> </w:t>
            </w:r>
          </w:p>
        </w:tc>
      </w:tr>
      <w:tr>
        <w:trPr/>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391" w:type="dxa"/>
            <w:tcBorders/>
            <w:shd w:fill="CFF0FC" w:val="clear"/>
            <w:vAlign w:val="center"/>
          </w:tcPr>
          <w:p>
            <w:pPr>
              <w:pStyle w:val="TableContents"/>
              <w:bidi w:val="0"/>
              <w:spacing w:before="0" w:after="283"/>
              <w:jc w:val="left"/>
              <w:rPr/>
            </w:pPr>
            <w:r>
              <w:rPr/>
              <w:t> </w:t>
            </w:r>
          </w:p>
        </w:tc>
      </w:tr>
      <w:tr>
        <w:trPr/>
        <w:tc>
          <w:tcPr>
            <w:tcW w:w="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FFFFFF" w:val="clear"/>
            <w:vAlign w:val="center"/>
          </w:tcPr>
          <w:p>
            <w:pPr>
              <w:pStyle w:val="TableContents"/>
              <w:bidi w:val="0"/>
              <w:spacing w:before="0" w:after="283"/>
              <w:jc w:val="left"/>
              <w:rPr/>
            </w:pPr>
            <w:r>
              <w:rPr/>
              <w:t> </w:t>
            </w:r>
          </w:p>
        </w:tc>
      </w:tr>
      <w:tr>
        <w:trPr/>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Stockholders’ Equity and Equity Incentive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consolidated financial statements, unless otherwise noted. Holders of common stock are entitled to receive any dividends whenever funds are legally available and if declared by the Company's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shares of its Class A common stock as follows: </w:t>
      </w:r>
    </w:p>
    <w:p>
      <w:pPr>
        <w:pStyle w:val="TextBody"/>
        <w:bidi w:val="0"/>
        <w:jc w:val="left"/>
        <w:rPr/>
      </w:pPr>
      <w:r>
        <w:rPr/>
        <w:t> </w:t>
      </w:r>
    </w:p>
    <w:tbl>
      <w:tblPr>
        <w:tblW w:w="8959" w:type="dxa"/>
        <w:jc w:val="left"/>
        <w:tblInd w:w="0" w:type="dxa"/>
        <w:tblLayout w:type="fixed"/>
        <w:tblCellMar>
          <w:top w:w="28" w:type="dxa"/>
          <w:left w:w="28" w:type="dxa"/>
          <w:bottom w:w="28" w:type="dxa"/>
          <w:right w:w="28" w:type="dxa"/>
        </w:tblCellMar>
      </w:tblPr>
      <w:tblGrid>
        <w:gridCol w:w="5566"/>
        <w:gridCol w:w="146"/>
        <w:gridCol w:w="146"/>
        <w:gridCol w:w="1036"/>
        <w:gridCol w:w="146"/>
        <w:gridCol w:w="146"/>
        <w:gridCol w:w="146"/>
        <w:gridCol w:w="1036"/>
        <w:gridCol w:w="5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591" w:type="dxa"/>
            <w:tcBorders/>
            <w:shd w:fill="FFFFFF"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Stock Option and Grant Plan and 2021 Incentive Award Plan:</w:t>
            </w:r>
          </w:p>
        </w:tc>
        <w:tc>
          <w:tcPr>
            <w:tcW w:w="146" w:type="dxa"/>
            <w:tcBorders/>
            <w:shd w:fill="CFF0FC" w:val="clear"/>
            <w:vAlign w:val="center"/>
          </w:tcPr>
          <w:p>
            <w:pPr>
              <w:pStyle w:val="TableContents"/>
              <w:bidi w:val="0"/>
              <w:spacing w:before="0" w:after="283"/>
              <w:jc w:val="center"/>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16,767,752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9,914,125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18,260,813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16,774,634</w:t>
            </w:r>
          </w:p>
        </w:tc>
        <w:tc>
          <w:tcPr>
            <w:tcW w:w="5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CFF0FC" w:val="clear"/>
            <w:vAlign w:val="center"/>
          </w:tcPr>
          <w:p>
            <w:pPr>
              <w:pStyle w:val="TableContents"/>
              <w:bidi w:val="0"/>
              <w:spacing w:before="0" w:after="283"/>
              <w:jc w:val="center"/>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3,411,791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reserved shares</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47,910,141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46,868,302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2014 Stock Option and Grant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December 31, 2023, a total of 18,260,813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granted under the 2014 Plan and the 2021 Plan (collectively, the “combined stock plans”) generally vest based on continued service over four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 activity under the Company's combined stock plans is set forth below:</w:t>
      </w:r>
    </w:p>
    <w:p>
      <w:pPr>
        <w:pStyle w:val="TextBody"/>
        <w:bidi w:val="0"/>
        <w:jc w:val="left"/>
        <w:rPr/>
      </w:pPr>
      <w:r>
        <w:rPr/>
        <w:t> </w:t>
      </w:r>
    </w:p>
    <w:tbl>
      <w:tblPr>
        <w:tblW w:w="8958" w:type="dxa"/>
        <w:jc w:val="left"/>
        <w:tblInd w:w="0" w:type="dxa"/>
        <w:tblLayout w:type="fixed"/>
        <w:tblCellMar>
          <w:top w:w="28" w:type="dxa"/>
          <w:left w:w="28" w:type="dxa"/>
          <w:bottom w:w="28" w:type="dxa"/>
          <w:right w:w="28" w:type="dxa"/>
        </w:tblCellMar>
      </w:tblPr>
      <w:tblGrid>
        <w:gridCol w:w="3271"/>
        <w:gridCol w:w="146"/>
        <w:gridCol w:w="146"/>
        <w:gridCol w:w="1036"/>
        <w:gridCol w:w="166"/>
        <w:gridCol w:w="146"/>
        <w:gridCol w:w="247"/>
        <w:gridCol w:w="669"/>
        <w:gridCol w:w="146"/>
        <w:gridCol w:w="146"/>
        <w:gridCol w:w="256"/>
        <w:gridCol w:w="825"/>
        <w:gridCol w:w="146"/>
        <w:gridCol w:w="146"/>
        <w:gridCol w:w="271"/>
        <w:gridCol w:w="1004"/>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shd w:fill="FFFFFF" w:val="cle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December 31, 2022</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132,298</w:t>
            </w:r>
          </w:p>
        </w:tc>
        <w:tc>
          <w:tcPr>
            <w:tcW w:w="1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(1,651,124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8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27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Balances as of December 31, 2023</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118,757</w:t>
            </w:r>
          </w:p>
        </w:tc>
        <w:tc>
          <w:tcPr>
            <w:tcW w:w="1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Exercisable as of December 31, 2023</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112,726</w:t>
            </w:r>
          </w:p>
        </w:tc>
        <w:tc>
          <w:tcPr>
            <w:tcW w:w="19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As no forfeitures are estimated due to the Company's adoption of ASU No. 2016-09, all options are vested or expected to vest. As of December 31, 2023, no options were outstanding that were subject to a future performance condition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Exercisable shares include vested options as well as unvested shares that can be early exercised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intrinsic values of options are calculated as the difference between the exercise price of the options and the market price for shares of the Company’s Class A common stock as of each period-end. The total intrinsic value of options exercised for the years ended December 31, 2023, 2022, and 2021 was $16.4 million, $23.3 million, and $519.1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granted during the years ended December 31, 2023, 2022, and 2021 had a weighted average grant date fair value of $6.69, $8.27, and $6.02 per share, respectively. The fair value is being expensed over the vesting period of the options on a straight-line basis as the services are being provided. No tax benefits were realized from options during the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total unrecognized stock-based compensation expense related to options outstanding under the combined stock plans was $11.0 million. This unrecognized expense as of December 31, 2023 is expected to be recognized over the weighted average remaining vesting period of 2.27 years. As of December 31, 2023, the Company had 342,000 shares of non-employee stock options outstanding under the combined stock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granted to employees under the 2021 Plan is estimated on the grant date using the Black-Scholes pricing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range of assumptions and data inputs were used in the Black-Scholes option-pricing model to estimate the fair value of the options granted under the 2021 Plan: </w:t>
      </w:r>
    </w:p>
    <w:p>
      <w:pPr>
        <w:pStyle w:val="TextBody"/>
        <w:bidi w:val="0"/>
        <w:jc w:val="left"/>
        <w:rPr/>
      </w:pPr>
      <w:r>
        <w:rPr/>
        <w:t> </w:t>
      </w:r>
    </w:p>
    <w:tbl>
      <w:tblPr>
        <w:tblW w:w="6917" w:type="dxa"/>
        <w:jc w:val="left"/>
        <w:tblInd w:w="0" w:type="dxa"/>
        <w:tblLayout w:type="fixed"/>
        <w:tblCellMar>
          <w:top w:w="28" w:type="dxa"/>
          <w:left w:w="28" w:type="dxa"/>
          <w:bottom w:w="28" w:type="dxa"/>
          <w:right w:w="28" w:type="dxa"/>
        </w:tblCellMar>
      </w:tblPr>
      <w:tblGrid>
        <w:gridCol w:w="2371"/>
        <w:gridCol w:w="146"/>
        <w:gridCol w:w="414"/>
        <w:gridCol w:w="982"/>
        <w:gridCol w:w="154"/>
        <w:gridCol w:w="154"/>
        <w:gridCol w:w="414"/>
        <w:gridCol w:w="982"/>
        <w:gridCol w:w="154"/>
        <w:gridCol w:w="154"/>
        <w:gridCol w:w="161"/>
        <w:gridCol w:w="515"/>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4"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shd w:fill="FFFFFF"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vAlign w:val="center"/>
          </w:tcPr>
          <w:p>
            <w:pPr>
              <w:pStyle w:val="TableContents"/>
              <w:bidi w:val="0"/>
              <w:spacing w:before="0" w:after="283"/>
              <w:jc w:val="lef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$11.37 - $12.37</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$14.62 - $15.63</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67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316" w:type="dxa"/>
            <w:tcBorders/>
            <w:shd w:fill="CFF0FC"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 - 4.36%</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 - 3.36%</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9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 - 56.8%</w:t>
            </w:r>
          </w:p>
        </w:tc>
        <w:tc>
          <w:tcPr>
            <w:tcW w:w="15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 - 55.6%</w:t>
            </w:r>
          </w:p>
        </w:tc>
        <w:tc>
          <w:tcPr>
            <w:tcW w:w="15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vAlign w:val="center"/>
          </w:tcPr>
          <w:p>
            <w:pPr>
              <w:pStyle w:val="TableContents"/>
              <w:bidi w:val="0"/>
              <w:spacing w:before="0" w:after="283"/>
              <w:jc w:val="lef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5.5 - 6.0</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6.0 - 6.3</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years ended December 31, 2023, 2022, and 2021, the Company recorded $77.1 million, $46.0 million, and $15.4 million in expense related to RSUs,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RSUs vested during the years ended December 31, 2023, 2022, and 2021 was $56.3 million, $25.4 million, and $132.7 million, respectively. As of December 31, 2023, total unrecognized stock-based compensation expense related to RSUs was $149.6 million. This unrecognized expense as of December 31, 2023 is expected to be recognized over the weighted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average remaining vesting period of 2.15 years. As of December 31, 2023, the Company had 159,521 shares of non-employee RSUs outstanding under the combined stock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 activity for the year ended December 31, 2023 was as follows: </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2821"/>
        <w:gridCol w:w="146"/>
        <w:gridCol w:w="177"/>
        <w:gridCol w:w="1263"/>
        <w:gridCol w:w="166"/>
        <w:gridCol w:w="146"/>
        <w:gridCol w:w="449"/>
        <w:gridCol w:w="1217"/>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 xml:space="preserve">grant date fair </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9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2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(4,753,872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left"/>
              <w:rPr/>
            </w:pPr>
            <w:r>
              <w:rPr/>
              <w:t> </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91" w:type="dxa"/>
            <w:tcBorders/>
            <w:shd w:fill="FFFFFF" w:val="cle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righ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December 31, 2023, a total of 4,079,994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offering period under the ESPP was longer than 12 months, commencing on September 28, 2021 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each of the purchase periods since the initial purchase period on May 14, 2022 through the purchase period that ended on May 14, 2023, the corresponding offering periods were terminated and participants were automatically enrolled in a new 12-month offering period. The impact of the rollover feature did not result in material incremental compensation cost for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assumptions were used to calculate the fair value of shares to be granted under the ESPP during the period utilizing the Black-Scholes option-pricing model: </w:t>
      </w:r>
    </w:p>
    <w:p>
      <w:pPr>
        <w:pStyle w:val="TextBody"/>
        <w:bidi w:val="0"/>
        <w:spacing w:before="240" w:after="283"/>
        <w:jc w:val="left"/>
        <w:rPr/>
      </w:pPr>
      <w:r>
        <w:rPr/>
        <w:t> </w:t>
      </w:r>
    </w:p>
    <w:tbl>
      <w:tblPr>
        <w:tblW w:w="7366" w:type="dxa"/>
        <w:jc w:val="left"/>
        <w:tblInd w:w="0" w:type="dxa"/>
        <w:tblLayout w:type="fixed"/>
        <w:tblCellMar>
          <w:top w:w="28" w:type="dxa"/>
          <w:left w:w="28" w:type="dxa"/>
          <w:bottom w:w="28" w:type="dxa"/>
          <w:right w:w="28" w:type="dxa"/>
        </w:tblCellMar>
      </w:tblPr>
      <w:tblGrid>
        <w:gridCol w:w="2371"/>
        <w:gridCol w:w="146"/>
        <w:gridCol w:w="404"/>
        <w:gridCol w:w="901"/>
        <w:gridCol w:w="163"/>
        <w:gridCol w:w="163"/>
        <w:gridCol w:w="432"/>
        <w:gridCol w:w="964"/>
        <w:gridCol w:w="163"/>
        <w:gridCol w:w="163"/>
        <w:gridCol w:w="403"/>
        <w:gridCol w:w="902"/>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8"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righ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$9.98 - $10.76</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$14.77 - $17.04</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91" w:type="dxa"/>
            <w:tcBorders/>
            <w:shd w:fill="CFF0FC"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432"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color w:val="000000"/>
              </w:rPr>
            </w:pPr>
            <w:r>
              <w:rPr>
                <w:color w:val="000000"/>
              </w:rPr>
              <w:t>—</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 - 5.41%</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 - 4.63%</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 - 0.20%</w:t>
            </w:r>
          </w:p>
        </w:tc>
        <w:tc>
          <w:tcPr>
            <w:tcW w:w="191" w:type="dxa"/>
            <w:tcBorders/>
            <w:shd w:fill="CFF0FC"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 - 60.0%</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3"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righ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vAlign w:val="center"/>
          </w:tcPr>
          <w:p>
            <w:pPr>
              <w:pStyle w:val="TableContents"/>
              <w:bidi w:val="0"/>
              <w:spacing w:before="0" w:after="283"/>
              <w:jc w:val="righ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0.5 - 1.0</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0.5 - 1.0</w:t>
            </w:r>
          </w:p>
        </w:tc>
        <w:tc>
          <w:tcPr>
            <w:tcW w:w="163"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righ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0.5 - 1.0</w:t>
            </w:r>
          </w:p>
        </w:tc>
        <w:tc>
          <w:tcPr>
            <w:tcW w:w="191"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expected term for the ESPP purchase rights is based on the duration of the offering period. Estimated volatility for ESPP purchase rights is based on the historical volatility of a group of industry peers as sufficient history is not available for our common stock. The risk-free interest rate is based on the U.S. Treasury yield curve in effect at the time the ESPP purchase right was granted at the beginning of the offering period. The Company has not declared, nor does it expect to declare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824,133 and 350,341 shares have been purchased under the ESPP, respectively. During the years ended December 31, 2023 and 2022, the Company recognized $2.4 million and $5.7 million, respectively, of stock-based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expense related to the ESPP. As of December 31, 2023, total unrecognized compensation costs related to the ESPP was $0.8 million, which will be amortized over a weighted average period of 0.55 years.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expense, net of actual forfeitures is reflected in the consolidated statement of operations and comprehensive loss (in thousands): </w:t>
      </w:r>
    </w:p>
    <w:p>
      <w:pPr>
        <w:pStyle w:val="TextBody"/>
        <w:bidi w:val="0"/>
        <w:jc w:val="left"/>
        <w:rPr/>
      </w:pPr>
      <w:r>
        <w:rPr/>
        <w:t> </w:t>
      </w:r>
    </w:p>
    <w:tbl>
      <w:tblPr>
        <w:tblW w:w="743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13,613</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established a savings and retirement plan for employees that permits participants to make contributions by salary deductions pursuant to Section 401(k) of the Internal Revenue Code. The plan is available to all regular employees on the Company’s U.S. payroll. The Company does not currently match employees’ contributions.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Pre-tax book loss has been recorded in the following jurisdictions (in thousands): </w:t>
      </w:r>
    </w:p>
    <w:tbl>
      <w:tblPr>
        <w:tblW w:w="5818" w:type="dxa"/>
        <w:jc w:val="left"/>
        <w:tblInd w:w="0" w:type="dxa"/>
        <w:tblLayout w:type="fixed"/>
        <w:tblCellMar>
          <w:top w:w="28" w:type="dxa"/>
          <w:left w:w="28" w:type="dxa"/>
          <w:bottom w:w="28" w:type="dxa"/>
          <w:right w:w="28" w:type="dxa"/>
        </w:tblCellMar>
      </w:tblPr>
      <w:tblGrid>
        <w:gridCol w:w="1996"/>
        <w:gridCol w:w="146"/>
        <w:gridCol w:w="211"/>
        <w:gridCol w:w="736"/>
        <w:gridCol w:w="166"/>
        <w:gridCol w:w="146"/>
        <w:gridCol w:w="211"/>
        <w:gridCol w:w="736"/>
        <w:gridCol w:w="166"/>
        <w:gridCol w:w="146"/>
        <w:gridCol w:w="211"/>
        <w:gridCol w:w="736"/>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shd w:fill="FFFFFF" w:val="cle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pre-tax loss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taxes consists of the following (in thousands): </w:t>
      </w:r>
    </w:p>
    <w:tbl>
      <w:tblPr>
        <w:tblW w:w="5298" w:type="dxa"/>
        <w:jc w:val="left"/>
        <w:tblInd w:w="0" w:type="dxa"/>
        <w:tblLayout w:type="fixed"/>
        <w:tblCellMar>
          <w:top w:w="28" w:type="dxa"/>
          <w:left w:w="28" w:type="dxa"/>
          <w:bottom w:w="28" w:type="dxa"/>
          <w:right w:w="28" w:type="dxa"/>
        </w:tblCellMar>
      </w:tblPr>
      <w:tblGrid>
        <w:gridCol w:w="1781"/>
        <w:gridCol w:w="146"/>
        <w:gridCol w:w="211"/>
        <w:gridCol w:w="571"/>
        <w:gridCol w:w="146"/>
        <w:gridCol w:w="146"/>
        <w:gridCol w:w="211"/>
        <w:gridCol w:w="421"/>
        <w:gridCol w:w="146"/>
        <w:gridCol w:w="146"/>
        <w:gridCol w:w="211"/>
        <w:gridCol w:w="571"/>
        <w:gridCol w:w="591"/>
      </w:tblGrid>
      <w:tr>
        <w:trP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shd w:fill="FFFFFF" w:val="clear"/>
            <w:vAlign w:val="center"/>
          </w:tcPr>
          <w:p>
            <w:pPr>
              <w:pStyle w:val="TableContents"/>
              <w:bidi w:val="0"/>
              <w:spacing w:before="0" w:after="283"/>
              <w:jc w:val="center"/>
              <w:rPr/>
            </w:pPr>
            <w:r>
              <w:rPr/>
              <w:t> </w:t>
            </w:r>
          </w:p>
        </w:tc>
      </w:tr>
      <w:tr>
        <w:trPr/>
        <w:tc>
          <w:tcPr>
            <w:tcW w:w="1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Provision</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differs from the amount computed by applying the federal income tax rate of 21% to pre-tax loss for the years ended December 31, 2023, 2022, and 2021 from operations as a result of the following:</w:t>
      </w:r>
    </w:p>
    <w:p>
      <w:pPr>
        <w:pStyle w:val="TextBody"/>
        <w:bidi w:val="0"/>
        <w:jc w:val="left"/>
        <w:rPr/>
      </w:pPr>
      <w:r>
        <w:rPr/>
        <w:t> </w:t>
      </w:r>
    </w:p>
    <w:tbl>
      <w:tblPr>
        <w:tblW w:w="6963" w:type="dxa"/>
        <w:jc w:val="left"/>
        <w:tblInd w:w="0" w:type="dxa"/>
        <w:tblLayout w:type="fixed"/>
        <w:tblCellMar>
          <w:top w:w="28" w:type="dxa"/>
          <w:left w:w="28" w:type="dxa"/>
          <w:bottom w:w="28" w:type="dxa"/>
          <w:right w:w="28" w:type="dxa"/>
        </w:tblCellMar>
      </w:tblPr>
      <w:tblGrid>
        <w:gridCol w:w="3781"/>
        <w:gridCol w:w="146"/>
        <w:gridCol w:w="691"/>
        <w:gridCol w:w="271"/>
        <w:gridCol w:w="691"/>
        <w:gridCol w:w="271"/>
        <w:gridCol w:w="796"/>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0"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shd w:fill="FFFFFF"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6"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27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27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16"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7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16"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7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7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316"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7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316"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7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6"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tax effects of temporary differences that give rise to significant portions of the Company’s deferred tax assets and liabilities as of December 31, 2023 and 2022 related to the following (in thousands): </w:t>
      </w:r>
    </w:p>
    <w:tbl>
      <w:tblPr>
        <w:tblW w:w="6449" w:type="dxa"/>
        <w:jc w:val="left"/>
        <w:tblInd w:w="0" w:type="dxa"/>
        <w:tblLayout w:type="fixed"/>
        <w:tblCellMar>
          <w:top w:w="28" w:type="dxa"/>
          <w:left w:w="28" w:type="dxa"/>
          <w:bottom w:w="28" w:type="dxa"/>
          <w:right w:w="28" w:type="dxa"/>
        </w:tblCellMar>
      </w:tblPr>
      <w:tblGrid>
        <w:gridCol w:w="3676"/>
        <w:gridCol w:w="146"/>
        <w:gridCol w:w="211"/>
        <w:gridCol w:w="841"/>
        <w:gridCol w:w="166"/>
        <w:gridCol w:w="146"/>
        <w:gridCol w:w="211"/>
        <w:gridCol w:w="84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107,341</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15,876</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and development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148,867</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Realizable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21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costs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 (liabilities)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taxes are accounted for under the asset-and-liability method. Deferred tax assets and liabilities are recognized for future tax consequences attributable to differences between the financial statement carrying amounts of existing assets and liabilities and their respective tax bases and operating loss and tax credit carryforward. Deferred tax assets and liabilities are measured using enacted tax rates expected to apply to the taxable income or loss in the future years in which those temporary differences are expected to be recovered or settled. The effect on the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uncertain tax positions taken or expected to be taken in the course of preparing its tax return to determine whether the tax positions are more likely than not of being sustained upon challenge by the applicable taxing authority. The Company recognizes the effect of income tax positions only if those positions are more likely than not of being sustained. Recognized income tax positions measured at the largest amount that is greater than 50% likely of being realized. Changes in recognition or remeasurement are reflected in the period in which the change in judgment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the Company had approximately $434.5 million, $311.6 million, and $0.4 million of net operating loss carryforwards available to offset future federal, state, and foreign taxable income, respectively. If realized, none of the net operating loss carryforwards will be recognized as a benefit through additional paid-in capital. If not realized, federal carryforward losses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$25.4 million will expire beginning in 2032 and $409.1 million of carryforward losses will carryforward indefinitely. State carryforwards will expire beginning 2030. The foreign losses can be carried 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the Company had tax credit carryforwards of $13.0 million and $11.7 million, net of reserves to offset future federal and state tax and $0.2 million of foreign research tax credit carryforwards. The carryforwards will expire in various amounts for federal purposes beginning 2033. The California R&amp;D credits will not expire but the California competes tax credits will expire beginning 2026. The foreign research tax credits are allowed a carryforward of 20 years and are set to expire in 2042.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Utilization of net operating loss carryforwards and credits may be subject to substantial annual limitation due to ownership change limitations provided by the Internal Revenue Code of 1986, as amended, and similar state provisions. The annual limitations may result in the expiration of the net operating losses before utilization.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Company had unrecognized income tax benefits of $5.1 million. The increase in the Company’s unrecognized tax benefit was primarily attributable to current year credit activities. A reconciliation of the beginning and ending amount of unrealized tax benefit (excluding interest and penalties) is as follows (in thousands): </w:t>
      </w:r>
    </w:p>
    <w:tbl>
      <w:tblPr>
        <w:tblW w:w="8413" w:type="dxa"/>
        <w:jc w:val="left"/>
        <w:tblInd w:w="0" w:type="dxa"/>
        <w:tblLayout w:type="fixed"/>
        <w:tblCellMar>
          <w:top w:w="28" w:type="dxa"/>
          <w:left w:w="28" w:type="dxa"/>
          <w:bottom w:w="28" w:type="dxa"/>
          <w:right w:w="28" w:type="dxa"/>
        </w:tblCellMar>
      </w:tblPr>
      <w:tblGrid>
        <w:gridCol w:w="5146"/>
        <w:gridCol w:w="146"/>
        <w:gridCol w:w="211"/>
        <w:gridCol w:w="571"/>
        <w:gridCol w:w="146"/>
        <w:gridCol w:w="146"/>
        <w:gridCol w:w="211"/>
        <w:gridCol w:w="571"/>
        <w:gridCol w:w="146"/>
        <w:gridCol w:w="146"/>
        <w:gridCol w:w="211"/>
        <w:gridCol w:w="57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1" w:type="dxa"/>
            <w:tcBorders/>
            <w:shd w:fill="CFF0FC"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tax positions taken during a prior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tax positions taken during a prior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tax positions taken during the current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total unrecognized tax benefit, if recognized, would not affect the Company’s effective tax rate as the tax benefit would increase the deferred tax asset, which is currently offset with a full valuation allowance. The Company does not anticipate that the amount of existing unrecognized tax benefit will significantly increase or decrease within the next 12 months. Accrued interest and penalties related to the unrecognized tax benefits are recorded in income tax expense. No interest, penalties, or tax benefits were recognized during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U.S. federal, Netherlands, United Kingdom, France, Singapore, Japan, Germany, Canada, India, and Australia income tax returns as well as state income tax returns for various state jurisdictions. Due to the Company’s net operating loss carryforwards in the United States, its income tax returns remain subject to federal and state tax authorities for all prior years. There are no tax years under examination by any jurisdiction, except India, at this time. The Company records liabilities related to uncertain tax positions and believes that it has provided adequate reserves for income tax uncertainties in all open tax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provides for U.S. federal income taxes on the earnings of foreign subsidiaries unless they are considered permanently reinvested outside of the U.S. As of December 31, 2023, the Company’s management asserted that it is their intent to indefinitely reinvest unremitted foreign earnings for all its foreign entities.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lease expense were as follows (in thousands, except years and rate):</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801"/>
        <w:gridCol w:w="146"/>
        <w:gridCol w:w="285"/>
        <w:gridCol w:w="771"/>
        <w:gridCol w:w="197"/>
        <w:gridCol w:w="285"/>
        <w:gridCol w:w="77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09"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91" w:type="dxa"/>
            <w:tcBorders/>
            <w:shd w:fill="CFF0FC"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37" w:type="dxa"/>
        <w:jc w:val="left"/>
        <w:tblInd w:w="0" w:type="dxa"/>
        <w:tblLayout w:type="fixed"/>
        <w:tblCellMar>
          <w:top w:w="28" w:type="dxa"/>
          <w:left w:w="28" w:type="dxa"/>
          <w:bottom w:w="28" w:type="dxa"/>
          <w:right w:w="28" w:type="dxa"/>
        </w:tblCellMar>
      </w:tblPr>
      <w:tblGrid>
        <w:gridCol w:w="3451"/>
        <w:gridCol w:w="146"/>
        <w:gridCol w:w="168"/>
        <w:gridCol w:w="538"/>
        <w:gridCol w:w="312"/>
        <w:gridCol w:w="168"/>
        <w:gridCol w:w="538"/>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4"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16"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term (years)</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16"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8243" w:type="dxa"/>
        <w:jc w:val="left"/>
        <w:tblInd w:w="0" w:type="dxa"/>
        <w:tblLayout w:type="fixed"/>
        <w:tblCellMar>
          <w:top w:w="28" w:type="dxa"/>
          <w:left w:w="28" w:type="dxa"/>
          <w:bottom w:w="28" w:type="dxa"/>
          <w:right w:w="28" w:type="dxa"/>
        </w:tblCellMar>
      </w:tblPr>
      <w:tblGrid>
        <w:gridCol w:w="6196"/>
        <w:gridCol w:w="146"/>
        <w:gridCol w:w="211"/>
        <w:gridCol w:w="571"/>
        <w:gridCol w:w="146"/>
        <w:gridCol w:w="211"/>
        <w:gridCol w:w="571"/>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10"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shd w:fill="FFFFFF" w:val="cle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91" w:type="dxa"/>
            <w:tcBorders/>
            <w:shd w:fill="CFF0FC" w:val="clear"/>
            <w:vAlign w:val="center"/>
          </w:tcPr>
          <w:p>
            <w:pPr>
              <w:pStyle w:val="TableContents"/>
              <w:bidi w:val="0"/>
              <w:spacing w:before="0" w:after="283"/>
              <w:jc w:val="left"/>
              <w:rPr/>
            </w:pPr>
            <w:r>
              <w:rPr/>
              <w:t> </w:t>
            </w:r>
          </w:p>
        </w:tc>
      </w:tr>
      <w:tr>
        <w:trPr/>
        <w:tc>
          <w:tcPr>
            <w:tcW w:w="6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non-cancellable operating leases with initial lease terms in excess of one year included in the Company’s lease liabilities as of December 31, 2023 were as follows (in thousands):</w:t>
      </w:r>
    </w:p>
    <w:p>
      <w:pPr>
        <w:pStyle w:val="TextBody"/>
        <w:bidi w:val="0"/>
        <w:jc w:val="left"/>
        <w:rPr/>
      </w:pPr>
      <w:r>
        <w:rPr/>
        <w:t> </w:t>
      </w:r>
    </w:p>
    <w:tbl>
      <w:tblPr>
        <w:tblW w:w="5750" w:type="dxa"/>
        <w:jc w:val="left"/>
        <w:tblInd w:w="0" w:type="dxa"/>
        <w:tblLayout w:type="fixed"/>
        <w:tblCellMar>
          <w:top w:w="28" w:type="dxa"/>
          <w:left w:w="28" w:type="dxa"/>
          <w:bottom w:w="28" w:type="dxa"/>
          <w:right w:w="28" w:type="dxa"/>
        </w:tblCellMar>
      </w:tblPr>
      <w:tblGrid>
        <w:gridCol w:w="4211"/>
        <w:gridCol w:w="146"/>
        <w:gridCol w:w="211"/>
        <w:gridCol w:w="571"/>
        <w:gridCol w:w="61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 and thereafter</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2021, rent expense was $3.9 million.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various legal and regulatory matters arising from the normal course of business activities. For example, on February 14, 2024, a putative securities class action (the “Putative Class Action”) was filed in the United States District Court for the Northern District of California captioned Fagan v. Amplitude, Inc., et al., Case No. 3:24-cv-00898, naming us, our Chief Executive Officer, and former Chief Financial Officer as defendants. The lawsuit is purportedly brought on behalf of all those who purchased or acquired our common stock between September 21, 2021 and February 16, 2022. The complaint alleges claims under Sections 10(b) and 20(a) of the Securities Exchange Act of 1934 based on allegedly false or misleading statements related to our business and financial outlook. The lawsuit seeks unspecified damages and other relief. The defendants intend to deny the allegations of wrongdoing and vigorously defend against the claims in the Putative Class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matters discussed above, from time to time, we are party to litigation and other legal proceedings in the ordinary course of business. While we do not believe the ultimate resolution of pending legal matters is likely to have a material adverse effect on our financial position, the results of any litigation or other legal proceedings are uncertain and as such the resolution of such legal proceedings, either individually or in the aggregate, could have a material adverse effect on our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share (in thousands, except per share data):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553" w:type="dxa"/>
        <w:jc w:val="left"/>
        <w:tblInd w:w="0" w:type="dxa"/>
        <w:tblLayout w:type="fixed"/>
        <w:tblCellMar>
          <w:top w:w="28" w:type="dxa"/>
          <w:left w:w="28" w:type="dxa"/>
          <w:bottom w:w="28" w:type="dxa"/>
          <w:right w:w="28" w:type="dxa"/>
        </w:tblCellMar>
      </w:tblPr>
      <w:tblGrid>
        <w:gridCol w:w="5461"/>
        <w:gridCol w:w="146"/>
        <w:gridCol w:w="211"/>
        <w:gridCol w:w="781"/>
        <w:gridCol w:w="166"/>
        <w:gridCol w:w="146"/>
        <w:gridCol w:w="211"/>
        <w:gridCol w:w="781"/>
        <w:gridCol w:w="166"/>
        <w:gridCol w:w="146"/>
        <w:gridCol w:w="211"/>
        <w:gridCol w:w="736"/>
        <w:gridCol w:w="3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5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391" w:type="dxa"/>
            <w:tcBorders/>
            <w:shd w:fill="FFFFFF" w:val="clear"/>
            <w:vAlign w:val="center"/>
          </w:tcPr>
          <w:p>
            <w:pPr>
              <w:pStyle w:val="TableContents"/>
              <w:bidi w:val="0"/>
              <w:spacing w:before="0" w:after="283"/>
              <w:jc w:val="center"/>
              <w:rPr/>
            </w:pPr>
            <w:r>
              <w:rPr/>
              <w:t> </w:t>
            </w:r>
          </w:p>
        </w:tc>
      </w:tr>
      <w:tr>
        <w:trPr/>
        <w:tc>
          <w:tcPr>
            <w:tcW w:w="5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shd w:fill="FFFFFF" w:val="clear"/>
            <w:vAlign w:val="center"/>
          </w:tcPr>
          <w:p>
            <w:pPr>
              <w:pStyle w:val="TableContents"/>
              <w:bidi w:val="0"/>
              <w:spacing w:before="0" w:after="283"/>
              <w:jc w:val="center"/>
              <w:rPr/>
            </w:pPr>
            <w:r>
              <w:rPr/>
              <w:t> </w:t>
            </w:r>
          </w:p>
        </w:tc>
      </w:tr>
      <w:tr>
        <w:trPr/>
        <w:tc>
          <w:tcPr>
            <w:tcW w:w="5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Class A and Class B common stockholders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w:t>
              <w:br/>
              <w:t>   attributable to Class A and Class B common stockholders,</w:t>
              <w:br/>
              <w:t>   basic and diluted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attributable to Class A and Class B</w:t>
              <w:br/>
              <w:t>   common stockholders, basic and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 shares of common stock were excluded from the calculation of diluted net loss per share because their effect would have been anti-dilutive for the periods presented (in thousands): </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3481"/>
        <w:gridCol w:w="146"/>
        <w:gridCol w:w="146"/>
        <w:gridCol w:w="676"/>
        <w:gridCol w:w="146"/>
        <w:gridCol w:w="146"/>
        <w:gridCol w:w="146"/>
        <w:gridCol w:w="676"/>
        <w:gridCol w:w="146"/>
        <w:gridCol w:w="146"/>
        <w:gridCol w:w="146"/>
        <w:gridCol w:w="67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5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21,214</w:t>
            </w:r>
          </w:p>
        </w:tc>
        <w:tc>
          <w:tcPr>
            <w:tcW w:w="39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early exercised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3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39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3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2023, the Company authorized a restructuring plan (the “Restructuring Plan”) to reduce its global workforce to improve operational efficiencies and reduce operating costs. In connection with the Restructuring Plan, the Company incurred non-recurring charges of $8.1 million related to employee transition, severance payments, employee benefits,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amounts are included in “Restructuring and other related charges” within the Company's consolidated statements of operations and comprehensive loss as they are incurred, and included in “Accrued expenses” within the Company's consolidated balance sheet if a liability exists as of the respective balance sheet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restructuring liabilities (in thousands):</w:t>
      </w:r>
    </w:p>
    <w:p>
      <w:pPr>
        <w:pStyle w:val="TextBody"/>
        <w:bidi w:val="0"/>
        <w:spacing w:before="120" w:after="283"/>
        <w:jc w:val="left"/>
        <w:rPr/>
      </w:pPr>
      <w:r>
        <w:rPr/>
        <w:t> </w:t>
      </w:r>
    </w:p>
    <w:tbl>
      <w:tblPr>
        <w:tblW w:w="7978" w:type="dxa"/>
        <w:jc w:val="left"/>
        <w:tblInd w:w="0" w:type="dxa"/>
        <w:tblLayout w:type="fixed"/>
        <w:tblCellMar>
          <w:top w:w="28" w:type="dxa"/>
          <w:left w:w="28" w:type="dxa"/>
          <w:bottom w:w="28" w:type="dxa"/>
          <w:right w:w="28" w:type="dxa"/>
        </w:tblCellMar>
      </w:tblPr>
      <w:tblGrid>
        <w:gridCol w:w="3436"/>
        <w:gridCol w:w="146"/>
        <w:gridCol w:w="1047"/>
        <w:gridCol w:w="3138"/>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Accrued restructuring and other related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2023</w:t>
            </w:r>
          </w:p>
        </w:tc>
        <w:tc>
          <w:tcPr>
            <w:tcW w:w="146" w:type="dxa"/>
            <w:tcBorders/>
            <w:shd w:fill="CFF0FC" w:val="clear"/>
            <w:vAlign w:val="center"/>
          </w:tcPr>
          <w:p>
            <w:pPr>
              <w:pStyle w:val="TableContents"/>
              <w:bidi w:val="0"/>
              <w:spacing w:before="0" w:after="283"/>
              <w:jc w:val="right"/>
              <w:rPr/>
            </w:pPr>
            <w:r>
              <w:rPr/>
              <w:t> </w:t>
            </w:r>
          </w:p>
        </w:tc>
        <w:tc>
          <w:tcPr>
            <w:tcW w:w="10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3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vAlign w:val="center"/>
          </w:tcPr>
          <w:p>
            <w:pPr>
              <w:pStyle w:val="TableContents"/>
              <w:bidi w:val="0"/>
              <w:spacing w:before="0" w:after="283"/>
              <w:jc w:val="right"/>
              <w:rPr/>
            </w:pPr>
            <w:r>
              <w:rPr/>
              <w:t> </w:t>
            </w:r>
          </w:p>
        </w:tc>
        <w:tc>
          <w:tcPr>
            <w:tcW w:w="1047" w:type="dxa"/>
            <w:tcBorders/>
            <w:shd w:fill="FFFFFF" w:val="clear"/>
            <w:vAlign w:val="center"/>
          </w:tcPr>
          <w:p>
            <w:pPr>
              <w:pStyle w:val="TableContents"/>
              <w:bidi w:val="0"/>
              <w:spacing w:before="0" w:after="283"/>
              <w:jc w:val="left"/>
              <w:rPr/>
            </w:pPr>
            <w:r>
              <w:rPr/>
              <w:t> </w:t>
            </w:r>
          </w:p>
        </w:tc>
        <w:tc>
          <w:tcPr>
            <w:tcW w:w="31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w:t>
            </w:r>
          </w:p>
        </w:tc>
        <w:tc>
          <w:tcPr>
            <w:tcW w:w="211"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vAlign w:val="center"/>
          </w:tcPr>
          <w:p>
            <w:pPr>
              <w:pStyle w:val="TableContents"/>
              <w:bidi w:val="0"/>
              <w:spacing w:before="0" w:after="283"/>
              <w:jc w:val="righ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December 31, 2023</w:t>
            </w:r>
          </w:p>
        </w:tc>
        <w:tc>
          <w:tcPr>
            <w:tcW w:w="146" w:type="dxa"/>
            <w:tcBorders/>
            <w:shd w:fill="FFFFFF" w:val="clear"/>
            <w:vAlign w:val="center"/>
          </w:tcPr>
          <w:p>
            <w:pPr>
              <w:pStyle w:val="TableContents"/>
              <w:bidi w:val="0"/>
              <w:spacing w:before="0" w:after="283"/>
              <w:jc w:val="right"/>
              <w:rPr/>
            </w:pPr>
            <w:r>
              <w:rPr/>
              <w:t> </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and February 2024, the Company issued 0.6 million RSUs to its employees with service-based vesting conditions. The service-based vesting condition for these awards is satisfied over three years. The grant date fair value of the RSUs issued in January and February 2024 was approximately $8.2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_9_changes_disagreements_w_accnts"/>
      <w:bookmarkEnd w:id="25"/>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26" w:name="item_9a"/>
      <w:bookmarkEnd w:id="26"/>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 w:hAnsi="Times New Roman"/>
          <w:i/>
          <w:color w:val="000000"/>
          <w:sz w:val="20"/>
        </w:rPr>
        <w:t>Internal Control—Integrated Framework</w:t>
      </w:r>
      <w:r>
        <w:rPr>
          <w:rFonts w:ascii="Times New Roman" w:hAnsi="Times New Roman"/>
          <w:color w:val="000000"/>
          <w:sz w:val="20"/>
        </w:rPr>
        <w:t xml:space="preserve"> (2013) issued by the Committee of Sponsoring Organizations of the Treadway Commission (COSO). Based on that assessment, management has concluded that our internal control over financial reporting was effective as of December 31, 2023 to provide reasonable assurance regarding the reliability of financial reporting and the preparation of financial statements for external purposes in accordance with GAAP. Our independent registered public accounting firm, KPMG LLP, who audited the consolidated financial statements included in this Annual Report on Form 10-K, issued an audit report on our internal control over financial reporting. That Report of Independent Registered Public Accounting Firm is included in Item 8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b/>
          <w:color w:val="000000"/>
          <w:sz w:val="20"/>
        </w:rPr>
      </w:pPr>
      <w:bookmarkStart w:id="27" w:name="item_9b_other_information"/>
      <w:bookmarkEnd w:id="27"/>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21, 2023, Catherine Wong, a member of our board of directors, adopted a Rule 10b5-1 trading plan that is intended to satisfy the affirmative defense of Rule 10b5-1(c) for the sale of up to 14,060 shares of the Company's Class A common stock until November 30, 2024.</w:t>
      </w:r>
    </w:p>
    <w:p>
      <w:pPr>
        <w:pStyle w:val="TextBody"/>
        <w:bidi w:val="0"/>
        <w:spacing w:before="360" w:after="283"/>
        <w:jc w:val="left"/>
        <w:rPr>
          <w:rFonts w:ascii="Times New Roman" w:hAnsi="Times New Roman"/>
          <w:b/>
          <w:color w:val="000000"/>
          <w:sz w:val="20"/>
        </w:rPr>
      </w:pPr>
      <w:bookmarkStart w:id="28" w:name="item_9c"/>
      <w:bookmarkEnd w:id="28"/>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00" w:after="283"/>
        <w:jc w:val="left"/>
        <w:rPr>
          <w:rFonts w:ascii="Times New Roman" w:hAnsi="Times New Roman"/>
          <w:sz w:val="20"/>
        </w:rPr>
      </w:pPr>
      <w:bookmarkStart w:id="29" w:name="item_10_directors_executive_officers"/>
      <w:bookmarkEnd w:id="29"/>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investors.amplitude.com. We intend to satisfy the disclosure requirement under Item 5.05 of Form 8-K regarding amendments to, or waiver from, a provision of our code of business conduct and ethics by posting such information on the website address and location specified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360" w:after="283"/>
        <w:jc w:val="left"/>
        <w:rPr>
          <w:rFonts w:ascii="Times New Roman" w:hAnsi="Times New Roman"/>
          <w:sz w:val="20"/>
        </w:rPr>
      </w:pPr>
      <w:bookmarkStart w:id="30" w:name="item_11_executive_compensation"/>
      <w:bookmarkEnd w:id="30"/>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360" w:after="283"/>
        <w:jc w:val="left"/>
        <w:rPr>
          <w:rFonts w:ascii="Times New Roman" w:hAnsi="Times New Roman"/>
          <w:sz w:val="20"/>
        </w:rPr>
      </w:pPr>
      <w:bookmarkStart w:id="31" w:name="item_12_security_ownership"/>
      <w:bookmarkEnd w:id="31"/>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360" w:after="283"/>
        <w:jc w:val="left"/>
        <w:rPr>
          <w:rFonts w:ascii="Times New Roman" w:hAnsi="Times New Roman"/>
          <w:sz w:val="20"/>
        </w:rPr>
      </w:pPr>
      <w:bookmarkStart w:id="32" w:name="item_13_certain_relationships"/>
      <w:bookmarkEnd w:id="32"/>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360" w:after="283"/>
        <w:jc w:val="left"/>
        <w:rPr>
          <w:rFonts w:ascii="Times New Roman" w:hAnsi="Times New Roman"/>
          <w:sz w:val="20"/>
        </w:rPr>
      </w:pPr>
      <w:bookmarkStart w:id="33" w:name="item_14_principal_accntng_fees"/>
      <w:bookmarkEnd w:id="33"/>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34" w:name="item_15"/>
      <w:bookmarkEnd w:id="34"/>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statement are included in Part II, Item 8 of this Annual Report on Form 10-K:</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Redeemable Convertible Preferred Stock and Stockholders’ Equity (Deficit)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Schedules not listed above have been omitted because the information required to be set forth therein is not applicable or is shown in the financial statements or notes herein.</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5109"/>
        <w:gridCol w:w="586"/>
        <w:gridCol w:w="865"/>
        <w:gridCol w:w="736"/>
        <w:gridCol w:w="766"/>
        <w:gridCol w:w="1099"/>
      </w:tblGrid>
      <w:tr>
        <w:trPr/>
        <w:tc>
          <w:tcPr>
            <w:tcW w:w="1044" w:type="dxa"/>
            <w:tcBorders/>
            <w:vAlign w:val="center"/>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c>
          <w:tcPr>
            <w:tcW w:w="1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Filed Herewith</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Description of Securities Registered Pursuant to Section 12 of the Securities Exchange Act of 1934.</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2/16/2022</w:t>
            </w:r>
          </w:p>
        </w:tc>
        <w:tc>
          <w:tcPr>
            <w:tcW w:w="10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Stock Certificate evidencing the shares of Class A Common Stock.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Specimen Stock Certificate evidencing the shares of Class B Common Stock.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S-8</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333-259698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9/21/2021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Investors’ Rights Agreement, dated as of May 28, 2021, as amended, by and among the Registrant and certain of its stockholders.</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Warrant to Purchase Common Stock, dated November 22, 2017, issued to Pacific Western Bank.</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Sublease, dated May 13, 2021, by and between the Registrant and Postmates, LLC.</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2014 Stock Option and Grant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10.2(a)</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Agreements under Amended and Restated 2014 Stock Option and Grant Plan, as amended.</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10.3(a)#</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2021 Incentive Award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10.3(a)</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10.3(b)#</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Agreements under 2021 Incentive Award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10.3(b)</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109"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2021 Employee Stock Purchase Plan.</w:t>
              </w:r>
            </w:hyperlink>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109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0"/>
        <w:gridCol w:w="6833"/>
        <w:gridCol w:w="424"/>
        <w:gridCol w:w="871"/>
        <w:gridCol w:w="466"/>
        <w:gridCol w:w="682"/>
        <w:gridCol w:w="289"/>
      </w:tblGrid>
      <w:tr>
        <w:trPr/>
        <w:tc>
          <w:tcPr>
            <w:tcW w:w="640" w:type="dxa"/>
            <w:tcBorders/>
            <w:vAlign w:val="center"/>
          </w:tcPr>
          <w:p>
            <w:pPr>
              <w:pStyle w:val="TableContents"/>
              <w:bidi w:val="0"/>
              <w:spacing w:before="0" w:after="283"/>
              <w:jc w:val="left"/>
              <w:rPr>
                <w:sz w:val="4"/>
                <w:szCs w:val="4"/>
              </w:rPr>
            </w:pPr>
            <w:r>
              <w:rPr>
                <w:sz w:val="4"/>
                <w:szCs w:val="4"/>
              </w:rPr>
            </w:r>
          </w:p>
        </w:tc>
        <w:tc>
          <w:tcPr>
            <w:tcW w:w="68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333-259168</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8/30/2021</w:t>
            </w:r>
          </w:p>
        </w:tc>
        <w:tc>
          <w:tcPr>
            <w:tcW w:w="2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Section 16 Bonus Plan</w:t>
              </w:r>
            </w:hyperlink>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001-40817</w:t>
            </w:r>
          </w:p>
        </w:tc>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8/8/2023</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10_7.htm">
              <w:r>
                <w:rPr>
                  <w:rStyle w:val="InternetLink"/>
                  <w:rFonts w:ascii="Times New Roman" w:hAnsi="Times New Roman"/>
                  <w:color w:val="0000FF"/>
                  <w:sz w:val="20"/>
                  <w:u w:val="single"/>
                </w:rPr>
                <w:t>Amended Non-Employee Director Compensation Program.</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21_1.htm">
              <w:r>
                <w:rPr>
                  <w:rStyle w:val="InternetLink"/>
                  <w:rFonts w:ascii="Times New Roman" w:hAnsi="Times New Roman"/>
                  <w:color w:val="0000FF"/>
                  <w:sz w:val="20"/>
                  <w:u w:val="single"/>
                </w:rPr>
                <w:t>Subsidiaries of Registrant</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23_1.htm">
              <w:r>
                <w:rPr>
                  <w:rStyle w:val="InternetLink"/>
                  <w:rFonts w:ascii="Times New Roman" w:hAnsi="Times New Roman"/>
                  <w:color w:val="0000FF"/>
                  <w:sz w:val="20"/>
                  <w:u w:val="single"/>
                </w:rPr>
                <w:t>Consent of KPMG LLP, independent registered public accounting firm.</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in signature page hereto)</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833" w:type="dxa"/>
            <w:tcBorders/>
            <w:tcMar>
              <w:top w:w="0" w:type="dxa"/>
              <w:left w:w="0" w:type="dxa"/>
              <w:bottom w:w="0" w:type="dxa"/>
              <w:right w:w="0" w:type="dxa"/>
            </w:tcMar>
            <w:vAlign w:val="center"/>
          </w:tcPr>
          <w:p>
            <w:pPr>
              <w:pStyle w:val="TableContents"/>
              <w:bidi w:val="0"/>
              <w:spacing w:before="0" w:after="283"/>
              <w:jc w:val="left"/>
              <w:rPr/>
            </w:pPr>
            <w:hyperlink w:anchor="ampl-ex97_1.htm">
              <w:r>
                <w:rPr>
                  <w:rStyle w:val="InternetLink"/>
                  <w:rFonts w:ascii="Times New Roman" w:hAnsi="Times New Roman"/>
                  <w:color w:val="0000FF"/>
                  <w:sz w:val="20"/>
                  <w:u w:val="single"/>
                </w:rPr>
                <w:t>Policy Relating to Recovery of Erroneously Awarded Compensation</w:t>
              </w:r>
            </w:hyperlink>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8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jc w:val="left"/>
        <w:rPr>
          <w:rFonts w:ascii="Times New Roman" w:hAnsi="Times New Roman"/>
          <w:sz w:val="20"/>
        </w:rPr>
      </w:pPr>
      <w:r>
        <w:rPr>
          <w:rFonts w:ascii="Times New Roman" w:hAnsi="Times New Roman"/>
          <w:color w:val="000000"/>
          <w:sz w:val="16"/>
        </w:rPr>
        <w:t>* The certifications attached as Exhibit 32.1 and Exhibit 32.2 that accompany this Annual Report on Form 10-K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Annual Report on Form 10-K, irrespective of any general incorporation language contained in such filing.</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35" w:name="item_16_form_10k_summary"/>
      <w:bookmarkEnd w:id="35"/>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Amplitude,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By: </w:t>
      </w:r>
    </w:p>
    <w:p>
      <w:pPr>
        <w:pStyle w:val="TextBody"/>
        <w:bidi w:val="0"/>
        <w:jc w:val="center"/>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color w:val="000000"/>
                <w:sz w:val="20"/>
              </w:rPr>
              <w:t>Spenser Skates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February 20,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power_of_attorney"/>
      <w:bookmarkEnd w:id="37"/>
      <w:r>
        <w:rPr>
          <w:rFonts w:ascii="Times New Roman" w:hAnsi="Times New Roman"/>
          <w:b/>
          <w:color w:val="000000"/>
          <w:sz w:val="20"/>
        </w:rPr>
        <w:t>POWER OF</w:t>
      </w:r>
      <w:r>
        <w:rPr>
          <w:rFonts w:ascii="Times New Roman" w:hAnsi="Times New Roman"/>
          <w:color w:val="000000"/>
          <w:sz w:val="20"/>
        </w:rPr>
        <w:t xml:space="preserve"> </w:t>
      </w:r>
      <w:r>
        <w:rPr>
          <w:rFonts w:ascii="Times New Roman" w:hAnsi="Times New Roman"/>
          <w:b/>
          <w:color w:val="000000"/>
          <w:sz w:val="20"/>
        </w:rPr>
        <w:t>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Spenser Skates, Christopher Harms, and Elizabeth Fisher,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and in the capacities and on the dates indicated.</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1876"/>
        <w:gridCol w:w="146"/>
        <w:gridCol w:w="3826"/>
        <w:gridCol w:w="146"/>
        <w:gridCol w:w="163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Chairperson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Spenser Skates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Harms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Harms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Gill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Gill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 Grady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 Grady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Curtis Liu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Curtis Liu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Erica Schultz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Erica Schultz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Elisa Steele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Elisa Steele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 Vishria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 Vishria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Whitehurst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Whitehurst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Catherine Wong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 2024</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Catherine Wong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right"/>
        <w:rPr/>
      </w:pPr>
      <w:bookmarkStart w:id="38" w:name="ampl-ex10_7.htm"/>
      <w:bookmarkStart w:id="39" w:name="ksamplex10_7"/>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jc w:val="center"/>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Amplitude, Inc.</w:t>
      </w:r>
    </w:p>
    <w:p>
      <w:pPr>
        <w:pStyle w:val="TextBody"/>
        <w:bidi w:val="0"/>
        <w:jc w:val="center"/>
        <w:rPr>
          <w:rFonts w:ascii="Times New Roman" w:hAnsi="Times New Roman"/>
          <w:b/>
          <w:caps/>
          <w:color w:val="000000"/>
          <w:sz w:val="20"/>
        </w:rPr>
      </w:pPr>
      <w:r>
        <w:rPr>
          <w:rFonts w:ascii="Times New Roman" w:hAnsi="Times New Roman"/>
          <w:b/>
          <w:caps/>
          <w:color w:val="000000"/>
          <w:sz w:val="20"/>
        </w:rPr>
        <w:t>Non-Employee Director Compensation Program</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Amplitude, Inc. (the “</w:t>
      </w:r>
      <w:r>
        <w:rPr>
          <w:rFonts w:ascii="Times New Roman" w:hAnsi="Times New Roman"/>
          <w:b/>
          <w:i/>
          <w:color w:val="000000"/>
          <w:sz w:val="20"/>
        </w:rPr>
        <w:t>Company</w:t>
      </w:r>
      <w:r>
        <w:rPr>
          <w:rFonts w:ascii="Times New Roman" w:hAnsi="Times New Roman"/>
          <w:color w:val="000000"/>
          <w:sz w:val="20"/>
        </w:rPr>
        <w:t>”) Non-Employee Director Compensation Program (this “</w:t>
      </w:r>
      <w:r>
        <w:rPr>
          <w:rFonts w:ascii="Times New Roman" w:hAnsi="Times New Roman"/>
          <w:b/>
          <w:i/>
          <w:color w:val="000000"/>
          <w:sz w:val="20"/>
        </w:rPr>
        <w:t>Program</w:t>
      </w:r>
      <w:r>
        <w:rPr>
          <w:rFonts w:ascii="Times New Roman" w:hAnsi="Times New Roman"/>
          <w:color w:val="000000"/>
          <w:sz w:val="20"/>
        </w:rPr>
        <w:t>”) has been adopted under the Company’s 2021 Incentive Award Plan (the “</w:t>
      </w:r>
      <w:r>
        <w:rPr>
          <w:rFonts w:ascii="Times New Roman" w:hAnsi="Times New Roman"/>
          <w:b/>
          <w:i/>
          <w:color w:val="000000"/>
          <w:sz w:val="20"/>
        </w:rPr>
        <w:t>Plan</w:t>
      </w:r>
      <w:r>
        <w:rPr>
          <w:rFonts w:ascii="Times New Roman" w:hAnsi="Times New Roman"/>
          <w:color w:val="000000"/>
          <w:sz w:val="20"/>
        </w:rPr>
        <w:t>”) and shall be effective upon January 1, 2024 (the “</w:t>
      </w:r>
      <w:r>
        <w:rPr>
          <w:rFonts w:ascii="Times New Roman" w:hAnsi="Times New Roman"/>
          <w:b/>
          <w:i/>
          <w:color w:val="000000"/>
          <w:sz w:val="20"/>
        </w:rPr>
        <w:t>Effective Date</w:t>
      </w:r>
      <w:r>
        <w:rPr>
          <w:rFonts w:ascii="Times New Roman" w:hAnsi="Times New Roman"/>
          <w:color w:val="000000"/>
          <w:sz w:val="20"/>
        </w:rPr>
        <w:t>”). Capitalized terms not otherwise defined herein shall have the meaning ascribed in the Plan.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Compensation</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upon the Effective Date, annual retainers will be paid in the following amounts to Non-Employee Directors: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Board Service</w:t>
      </w:r>
    </w:p>
    <w:tbl>
      <w:tblPr>
        <w:tblW w:w="2942" w:type="dxa"/>
        <w:jc w:val="left"/>
        <w:tblInd w:w="0" w:type="dxa"/>
        <w:tblLayout w:type="fixed"/>
        <w:tblCellMar>
          <w:top w:w="28" w:type="dxa"/>
          <w:left w:w="28" w:type="dxa"/>
          <w:bottom w:w="28" w:type="dxa"/>
          <w:right w:w="28" w:type="dxa"/>
        </w:tblCellMar>
      </w:tblPr>
      <w:tblGrid>
        <w:gridCol w:w="2116"/>
        <w:gridCol w:w="826"/>
      </w:tblGrid>
      <w:tr>
        <w:trPr/>
        <w:tc>
          <w:tcPr>
            <w:tcW w:w="21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116"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w:t>
            </w:r>
          </w:p>
        </w:tc>
        <w:tc>
          <w:tcPr>
            <w:tcW w:w="826"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Additional Board Service</w:t>
      </w:r>
    </w:p>
    <w:tbl>
      <w:tblPr>
        <w:tblW w:w="3182" w:type="dxa"/>
        <w:jc w:val="left"/>
        <w:tblInd w:w="0" w:type="dxa"/>
        <w:tblLayout w:type="fixed"/>
        <w:tblCellMar>
          <w:top w:w="28" w:type="dxa"/>
          <w:left w:w="28" w:type="dxa"/>
          <w:bottom w:w="28" w:type="dxa"/>
          <w:right w:w="28" w:type="dxa"/>
        </w:tblCellMar>
      </w:tblPr>
      <w:tblGrid>
        <w:gridCol w:w="2356"/>
        <w:gridCol w:w="826"/>
      </w:tblGrid>
      <w:tr>
        <w:trPr/>
        <w:tc>
          <w:tcPr>
            <w:tcW w:w="23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356"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c>
          <w:tcPr>
            <w:tcW w:w="826"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r>
      <w:tr>
        <w:trPr/>
        <w:tc>
          <w:tcPr>
            <w:tcW w:w="2356"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Non-Executive Chair:</w:t>
            </w:r>
          </w:p>
        </w:tc>
        <w:tc>
          <w:tcPr>
            <w:tcW w:w="82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Additional Committee Service</w:t>
      </w:r>
    </w:p>
    <w:tbl>
      <w:tblPr>
        <w:tblW w:w="6768" w:type="dxa"/>
        <w:jc w:val="left"/>
        <w:tblInd w:w="0" w:type="dxa"/>
        <w:tblLayout w:type="fixed"/>
        <w:tblCellMar>
          <w:top w:w="28" w:type="dxa"/>
          <w:left w:w="28" w:type="dxa"/>
          <w:bottom w:w="28" w:type="dxa"/>
          <w:right w:w="28" w:type="dxa"/>
        </w:tblCellMar>
      </w:tblPr>
      <w:tblGrid>
        <w:gridCol w:w="4981"/>
        <w:gridCol w:w="781"/>
        <w:gridCol w:w="1006"/>
      </w:tblGrid>
      <w:tr>
        <w:trPr/>
        <w:tc>
          <w:tcPr>
            <w:tcW w:w="49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981"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Chair</w:t>
            </w:r>
          </w:p>
        </w:tc>
        <w:tc>
          <w:tcPr>
            <w:tcW w:w="10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Non-Chair</w:t>
            </w:r>
          </w:p>
        </w:tc>
      </w:tr>
      <w:tr>
        <w:trPr/>
        <w:tc>
          <w:tcPr>
            <w:tcW w:w="498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w:t>
            </w:r>
          </w:p>
        </w:tc>
        <w:tc>
          <w:tcPr>
            <w:tcW w:w="78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0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r>
      <w:tr>
        <w:trPr/>
        <w:tc>
          <w:tcPr>
            <w:tcW w:w="498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w:t>
            </w:r>
          </w:p>
        </w:tc>
        <w:tc>
          <w:tcPr>
            <w:tcW w:w="78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0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r>
      <w:tr>
        <w:trPr/>
        <w:tc>
          <w:tcPr>
            <w:tcW w:w="498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781"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0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annual retainers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Election to Receive Restricted Stock Units (“RSUs”) In Lieu of Annual Retainers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8"/>
        <w:gridCol w:w="9447"/>
      </w:tblGrid>
      <w:tr>
        <w:trPr/>
        <w:tc>
          <w:tcPr>
            <w:tcW w:w="758" w:type="dxa"/>
            <w:tcBorders/>
            <w:vAlign w:val="center"/>
          </w:tcPr>
          <w:p>
            <w:pPr>
              <w:pStyle w:val="TableContents"/>
              <w:bidi w:val="0"/>
              <w:spacing w:before="0" w:after="283"/>
              <w:jc w:val="left"/>
              <w:rPr>
                <w:sz w:val="4"/>
                <w:szCs w:val="4"/>
              </w:rPr>
            </w:pPr>
            <w:r>
              <w:rPr>
                <w:sz w:val="4"/>
                <w:szCs w:val="4"/>
              </w:rPr>
            </w:r>
          </w:p>
        </w:tc>
        <w:tc>
          <w:tcPr>
            <w:tcW w:w="9447" w:type="dxa"/>
            <w:tcBorders/>
            <w:vAlign w:val="center"/>
          </w:tcPr>
          <w:p>
            <w:pPr>
              <w:pStyle w:val="TableContents"/>
              <w:bidi w:val="0"/>
              <w:spacing w:before="0" w:after="283"/>
              <w:jc w:val="left"/>
              <w:rPr>
                <w:sz w:val="4"/>
                <w:szCs w:val="4"/>
              </w:rPr>
            </w:pPr>
            <w:r>
              <w:rPr>
                <w:sz w:val="4"/>
                <w:szCs w:val="4"/>
              </w:rPr>
            </w:r>
          </w:p>
        </w:tc>
      </w:tr>
      <w:tr>
        <w:trPr/>
        <w:tc>
          <w:tcPr>
            <w:tcW w:w="7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General:</w:t>
            </w:r>
          </w:p>
        </w:tc>
        <w:tc>
          <w:tcPr>
            <w:tcW w:w="9447"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The Board or the Compensation Committee may, in its discretion, provide Non-Employee Directors with the opportunity to elect to convert all or a portion of their annual retainers into awards of RSUs (“</w:t>
            </w:r>
            <w:r>
              <w:rPr>
                <w:rFonts w:ascii="Times New Roman" w:hAnsi="Times New Roman"/>
                <w:b/>
                <w:i/>
                <w:color w:val="000000"/>
                <w:sz w:val="20"/>
              </w:rPr>
              <w:t>Retainer RSU Awards</w:t>
            </w:r>
            <w:r>
              <w:rPr>
                <w:rFonts w:ascii="Times New Roman" w:hAnsi="Times New Roman"/>
                <w:color w:val="000000"/>
                <w:sz w:val="20"/>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 w:hAnsi="Times New Roman"/>
                <w:b/>
                <w:i/>
                <w:color w:val="000000"/>
                <w:sz w:val="20"/>
              </w:rPr>
              <w:t>Retainer RSU Election</w:t>
            </w:r>
            <w:r>
              <w:rPr>
                <w:rFonts w:ascii="Times New Roman" w:hAnsi="Times New Roman"/>
                <w:color w:val="000000"/>
                <w:sz w:val="20"/>
              </w:rPr>
              <w:t xml:space="preserve">”). </w:t>
            </w:r>
          </w:p>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Each Retainer RSU Award automatically will be granted on the fifth day of the month immediately following the end of the quarter for which the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
        <w:gridCol w:w="9289"/>
      </w:tblGrid>
      <w:tr>
        <w:trPr/>
        <w:tc>
          <w:tcPr>
            <w:tcW w:w="916" w:type="dxa"/>
            <w:tcBorders/>
            <w:vAlign w:val="center"/>
          </w:tcPr>
          <w:p>
            <w:pPr>
              <w:pStyle w:val="TableContents"/>
              <w:bidi w:val="0"/>
              <w:spacing w:before="0" w:after="283"/>
              <w:jc w:val="left"/>
              <w:rPr>
                <w:sz w:val="4"/>
                <w:szCs w:val="4"/>
              </w:rPr>
            </w:pPr>
            <w:r>
              <w:rPr>
                <w:sz w:val="4"/>
                <w:szCs w:val="4"/>
              </w:rPr>
            </w:r>
          </w:p>
        </w:tc>
        <w:tc>
          <w:tcPr>
            <w:tcW w:w="9289"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9"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corresponding portion of the annual retainer was earned. Each Retainer RSU Award will be fully vested on the grant date.</w:t>
            </w:r>
          </w:p>
          <w:p>
            <w:pPr>
              <w:pStyle w:val="TableContents"/>
              <w:bidi w:val="0"/>
              <w:spacing w:before="0" w:after="283"/>
              <w:jc w:val="both"/>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Election Method:</w:t>
            </w:r>
          </w:p>
        </w:tc>
        <w:tc>
          <w:tcPr>
            <w:tcW w:w="9289" w:type="dxa"/>
            <w:tcBorders/>
            <w:tcMar>
              <w:top w:w="0" w:type="dxa"/>
              <w:left w:w="0" w:type="dxa"/>
              <w:bottom w:w="0" w:type="dxa"/>
              <w:right w:w="0" w:type="dxa"/>
            </w:tcMar>
            <w:vAlign w:val="center"/>
          </w:tcPr>
          <w:p>
            <w:pPr>
              <w:pStyle w:val="TableContents"/>
              <w:bidi w:val="0"/>
              <w:spacing w:before="0" w:after="240"/>
              <w:ind w:left="0" w:right="187" w:firstLine="14"/>
              <w:jc w:val="both"/>
              <w:rPr>
                <w:rFonts w:ascii="Times New Roman" w:hAnsi="Times New Roman"/>
                <w:sz w:val="20"/>
              </w:rPr>
            </w:pPr>
            <w:r>
              <w:rPr>
                <w:rFonts w:ascii="Times New Roman" w:hAnsi="Times New Roman"/>
                <w:color w:val="000000"/>
                <w:sz w:val="20"/>
              </w:rPr>
              <w:t>Each Retainer RSU Election must be submitted to the Company in the form and manner specified by the Board or its Compensation Committee (the “</w:t>
            </w:r>
            <w:r>
              <w:rPr>
                <w:rFonts w:ascii="Times New Roman" w:hAnsi="Times New Roman"/>
                <w:b/>
                <w:i/>
                <w:color w:val="000000"/>
                <w:sz w:val="20"/>
              </w:rPr>
              <w:t>Compensation Committee</w:t>
            </w:r>
            <w:r>
              <w:rPr>
                <w:rFonts w:ascii="Times New Roman" w:hAnsi="Times New Roman"/>
                <w:color w:val="000000"/>
                <w:sz w:val="20"/>
              </w:rPr>
              <w:t>”). An individual who fails to make a timely Retainer RSU Election shall not receive a Retainer RSU Award and instead shall receive the applicable annual retainer in cash. Retainer RSU Elections must comply with the following timing requirements:</w:t>
            </w:r>
          </w:p>
          <w:p>
            <w:pPr>
              <w:pStyle w:val="TableContents"/>
              <w:bidi w:val="0"/>
              <w:spacing w:before="121" w:after="283"/>
              <w:ind w:left="273" w:right="144" w:hanging="0"/>
              <w:jc w:val="both"/>
              <w:rPr>
                <w:color w:val="000000"/>
                <w:u w:val="single"/>
              </w:rPr>
            </w:pPr>
            <w:r>
              <w:rPr>
                <w:color w:val="000000"/>
                <w:u w:val="single"/>
              </w:rPr>
              <w:t>•</w:t>
            </w:r>
          </w:p>
          <w:p>
            <w:pPr>
              <w:pStyle w:val="TableContents"/>
              <w:bidi w:val="0"/>
              <w:spacing w:before="121" w:after="283"/>
              <w:jc w:val="both"/>
              <w:rPr/>
            </w:pPr>
            <w:r>
              <w:rPr>
                <w:rFonts w:ascii="Times New Roman" w:hAnsi="Times New Roman"/>
                <w:color w:val="000000"/>
                <w:sz w:val="20"/>
                <w:u w:val="single"/>
              </w:rPr>
              <w:t>Initial Election</w:t>
            </w:r>
            <w:r>
              <w:rPr>
                <w:rFonts w:ascii="Times New Roman" w:hAnsi="Times New Roman"/>
                <w:color w:val="000000"/>
                <w:sz w:val="20"/>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 w:hAnsi="Times New Roman"/>
                <w:b/>
                <w:i/>
                <w:color w:val="000000"/>
                <w:sz w:val="20"/>
              </w:rPr>
              <w:t>Initial Retainer RSU Election</w:t>
            </w:r>
            <w:r>
              <w:rPr>
                <w:color w:val="000000"/>
              </w:rPr>
              <w:t>”</w:t>
            </w:r>
            <w:r>
              <w:rPr>
                <w:rFonts w:ascii="Times New Roman" w:hAnsi="Times New Roman"/>
                <w:color w:val="000000"/>
                <w:sz w:val="20"/>
              </w:rPr>
              <w:t>). The Initial Retainer RSU Election must be submitted to the Company on or before the date that the individual first becomes a Non-Employee Director (the “</w:t>
            </w:r>
            <w:r>
              <w:rPr>
                <w:rFonts w:ascii="Times New Roman" w:hAnsi="Times New Roman"/>
                <w:b/>
                <w:i/>
                <w:color w:val="000000"/>
                <w:sz w:val="20"/>
              </w:rPr>
              <w:t>Initial Election Deadline</w:t>
            </w:r>
            <w:r>
              <w:rPr>
                <w:color w:val="000000"/>
              </w:rPr>
              <w:t>”</w:t>
            </w:r>
            <w:r>
              <w:rPr>
                <w:rFonts w:ascii="Times New Roman" w:hAnsi="Times New Roman"/>
                <w:color w:val="000000"/>
                <w:sz w:val="20"/>
              </w:rPr>
              <w:t>), and the Initial Retainer RSU Election shall become final and irrevocable as of the Initial Election Deadline.</w:t>
            </w:r>
          </w:p>
          <w:p>
            <w:pPr>
              <w:pStyle w:val="TableContents"/>
              <w:bidi w:val="0"/>
              <w:spacing w:before="138" w:after="283"/>
              <w:ind w:left="273" w:right="187" w:hanging="0"/>
              <w:jc w:val="both"/>
              <w:rPr>
                <w:color w:val="000000"/>
                <w:u w:val="single"/>
              </w:rPr>
            </w:pPr>
            <w:r>
              <w:rPr>
                <w:color w:val="000000"/>
                <w:u w:val="single"/>
              </w:rPr>
              <w:t>•</w:t>
            </w:r>
          </w:p>
          <w:p>
            <w:pPr>
              <w:pStyle w:val="TableContents"/>
              <w:bidi w:val="0"/>
              <w:spacing w:before="138" w:after="283"/>
              <w:jc w:val="both"/>
              <w:rPr/>
            </w:pPr>
            <w:r>
              <w:rPr>
                <w:rFonts w:ascii="Times New Roman" w:hAnsi="Times New Roman"/>
                <w:color w:val="000000"/>
                <w:sz w:val="20"/>
                <w:u w:val="single"/>
              </w:rPr>
              <w:t>Annual Election</w:t>
            </w:r>
            <w:r>
              <w:rPr>
                <w:rFonts w:ascii="Times New Roman" w:hAnsi="Times New Roman"/>
                <w:color w:val="000000"/>
                <w:sz w:val="20"/>
              </w:rPr>
              <w:t>. No later than December 31 of each calendar year, or such earlier deadline as may be established by the Board or the Compensation Committee, in its discretion (the “</w:t>
            </w:r>
            <w:r>
              <w:rPr>
                <w:rFonts w:ascii="Times New Roman" w:hAnsi="Times New Roman"/>
                <w:b/>
                <w:i/>
                <w:color w:val="000000"/>
                <w:sz w:val="20"/>
              </w:rPr>
              <w:t>Annual Election Deadline</w:t>
            </w:r>
            <w:r>
              <w:rPr>
                <w:color w:val="000000"/>
              </w:rPr>
              <w:t>”</w:t>
            </w:r>
            <w:r>
              <w:rPr>
                <w:rFonts w:ascii="Times New Roman" w:hAnsi="Times New Roman"/>
                <w:color w:val="000000"/>
                <w:sz w:val="20"/>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 w:hAnsi="Times New Roman"/>
                <w:b/>
                <w:i/>
                <w:color w:val="000000"/>
                <w:sz w:val="20"/>
              </w:rPr>
              <w:t>Annual Retainer RSU Election</w:t>
            </w:r>
            <w:r>
              <w:rPr>
                <w:color w:val="000000"/>
              </w:rPr>
              <w:t>”</w:t>
            </w:r>
            <w:r>
              <w:rPr>
                <w:rFonts w:ascii="Times New Roman" w:hAnsi="Times New Roman"/>
                <w:color w:val="000000"/>
                <w:sz w:val="20"/>
              </w:rPr>
              <w:t xml:space="preserve">). The Annual Retainer RSU Election must be submitted to the Company on or before the applicable Annual Election Deadline and shall become effective and irrevocable as of the Annual Election Deadline. </w:t>
            </w:r>
          </w:p>
        </w:tc>
      </w:tr>
    </w:tbl>
    <w:p>
      <w:pPr>
        <w:pStyle w:val="TextBody"/>
        <w:bidi w:val="0"/>
        <w:jc w:val="both"/>
        <w:rPr>
          <w:rFonts w:ascii="Times New Roman" w:hAnsi="Times New Roman"/>
          <w:b/>
          <w:i/>
          <w:color w:val="000000"/>
          <w:sz w:val="20"/>
        </w:rPr>
      </w:pPr>
      <w:r>
        <w:rPr>
          <w:rFonts w:ascii="Times New Roman" w:hAnsi="Times New Roman"/>
          <w:b/>
          <w:i/>
          <w:color w:val="000000"/>
          <w:sz w:val="20"/>
        </w:rPr>
        <w:t>Equity Compensation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14"/>
        <w:gridCol w:w="9391"/>
      </w:tblGrid>
      <w:tr>
        <w:trPr/>
        <w:tc>
          <w:tcPr>
            <w:tcW w:w="814" w:type="dxa"/>
            <w:tcBorders/>
            <w:vAlign w:val="center"/>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8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Initial RSU Award:</w:t>
            </w:r>
          </w:p>
        </w:tc>
        <w:tc>
          <w:tcPr>
            <w:tcW w:w="9391"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Unless otherwise approved by the Board prior to commencement of services of an applicable Non-Employee Director, each Non-Employee Director who is initially elected or appointed to serve on the Board after the Effective Date shall be granted an award of RSUs under the Plan or any other applicable Company equity incentive plan then-maintained by the Company covering a number of shares of Common Stock calculated by dividing (i) $525,000 by (ii) the average per share closing trading price of the Common Stock over the most recent 30 trading days as of the grant date (the “</w:t>
            </w:r>
            <w:r>
              <w:rPr>
                <w:rFonts w:ascii="Times New Roman" w:hAnsi="Times New Roman"/>
                <w:b/>
                <w:i/>
                <w:color w:val="000000"/>
                <w:sz w:val="20"/>
              </w:rPr>
              <w:t>Initial RSU Award</w:t>
            </w:r>
            <w:r>
              <w:rPr>
                <w:rFonts w:ascii="Times New Roman" w:hAnsi="Times New Roman"/>
                <w:color w:val="000000"/>
                <w:sz w:val="20"/>
              </w:rPr>
              <w:t>”).</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subject to the Non-Employee Director continuing in service on the Board through each such vesting date.</w:t>
            </w:r>
          </w:p>
          <w:p>
            <w:pPr>
              <w:pStyle w:val="TableContents"/>
              <w:bidi w:val="0"/>
              <w:spacing w:before="0" w:after="283"/>
              <w:jc w:val="both"/>
              <w:rPr/>
            </w:pPr>
            <w:r>
              <w:rPr/>
              <w:t> </w:t>
            </w:r>
          </w:p>
        </w:tc>
      </w:tr>
    </w:tbl>
    <w:p>
      <w:pPr>
        <w:pStyle w:val="TextBody"/>
        <w:bidi w:val="0"/>
        <w:jc w:val="left"/>
        <w:rPr>
          <w:rFonts w:ascii="Arial" w:hAnsi="Arial"/>
          <w:color w:val="000000"/>
          <w:sz w:val="22"/>
        </w:rPr>
      </w:pPr>
      <w:r>
        <w:rPr>
          <w:rFonts w:ascii="Arial" w:hAnsi="Arial"/>
          <w:color w:val="000000"/>
          <w:sz w:val="22"/>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3"/>
        <w:gridCol w:w="9362"/>
      </w:tblGrid>
      <w:tr>
        <w:trPr/>
        <w:tc>
          <w:tcPr>
            <w:tcW w:w="843" w:type="dxa"/>
            <w:tcBorders/>
            <w:vAlign w:val="center"/>
          </w:tcPr>
          <w:p>
            <w:pPr>
              <w:pStyle w:val="TableContents"/>
              <w:bidi w:val="0"/>
              <w:spacing w:before="0" w:after="283"/>
              <w:jc w:val="left"/>
              <w:rPr>
                <w:sz w:val="4"/>
                <w:szCs w:val="4"/>
              </w:rPr>
            </w:pPr>
            <w:r>
              <w:rPr>
                <w:sz w:val="4"/>
                <w:szCs w:val="4"/>
              </w:rPr>
            </w:r>
          </w:p>
        </w:tc>
        <w:tc>
          <w:tcPr>
            <w:tcW w:w="9362" w:type="dxa"/>
            <w:tcBorders/>
            <w:vAlign w:val="center"/>
          </w:tcPr>
          <w:p>
            <w:pPr>
              <w:pStyle w:val="TableContents"/>
              <w:bidi w:val="0"/>
              <w:spacing w:before="0" w:after="283"/>
              <w:jc w:val="left"/>
              <w:rPr>
                <w:sz w:val="4"/>
                <w:szCs w:val="4"/>
              </w:rPr>
            </w:pPr>
            <w:r>
              <w:rPr>
                <w:sz w:val="4"/>
                <w:szCs w:val="4"/>
              </w:rPr>
            </w:r>
          </w:p>
        </w:tc>
      </w:tr>
      <w:tr>
        <w:trPr/>
        <w:tc>
          <w:tcPr>
            <w:tcW w:w="8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Annual RSU Award:</w:t>
            </w:r>
          </w:p>
        </w:tc>
        <w:tc>
          <w:tcPr>
            <w:tcW w:w="9362"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Each Non-Employee Director who (i) has been serving on the Board as of each annual meeting of the Company’s stockholders after the Effective Date (each, an “</w:t>
            </w:r>
            <w:r>
              <w:rPr>
                <w:rFonts w:ascii="Times New Roman" w:hAnsi="Times New Roman"/>
                <w:b/>
                <w:i/>
                <w:color w:val="000000"/>
                <w:sz w:val="20"/>
              </w:rPr>
              <w:t>Annual Meeting</w:t>
            </w:r>
            <w:r>
              <w:rPr>
                <w:rFonts w:ascii="Times New Roman" w:hAnsi="Times New Roman"/>
                <w:color w:val="000000"/>
                <w:sz w:val="20"/>
              </w:rPr>
              <w:t>”), (ii) if such Non-Employee Director received an Initial RSU Award on appointment, has an Initial RSU Award that will become fully vested within 12 months following such Annual Meeting and (iii) will continue to serve as a Non-Employee Director immediately following such meeting, shall be granted an award of RSUs under the Plan or any other applicable Company equity incentive plan then-maintained by the Company covering a number of shares of Common Stock calculated by dividing (i) $175,000 by (ii) the average per share closing trading price of the Common Stock over the most recent 30 trading days as of the grant date (the “</w:t>
            </w:r>
            <w:r>
              <w:rPr>
                <w:rFonts w:ascii="Times New Roman" w:hAnsi="Times New Roman"/>
                <w:b/>
                <w:i/>
                <w:color w:val="000000"/>
                <w:sz w:val="20"/>
              </w:rPr>
              <w:t>Annual RSU Award</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The Annual RSU Award will be automatically granted on the date of the applicable Annual Meeting, and will vest in full on the earlier of (i) the first anniversary of the grant date and (ii) immediately before the Annual Meeting following the grant date, subject to the Non-Employee Director continuing in service on the Board through such vesting date.</w:t>
            </w:r>
          </w:p>
          <w:p>
            <w:pPr>
              <w:pStyle w:val="TableContents"/>
              <w:bidi w:val="0"/>
              <w:spacing w:before="0" w:after="283"/>
              <w:jc w:val="both"/>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No portion of an Initial RSU Award or Annual RSU Award which is unvested at the time of a Non-Employee Director’s termination of service on the Board shall become vested and exercisable thereafter.</w:t>
      </w:r>
    </w:p>
    <w:p>
      <w:pPr>
        <w:pStyle w:val="TextBody"/>
        <w:bidi w:val="0"/>
        <w:jc w:val="both"/>
        <w:rPr/>
      </w:pPr>
      <w:r>
        <w:rPr/>
        <w:t> </w:t>
      </w:r>
    </w:p>
    <w:p>
      <w:pPr>
        <w:pStyle w:val="TextBody"/>
        <w:bidi w:val="0"/>
        <w:jc w:val="both"/>
        <w:rPr>
          <w:rFonts w:ascii="Times New Roman" w:hAnsi="Times New Roman"/>
          <w:sz w:val="20"/>
        </w:rPr>
      </w:pPr>
      <w:bookmarkStart w:id="40" w:name="ole_link7"/>
      <w:bookmarkEnd w:id="40"/>
      <w:r>
        <w:rPr>
          <w:rFonts w:ascii="Times New Roman" w:hAnsi="Times New Roman"/>
          <w:color w:val="000000"/>
          <w:sz w:val="20"/>
        </w:rPr>
        <w:t xml:space="preserve">Directors who are </w:t>
      </w:r>
      <w:bookmarkStart w:id="41" w:name="ole_link8"/>
      <w:bookmarkEnd w:id="41"/>
      <w:r>
        <w:rPr>
          <w:rFonts w:ascii="Times New Roman" w:hAnsi="Times New Roman"/>
          <w:color w:val="000000"/>
          <w:sz w:val="20"/>
        </w:rPr>
        <w:t>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Election to Defer Issuances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3"/>
        <w:gridCol w:w="9332"/>
      </w:tblGrid>
      <w:tr>
        <w:trPr/>
        <w:tc>
          <w:tcPr>
            <w:tcW w:w="873" w:type="dxa"/>
            <w:tcBorders/>
            <w:vAlign w:val="center"/>
          </w:tcPr>
          <w:p>
            <w:pPr>
              <w:pStyle w:val="TableContents"/>
              <w:bidi w:val="0"/>
              <w:spacing w:before="0" w:after="283"/>
              <w:jc w:val="left"/>
              <w:rPr>
                <w:sz w:val="4"/>
                <w:szCs w:val="4"/>
              </w:rPr>
            </w:pPr>
            <w:r>
              <w:rPr>
                <w:sz w:val="4"/>
                <w:szCs w:val="4"/>
              </w:rPr>
            </w:r>
          </w:p>
        </w:tc>
        <w:tc>
          <w:tcPr>
            <w:tcW w:w="9332" w:type="dxa"/>
            <w:tcBorders/>
            <w:vAlign w:val="center"/>
          </w:tcPr>
          <w:p>
            <w:pPr>
              <w:pStyle w:val="TableContents"/>
              <w:bidi w:val="0"/>
              <w:spacing w:before="0" w:after="283"/>
              <w:jc w:val="left"/>
              <w:rPr>
                <w:sz w:val="4"/>
                <w:szCs w:val="4"/>
              </w:rPr>
            </w:pPr>
            <w:r>
              <w:rPr>
                <w:sz w:val="4"/>
                <w:szCs w:val="4"/>
              </w:rPr>
            </w:r>
          </w:p>
        </w:tc>
      </w:tr>
      <w:tr>
        <w:trPr/>
        <w:tc>
          <w:tcPr>
            <w:tcW w:w="8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General:</w:t>
            </w:r>
          </w:p>
        </w:tc>
        <w:tc>
          <w:tcPr>
            <w:tcW w:w="9332" w:type="dxa"/>
            <w:tcBorders/>
            <w:tcMar>
              <w:top w:w="0" w:type="dxa"/>
              <w:left w:w="0" w:type="dxa"/>
              <w:bottom w:w="0" w:type="dxa"/>
              <w:right w:w="0" w:type="dxa"/>
            </w:tcMar>
            <w:vAlign w:val="center"/>
          </w:tcPr>
          <w:p>
            <w:pPr>
              <w:pStyle w:val="TableContents"/>
              <w:bidi w:val="0"/>
              <w:spacing w:before="0" w:after="240"/>
              <w:ind w:left="0" w:right="187" w:firstLine="14"/>
              <w:jc w:val="both"/>
              <w:rPr>
                <w:rFonts w:ascii="Times New Roman" w:hAnsi="Times New Roman"/>
                <w:sz w:val="20"/>
              </w:rPr>
            </w:pPr>
            <w:r>
              <w:rPr>
                <w:rFonts w:ascii="Times New Roman" w:hAnsi="Times New Roman"/>
                <w:color w:val="000000"/>
                <w:sz w:val="20"/>
              </w:rPr>
              <w:t>The Board or the Compensation Committee may, in its discretion, provide each Non-Employee Director with the opportunity to defer the issuance of the shares underlying RSUs granted under this Program, including Retainer RSU Awards, Initial RSU Awards and Annual RSU Awards, that would otherwise be issued to the Non-Employee Director in connection with the vesting or grant of the RSUs until the earliest of a fixed date properly elected by the Non-Employee Director, the Non-Employee Director’s Termination of Service or a Change in Control. Any such deferral election (“</w:t>
            </w:r>
            <w:r>
              <w:rPr>
                <w:rFonts w:ascii="Times New Roman" w:hAnsi="Times New Roman"/>
                <w:b/>
                <w:i/>
                <w:color w:val="000000"/>
                <w:sz w:val="20"/>
              </w:rPr>
              <w:t>Deferral Election</w:t>
            </w:r>
            <w:r>
              <w:rPr>
                <w:rFonts w:ascii="Times New Roman" w:hAnsi="Times New Roman"/>
                <w:color w:val="000000"/>
                <w:sz w:val="20"/>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tc>
      </w:tr>
      <w:tr>
        <w:trPr/>
        <w:tc>
          <w:tcPr>
            <w:tcW w:w="8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Election Method:</w:t>
            </w:r>
          </w:p>
        </w:tc>
        <w:tc>
          <w:tcPr>
            <w:tcW w:w="9332" w:type="dxa"/>
            <w:tcBorders/>
            <w:tcMar>
              <w:top w:w="0" w:type="dxa"/>
              <w:left w:w="0" w:type="dxa"/>
              <w:bottom w:w="0" w:type="dxa"/>
              <w:right w:w="0" w:type="dxa"/>
            </w:tcMar>
            <w:vAlign w:val="center"/>
          </w:tcPr>
          <w:p>
            <w:pPr>
              <w:pStyle w:val="TableContents"/>
              <w:bidi w:val="0"/>
              <w:spacing w:before="0" w:after="240"/>
              <w:ind w:left="0" w:right="187" w:firstLine="14"/>
              <w:jc w:val="both"/>
              <w:rPr>
                <w:rFonts w:ascii="Times New Roman" w:hAnsi="Times New Roman"/>
                <w:color w:val="000000"/>
                <w:sz w:val="20"/>
              </w:rPr>
            </w:pPr>
            <w:r>
              <w:rPr>
                <w:rFonts w:ascii="Times New Roman" w:hAnsi="Times New Roman"/>
                <w:color w:val="000000"/>
                <w:sz w:val="20"/>
              </w:rPr>
              <w:t>Each Deferral Election must be submitted to the Company in the form and manner specified by the Board or its Compensation Committee. Deferral Elections must comply with the following timing requirements:</w:t>
            </w:r>
          </w:p>
          <w:p>
            <w:pPr>
              <w:pStyle w:val="TableContents"/>
              <w:bidi w:val="0"/>
              <w:spacing w:before="121" w:after="283"/>
              <w:ind w:left="273" w:right="144" w:hanging="0"/>
              <w:jc w:val="both"/>
              <w:rPr>
                <w:color w:val="000000"/>
                <w:u w:val="single"/>
              </w:rPr>
            </w:pPr>
            <w:r>
              <w:rPr>
                <w:color w:val="000000"/>
                <w:u w:val="single"/>
              </w:rPr>
              <w:t>•</w:t>
            </w:r>
          </w:p>
          <w:p>
            <w:pPr>
              <w:pStyle w:val="TableContents"/>
              <w:bidi w:val="0"/>
              <w:spacing w:before="121" w:after="283"/>
              <w:jc w:val="both"/>
              <w:rPr/>
            </w:pPr>
            <w:r>
              <w:rPr>
                <w:rFonts w:ascii="Times New Roman" w:hAnsi="Times New Roman"/>
                <w:color w:val="000000"/>
                <w:sz w:val="20"/>
                <w:u w:val="single"/>
              </w:rPr>
              <w:t>Initial Deferral Election</w:t>
            </w:r>
            <w:r>
              <w:rPr>
                <w:rFonts w:ascii="Times New Roman" w:hAnsi="Times New Roman"/>
                <w:color w:val="000000"/>
                <w:sz w:val="20"/>
              </w:rPr>
              <w:t xml:space="preserve">. Each individual who first becomes a </w:t>
            </w:r>
          </w:p>
        </w:tc>
      </w:tr>
    </w:tbl>
    <w:p>
      <w:pPr>
        <w:pStyle w:val="TextBody"/>
        <w:bidi w:val="0"/>
        <w:jc w:val="left"/>
        <w:rPr>
          <w:rFonts w:ascii="Arial" w:hAnsi="Arial"/>
          <w:color w:val="000000"/>
          <w:sz w:val="22"/>
        </w:rPr>
      </w:pPr>
      <w:r>
        <w:rPr>
          <w:rFonts w:ascii="Arial" w:hAnsi="Arial"/>
          <w:color w:val="000000"/>
          <w:sz w:val="22"/>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4"/>
        <w:gridCol w:w="9281"/>
      </w:tblGrid>
      <w:tr>
        <w:trPr/>
        <w:tc>
          <w:tcPr>
            <w:tcW w:w="924"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924" w:type="dxa"/>
            <w:tcBorders/>
            <w:tcMar>
              <w:top w:w="0" w:type="dxa"/>
              <w:left w:w="0" w:type="dxa"/>
              <w:bottom w:w="0" w:type="dxa"/>
              <w:right w:w="0" w:type="dxa"/>
            </w:tcMar>
            <w:vAlign w:val="center"/>
          </w:tcPr>
          <w:p>
            <w:pPr>
              <w:pStyle w:val="TableContents"/>
              <w:bidi w:val="0"/>
              <w:spacing w:before="0" w:after="283"/>
              <w:ind w:left="0" w:right="0" w:firstLine="763"/>
              <w:jc w:val="left"/>
              <w:rPr/>
            </w:pPr>
            <w:r>
              <w:rPr/>
              <w:t> </w:t>
            </w:r>
          </w:p>
        </w:tc>
        <w:tc>
          <w:tcPr>
            <w:tcW w:w="9281" w:type="dxa"/>
            <w:tcBorders/>
            <w:tcMar>
              <w:top w:w="0" w:type="dxa"/>
              <w:left w:w="0" w:type="dxa"/>
              <w:bottom w:w="0" w:type="dxa"/>
              <w:right w:w="0" w:type="dxa"/>
            </w:tcMar>
            <w:vAlign w:val="center"/>
          </w:tcPr>
          <w:p>
            <w:pPr>
              <w:pStyle w:val="TableContents"/>
              <w:bidi w:val="0"/>
              <w:spacing w:before="121" w:after="283"/>
              <w:ind w:left="273" w:right="144" w:firstLine="763"/>
              <w:jc w:val="both"/>
              <w:rPr/>
            </w:pPr>
            <w:r>
              <w:rPr>
                <w:rFonts w:ascii="Times New Roman" w:hAnsi="Times New Roman"/>
                <w:color w:val="000000"/>
                <w:sz w:val="20"/>
              </w:rPr>
              <w:t>Non-Employee Director may make a Deferral Election with respect to the Non-Employee Director’s Initial RSU Award and Retainer RSU Awards to be paid in the same calendar year as such individual first becomes a Non-Employee Director (the “</w:t>
            </w:r>
            <w:r>
              <w:rPr>
                <w:rFonts w:ascii="Times New Roman" w:hAnsi="Times New Roman"/>
                <w:b/>
                <w:i/>
                <w:color w:val="000000"/>
                <w:sz w:val="20"/>
              </w:rPr>
              <w:t>Initial Deferral Election</w:t>
            </w:r>
            <w:r>
              <w:rPr>
                <w:color w:val="000000"/>
              </w:rPr>
              <w:t>”</w:t>
            </w:r>
            <w:r>
              <w:rPr>
                <w:rFonts w:ascii="Times New Roman" w:hAnsi="Times New Roman"/>
                <w:color w:val="000000"/>
                <w:sz w:val="20"/>
              </w:rPr>
              <w:t>). The Initial Deferral Election must be submitted to the Company on or before the Initial Election Deadline, and the Initial Deferral Election shall become final and irrevocable as of the Initial Election Deadline.</w:t>
            </w:r>
          </w:p>
          <w:p>
            <w:pPr>
              <w:pStyle w:val="TableContents"/>
              <w:bidi w:val="0"/>
              <w:spacing w:before="138" w:after="283"/>
              <w:ind w:left="273" w:right="187" w:firstLine="763"/>
              <w:jc w:val="both"/>
              <w:rPr>
                <w:color w:val="000000"/>
                <w:u w:val="single"/>
              </w:rPr>
            </w:pPr>
            <w:r>
              <w:rPr>
                <w:color w:val="000000"/>
                <w:u w:val="single"/>
              </w:rPr>
              <w:t>•</w:t>
            </w:r>
          </w:p>
          <w:p>
            <w:pPr>
              <w:pStyle w:val="TableContents"/>
              <w:bidi w:val="0"/>
              <w:spacing w:before="138" w:after="283"/>
              <w:jc w:val="both"/>
              <w:rPr/>
            </w:pPr>
            <w:r>
              <w:rPr>
                <w:rFonts w:ascii="Times New Roman" w:hAnsi="Times New Roman"/>
                <w:color w:val="000000"/>
                <w:sz w:val="20"/>
                <w:u w:val="single"/>
              </w:rPr>
              <w:t>Annual Deferral Election</w:t>
            </w:r>
            <w:r>
              <w:rPr>
                <w:rFonts w:ascii="Times New Roman" w:hAnsi="Times New Roman"/>
                <w:color w:val="000000"/>
                <w:sz w:val="20"/>
              </w:rPr>
              <w:t>. No later than the Annual Election Deadline, each individual who is a Non-Employee Director as of immediately before the Annual Election Deadline may make a Deferral Election with respect to the Annual RSU Award and Retainer RSU Awards to be granted in the following calendar year (the “</w:t>
            </w:r>
            <w:r>
              <w:rPr>
                <w:rFonts w:ascii="Times New Roman" w:hAnsi="Times New Roman"/>
                <w:b/>
                <w:i/>
                <w:color w:val="000000"/>
                <w:sz w:val="20"/>
              </w:rPr>
              <w:t>Annual Deferral Election</w:t>
            </w:r>
            <w:r>
              <w:rPr>
                <w:color w:val="000000"/>
              </w:rPr>
              <w:t>”</w:t>
            </w:r>
            <w:r>
              <w:rPr>
                <w:rFonts w:ascii="Times New Roman" w:hAnsi="Times New Roman"/>
                <w:color w:val="000000"/>
                <w:sz w:val="20"/>
              </w:rPr>
              <w:t xml:space="preserve">). The Annual Deferral Election must be submitted to the Company on or before the applicable Annual Election Deadline and shall become final and irrevocable for the subsequent calendar year as of the applicable Annual Election Deadline. </w:t>
            </w:r>
          </w:p>
        </w:tc>
      </w:tr>
    </w:tbl>
    <w:p>
      <w:pPr>
        <w:pStyle w:val="TextBody"/>
        <w:bidi w:val="0"/>
        <w:jc w:val="both"/>
        <w:rPr>
          <w:rFonts w:ascii="Times New Roman" w:hAnsi="Times New Roman"/>
          <w:b/>
          <w:i/>
          <w:color w:val="000000"/>
          <w:sz w:val="20"/>
        </w:rPr>
      </w:pPr>
      <w:r>
        <w:rPr>
          <w:rFonts w:ascii="Times New Roman" w:hAnsi="Times New Roman"/>
          <w:b/>
          <w:i/>
          <w:color w:val="000000"/>
          <w:sz w:val="20"/>
        </w:rPr>
        <w:t>Change in Control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pStyle w:val="TextBody"/>
        <w:bidi w:val="0"/>
        <w:jc w:val="both"/>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Reimbursements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shall reimburse each Non-Employee Director for all reasonable, documented, out-of-pocket travel and other business expenses incurred by such Non-Employee Director in the performance of such director’s duties to the Company in accordance with the Company’s applicable expense reimbursement policies and procedures as in effect from time to time. </w:t>
      </w:r>
    </w:p>
    <w:p>
      <w:pPr>
        <w:pStyle w:val="TextBody"/>
        <w:bidi w:val="0"/>
        <w:jc w:val="both"/>
        <w:rPr>
          <w:rFonts w:ascii="Times New Roman" w:hAnsi="Times New Roman"/>
          <w:b/>
          <w:i/>
          <w:color w:val="000000"/>
          <w:sz w:val="20"/>
        </w:rPr>
      </w:pPr>
      <w:r>
        <w:rPr>
          <w:rFonts w:ascii="Times New Roman" w:hAnsi="Times New Roman"/>
          <w:b/>
          <w:i/>
          <w:color w:val="000000"/>
          <w:sz w:val="20"/>
        </w:rPr>
        <w:t>Miscellaneous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w:t>
      </w:r>
    </w:p>
    <w:p>
      <w:pPr>
        <w:pStyle w:val="TextBody"/>
        <w:bidi w:val="0"/>
        <w:jc w:val="both"/>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 * * * *</w:t>
      </w:r>
    </w:p>
    <w:p>
      <w:pPr>
        <w:pStyle w:val="TextBody"/>
        <w:bidi w:val="0"/>
        <w:jc w:val="left"/>
        <w:rPr>
          <w:rFonts w:ascii="Arial" w:hAnsi="Arial"/>
          <w:color w:val="000000"/>
          <w:sz w:val="22"/>
        </w:rPr>
      </w:pPr>
      <w:r>
        <w:rPr>
          <w:rFonts w:ascii="Arial" w:hAnsi="Arial"/>
          <w:color w:val="000000"/>
          <w:sz w:val="22"/>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ampl-ex21_1.htm"/>
      <w:bookmarkStart w:id="43" w:name="ksamplex21_1"/>
      <w:bookmarkEnd w:id="42"/>
      <w:bookmarkEnd w:id="43"/>
      <w:r>
        <w:rPr>
          <w:rFonts w:ascii="Times New Roman" w:hAnsi="Times New Roman"/>
          <w:b/>
          <w:color w:val="000000"/>
          <w:sz w:val="20"/>
        </w:rPr>
        <w:t>Exhibit 21.1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the Registrant</w:t>
      </w:r>
    </w:p>
    <w:tbl>
      <w:tblPr>
        <w:tblW w:w="6013" w:type="dxa"/>
        <w:jc w:val="left"/>
        <w:tblInd w:w="0" w:type="dxa"/>
        <w:tblLayout w:type="fixed"/>
        <w:tblCellMar>
          <w:top w:w="28" w:type="dxa"/>
          <w:left w:w="28" w:type="dxa"/>
          <w:bottom w:w="28" w:type="dxa"/>
          <w:right w:w="28" w:type="dxa"/>
        </w:tblCellMar>
      </w:tblPr>
      <w:tblGrid>
        <w:gridCol w:w="3241"/>
        <w:gridCol w:w="146"/>
        <w:gridCol w:w="262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Entity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Jurisdiction of Incorporation</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Holding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GK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Canada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Amplitude Analytics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ampl-ex23_1.htm"/>
      <w:bookmarkStart w:id="45" w:name="ksamplex23_1"/>
      <w:bookmarkEnd w:id="44"/>
      <w:bookmarkEnd w:id="45"/>
      <w:r>
        <w:rPr/>
        <w:t> </w:t>
      </w:r>
      <w:r>
        <w:br w:type="page"/>
      </w:r>
    </w:p>
    <w:p>
      <w:pPr>
        <w:pStyle w:val="TextBody"/>
        <w:bidi w:val="0"/>
        <w:jc w:val="right"/>
        <w:rPr>
          <w:rFonts w:ascii="Arial" w:hAnsi="Arial"/>
          <w:b/>
          <w:color w:val="000000"/>
          <w:sz w:val="20"/>
        </w:rPr>
      </w:pPr>
      <w:r>
        <w:rPr>
          <w:rFonts w:ascii="Arial" w:hAnsi="Arial"/>
          <w:b/>
          <w:color w:val="000000"/>
          <w:sz w:val="20"/>
        </w:rPr>
        <w:t>Exhibit 23.1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The Board of Directors and Stockholders</w:t>
      </w:r>
    </w:p>
    <w:p>
      <w:pPr>
        <w:pStyle w:val="TextBody"/>
        <w:bidi w:val="0"/>
        <w:jc w:val="left"/>
        <w:rPr>
          <w:rFonts w:ascii="Arial" w:hAnsi="Arial"/>
          <w:color w:val="000000"/>
          <w:sz w:val="20"/>
        </w:rPr>
      </w:pPr>
      <w:r>
        <w:rPr>
          <w:rFonts w:ascii="Arial" w:hAnsi="Arial"/>
          <w:color w:val="000000"/>
          <w:sz w:val="20"/>
        </w:rPr>
        <w:t>Amplitude, Inc.:</w:t>
      </w:r>
    </w:p>
    <w:p>
      <w:pPr>
        <w:pStyle w:val="TextBody"/>
        <w:bidi w:val="0"/>
        <w:jc w:val="left"/>
        <w:rPr>
          <w:rFonts w:ascii="Arial" w:hAnsi="Arial"/>
          <w:color w:val="000000"/>
          <w:sz w:val="20"/>
        </w:rPr>
      </w:pPr>
      <w:r>
        <w:rPr>
          <w:rFonts w:ascii="Arial" w:hAnsi="Arial"/>
          <w:color w:val="000000"/>
          <w:sz w:val="20"/>
        </w:rPr>
        <w:t>We consent to the incorporation by reference in the registration statements (No. 333-259698, 333-262813, and 333-269834) on Form S-8 of our report dated February 20, 2024, with respect to the consolidated financial statements of Amplitude, Inc. and the effectiveness of internal control over financial reporting.</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Santa Clara, California</w:t>
      </w:r>
    </w:p>
    <w:p>
      <w:pPr>
        <w:pStyle w:val="TextBody"/>
        <w:bidi w:val="0"/>
        <w:jc w:val="left"/>
        <w:rPr>
          <w:rFonts w:ascii="Arial" w:hAnsi="Arial"/>
          <w:color w:val="000000"/>
          <w:sz w:val="20"/>
        </w:rPr>
      </w:pPr>
      <w:r>
        <w:rPr>
          <w:rFonts w:ascii="Arial" w:hAnsi="Arial"/>
          <w:color w:val="000000"/>
          <w:sz w:val="20"/>
        </w:rPr>
        <w:t>February 20,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ampl-ex31_1.htm"/>
      <w:bookmarkStart w:id="47" w:name="ksamplex31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Spenser Skates,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2086"/>
        <w:gridCol w:w="109"/>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ampl-ex31_2.htm"/>
      <w:bookmarkStart w:id="49" w:name="ksamplex31_2"/>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Christopher Harms,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2086"/>
        <w:gridCol w:w="109"/>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Harms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Harms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ampl-ex32_1.htm"/>
      <w:bookmarkStart w:id="51" w:name="ksamplex32_1"/>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Amplitude, Inc. (the “Company”) on Form 10-K for the period ended December 31, 2023,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07" w:type="dxa"/>
        <w:jc w:val="left"/>
        <w:tblInd w:w="0" w:type="dxa"/>
        <w:tblLayout w:type="fixed"/>
        <w:tblCellMar>
          <w:top w:w="28" w:type="dxa"/>
          <w:left w:w="28" w:type="dxa"/>
          <w:bottom w:w="28" w:type="dxa"/>
          <w:right w:w="28" w:type="dxa"/>
        </w:tblCellMar>
      </w:tblPr>
      <w:tblGrid>
        <w:gridCol w:w="2086"/>
        <w:gridCol w:w="109"/>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ampl-ex32_2.htm"/>
      <w:bookmarkStart w:id="53" w:name="ksamplex32_2"/>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Amplitude, Inc. (the “Company”) on Form 10-K for the period ended December 31, 2023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2086"/>
        <w:gridCol w:w="109"/>
        <w:gridCol w:w="406"/>
        <w:gridCol w:w="387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Harms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Harms</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ampl-ex97_1.htm"/>
      <w:bookmarkStart w:id="55" w:name="ksamplex97_1"/>
      <w:bookmarkEnd w:id="54"/>
      <w:bookmarkEnd w:id="55"/>
      <w:r>
        <w:rPr>
          <w:rFonts w:ascii="Times New Roman" w:hAnsi="Times New Roman"/>
          <w:b/>
          <w:color w:val="000000"/>
          <w:sz w:val="20"/>
        </w:rPr>
        <w:t>Exhibit 97.1</w:t>
      </w:r>
      <w:r>
        <w:br w:type="page"/>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AMPLITUDE, INC. POLICY FOR RECOVERY OF ERRONEOUSLY AWARDED COMPENSATION</w:t>
      </w:r>
    </w:p>
    <w:p>
      <w:pPr>
        <w:pStyle w:val="TextBody"/>
        <w:bidi w:val="0"/>
        <w:spacing w:before="0" w:after="240"/>
        <w:jc w:val="both"/>
        <w:rPr>
          <w:rFonts w:ascii="Times New Roman" w:hAnsi="Times New Roman"/>
          <w:sz w:val="20"/>
        </w:rPr>
      </w:pPr>
      <w:r>
        <w:rPr>
          <w:rFonts w:ascii="Times New Roman" w:hAnsi="Times New Roman"/>
          <w:color w:val="000000"/>
          <w:sz w:val="20"/>
        </w:rPr>
        <w:t>Amplitude, Inc. (the “</w:t>
      </w:r>
      <w:r>
        <w:rPr>
          <w:rFonts w:ascii="Times New Roman" w:hAnsi="Times New Roman"/>
          <w:b/>
          <w:i/>
          <w:color w:val="000000"/>
          <w:sz w:val="20"/>
        </w:rPr>
        <w:t>Company</w:t>
      </w:r>
      <w:r>
        <w:rPr>
          <w:rFonts w:ascii="Times New Roman" w:hAnsi="Times New Roman"/>
          <w:color w:val="000000"/>
          <w:sz w:val="20"/>
        </w:rPr>
        <w:t>”) has adopted this Policy for Recovery of Erroneously Awarded Compensation (the “</w:t>
      </w:r>
      <w:r>
        <w:rPr>
          <w:rFonts w:ascii="Times New Roman" w:hAnsi="Times New Roman"/>
          <w:b/>
          <w:i/>
          <w:color w:val="000000"/>
          <w:sz w:val="20"/>
        </w:rPr>
        <w:t>Policy</w:t>
      </w:r>
      <w:r>
        <w:rPr>
          <w:rFonts w:ascii="Times New Roman" w:hAnsi="Times New Roman"/>
          <w:color w:val="000000"/>
          <w:sz w:val="20"/>
        </w:rPr>
        <w:t>”), effective as of October 2, 2023 (the “</w:t>
      </w:r>
      <w:r>
        <w:rPr>
          <w:rFonts w:ascii="Times New Roman" w:hAnsi="Times New Roman"/>
          <w:b/>
          <w:i/>
          <w:color w:val="000000"/>
          <w:sz w:val="20"/>
        </w:rPr>
        <w:t>Effective Date</w:t>
      </w:r>
      <w:r>
        <w:rPr>
          <w:rFonts w:ascii="Times New Roman" w:hAnsi="Times New Roman"/>
          <w:color w:val="000000"/>
          <w:sz w:val="20"/>
        </w:rPr>
        <w:t xml:space="preserve">”). Capitalized terms used in this Policy but not otherwise defined herein are defined in Section 11.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1.</w:t>
      </w:r>
    </w:p>
    <w:p>
      <w:pPr>
        <w:pStyle w:val="TextBody"/>
        <w:bidi w:val="0"/>
        <w:spacing w:before="0" w:after="240"/>
        <w:jc w:val="left"/>
        <w:rPr>
          <w:rFonts w:ascii="Times New Roman" w:hAnsi="Times New Roman"/>
          <w:b/>
          <w:color w:val="000000"/>
          <w:sz w:val="20"/>
          <w:u w:val="single"/>
        </w:rPr>
      </w:pPr>
      <w:r>
        <w:rPr>
          <w:rFonts w:ascii="Times New Roman" w:hAnsi="Times New Roman"/>
          <w:b/>
          <w:color w:val="000000"/>
          <w:sz w:val="20"/>
          <w:u w:val="single"/>
        </w:rPr>
        <w:t>Persons Subject to Policy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Policy shall apply to current and former Officers of the Company.</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2. </w:t>
      </w:r>
      <w:r>
        <w:rPr>
          <w:rFonts w:ascii="Times New Roman" w:hAnsi="Times New Roman"/>
          <w:b/>
          <w:color w:val="000000"/>
          <w:sz w:val="20"/>
          <w:u w:val="single"/>
        </w:rPr>
        <w:t>Compensation Subject to Policy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b/>
          <w:color w:val="000000"/>
          <w:sz w:val="20"/>
          <w:u w:val="single"/>
        </w:rPr>
        <w:t>Recovery of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4. </w:t>
      </w:r>
      <w:r>
        <w:rPr>
          <w:rFonts w:ascii="Times New Roman" w:hAnsi="Times New Roman"/>
          <w:b/>
          <w:color w:val="000000"/>
          <w:sz w:val="20"/>
          <w:u w:val="single"/>
        </w:rPr>
        <w:t>Manner of Recovery; Limitation on Duplicative Recovery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5. </w:t>
      </w:r>
      <w:r>
        <w:rPr>
          <w:rFonts w:ascii="Times New Roman" w:hAnsi="Times New Roman"/>
          <w:b/>
          <w:color w:val="000000"/>
          <w:sz w:val="20"/>
          <w:u w:val="single"/>
        </w:rPr>
        <w:t>Administration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color w:val="000000"/>
          <w:sz w:val="20"/>
        </w:rPr>
        <w:t>Board</w:t>
      </w:r>
      <w:r>
        <w:rPr>
          <w:rFonts w:ascii="Times New Roman" w:hAnsi="Times New Roman"/>
          <w:color w:val="000000"/>
          <w:sz w:val="20"/>
        </w:rPr>
        <w:t xml:space="preserve">”) may re-vest in itself the authority to administer, interpret and construe this Policy in accordance with applicable law, and in such event references herein to the “Committee” shall be deemed to be references to the Board. </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6. </w:t>
      </w:r>
      <w:r>
        <w:rPr>
          <w:rFonts w:ascii="Times New Roman" w:hAnsi="Times New Roman"/>
          <w:b/>
          <w:color w:val="000000"/>
          <w:sz w:val="20"/>
          <w:u w:val="single"/>
        </w:rPr>
        <w:t>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7. </w:t>
      </w:r>
      <w:r>
        <w:rPr>
          <w:rFonts w:ascii="Times New Roman" w:hAnsi="Times New Roman"/>
          <w:b/>
          <w:color w:val="000000"/>
          <w:sz w:val="20"/>
          <w:u w:val="single"/>
        </w:rPr>
        <w:t>No Indemnification; No 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8. </w:t>
      </w:r>
      <w:r>
        <w:rPr>
          <w:rFonts w:ascii="Times New Roman" w:hAnsi="Times New Roman"/>
          <w:b/>
          <w:color w:val="000000"/>
          <w:sz w:val="20"/>
          <w:u w:val="single"/>
        </w:rPr>
        <w:t>Application; Enforceability</w:t>
      </w:r>
    </w:p>
    <w:p>
      <w:pPr>
        <w:pStyle w:val="TextBody"/>
        <w:bidi w:val="0"/>
        <w:spacing w:before="0" w:after="240"/>
        <w:jc w:val="both"/>
        <w:rPr>
          <w:rFonts w:ascii="Times New Roman" w:hAnsi="Times New Roman"/>
          <w:sz w:val="20"/>
        </w:rPr>
      </w:pPr>
      <w:r>
        <w:rPr>
          <w:rFonts w:ascii="Times New Roman" w:hAnsi="Times New Roman"/>
          <w:color w:val="000000"/>
          <w:sz w:val="20"/>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hAnsi="Times New Roman"/>
          <w:b/>
          <w:i/>
          <w:color w:val="000000"/>
          <w:sz w:val="20"/>
        </w:rPr>
        <w:t>Other Recovery Arrangements</w:t>
      </w:r>
      <w:r>
        <w:rPr>
          <w:rFonts w:ascii="Times New Roman" w:hAnsi="Times New Roman"/>
          <w:color w:val="000000"/>
          <w:sz w:val="20"/>
        </w:rPr>
        <w:t>”). The remedy specified in this Policy shall not be exclusive and shall be in addition to every other right or remedy at law or in equity that may be available to the Company or an affiliate of the Company.</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9. </w:t>
      </w:r>
      <w:r>
        <w:rPr>
          <w:rFonts w:ascii="Times New Roman" w:hAnsi="Times New Roman"/>
          <w:b/>
          <w:color w:val="000000"/>
          <w:sz w:val="20"/>
          <w:u w:val="single"/>
        </w:rPr>
        <w:t>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10. </w:t>
      </w:r>
      <w:r>
        <w:rPr>
          <w:rFonts w:ascii="Times New Roman" w:hAnsi="Times New Roman"/>
          <w:b/>
          <w:color w:val="000000"/>
          <w:sz w:val="20"/>
          <w:u w:val="single"/>
        </w:rPr>
        <w:t>Amendment and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11. </w:t>
      </w:r>
      <w:r>
        <w:rPr>
          <w:rFonts w:ascii="Times New Roman" w:hAnsi="Times New Roman"/>
          <w:b/>
          <w:color w:val="000000"/>
          <w:sz w:val="20"/>
          <w:u w:val="single"/>
        </w:rPr>
        <w:t>Definitions</w:t>
      </w:r>
    </w:p>
    <w:p>
      <w:pPr>
        <w:pStyle w:val="TextBody"/>
        <w:bidi w:val="0"/>
        <w:spacing w:before="0" w:after="160"/>
        <w:jc w:val="both"/>
        <w:rPr/>
      </w:pPr>
      <w:r>
        <w:rPr>
          <w:color w:val="000000"/>
        </w:rPr>
        <w:t>“</w:t>
      </w:r>
      <w:r>
        <w:rPr>
          <w:rFonts w:ascii="Times New Roman" w:hAnsi="Times New Roman"/>
          <w:b/>
          <w:i/>
          <w:color w:val="000000"/>
          <w:sz w:val="20"/>
        </w:rPr>
        <w:t>Applicable Rules</w:t>
      </w:r>
      <w:r>
        <w:rPr>
          <w:rFonts w:ascii="Times New Roman" w:hAnsi="Times New Roman"/>
          <w:color w:val="000000"/>
          <w:sz w:val="20"/>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before="0" w:after="240"/>
        <w:jc w:val="both"/>
        <w:rPr/>
      </w:pPr>
      <w:r>
        <w:rPr>
          <w:color w:val="000000"/>
        </w:rPr>
        <w:t>“</w:t>
      </w:r>
      <w:r>
        <w:rPr>
          <w:rFonts w:ascii="Times New Roman" w:hAnsi="Times New Roman"/>
          <w:b/>
          <w:i/>
          <w:color w:val="000000"/>
          <w:sz w:val="20"/>
        </w:rPr>
        <w:t>Committee</w:t>
      </w:r>
      <w:r>
        <w:rPr>
          <w:rFonts w:ascii="Times New Roman" w:hAnsi="Times New Roman"/>
          <w:color w:val="000000"/>
          <w:sz w:val="20"/>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color w:val="000000"/>
        </w:rPr>
        <w:t>“</w:t>
      </w:r>
      <w:r>
        <w:rPr>
          <w:rFonts w:ascii="Times New Roman" w:hAnsi="Times New Roman"/>
          <w:b/>
          <w:i/>
          <w:color w:val="000000"/>
          <w:sz w:val="20"/>
        </w:rPr>
        <w:t>Erroneously Awarded Compensation</w:t>
      </w:r>
      <w:r>
        <w:rPr>
          <w:rFonts w:ascii="Times New Roman" w:hAnsi="Times New Roman"/>
          <w:color w:val="000000"/>
          <w:sz w:val="20"/>
        </w:rPr>
        <w:t xml:space="preserve">”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w:t>
      </w:r>
    </w:p>
    <w:p>
      <w:pPr>
        <w:pStyle w:val="TextBody"/>
        <w:bidi w:val="0"/>
        <w:spacing w:before="0" w:after="240"/>
        <w:jc w:val="both"/>
        <w:rPr/>
      </w:pPr>
      <w:r>
        <w:rPr>
          <w:color w:val="000000"/>
        </w:rPr>
        <w:t>“</w:t>
      </w:r>
      <w:r>
        <w:rPr>
          <w:rFonts w:ascii="Times New Roman" w:hAnsi="Times New Roman"/>
          <w:b/>
          <w:i/>
          <w:color w:val="000000"/>
          <w:sz w:val="20"/>
        </w:rPr>
        <w:t>Exchange Act</w:t>
      </w:r>
      <w:r>
        <w:rPr>
          <w:rFonts w:ascii="Times New Roman" w:hAnsi="Times New Roman"/>
          <w:color w:val="000000"/>
          <w:sz w:val="20"/>
        </w:rPr>
        <w:t>” means the Securities Exchange Act of 1934, as amended.</w:t>
      </w:r>
    </w:p>
    <w:p>
      <w:pPr>
        <w:pStyle w:val="TextBody"/>
        <w:bidi w:val="0"/>
        <w:spacing w:before="0" w:after="240"/>
        <w:jc w:val="both"/>
        <w:rPr/>
      </w:pPr>
      <w:r>
        <w:rPr>
          <w:color w:val="000000"/>
        </w:rPr>
        <w:t>“</w:t>
      </w:r>
      <w:r>
        <w:rPr>
          <w:rFonts w:ascii="Times New Roman" w:hAnsi="Times New Roman"/>
          <w:b/>
          <w:i/>
          <w:color w:val="000000"/>
          <w:sz w:val="20"/>
        </w:rPr>
        <w:t>Financial Reporting Measure</w:t>
      </w:r>
      <w:r>
        <w:rPr>
          <w:rFonts w:ascii="Times New Roman" w:hAnsi="Times New Roman"/>
          <w:color w:val="000000"/>
          <w:sz w:val="20"/>
        </w:rPr>
        <w:t xml:space="preserve">”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before="0" w:after="240"/>
        <w:jc w:val="both"/>
        <w:rPr/>
      </w:pPr>
      <w:r>
        <w:rPr>
          <w:color w:val="000000"/>
        </w:rPr>
        <w:t>“</w:t>
      </w:r>
      <w:r>
        <w:rPr>
          <w:rFonts w:ascii="Times New Roman" w:hAnsi="Times New Roman"/>
          <w:b/>
          <w:i/>
          <w:color w:val="000000"/>
          <w:sz w:val="20"/>
        </w:rPr>
        <w:t>GAAP</w:t>
      </w:r>
      <w:r>
        <w:rPr>
          <w:rFonts w:ascii="Times New Roman" w:hAnsi="Times New Roman"/>
          <w:color w:val="000000"/>
          <w:sz w:val="20"/>
        </w:rPr>
        <w:t>” means United States generally accepted accounting principles.</w:t>
      </w:r>
    </w:p>
    <w:p>
      <w:pPr>
        <w:pStyle w:val="TextBody"/>
        <w:bidi w:val="0"/>
        <w:spacing w:before="0" w:after="240"/>
        <w:jc w:val="both"/>
        <w:rPr/>
      </w:pPr>
      <w:r>
        <w:rPr>
          <w:color w:val="000000"/>
        </w:rPr>
        <w:t>“</w:t>
      </w:r>
      <w:r>
        <w:rPr>
          <w:rFonts w:ascii="Times New Roman" w:hAnsi="Times New Roman"/>
          <w:b/>
          <w:i/>
          <w:color w:val="000000"/>
          <w:sz w:val="20"/>
        </w:rPr>
        <w:t>IFRS</w:t>
      </w:r>
      <w:r>
        <w:rPr>
          <w:rFonts w:ascii="Times New Roman" w:hAnsi="Times New Roman"/>
          <w:color w:val="000000"/>
          <w:sz w:val="20"/>
        </w:rPr>
        <w:t>” means international financial reporting standards as adopted by the International Accounting Standards Board.</w:t>
      </w:r>
    </w:p>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b/>
          <w:i/>
          <w:color w:val="000000"/>
          <w:sz w:val="20"/>
        </w:rPr>
        <w:t>Impracticable</w:t>
      </w:r>
      <w:r>
        <w:rPr>
          <w:rFonts w:ascii="Times New Roman" w:hAnsi="Times New Roman"/>
          <w:color w:val="000000"/>
          <w:sz w:val="20"/>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240"/>
        <w:jc w:val="both"/>
        <w:rPr/>
      </w:pPr>
      <w:r>
        <w:rPr>
          <w:color w:val="000000"/>
        </w:rPr>
        <w:t>“</w:t>
      </w:r>
      <w:r>
        <w:rPr>
          <w:rFonts w:ascii="Times New Roman" w:hAnsi="Times New Roman"/>
          <w:b/>
          <w:i/>
          <w:color w:val="000000"/>
          <w:sz w:val="20"/>
        </w:rPr>
        <w:t>Incentive-Based Compensation</w:t>
      </w:r>
      <w:r>
        <w:rPr>
          <w:rFonts w:ascii="Times New Roman" w:hAnsi="Times New Roman"/>
          <w:color w:val="000000"/>
          <w:sz w:val="20"/>
        </w:rPr>
        <w:t xml:space="preserve">”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w:t>
      </w:r>
    </w:p>
    <w:p>
      <w:pPr>
        <w:pStyle w:val="TextBody"/>
        <w:bidi w:val="0"/>
        <w:spacing w:before="0" w:after="240"/>
        <w:jc w:val="both"/>
        <w:rPr/>
      </w:pPr>
      <w:r>
        <w:rPr>
          <w:color w:val="000000"/>
        </w:rPr>
        <w:t>“</w:t>
      </w:r>
      <w:r>
        <w:rPr>
          <w:rFonts w:ascii="Times New Roman" w:hAnsi="Times New Roman"/>
          <w:b/>
          <w:i/>
          <w:color w:val="000000"/>
          <w:sz w:val="20"/>
        </w:rPr>
        <w:t>Officer</w:t>
      </w:r>
      <w:r>
        <w:rPr>
          <w:rFonts w:ascii="Times New Roman" w:hAnsi="Times New Roman"/>
          <w:color w:val="000000"/>
          <w:sz w:val="20"/>
        </w:rPr>
        <w:t>” means each person who serves as an executive officer of the Company, as defined in Rule 10D</w:t>
        <w:noBreakHyphen/>
        <w:t>1(d) under the Exchange Act.</w:t>
      </w:r>
    </w:p>
    <w:p>
      <w:pPr>
        <w:pStyle w:val="TextBody"/>
        <w:bidi w:val="0"/>
        <w:spacing w:before="0" w:after="240"/>
        <w:jc w:val="both"/>
        <w:rPr/>
      </w:pPr>
      <w:r>
        <w:rPr>
          <w:color w:val="000000"/>
        </w:rPr>
        <w:t>“</w:t>
      </w:r>
      <w:r>
        <w:rPr>
          <w:rFonts w:ascii="Times New Roman" w:hAnsi="Times New Roman"/>
          <w:b/>
          <w:i/>
          <w:color w:val="000000"/>
          <w:sz w:val="20"/>
        </w:rPr>
        <w:t>Restatement</w:t>
      </w:r>
      <w:r>
        <w:rPr>
          <w:rFonts w:ascii="Times New Roman" w:hAnsi="Times New Roman"/>
          <w:color w:val="000000"/>
          <w:sz w:val="20"/>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0" w:after="240"/>
        <w:jc w:val="both"/>
        <w:rPr/>
      </w:pPr>
      <w:r>
        <w:rPr>
          <w:color w:val="000000"/>
        </w:rPr>
        <w:t>“</w:t>
      </w:r>
      <w:r>
        <w:rPr>
          <w:rFonts w:ascii="Times New Roman" w:hAnsi="Times New Roman"/>
          <w:b/>
          <w:i/>
          <w:color w:val="000000"/>
          <w:sz w:val="20"/>
        </w:rPr>
        <w:t>Three-Year Period</w:t>
      </w:r>
      <w:r>
        <w:rPr>
          <w:rFonts w:ascii="Times New Roman" w:hAnsi="Times New Roman"/>
          <w:color w:val="000000"/>
          <w:sz w:val="20"/>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66692/000119312521278308/d93786dex31.htm" TargetMode="External"/><Relationship Id="rId6" Type="http://schemas.openxmlformats.org/officeDocument/2006/relationships/hyperlink" Target="https://www.sec.gov/Archives/edgar/data/1866692/000119312521278308/d93786dex32.htm" TargetMode="External"/><Relationship Id="rId7" Type="http://schemas.openxmlformats.org/officeDocument/2006/relationships/hyperlink" Target="https://www.sec.gov/Archives/edgar/data/1866692/000095017022001372/ampl-ex4_1.htm" TargetMode="External"/><Relationship Id="rId8" Type="http://schemas.openxmlformats.org/officeDocument/2006/relationships/hyperlink" Target="https://www.sec.gov/Archives/edgar/data/1866692/000119312521260696/d143868dex42.htm" TargetMode="External"/><Relationship Id="rId9" Type="http://schemas.openxmlformats.org/officeDocument/2006/relationships/hyperlink" Target="https://www.sec.gov/Archives/edgar/data/1866692/000119312521278407/d114916dex44.htm" TargetMode="External"/><Relationship Id="rId10" Type="http://schemas.openxmlformats.org/officeDocument/2006/relationships/hyperlink" Target="https://www.sec.gov/Archives/edgar/data/1866692/000119312521260696/d143868dex43.htm" TargetMode="External"/><Relationship Id="rId11" Type="http://schemas.openxmlformats.org/officeDocument/2006/relationships/hyperlink" Target="https://www.sec.gov/Archives/edgar/data/1866692/000119312521260696/d143868dex44.htm" TargetMode="External"/><Relationship Id="rId12" Type="http://schemas.openxmlformats.org/officeDocument/2006/relationships/hyperlink" Target="https://www.sec.gov/Archives/edgar/data/1866692/000119312521260696/d143868dex101.htm" TargetMode="External"/><Relationship Id="rId13" Type="http://schemas.openxmlformats.org/officeDocument/2006/relationships/hyperlink" Target="https://www.sec.gov/Archives/edgar/data/1866692/000119312521260696/d143868dex102a.htm" TargetMode="External"/><Relationship Id="rId14" Type="http://schemas.openxmlformats.org/officeDocument/2006/relationships/hyperlink" Target="https://www.sec.gov/Archives/edgar/data/1866692/000119312521260696/d143868dex102b.htm" TargetMode="External"/><Relationship Id="rId15" Type="http://schemas.openxmlformats.org/officeDocument/2006/relationships/hyperlink" Target="https://www.sec.gov/Archives/edgar/data/1866692/000119312521260696/d143868dex103a.htm" TargetMode="External"/><Relationship Id="rId16" Type="http://schemas.openxmlformats.org/officeDocument/2006/relationships/hyperlink" Target="https://www.sec.gov/Archives/edgar/data/1866692/000119312521260696/d143868dex103b.htm" TargetMode="External"/><Relationship Id="rId17" Type="http://schemas.openxmlformats.org/officeDocument/2006/relationships/hyperlink" Target="https://www.sec.gov/Archives/edgar/data/1866692/000119312521260696/d143868dex104.htm" TargetMode="External"/><Relationship Id="rId18" Type="http://schemas.openxmlformats.org/officeDocument/2006/relationships/hyperlink" Target="https://www.sec.gov/Archives/edgar/data/1866692/000119312521260696/d143868dex105.htm" TargetMode="External"/><Relationship Id="rId19" Type="http://schemas.openxmlformats.org/officeDocument/2006/relationships/hyperlink" Target="https://www.sec.gov/Archives/edgar/data/1866692/000095017023039800/ampl-ex10_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66329</Words>
  <Characters>370397</Characters>
  <CharactersWithSpaces>437881</CharactersWithSpaces>
  <Paragraphs>8394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