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1980" w:hanging="3899"/>
        <w:spacing w:after="0" w:line="289"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001-40817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AMPLITUDE, INC.</w:t>
      </w:r>
    </w:p>
    <w:p>
      <w:pPr>
        <w:sectPr>
          <w:pgSz w:w="11900" w:h="16838" w:orient="portrait"/>
          <w:cols w:equalWidth="0" w:num="1">
            <w:col w:w="11240"/>
          </w:cols>
          <w:pgMar w:left="320" w:top="553" w:right="339" w:bottom="1440" w:gutter="0" w:footer="0" w:header="0"/>
        </w:sectPr>
      </w:pPr>
    </w:p>
    <w:p>
      <w:pPr>
        <w:spacing w:after="0" w:line="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45-3937349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640" w:space="300"/>
            <w:col w:w="3300"/>
          </w:cols>
          <w:pgMar w:left="320" w:top="553" w:right="339" w:bottom="1440" w:gutter="0" w:footer="0" w:header="0"/>
          <w:type w:val="continuous"/>
        </w:sectPr>
      </w:pPr>
    </w:p>
    <w:p>
      <w:pPr>
        <w:ind w:left="1780"/>
        <w:spacing w:after="0"/>
        <w:rPr>
          <w:sz w:val="20"/>
          <w:szCs w:val="20"/>
          <w:color w:val="auto"/>
        </w:rPr>
      </w:pPr>
      <w:r>
        <w:rPr>
          <w:rFonts w:ascii="Arial" w:cs="Arial" w:eastAsia="Arial" w:hAnsi="Arial"/>
          <w:sz w:val="18"/>
          <w:szCs w:val="18"/>
          <w:b w:val="1"/>
          <w:bCs w:val="1"/>
          <w:color w:val="auto"/>
        </w:rPr>
        <w:t>201 Third Street, Suite 200</w:t>
      </w:r>
    </w:p>
    <w:p>
      <w:pPr>
        <w:ind w:left="1840"/>
        <w:spacing w:after="0"/>
        <w:tabs>
          <w:tab w:leader="none" w:pos="8180" w:val="left"/>
        </w:tabs>
        <w:rPr>
          <w:sz w:val="20"/>
          <w:szCs w:val="20"/>
          <w:color w:val="auto"/>
        </w:rPr>
      </w:pPr>
      <w:r>
        <w:rPr>
          <w:rFonts w:ascii="Arial" w:cs="Arial" w:eastAsia="Arial" w:hAnsi="Arial"/>
          <w:sz w:val="18"/>
          <w:szCs w:val="18"/>
          <w:b w:val="1"/>
          <w:bCs w:val="1"/>
          <w:color w:val="auto"/>
        </w:rPr>
        <w:t>San Francisco, California</w:t>
      </w:r>
      <w:r>
        <w:rPr>
          <w:sz w:val="20"/>
          <w:szCs w:val="20"/>
          <w:color w:val="auto"/>
        </w:rPr>
        <w:tab/>
      </w:r>
      <w:r>
        <w:rPr>
          <w:rFonts w:ascii="Arial" w:cs="Arial" w:eastAsia="Arial" w:hAnsi="Arial"/>
          <w:sz w:val="16"/>
          <w:szCs w:val="16"/>
          <w:b w:val="1"/>
          <w:bCs w:val="1"/>
          <w:color w:val="auto"/>
        </w:rPr>
        <w:t>94103</w:t>
      </w:r>
    </w:p>
    <w:p>
      <w:pPr>
        <w:spacing w:after="0" w:line="3"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(650) 988-5131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8"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Arial" w:cs="Arial" w:eastAsia="Arial" w:hAnsi="Arial"/>
                <w:sz w:val="15"/>
                <w:szCs w:val="15"/>
                <w:color w:val="auto"/>
              </w:rPr>
              <w:t>Class A Common Stock, $0.00001 par value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rPr>
              <w:t>AMPL</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5"/>
                <w:szCs w:val="15"/>
                <w:color w:val="auto"/>
                <w:w w:val="93"/>
              </w:rPr>
              <w:t>The Nasdaq Stock Market LLC</w:t>
            </w:r>
          </w:p>
        </w:tc>
        <w:tc>
          <w:tcPr>
            <w:tcW w:w="0" w:type="dxa"/>
            <w:vAlign w:val="bottom"/>
          </w:tcPr>
          <w:p>
            <w:pPr>
              <w:spacing w:after="0"/>
              <w:rPr>
                <w:sz w:val="1"/>
                <w:szCs w:val="1"/>
                <w:color w:val="auto"/>
              </w:rPr>
            </w:pPr>
          </w:p>
        </w:tc>
      </w:tr>
      <w:tr>
        <w:trPr>
          <w:trHeight w:val="199"/>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6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0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7"/>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10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
        <w:spacing w:after="0" w:line="328" w:lineRule="auto"/>
        <w:rPr>
          <w:sz w:val="20"/>
          <w:szCs w:val="20"/>
          <w:color w:val="auto"/>
        </w:rPr>
      </w:pPr>
      <w:r>
        <w:rPr>
          <w:rFonts w:ascii="Arial" w:cs="Arial" w:eastAsia="Arial" w:hAnsi="Arial"/>
          <w:sz w:val="12"/>
          <w:szCs w:val="12"/>
          <w:color w:val="auto"/>
        </w:rPr>
        <w:t>The registrant was not a public company as of June 30, 2021, the last business day of its most recently completed second fiscal quarter, and, therefore, cannot calculate the aggregate market value of its voting and non-voting common equity held by non-affiliates as of such date. The registrant’s Class A common stock began trading on the Nasdaq Capital Market on September 28, 2021.</w:t>
      </w:r>
    </w:p>
    <w:p>
      <w:pPr>
        <w:spacing w:after="0" w:line="1"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As of February 9, 2022, there were 58,802,166 shares of the registrant's Class A common stock and 51,267,902 shares of the registrant's Class B common stock, each with a $0.00001 par value per share, outstanding.</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49"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Portions of the registrant’s definitive proxy statement for the registrant’s 2022 annual meeting of stockholders, which will be filed with the Securities and Exchange Commission no later than 120 days after December 31, 2021,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jc w:val="center"/>
              <w:ind w:right="374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6"/>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20" w:type="dxa"/>
            <w:vAlign w:val="bottom"/>
            <w:tcBorders>
              <w:bottom w:val="single" w:sz="8" w:color="0000FF"/>
            </w:tcBorders>
            <w:gridSpan w:val="6"/>
          </w:tcPr>
          <w:p>
            <w:pPr>
              <w:spacing w:after="0" w:line="169"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Risk Factors</w:t>
              </w:r>
            </w:hyperlink>
          </w:p>
        </w:tc>
        <w:tc>
          <w:tcPr>
            <w:tcW w:w="20" w:type="dxa"/>
            <w:vAlign w:val="bottom"/>
            <w:tcBorders>
              <w:bottom w:val="single" w:sz="8" w:color="0000EE"/>
            </w:tcBorders>
          </w:tcPr>
          <w:p>
            <w:pPr>
              <w:spacing w:after="0"/>
              <w:rPr>
                <w:sz w:val="14"/>
                <w:szCs w:val="14"/>
                <w:color w:val="auto"/>
              </w:rPr>
            </w:pPr>
          </w:p>
        </w:tc>
        <w:tc>
          <w:tcPr>
            <w:tcW w:w="8360" w:type="dxa"/>
            <w:vAlign w:val="bottom"/>
            <w:gridSpan w:val="19"/>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1B.</w:t>
            </w:r>
          </w:p>
        </w:tc>
        <w:tc>
          <w:tcPr>
            <w:tcW w:w="940" w:type="dxa"/>
            <w:vAlign w:val="bottom"/>
            <w:gridSpan w:val="7"/>
          </w:tcPr>
          <w:p>
            <w:pPr>
              <w:spacing w:after="0" w:line="169" w:lineRule="exact"/>
              <w:rPr>
                <w:rFonts w:ascii="Arial" w:cs="Arial" w:eastAsia="Arial" w:hAnsi="Arial"/>
                <w:sz w:val="18"/>
                <w:szCs w:val="18"/>
                <w:color w:val="0000FF"/>
              </w:rPr>
            </w:pPr>
            <w:hyperlink w:anchor="page46">
              <w:r>
                <w:rPr>
                  <w:rFonts w:ascii="Arial" w:cs="Arial" w:eastAsia="Arial" w:hAnsi="Arial"/>
                  <w:sz w:val="18"/>
                  <w:szCs w:val="18"/>
                  <w:color w:val="0000FF"/>
                </w:rPr>
                <w:t>Unresolved</w:t>
              </w:r>
            </w:hyperlink>
          </w:p>
        </w:tc>
        <w:tc>
          <w:tcPr>
            <w:tcW w:w="8360" w:type="dxa"/>
            <w:vAlign w:val="bottom"/>
            <w:gridSpan w:val="19"/>
          </w:tcPr>
          <w:p>
            <w:pPr>
              <w:spacing w:after="0" w:line="169" w:lineRule="exact"/>
              <w:rPr>
                <w:rFonts w:ascii="Arial" w:cs="Arial" w:eastAsia="Arial" w:hAnsi="Arial"/>
                <w:sz w:val="18"/>
                <w:szCs w:val="18"/>
                <w:color w:val="0000FF"/>
              </w:rPr>
            </w:pPr>
            <w:hyperlink w:anchor="page46">
              <w:r>
                <w:rPr>
                  <w:rFonts w:ascii="Arial" w:cs="Arial" w:eastAsia="Arial" w:hAnsi="Arial"/>
                  <w:sz w:val="18"/>
                  <w:szCs w:val="18"/>
                  <w:color w:val="0000FF"/>
                </w:rPr>
                <w:t>Staff Comments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Properties</w:t>
              </w:r>
            </w:hyperlink>
          </w:p>
        </w:tc>
        <w:tc>
          <w:tcPr>
            <w:tcW w:w="20" w:type="dxa"/>
            <w:vAlign w:val="bottom"/>
            <w:tcBorders>
              <w:top w:val="single" w:sz="8" w:color="0000FF"/>
              <w:bottom w:val="single" w:sz="8" w:color="0000EE"/>
            </w:tcBorders>
          </w:tcPr>
          <w:p>
            <w:pPr>
              <w:spacing w:after="0"/>
              <w:rPr>
                <w:sz w:val="14"/>
                <w:szCs w:val="14"/>
                <w:color w:val="auto"/>
              </w:rPr>
            </w:pPr>
          </w:p>
        </w:tc>
        <w:tc>
          <w:tcPr>
            <w:tcW w:w="1300" w:type="dxa"/>
            <w:vAlign w:val="bottom"/>
            <w:tcBorders>
              <w:top w:val="single" w:sz="8" w:color="0000FF"/>
            </w:tcBorders>
            <w:gridSpan w:val="10"/>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3.</w:t>
            </w:r>
          </w:p>
        </w:tc>
        <w:tc>
          <w:tcPr>
            <w:tcW w:w="9300" w:type="dxa"/>
            <w:vAlign w:val="bottom"/>
            <w:gridSpan w:val="26"/>
          </w:tcPr>
          <w:p>
            <w:pPr>
              <w:spacing w:after="0" w:line="169" w:lineRule="exact"/>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4.</w:t>
            </w:r>
          </w:p>
        </w:tc>
        <w:tc>
          <w:tcPr>
            <w:tcW w:w="7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300" w:type="dxa"/>
            <w:vAlign w:val="bottom"/>
            <w:gridSpan w:val="26"/>
          </w:tcPr>
          <w:p>
            <w:pPr>
              <w:spacing w:after="0" w:line="169" w:lineRule="exact"/>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ind w:left="20"/>
              <w:spacing w:after="0" w:line="168" w:lineRule="exact"/>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2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6"/>
          </w:tcPr>
          <w:p>
            <w:pPr>
              <w:spacing w:after="0" w:line="190" w:lineRule="exact"/>
              <w:rPr>
                <w:rFonts w:ascii="Arial" w:cs="Arial" w:eastAsia="Arial" w:hAnsi="Arial"/>
                <w:sz w:val="18"/>
                <w:szCs w:val="18"/>
                <w:color w:val="0000FF"/>
              </w:rPr>
            </w:pPr>
            <w:hyperlink w:anchor="page47">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260" w:type="dxa"/>
            <w:vAlign w:val="bottom"/>
            <w:tcBorders>
              <w:top w:val="single" w:sz="8" w:color="0000FF"/>
            </w:tcBorders>
            <w:gridSpan w:val="20"/>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7.</w:t>
            </w:r>
          </w:p>
        </w:tc>
        <w:tc>
          <w:tcPr>
            <w:tcW w:w="9300" w:type="dxa"/>
            <w:vAlign w:val="bottom"/>
            <w:gridSpan w:val="26"/>
          </w:tcPr>
          <w:p>
            <w:pPr>
              <w:spacing w:after="0" w:line="169" w:lineRule="exact"/>
              <w:rPr>
                <w:rFonts w:ascii="Arial" w:cs="Arial" w:eastAsia="Arial" w:hAnsi="Arial"/>
                <w:sz w:val="18"/>
                <w:szCs w:val="18"/>
                <w:color w:val="0000FF"/>
              </w:rPr>
            </w:pPr>
            <w:hyperlink w:anchor="page49">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67">
              <w:r>
                <w:rPr>
                  <w:rFonts w:ascii="Arial" w:cs="Arial" w:eastAsia="Arial" w:hAnsi="Arial"/>
                  <w:sz w:val="18"/>
                  <w:szCs w:val="18"/>
                  <w:color w:val="0000FF"/>
                </w:rPr>
                <w:t>Quantitative and Qualitative Disclosures About Market Risk</w:t>
              </w:r>
            </w:hyperlink>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Financial Statements and Supplementary Data</w:t>
              </w:r>
            </w:hyperlink>
          </w:p>
        </w:tc>
        <w:tc>
          <w:tcPr>
            <w:tcW w:w="20" w:type="dxa"/>
            <w:vAlign w:val="bottom"/>
            <w:tcBorders>
              <w:top w:val="single" w:sz="8" w:color="0000FF"/>
              <w:bottom w:val="single" w:sz="8" w:color="0000EE"/>
            </w:tcBorders>
          </w:tcPr>
          <w:p>
            <w:pPr>
              <w:spacing w:after="0"/>
              <w:rPr>
                <w:sz w:val="14"/>
                <w:szCs w:val="14"/>
                <w:color w:val="auto"/>
              </w:rPr>
            </w:pPr>
          </w:p>
        </w:tc>
        <w:tc>
          <w:tcPr>
            <w:tcW w:w="1000" w:type="dxa"/>
            <w:vAlign w:val="bottom"/>
            <w:tcBorders>
              <w:top w:val="single" w:sz="8" w:color="0000FF"/>
            </w:tcBorders>
            <w:gridSpan w:val="2"/>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9.</w:t>
            </w:r>
          </w:p>
        </w:tc>
        <w:tc>
          <w:tcPr>
            <w:tcW w:w="9300" w:type="dxa"/>
            <w:vAlign w:val="bottom"/>
            <w:gridSpan w:val="26"/>
          </w:tcPr>
          <w:p>
            <w:pPr>
              <w:spacing w:after="0" w:line="169" w:lineRule="exact"/>
              <w:rPr>
                <w:rFonts w:ascii="Arial" w:cs="Arial" w:eastAsia="Arial" w:hAnsi="Arial"/>
                <w:sz w:val="18"/>
                <w:szCs w:val="18"/>
                <w:color w:val="0000FF"/>
              </w:rPr>
            </w:pPr>
            <w:hyperlink w:anchor="page98">
              <w:r>
                <w:rPr>
                  <w:rFonts w:ascii="Arial" w:cs="Arial" w:eastAsia="Arial" w:hAnsi="Arial"/>
                  <w:sz w:val="18"/>
                  <w:szCs w:val="18"/>
                  <w:color w:val="0000FF"/>
                </w:rPr>
                <w:t>Changes in and Disagreements With Accountants on Accounting and Financial Disclosure</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9A.</w:t>
            </w:r>
          </w:p>
        </w:tc>
        <w:tc>
          <w:tcPr>
            <w:tcW w:w="652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98">
              <w:r>
                <w:rPr>
                  <w:rFonts w:ascii="Arial" w:cs="Arial" w:eastAsia="Arial" w:hAnsi="Arial"/>
                  <w:sz w:val="18"/>
                  <w:szCs w:val="18"/>
                  <w:color w:val="0000FF"/>
                </w:rPr>
                <w:t>Controls and Procedures</w:t>
              </w:r>
            </w:hyperlink>
          </w:p>
        </w:tc>
        <w:tc>
          <w:tcPr>
            <w:tcW w:w="78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98">
              <w:r>
                <w:rPr>
                  <w:rFonts w:ascii="Arial" w:cs="Arial" w:eastAsia="Arial" w:hAnsi="Arial"/>
                  <w:sz w:val="18"/>
                  <w:szCs w:val="18"/>
                  <w:color w:val="0000FF"/>
                </w:rPr>
                <w:t>Other Information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spacing w:after="0"/>
              <w:rPr>
                <w:sz w:val="14"/>
                <w:szCs w:val="14"/>
                <w:color w:val="auto"/>
              </w:rPr>
            </w:pPr>
          </w:p>
        </w:tc>
        <w:tc>
          <w:tcPr>
            <w:tcW w:w="8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9C</w:t>
            </w: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300" w:type="dxa"/>
            <w:vAlign w:val="bottom"/>
            <w:gridSpan w:val="26"/>
          </w:tcPr>
          <w:p>
            <w:pPr>
              <w:spacing w:after="0" w:line="169" w:lineRule="exact"/>
              <w:rPr>
                <w:rFonts w:ascii="Arial" w:cs="Arial" w:eastAsia="Arial" w:hAnsi="Arial"/>
                <w:sz w:val="18"/>
                <w:szCs w:val="18"/>
                <w:color w:val="0000FF"/>
              </w:rPr>
            </w:pPr>
            <w:hyperlink w:anchor="page98">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ind w:left="20"/>
              <w:spacing w:after="0" w:line="168" w:lineRule="exact"/>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2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6"/>
          </w:tcPr>
          <w:p>
            <w:pPr>
              <w:spacing w:after="0" w:line="190" w:lineRule="exact"/>
              <w:rPr>
                <w:rFonts w:ascii="Arial" w:cs="Arial" w:eastAsia="Arial" w:hAnsi="Arial"/>
                <w:sz w:val="18"/>
                <w:szCs w:val="18"/>
                <w:color w:val="0000FF"/>
              </w:rPr>
            </w:pPr>
            <w:hyperlink w:anchor="page99">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0"/>
              </w:rPr>
            </w:pPr>
            <w:hyperlink w:anchor="page99">
              <w:r>
                <w:rPr>
                  <w:rFonts w:ascii="Arial" w:cs="Arial" w:eastAsia="Arial" w:hAnsi="Arial"/>
                  <w:sz w:val="18"/>
                  <w:szCs w:val="18"/>
                  <w:color w:val="0000FF"/>
                  <w:w w:val="90"/>
                </w:rPr>
                <w:t>Executive Compensation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6"/>
          </w:tcPr>
          <w:p>
            <w:pPr>
              <w:spacing w:after="0"/>
              <w:rPr>
                <w:sz w:val="14"/>
                <w:szCs w:val="14"/>
                <w:color w:val="auto"/>
              </w:rPr>
            </w:pPr>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12.</w:t>
            </w:r>
          </w:p>
        </w:tc>
        <w:tc>
          <w:tcPr>
            <w:tcW w:w="1840" w:type="dxa"/>
            <w:vAlign w:val="bottom"/>
            <w:gridSpan w:val="12"/>
          </w:tcPr>
          <w:p>
            <w:pPr>
              <w:spacing w:after="0" w:line="169" w:lineRule="exact"/>
              <w:rPr>
                <w:rFonts w:ascii="Arial" w:cs="Arial" w:eastAsia="Arial" w:hAnsi="Arial"/>
                <w:sz w:val="18"/>
                <w:szCs w:val="18"/>
                <w:color w:val="0000FF"/>
              </w:rPr>
            </w:pPr>
            <w:hyperlink w:anchor="page99">
              <w:r>
                <w:rPr>
                  <w:rFonts w:ascii="Arial" w:cs="Arial" w:eastAsia="Arial" w:hAnsi="Arial"/>
                  <w:sz w:val="18"/>
                  <w:szCs w:val="18"/>
                  <w:color w:val="0000FF"/>
                </w:rPr>
                <w:t>Security Ownership of</w:t>
              </w:r>
            </w:hyperlink>
          </w:p>
        </w:tc>
        <w:tc>
          <w:tcPr>
            <w:tcW w:w="7460" w:type="dxa"/>
            <w:vAlign w:val="bottom"/>
            <w:gridSpan w:val="14"/>
          </w:tcPr>
          <w:p>
            <w:pPr>
              <w:spacing w:after="0" w:line="169" w:lineRule="exact"/>
              <w:rPr>
                <w:rFonts w:ascii="Arial" w:cs="Arial" w:eastAsia="Arial" w:hAnsi="Arial"/>
                <w:sz w:val="18"/>
                <w:szCs w:val="18"/>
                <w:color w:val="0000FF"/>
              </w:rPr>
            </w:pPr>
            <w:hyperlink w:anchor="page99">
              <w:r>
                <w:rPr>
                  <w:rFonts w:ascii="Arial" w:cs="Arial" w:eastAsia="Arial" w:hAnsi="Arial"/>
                  <w:sz w:val="18"/>
                  <w:szCs w:val="18"/>
                  <w:color w:val="0000FF"/>
                </w:rPr>
                <w:t>Certain Beneficial Owners and Management and Related Stockholder Matters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99">
              <w:r>
                <w:rPr>
                  <w:rFonts w:ascii="Arial" w:cs="Arial" w:eastAsia="Arial" w:hAnsi="Arial"/>
                  <w:sz w:val="18"/>
                  <w:szCs w:val="18"/>
                  <w:color w:val="0000FF"/>
                </w:rPr>
                <w:t>Certain Relationships and Related Transactions, and Director Independence</w:t>
              </w:r>
            </w:hyperlink>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99">
              <w:r>
                <w:rPr>
                  <w:rFonts w:ascii="Arial" w:cs="Arial" w:eastAsia="Arial" w:hAnsi="Arial"/>
                  <w:sz w:val="18"/>
                  <w:szCs w:val="18"/>
                  <w:color w:val="0000FF"/>
                </w:rPr>
                <w:t>Principal Accounting Fees and Services</w:t>
              </w:r>
            </w:hyperlink>
          </w:p>
        </w:tc>
        <w:tc>
          <w:tcPr>
            <w:tcW w:w="384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8"/>
        </w:trPr>
        <w:tc>
          <w:tcPr>
            <w:tcW w:w="1160" w:type="dxa"/>
            <w:vAlign w:val="bottom"/>
          </w:tcPr>
          <w:p>
            <w:pPr>
              <w:ind w:left="20"/>
              <w:spacing w:after="0" w:line="168" w:lineRule="exact"/>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20"/>
              <w:spacing w:after="0" w:line="190" w:lineRule="exact"/>
              <w:rPr>
                <w:sz w:val="20"/>
                <w:szCs w:val="20"/>
                <w:color w:val="auto"/>
              </w:rPr>
            </w:pPr>
            <w:r>
              <w:rPr>
                <w:rFonts w:ascii="Arial" w:cs="Arial" w:eastAsia="Arial" w:hAnsi="Arial"/>
                <w:sz w:val="18"/>
                <w:szCs w:val="18"/>
                <w:color w:val="auto"/>
              </w:rPr>
              <w:t>Item 15.</w:t>
            </w:r>
          </w:p>
        </w:tc>
        <w:tc>
          <w:tcPr>
            <w:tcW w:w="9300" w:type="dxa"/>
            <w:vAlign w:val="bottom"/>
            <w:gridSpan w:val="26"/>
          </w:tcPr>
          <w:p>
            <w:pPr>
              <w:spacing w:after="0" w:line="190" w:lineRule="exact"/>
              <w:rPr>
                <w:rFonts w:ascii="Arial" w:cs="Arial" w:eastAsia="Arial" w:hAnsi="Arial"/>
                <w:sz w:val="18"/>
                <w:szCs w:val="18"/>
                <w:color w:val="0000FF"/>
              </w:rPr>
            </w:pPr>
            <w:hyperlink w:anchor="page100">
              <w:r>
                <w:rPr>
                  <w:rFonts w:ascii="Arial" w:cs="Arial" w:eastAsia="Arial" w:hAnsi="Arial"/>
                  <w:sz w:val="18"/>
                  <w:szCs w:val="18"/>
                  <w:color w:val="0000FF"/>
                </w:rPr>
                <w:t>Exhibits,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Form 10-K Summary</w:t>
              </w:r>
            </w:hyperlink>
          </w:p>
        </w:tc>
        <w:tc>
          <w:tcPr>
            <w:tcW w:w="6400" w:type="dxa"/>
            <w:vAlign w:val="bottom"/>
            <w:gridSpan w:val="11"/>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56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Signatures</w:t>
              </w:r>
            </w:hyperlink>
          </w:p>
        </w:tc>
        <w:tc>
          <w:tcPr>
            <w:tcW w:w="7740" w:type="dxa"/>
            <w:vAlign w:val="bottom"/>
            <w:gridSpan w:val="1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750"/>
        </w:trPr>
        <w:tc>
          <w:tcPr>
            <w:tcW w:w="11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140" w:type="dxa"/>
            <w:vAlign w:val="bottom"/>
            <w:gridSpan w:val="17"/>
          </w:tcPr>
          <w:p>
            <w:pPr>
              <w:jc w:val="right"/>
              <w:ind w:right="40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about:</w:t>
      </w:r>
    </w:p>
    <w:p>
      <w:pPr>
        <w:spacing w:after="0" w:line="72" w:lineRule="exact"/>
        <w:rPr>
          <w:sz w:val="20"/>
          <w:szCs w:val="20"/>
          <w:color w:val="auto"/>
        </w:rPr>
      </w:pPr>
    </w:p>
    <w:p>
      <w:pPr>
        <w:ind w:left="1020" w:right="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coronavirus ("COVID-19") pandemic, including as a result of the recent Omicron variant and any new strains or variants of the virus, on our business and the global economy generally;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Digital Optimization System and upsell and cross sell additional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including our ability to grow and maintain our channel partners, and our ability to promote our brand;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Annual Report on Form 10-K.</w:t>
      </w:r>
    </w:p>
    <w:p>
      <w:pPr>
        <w:spacing w:after="0" w:line="212"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discussed in Part I, Item 1A, “Risk Factors”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available.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9"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right="120"/>
        <w:spacing w:after="0" w:line="261" w:lineRule="auto"/>
        <w:rPr>
          <w:sz w:val="20"/>
          <w:szCs w:val="20"/>
          <w:color w:val="auto"/>
        </w:rPr>
      </w:pPr>
      <w:r>
        <w:rPr>
          <w:rFonts w:ascii="Arial" w:cs="Arial" w:eastAsia="Arial" w:hAnsi="Arial"/>
          <w:sz w:val="18"/>
          <w:szCs w:val="18"/>
          <w:color w:val="auto"/>
        </w:rPr>
        <w:t>not be read to indicate that we have conducted an exhaustive inquiry into, or review of, all potentially available relevant information. These statements are inherently uncertain, and you are cautioned not to unduly rely upon these statements.</w:t>
      </w:r>
    </w:p>
    <w:p>
      <w:pPr>
        <w:spacing w:after="0" w:line="171" w:lineRule="exact"/>
        <w:rPr>
          <w:sz w:val="20"/>
          <w:szCs w:val="20"/>
          <w:color w:val="auto"/>
        </w:rPr>
      </w:pPr>
    </w:p>
    <w:p>
      <w:pPr>
        <w:ind w:right="240" w:firstLine="509"/>
        <w:spacing w:after="0" w:line="270"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the forward-looking statements in this Annual Report on Form 10-K by these cautionary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business is subject to a number of risks and uncertainties, as more fully described in Part I, Item 1A, “Risk Factors” in this Annual Report on Form 10-K.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80" w:lineRule="exact"/>
        <w:rPr>
          <w:sz w:val="20"/>
          <w:szCs w:val="20"/>
          <w:color w:val="auto"/>
        </w:rPr>
      </w:pPr>
    </w:p>
    <w:p>
      <w:pPr>
        <w:ind w:left="1020" w:right="10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history of losses. As our costs increase, we may not be able to generate sufficient revenue to achieve and sustain profitability.</w:t>
      </w:r>
    </w:p>
    <w:p>
      <w:pPr>
        <w:spacing w:after="0" w:line="126" w:lineRule="exact"/>
        <w:rPr>
          <w:rFonts w:ascii="Arial" w:cs="Arial" w:eastAsia="Arial" w:hAnsi="Arial"/>
          <w:sz w:val="16"/>
          <w:szCs w:val="16"/>
          <w:color w:val="auto"/>
        </w:rPr>
      </w:pPr>
    </w:p>
    <w:p>
      <w:pPr>
        <w:ind w:left="1020" w:right="120" w:hanging="503"/>
        <w:spacing w:after="0" w:line="29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39" w:lineRule="exact"/>
        <w:rPr>
          <w:rFonts w:ascii="Arial" w:cs="Arial" w:eastAsia="Arial" w:hAnsi="Arial"/>
          <w:sz w:val="16"/>
          <w:szCs w:val="16"/>
          <w:color w:val="auto"/>
        </w:rPr>
      </w:pPr>
    </w:p>
    <w:p>
      <w:pPr>
        <w:ind w:left="1020" w:right="3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fluctuations in our financial results, making it difficult to project future results. If we fail to meet the expectations of securities analysts or investors with respect to our results of operations, our stock price could decline.</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continue to focus on sales to larger organizations and may become more dependent on those relationships, which may increase the variability of our sales cycles and our results of operations.</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materially adversely affect our business, financial condition, and results of operations.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market for SaaS applications develops more slowly than we expect or declines, our business would be adversely affected.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economic sanctions, and anti-corruption laws and regulations, that may expose us to liability and increase our costs.</w:t>
      </w:r>
    </w:p>
    <w:p>
      <w:pPr>
        <w:spacing w:after="0" w:line="62" w:lineRule="exact"/>
        <w:rPr>
          <w:rFonts w:ascii="Arial" w:cs="Arial" w:eastAsia="Arial" w:hAnsi="Arial"/>
          <w:sz w:val="18"/>
          <w:szCs w:val="18"/>
          <w:color w:val="auto"/>
        </w:rPr>
      </w:pPr>
    </w:p>
    <w:p>
      <w:pPr>
        <w:ind w:left="1020" w:right="60" w:hanging="503"/>
        <w:spacing w:after="0" w:line="24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may be volatile and could decline significantly and rapidly.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principal stockholders have the ability to influence the outcome of director elections and other matters requiring stockholder approval.</w:t>
      </w:r>
    </w:p>
    <w:p>
      <w:pPr>
        <w:spacing w:after="0" w:line="126" w:lineRule="exact"/>
        <w:rPr>
          <w:rFonts w:ascii="Arial" w:cs="Arial" w:eastAsia="Arial" w:hAnsi="Arial"/>
          <w:sz w:val="16"/>
          <w:szCs w:val="16"/>
          <w:color w:val="auto"/>
        </w:rPr>
      </w:pPr>
    </w:p>
    <w:p>
      <w:pPr>
        <w:ind w:left="1020" w:right="20" w:hanging="503"/>
        <w:spacing w:after="0" w:line="24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9" w:lineRule="exact"/>
        <w:rPr>
          <w:rFonts w:ascii="Arial" w:cs="Arial" w:eastAsia="Arial" w:hAnsi="Arial"/>
          <w:sz w:val="18"/>
          <w:szCs w:val="18"/>
          <w:color w:val="auto"/>
        </w:rPr>
      </w:pPr>
    </w:p>
    <w:p>
      <w:pPr>
        <w:ind w:left="1020" w:right="30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We are pioneering a new category of software called Digital Optimization. Our Digital Optimization System serves as the command center for businesses to connect digital products to business outcomes. Digital optimization is emerging as a strategic investment for every company to survive in the digital-first world.</w:t>
      </w:r>
    </w:p>
    <w:p>
      <w:pPr>
        <w:spacing w:after="0" w:line="18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Digital products are embedded in every part of our daily lives and digital has become the primary way business is done. The ability for companies to offer compelling digital products and services has become a matter of survival.</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way that companies build digital products is going through a fundamental change from being intuition-based to data-driven. Product teams have historically decided what to build based on qualitative gut feel and without a firm understanding of what will drive business results. Today, the best teams are those that build their strategy around product data, which connects the attributes of individual end users with their actual behavior. Product data has become the next untapped growth lever to transform how businesses build products, gain key insights into which features have the greatest business impact, and connect with customers.</w:t>
      </w:r>
    </w:p>
    <w:p>
      <w:pPr>
        <w:spacing w:after="0" w:line="189"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The amount of time that consumers spend interacting with digital products has led to an explosion of both the quantity and diversity of data. Because products themselves are generators of data, for the first time, in-product behavior can now be analyzed. With product data, teams can gain insight from the specific actions end users take within digital products and answer important questions, such as where in the purchase journey do users experience friction, what are the top user paths between signup and trial conversion, and which features increase new customer retention.</w:t>
      </w:r>
    </w:p>
    <w:p>
      <w:pPr>
        <w:spacing w:after="0" w:line="17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Traditionally, businesses have spent billions of dollars on a patchwork of systems, including web and marketing analytics, business intelligence tools, and sentiment tools, to help understand how their digital product investments drive business outcomes. These tools were not built on product data and do not understand in-product behavior, nor were they built for the scale and complexity of digital products to provide actionable and real-time product-driven insights. Businesses today do not know if their strategic product decisions are the right ones, and they do not have the insights to help ensure they work.</w:t>
      </w:r>
    </w:p>
    <w:p>
      <w:pPr>
        <w:spacing w:after="0" w:line="18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next evolution of digital transformation is the category-defining shift to digital optimization. The promise of digital optimization is connecting the dots between products and the business. It provides the breadth and depth of insights into customer behavior to understand what behaviors are linked to business impact. Digital optimization answers strategic questions such as what products to build, what digital bets to make, and which bets are working. It predicts which customers are likely to purchase or churn based on their behavior and automatically adapts products to each customer based on this intelligence to optimize the outcome.</w:t>
      </w:r>
    </w:p>
    <w:p>
      <w:pPr>
        <w:spacing w:after="0" w:line="189"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While digital transformation is focused on building new digital products, digital optimization is focused on using product data to make strategic decisions and run a business, accelerate innovation, and increase the value of digital transformation efforts.</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Product, data, engineering, and marketing teams are often forced to make business decisions in a vacuum and without understanding the linkage between product decisions and business outcomes. Digital optimization leverages the power of data-driven products to create this linkage automatically. In addition, having a common lens into customer and product data helps every team transform their function, from launching brand-defining marketing campaigns to reimagining customer support. Bringing shared data and common visibility to every team will be a business-critical requirement in the digital optimization era.</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How Amplitude Powers Digital Optimization</w:t>
      </w:r>
    </w:p>
    <w:p>
      <w:pPr>
        <w:spacing w:after="0" w:line="104" w:lineRule="exact"/>
        <w:rPr>
          <w:sz w:val="20"/>
          <w:szCs w:val="20"/>
          <w:color w:val="auto"/>
        </w:rPr>
      </w:pPr>
    </w:p>
    <w:p>
      <w:pPr>
        <w:jc w:val="both"/>
        <w:ind w:right="380" w:firstLine="509"/>
        <w:spacing w:after="0" w:line="262" w:lineRule="auto"/>
        <w:rPr>
          <w:sz w:val="20"/>
          <w:szCs w:val="20"/>
          <w:color w:val="auto"/>
        </w:rPr>
      </w:pPr>
      <w:r>
        <w:rPr>
          <w:rFonts w:ascii="Arial" w:cs="Arial" w:eastAsia="Arial" w:hAnsi="Arial"/>
          <w:sz w:val="17"/>
          <w:szCs w:val="17"/>
          <w:color w:val="auto"/>
        </w:rPr>
        <w:t>We built the first Digital Optimization System that brings together a new depth of customer understanding with the speed of action to optimize experiences. We power some of the most-beloved and iconic consumer and B2B digital products. We enable businesses, regardless of size, industry, or where they are in their digital maturity, to unleash digital innovation and growth. Our system unifies product, marketing, data, and executive teams, by giving them the common visibility to drive business outcomes with agility and confidence.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Digital Optimization System consists of the following integrated solutions:</w:t>
      </w:r>
    </w:p>
    <w:p>
      <w:pPr>
        <w:spacing w:after="0" w:line="104" w:lineRule="exact"/>
        <w:rPr>
          <w:sz w:val="20"/>
          <w:szCs w:val="20"/>
          <w:color w:val="auto"/>
        </w:rPr>
      </w:pPr>
    </w:p>
    <w:p>
      <w:pPr>
        <w:ind w:left="102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Amplitude Analytics. </w:t>
      </w:r>
      <w:r>
        <w:rPr>
          <w:rFonts w:ascii="Arial" w:cs="Arial" w:eastAsia="Arial" w:hAnsi="Arial"/>
          <w:sz w:val="18"/>
          <w:szCs w:val="18"/>
          <w:color w:val="auto"/>
        </w:rPr>
        <w:t>G2, an independent software review site, ranked Amplitude as the #3 best software product overall and #5 best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product in their 2022 Best Software Awards. The G2 Winter 2022 Report also ranked Amplitude as the #1 product analytics solution for the sixth quarter in a row, #1 in mobile analytics, and #3 in digital analytics. We provide teams with fast, self-service insights into customer behavior.</w:t>
      </w:r>
    </w:p>
    <w:p>
      <w:pPr>
        <w:spacing w:after="0" w:line="79"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Amplitude Recommend. </w:t>
      </w:r>
      <w:r>
        <w:rPr>
          <w:rFonts w:ascii="Arial" w:cs="Arial" w:eastAsia="Arial" w:hAnsi="Arial"/>
          <w:sz w:val="18"/>
          <w:szCs w:val="18"/>
          <w:color w:val="auto"/>
        </w:rPr>
        <w:t>A no-code personalization solution that helps teams increase customer engagement by intelligently adapting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campaigns to every user based on behavior.</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Amplitude Experiment. </w:t>
      </w:r>
      <w:r>
        <w:rPr>
          <w:rFonts w:ascii="Arial" w:cs="Arial" w:eastAsia="Arial" w:hAnsi="Arial"/>
          <w:sz w:val="18"/>
          <w:szCs w:val="18"/>
          <w:color w:val="auto"/>
        </w:rPr>
        <w:t>An integrated end-to-end experimentation solution that enables teams to determine and deliver the most impactful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experiences for their customers through A/B tests and controlled feature releases.</w:t>
      </w:r>
    </w:p>
    <w:p>
      <w:pPr>
        <w:spacing w:after="0" w:line="17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At the core of our Digital Optimization System is the Amplitude Behavioral Graph, a proprietary behavioral database purpose-built for complex, interactive behavioral queries, with novel approaches to normalizing, classifying, and partitioning behavioral data. The Behavioral Graph scales to look at every individual customer action taken in a digital product and identifies combinations of actions that lead to a desired outcome. The Behavioral Graph processes behavioral data points to help answer questions like why do users convert or drop off, which interactions predict likelihood to buy, and what are the most common paths users take.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Mission Critical to Our Customers</w:t>
      </w:r>
    </w:p>
    <w:p>
      <w:pPr>
        <w:spacing w:after="0" w:line="10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As of December 31, 2021, we serve more than 1,500 paying customers globally, from the most ambitious startups to the largest global enterprises. We are the trusted source of customer and product insight for the world’s leading data-driven, product-led digital companies and bring the same technology to the remaining companies that lack this expertise. We serve customers across virtually every industry, including finance, media, retail, industrials, hospitality, healthcare, media, and telecom, as well as companies in various stages of digital maturity. Digital optimization has become mission critical to companies of all sizes and in all industries to keep up with the pace of innovation required to survive in the digital-first world.</w:t>
      </w:r>
    </w:p>
    <w:p>
      <w:pPr>
        <w:spacing w:after="0" w:line="15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Digital Optimization System is mission critical to our customers’ success. Within our largest customers, thousands of users leverage our system to drive better outcomes in their respective functional areas. The broad applicability and ease of use of our system results in significant commitments by our customers as part of their core technology stack. As of December 31, 2021 and 2020, we had 385 and 262 customers, respectively, that each represented greater than $100,000 in Annual Recurring Revenue ("ARR") and 29 and 15 customers, respectively, that each represented greater than $1 million in ARR, demonstrating how critical we are to our customers’ success.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generate revenue primarily through selling subscriptions to our platform. We reach customers through an efficient direct sales motion, solution partners, and product-led growth initiatives, including subscription plans to meet the needs of a diverse range of companies. Our pricing model is based on both the platform functionality required by our customers as well as committed event volume. For the year ended December 31, 2021, subscription revenue comprised 97% of our total revenue. Our customers typically look to use our platform for an initial business use case they have identified, such as analytics on a digital product. As our customers experience the value of our platform in helping to drive business outcomes in that initial use case, they frequently expand that initial use case, expand into new use cases, and expand into additional products. Examples of ways customers expand the use of our platform include the following:</w:t>
      </w:r>
    </w:p>
    <w:p>
      <w:pPr>
        <w:spacing w:after="0" w:line="83" w:lineRule="exact"/>
        <w:rPr>
          <w:sz w:val="20"/>
          <w:szCs w:val="20"/>
          <w:color w:val="auto"/>
        </w:rPr>
      </w:pPr>
    </w:p>
    <w:p>
      <w:pPr>
        <w:ind w:left="1020" w:right="180" w:hanging="503"/>
        <w:spacing w:after="0" w:line="291"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Customers expand an initial use case by tracking additional events on a digital product to gain greater insight into customer journeys or add additional functionality (e.g. predictive analytics, behavioral reports) to meet the needs of teams across the organization;</w:t>
      </w:r>
    </w:p>
    <w:p>
      <w:pPr>
        <w:spacing w:after="0" w:line="38"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expand into new use cases by using our platform for additional digital products in their digital product portfolio and empowering additional teams (e.g. product, marketing, engineering, analytics) responsible for those digital product; and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 w:name="page7"/>
    <w:bookmarkEnd w:id="6"/>
    <w:p>
      <w:pPr>
        <w:ind w:left="1020" w:right="18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expand by layering on additional offerings, such as our Recommend and Experiment products, on our core Analytics offering to power new capabilities to drive business outcomes.</w:t>
      </w:r>
    </w:p>
    <w:p>
      <w:pPr>
        <w:spacing w:after="0" w:line="171"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Our ability to expand within our customer base is also demonstrated by our strong dollar-based net retention rate. As of December 31, 2021 and 2020, our dollar-based net retention rate across paying customers was 123% and 119%,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is the New Battlefield for Business Survival</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Today, digital products are embedded in every part of our daily lives. The ability for companies to offer compelling digital products and services has become a matter of survival. Several mega-trends are forcing companies to move to digital first, including the continued rise of mobile and cloud, making it easier than ever for new entrants to disrupt existing markets through digital; the rise of the digital economy; and businesses' shift in focus from customer acquisition to customer retention.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Revenue Center is Shifting from Sales and Marketing to Product</w:t>
      </w:r>
    </w:p>
    <w:p>
      <w:pPr>
        <w:spacing w:after="0" w:line="104" w:lineRule="exact"/>
        <w:rPr>
          <w:sz w:val="20"/>
          <w:szCs w:val="20"/>
          <w:color w:val="auto"/>
        </w:rPr>
      </w:pPr>
    </w:p>
    <w:p>
      <w:pPr>
        <w:ind w:right="300" w:firstLine="509"/>
        <w:spacing w:after="0" w:line="324" w:lineRule="auto"/>
        <w:rPr>
          <w:sz w:val="20"/>
          <w:szCs w:val="20"/>
          <w:color w:val="auto"/>
        </w:rPr>
      </w:pPr>
      <w:r>
        <w:rPr>
          <w:rFonts w:ascii="Arial" w:cs="Arial" w:eastAsia="Arial" w:hAnsi="Arial"/>
          <w:sz w:val="16"/>
          <w:szCs w:val="16"/>
          <w:color w:val="auto"/>
        </w:rPr>
        <w:t>Once considered a cost center for the business, the digital product is now becoming the primary lever in a business to drive growth. The growing importance of product-led growth to a company’s survival has fundamentally shifted how companies go to market and invest in innovation.</w:t>
      </w:r>
    </w:p>
    <w:p>
      <w:pPr>
        <w:spacing w:after="0" w:line="12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revenue center of a business is shifting away from acquisition-focused marketing and sales to retention and expansion through sustained customer engagement within digital products. User engagement, user behavior, customer retention rate, and customer lifetime value have become the new standard metrics to measure the productivity and efficiency of any business. Additionally, as heightened user and data privacy concerns move to limit the type of data app developers and advertisers can use or sell to target customers, it will become increasingly difficult for businesses to acquire their way to growth through traditional marketing and advertising initiatives.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Approach to Building Digital Products is Being Reinvented</w:t>
      </w:r>
    </w:p>
    <w:p>
      <w:pPr>
        <w:spacing w:after="0" w:line="21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way that companies build digital products is going through a fundamental shift from being intuition-based to using data derived from the digital product itself to make decisions. Data-driven products:</w:t>
      </w:r>
    </w:p>
    <w:p>
      <w:pPr>
        <w:spacing w:after="0" w:line="130" w:lineRule="exact"/>
        <w:rPr>
          <w:sz w:val="20"/>
          <w:szCs w:val="20"/>
          <w:color w:val="auto"/>
        </w:rPr>
      </w:pPr>
    </w:p>
    <w:p>
      <w:pPr>
        <w:jc w:val="both"/>
        <w:ind w:left="1020" w:right="120" w:hanging="503"/>
        <w:spacing w:after="0" w:line="24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Are Centered in Behavioral Data. </w:t>
      </w:r>
      <w:r>
        <w:rPr>
          <w:rFonts w:ascii="Arial" w:cs="Arial" w:eastAsia="Arial" w:hAnsi="Arial"/>
          <w:sz w:val="18"/>
          <w:szCs w:val="18"/>
          <w:color w:val="auto"/>
        </w:rPr>
        <w:t>The amount of time that consumers spend interacting with digital products has led to an explosion of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quantity and diversity of data. Because the digital products themselves are generators of data, this means that in-product behavior can be observed and analyzed for the first time.</w:t>
      </w:r>
    </w:p>
    <w:p>
      <w:pPr>
        <w:spacing w:after="0" w:line="73" w:lineRule="exact"/>
        <w:rPr>
          <w:rFonts w:ascii="Arial" w:cs="Arial" w:eastAsia="Arial" w:hAnsi="Arial"/>
          <w:sz w:val="18"/>
          <w:szCs w:val="18"/>
          <w:color w:val="auto"/>
        </w:rPr>
      </w:pPr>
    </w:p>
    <w:p>
      <w:pPr>
        <w:ind w:left="1020" w:right="160" w:hanging="503"/>
        <w:spacing w:after="0" w:line="294"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Adapt to the Customer. </w:t>
      </w:r>
      <w:r>
        <w:rPr>
          <w:rFonts w:ascii="Arial" w:cs="Arial" w:eastAsia="Arial" w:hAnsi="Arial"/>
          <w:sz w:val="16"/>
          <w:szCs w:val="16"/>
          <w:color w:val="auto"/>
        </w:rPr>
        <w:t>In a world of abundant choice, the expectations of consumers for businesses to deliver highly-personalized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experiences continues to be on the rise. The best-in-class digital companies leverage product data to build robust recommendation engines based on artificial intelligence (“AI”) and machine learning (“ML”) algorithms to deliver highly differentiated experiences at scale.</w:t>
      </w:r>
    </w:p>
    <w:p>
      <w:pPr>
        <w:spacing w:after="0" w:line="39" w:lineRule="exact"/>
        <w:rPr>
          <w:rFonts w:ascii="Arial" w:cs="Arial" w:eastAsia="Arial" w:hAnsi="Arial"/>
          <w:sz w:val="16"/>
          <w:szCs w:val="16"/>
          <w:color w:val="auto"/>
        </w:rPr>
      </w:pPr>
    </w:p>
    <w:p>
      <w:pPr>
        <w:ind w:left="1020" w:right="40" w:hanging="503"/>
        <w:spacing w:after="0" w:line="274"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Leverage Data Democratization and Common Visibility. </w:t>
      </w:r>
      <w:r>
        <w:rPr>
          <w:rFonts w:ascii="Arial" w:cs="Arial" w:eastAsia="Arial" w:hAnsi="Arial"/>
          <w:sz w:val="16"/>
          <w:szCs w:val="16"/>
          <w:color w:val="auto"/>
        </w:rPr>
        <w:t>Between product management, engineering, design, marketing, sales,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success, business operations, and executive teams, there may be thousands of people in an organization who rely on data as part of their daily responsibilities. Marketing and centralized data teams have traditionally been tasked with the responsibility of aggregating data from various data silos. They analyze data to extract insights and distribute regularly scheduled or ad-hoc reports to various stakeholders. This operating model creates significant barriers for making the data accessible to all who need it, relying on teams of data scientists to serve as intermediaries and tools that require SQL expertise. Even simple data requests can at times lead to weeks or months of cycle time, reducing the agility for business owners to get the data they need to make critical business and product decisions.</w:t>
      </w:r>
    </w:p>
    <w:p>
      <w:pPr>
        <w:spacing w:after="0" w:line="1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Data and insights are only valuable if they can be leveraged by cross-functional stakeholders jointly responsible for making decisions. When product data acts as a single source of truth, every team has access to the same common data to explore and reach alignment on shared goals and actions plans. Data-driven organizations that make data both accessible and actionable enable their teams to expedite the decision making process, thereby iterating on and improving their digital products with greater agility. The faster organizations are able to iterate, the stronger their systematic advantages are against competitors that lack such expertise. With digital products becoming the revenue center of business, a new generation of digital leaders that span across all functions within an organization is required.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The Next Frontier of Digital Transformation Brings the Imperative of Digital Optimization</w:t>
      </w:r>
    </w:p>
    <w:p>
      <w:pPr>
        <w:spacing w:after="0" w:line="10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While digital transformation is focused on building web-enabled customer experiences, the next evolution of digital transformation is the category-defining shift to digital optimization. Digital optimization moves beyond building new digital products and is focused on using product data to make strategic decisions to run the business, accelerate product innovation, and increase the value of digital transformation efforts. The promise of digital optimization is connecting the dots between product decisions and business outcomes. Digital optimization provides a new breadth and depth of insights into customer behavior to understand what drives business impact. It tells companies what products to build, what digital bets to make to accelerate innovation, what product changes to make based on the features or actions that correlate to impact, when a business initiative is not working in order to stop wasting time and resources, and provides insight to adapt digital product experiences to each customer to maximize engagement, retention, and lifetime value. Digital optimization leverages the power of data-driven products to create this linkage automatically and answer the fundamental question: how does digital product drive one’s business?</w:t>
      </w:r>
    </w:p>
    <w:p>
      <w:pPr>
        <w:spacing w:after="0" w:line="184"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Digital optimization will be a strategic business imperative as digital transformation continues at an accelerated pace and to help ensure businesses are making the right product bets and to maximize their impact to make sense of the exponential increase in digital product and user behavioral data.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Businesses Need a Fundamentally New Approach to Drive Digital Optimization</w:t>
      </w:r>
    </w:p>
    <w:p>
      <w:pPr>
        <w:spacing w:after="0" w:line="104" w:lineRule="exact"/>
        <w:rPr>
          <w:sz w:val="20"/>
          <w:szCs w:val="20"/>
          <w:color w:val="auto"/>
        </w:rPr>
      </w:pPr>
    </w:p>
    <w:p>
      <w:pPr>
        <w:jc w:val="both"/>
        <w:ind w:right="660" w:firstLine="509"/>
        <w:spacing w:after="0" w:line="248" w:lineRule="auto"/>
        <w:rPr>
          <w:sz w:val="20"/>
          <w:szCs w:val="20"/>
          <w:color w:val="auto"/>
        </w:rPr>
      </w:pPr>
      <w:r>
        <w:rPr>
          <w:rFonts w:ascii="Arial" w:cs="Arial" w:eastAsia="Arial" w:hAnsi="Arial"/>
          <w:sz w:val="18"/>
          <w:szCs w:val="18"/>
          <w:color w:val="auto"/>
        </w:rPr>
        <w:t>Businesses have spent billions of dollars on a patchwork of systems to help understand how their digital product investments drive business outcomes. However, these systems were not built for insight on product data in real time and at scale, leveraging the wrong data and undertaking a misguided approach.</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Why is product data different?</w:t>
      </w:r>
    </w:p>
    <w:p>
      <w:pPr>
        <w:spacing w:after="0" w:line="100" w:lineRule="exact"/>
        <w:rPr>
          <w:sz w:val="20"/>
          <w:szCs w:val="20"/>
          <w:color w:val="auto"/>
        </w:rPr>
      </w:pPr>
    </w:p>
    <w:p>
      <w:pPr>
        <w:ind w:left="1020" w:right="400" w:hanging="503"/>
        <w:spacing w:after="0" w:line="266" w:lineRule="auto"/>
        <w:tabs>
          <w:tab w:leader="none" w:pos="10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Complexity. </w:t>
      </w:r>
      <w:r>
        <w:rPr>
          <w:rFonts w:ascii="Arial" w:cs="Arial" w:eastAsia="Arial" w:hAnsi="Arial"/>
          <w:sz w:val="18"/>
          <w:szCs w:val="18"/>
          <w:color w:val="auto"/>
        </w:rPr>
        <w:t>Digital products are complex, which means that product data operates at a qualitatively different scale than transactional or</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marketing data.</w:t>
      </w:r>
    </w:p>
    <w:p>
      <w:pPr>
        <w:spacing w:after="0" w:line="54" w:lineRule="exact"/>
        <w:rPr>
          <w:rFonts w:ascii="Arial" w:cs="Arial" w:eastAsia="Arial" w:hAnsi="Arial"/>
          <w:sz w:val="18"/>
          <w:szCs w:val="18"/>
          <w:b w:val="1"/>
          <w:bCs w:val="1"/>
          <w:color w:val="auto"/>
        </w:rPr>
      </w:pPr>
    </w:p>
    <w:p>
      <w:pPr>
        <w:ind w:left="1020" w:right="40" w:hanging="503"/>
        <w:spacing w:after="0" w:line="242" w:lineRule="auto"/>
        <w:tabs>
          <w:tab w:leader="none" w:pos="10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Non-Linear. </w:t>
      </w:r>
      <w:r>
        <w:rPr>
          <w:rFonts w:ascii="Arial" w:cs="Arial" w:eastAsia="Arial" w:hAnsi="Arial"/>
          <w:sz w:val="18"/>
          <w:szCs w:val="18"/>
          <w:color w:val="auto"/>
        </w:rPr>
        <w:t>Unlike traditional marketing funnels where the goal is strictly increasing the conversion rate to the next step, users do not take a</w:t>
      </w:r>
      <w:r>
        <w:rPr>
          <w:rFonts w:ascii="Arial" w:cs="Arial" w:eastAsia="Arial" w:hAnsi="Arial"/>
          <w:sz w:val="18"/>
          <w:szCs w:val="18"/>
          <w:b w:val="1"/>
          <w:bCs w:val="1"/>
          <w:color w:val="auto"/>
        </w:rPr>
        <w:t xml:space="preserve"> </w:t>
      </w:r>
      <w:r>
        <w:rPr>
          <w:rFonts w:ascii="Arial" w:cs="Arial" w:eastAsia="Arial" w:hAnsi="Arial"/>
          <w:sz w:val="18"/>
          <w:szCs w:val="18"/>
          <w:color w:val="auto"/>
        </w:rPr>
        <w:t>linear journey through a digital product. Based on our customer data, we estimate that, on average, there are approximately 2,500 distinct events that can be measured within each digital product. Each user therefore navigates through an application across multiple devices in a random walk that is unique from every other user. This effect makes it much harder to understand what is happening in the aggregate and generate insights at scale.</w:t>
      </w:r>
    </w:p>
    <w:p>
      <w:pPr>
        <w:spacing w:after="0" w:line="76" w:lineRule="exact"/>
        <w:rPr>
          <w:rFonts w:ascii="Arial" w:cs="Arial" w:eastAsia="Arial" w:hAnsi="Arial"/>
          <w:sz w:val="18"/>
          <w:szCs w:val="18"/>
          <w:b w:val="1"/>
          <w:bCs w:val="1"/>
          <w:color w:val="auto"/>
        </w:rPr>
      </w:pPr>
    </w:p>
    <w:p>
      <w:pPr>
        <w:ind w:left="1020" w:right="20" w:hanging="503"/>
        <w:spacing w:after="0" w:line="250" w:lineRule="auto"/>
        <w:tabs>
          <w:tab w:leader="none" w:pos="10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Scale. </w:t>
      </w:r>
      <w:r>
        <w:rPr>
          <w:rFonts w:ascii="Arial" w:cs="Arial" w:eastAsia="Arial" w:hAnsi="Arial"/>
          <w:sz w:val="18"/>
          <w:szCs w:val="18"/>
          <w:color w:val="auto"/>
        </w:rPr>
        <w:t>Combining the number of digital product users a company may have and the amount of engagement per user can result in billions of</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events per product. This scale presents near-insurmountable challenges for any business looking to optimize their digital products to drive outcomes on both a micro and macro level.</w:t>
      </w:r>
    </w:p>
    <w:p>
      <w:pPr>
        <w:spacing w:after="0" w:line="18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sum of all this complexity means existing categories of software fail to understand product data and were not designed to adequately address the needs of today’s digital optimization era:</w:t>
      </w:r>
    </w:p>
    <w:p>
      <w:pPr>
        <w:spacing w:after="0" w:line="63" w:lineRule="exact"/>
        <w:rPr>
          <w:sz w:val="20"/>
          <w:szCs w:val="20"/>
          <w:color w:val="auto"/>
        </w:rPr>
      </w:pPr>
    </w:p>
    <w:p>
      <w:pPr>
        <w:ind w:left="1020" w:hanging="503"/>
        <w:spacing w:after="0" w:line="255"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Web and Marketing Analytics. </w:t>
      </w:r>
      <w:r>
        <w:rPr>
          <w:rFonts w:ascii="Arial" w:cs="Arial" w:eastAsia="Arial" w:hAnsi="Arial"/>
          <w:sz w:val="17"/>
          <w:szCs w:val="17"/>
          <w:color w:val="auto"/>
        </w:rPr>
        <w:t>These solutions focus on using web and demographic data to analyze target users and advertising spend.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most relevant for the Web 1.0 era, when marketers focused on pageviews, campaign sources, clicks, and other surface-level metrics. They were not built for in-product and in-app behavior, deep personalization based on AI/ML, multi-platform end-user journeys, and modern digital measurements. Moreover, many of these solutions are built on a pre-computation data framework – whereby queries are completed in advance and cached versus performed on the fly – which prohibits flexibility for real-time analysis. This data approach is incompatible with fast moving, collaborative teams that need easy-access data to find, ask, and answer in an iterative fashion and use data to power product experiences at the moment a user engages.</w:t>
      </w:r>
    </w:p>
    <w:p>
      <w:pPr>
        <w:spacing w:after="0" w:line="71" w:lineRule="exact"/>
        <w:rPr>
          <w:rFonts w:ascii="Arial" w:cs="Arial" w:eastAsia="Arial" w:hAnsi="Arial"/>
          <w:sz w:val="17"/>
          <w:szCs w:val="17"/>
          <w:color w:val="auto"/>
        </w:rPr>
      </w:pPr>
    </w:p>
    <w:p>
      <w:pPr>
        <w:ind w:left="1020" w:right="20" w:hanging="503"/>
        <w:spacing w:after="0" w:line="254"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Business Intelligence. </w:t>
      </w:r>
      <w:r>
        <w:rPr>
          <w:rFonts w:ascii="Arial" w:cs="Arial" w:eastAsia="Arial" w:hAnsi="Arial"/>
          <w:sz w:val="17"/>
          <w:szCs w:val="17"/>
          <w:color w:val="auto"/>
        </w:rPr>
        <w:t>These solutions are horizontally focused and built for reporting on object-level data and transactional data,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behavioral data. The implementation of these systems can often take years and requires significant investments in the form of teams specializing in data and analytics to deploy, maintain, and use. Oftentimes built on large data lakes of structured and unstructured data, data teams must scrub, clean, instrument, and canonicalize the data, and then use complex SQL queries to answer even the most basic questions. This process is cumbersome and slow because SQL queries are not designed for user-joins, which connect disparate end-user actions together and are the key to understanding end-user behavior in product, and leads to product and business teams being bottlenecked as they wait for answers. Even when these “blank canvas” environments have been custom built for non-technical users, they are often inflexible and disconnected from their workflows – leaving teams without answers or the ability to act.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 w:name="page9"/>
    <w:bookmarkEnd w:id="8"/>
    <w:p>
      <w:pPr>
        <w:ind w:left="1020" w:right="40" w:hanging="503"/>
        <w:spacing w:after="0" w:line="28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Sentiment / Survey-based Solutions. </w:t>
      </w:r>
      <w:r>
        <w:rPr>
          <w:rFonts w:ascii="Arial" w:cs="Arial" w:eastAsia="Arial" w:hAnsi="Arial"/>
          <w:sz w:val="16"/>
          <w:szCs w:val="16"/>
          <w:color w:val="auto"/>
        </w:rPr>
        <w:t>These solutions are focused on uncovering and understanding customer sentiment to improve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experiences – often non-digital – and include qualitative measurements such as surveys. They are not designed to generate product insight and analyze behavioral data, limiting the applicability outside of customer service, researchers, and marketing teams. Relying on sentiment data in a silo provides an imprecise and incomplete picture of the customer and does not close the loop from insight to action.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Amplitude Digital Optimization System</w:t>
      </w:r>
    </w:p>
    <w:p>
      <w:pPr>
        <w:spacing w:after="0" w:line="108" w:lineRule="exact"/>
        <w:rPr>
          <w:sz w:val="20"/>
          <w:szCs w:val="20"/>
          <w:color w:val="auto"/>
        </w:rPr>
      </w:pPr>
    </w:p>
    <w:p>
      <w:pPr>
        <w:ind w:right="280" w:firstLine="509"/>
        <w:spacing w:after="0" w:line="279" w:lineRule="auto"/>
        <w:rPr>
          <w:sz w:val="20"/>
          <w:szCs w:val="20"/>
          <w:color w:val="auto"/>
        </w:rPr>
      </w:pPr>
      <w:r>
        <w:rPr>
          <w:rFonts w:ascii="Arial" w:cs="Arial" w:eastAsia="Arial" w:hAnsi="Arial"/>
          <w:sz w:val="16"/>
          <w:szCs w:val="16"/>
          <w:color w:val="auto"/>
        </w:rPr>
        <w:t>We built the first Digital Optimization System that brings together a new depth of customer understanding with the speed of action to optimize experiences in the moment. It is the only unified system that answers the question: “How do your digital products drive your business?” We power the most-beloved digital products and teams with actionable data and insights – regardless of size, industry, or digital maturity – so they can unleash digital innovation and growth. We make critical data accessible and actionable to every team – allowing product, marketing, engineering, analytics, customer success, and executive teams to align around common visibility and to drive business outcomes with greater speed, agility, and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109855</wp:posOffset>
            </wp:positionV>
            <wp:extent cx="5297805" cy="3737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9780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today’s digital-first world, we believe every organization must transform into data-driven teams and products that create competitive advantages and long-term value for both their customers and businesses. A Digital Optimization System is essential in this new reality – helping businesses understand how their customers use their products, make better decisions, build personalized experiences that engage and retain customers, and measure performance. With us, teams have access to a fully integrated, self-service system for data, analytics, and personalization – with intelligence and collaboration built in to help teams innovate faster and smarter.</w:t>
      </w:r>
    </w:p>
    <w:p>
      <w:pPr>
        <w:spacing w:after="0" w:line="189"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For instance, we helped a leader in online food delivery answer, “What is the most profitable delivery model that also maximizes order frequency and size?” A popular meditation app discovered the answer to, “How can we redesign our content and app to increase user retention?” And a software company aligned thousands of users across the organization around key metrics and explored questions like, “Why do certain marketing channels show high engagement but low downstream user conversions and revenue?”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 w:name="page10"/>
    <w:bookmarkEnd w:id="9"/>
    <w:p>
      <w:pPr>
        <w:ind w:left="3"/>
        <w:spacing w:after="0"/>
        <w:rPr>
          <w:sz w:val="20"/>
          <w:szCs w:val="20"/>
          <w:color w:val="auto"/>
        </w:rPr>
      </w:pPr>
      <w:r>
        <w:rPr>
          <w:rFonts w:ascii="Arial" w:cs="Arial" w:eastAsia="Arial" w:hAnsi="Arial"/>
          <w:sz w:val="18"/>
          <w:szCs w:val="18"/>
          <w:color w:val="auto"/>
        </w:rPr>
        <w:t>Our Digital Optimization System consists of the following integrated components:</w:t>
      </w:r>
    </w:p>
    <w:p>
      <w:pPr>
        <w:spacing w:after="0" w:line="104" w:lineRule="exact"/>
        <w:rPr>
          <w:sz w:val="20"/>
          <w:szCs w:val="20"/>
          <w:color w:val="auto"/>
        </w:rPr>
      </w:pPr>
    </w:p>
    <w:p>
      <w:pPr>
        <w:ind w:left="503" w:hanging="503"/>
        <w:spacing w:after="0" w:line="243" w:lineRule="auto"/>
        <w:tabs>
          <w:tab w:leader="none" w:pos="503"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Amplitude Analytics. </w:t>
      </w:r>
      <w:r>
        <w:rPr>
          <w:rFonts w:ascii="Arial" w:cs="Arial" w:eastAsia="Arial" w:hAnsi="Arial"/>
          <w:sz w:val="18"/>
          <w:szCs w:val="18"/>
          <w:color w:val="auto"/>
        </w:rPr>
        <w:t>G2, an independent software review site, ranked Amplitude as the #3 best software product overall and #5 best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product in their 2022 Best Software Awards. The G2 Winter 2022 Report also ranked Amplitude as the #1 product analytics solution for the sixth quarter in a row, #1 in mobile analytics, and #3 in digital analytics. We provide teams with fast, self-service insights into customer behavior.</w:t>
      </w:r>
    </w:p>
    <w:p>
      <w:pPr>
        <w:spacing w:after="0" w:line="75" w:lineRule="exact"/>
        <w:rPr>
          <w:rFonts w:ascii="Arial" w:cs="Arial" w:eastAsia="Arial" w:hAnsi="Arial"/>
          <w:sz w:val="18"/>
          <w:szCs w:val="18"/>
          <w:color w:val="auto"/>
        </w:rPr>
      </w:pPr>
    </w:p>
    <w:p>
      <w:pPr>
        <w:jc w:val="both"/>
        <w:ind w:left="503" w:right="100" w:hanging="503"/>
        <w:spacing w:after="0" w:line="250" w:lineRule="auto"/>
        <w:tabs>
          <w:tab w:leader="none" w:pos="503"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Amplitude Recommend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no-code personalization solution that helps teams increase customer engagement by intelligently adapting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marketing channels to every user – with behavioral and predictive segmentation to build and sync audiences to marketing tools and a self-serve recommendation engine to instantly enable in-product personalization.</w:t>
      </w:r>
    </w:p>
    <w:p>
      <w:pPr>
        <w:spacing w:after="0" w:line="72" w:lineRule="exact"/>
        <w:rPr>
          <w:rFonts w:ascii="Arial" w:cs="Arial" w:eastAsia="Arial" w:hAnsi="Arial"/>
          <w:sz w:val="18"/>
          <w:szCs w:val="18"/>
          <w:color w:val="auto"/>
        </w:rPr>
      </w:pPr>
    </w:p>
    <w:p>
      <w:pPr>
        <w:ind w:left="503" w:right="100" w:hanging="503"/>
        <w:spacing w:after="0" w:line="248" w:lineRule="auto"/>
        <w:tabs>
          <w:tab w:leader="none" w:pos="503"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Amplitude Experiment. </w:t>
      </w:r>
      <w:r>
        <w:rPr>
          <w:rFonts w:ascii="Arial" w:cs="Arial" w:eastAsia="Arial" w:hAnsi="Arial"/>
          <w:sz w:val="18"/>
          <w:szCs w:val="18"/>
          <w:color w:val="auto"/>
        </w:rPr>
        <w:t>An integrated end-to-end solution that allows teams to better control feature releases, configure product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different end users, and run the end-to-end feature experimentation process from generating a hypothesis to targeting users, rolling out A/B tests, and measuring results.</w:t>
      </w:r>
    </w:p>
    <w:p>
      <w:pPr>
        <w:spacing w:after="0" w:line="73" w:lineRule="exact"/>
        <w:rPr>
          <w:rFonts w:ascii="Arial" w:cs="Arial" w:eastAsia="Arial" w:hAnsi="Arial"/>
          <w:sz w:val="18"/>
          <w:szCs w:val="18"/>
          <w:color w:val="auto"/>
        </w:rPr>
      </w:pPr>
    </w:p>
    <w:p>
      <w:pPr>
        <w:ind w:left="503" w:right="220" w:hanging="503"/>
        <w:spacing w:after="0" w:line="324" w:lineRule="auto"/>
        <w:tabs>
          <w:tab w:leader="none" w:pos="503"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Amplitude Behavioral Graph. </w:t>
      </w:r>
      <w:r>
        <w:rPr>
          <w:rFonts w:ascii="Arial" w:cs="Arial" w:eastAsia="Arial" w:hAnsi="Arial"/>
          <w:sz w:val="16"/>
          <w:szCs w:val="16"/>
          <w:color w:val="auto"/>
        </w:rPr>
        <w:t>A purpose-built proprietary database for deep, real-time interactive behavioral analysis and behavior-driven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personalization – instantly joining, analyzing, and correlating any customer actions to outcomes – like engagement, growth, and loyalty.</w:t>
      </w:r>
    </w:p>
    <w:p>
      <w:pPr>
        <w:spacing w:after="0" w:line="16" w:lineRule="exact"/>
        <w:rPr>
          <w:rFonts w:ascii="Arial" w:cs="Arial" w:eastAsia="Arial" w:hAnsi="Arial"/>
          <w:sz w:val="16"/>
          <w:szCs w:val="16"/>
          <w:color w:val="auto"/>
        </w:rPr>
      </w:pPr>
    </w:p>
    <w:p>
      <w:pPr>
        <w:ind w:left="503" w:right="100" w:hanging="503"/>
        <w:spacing w:after="0" w:line="261" w:lineRule="auto"/>
        <w:tabs>
          <w:tab w:leader="none" w:pos="503"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Management. </w:t>
      </w:r>
      <w:r>
        <w:rPr>
          <w:rFonts w:ascii="Arial" w:cs="Arial" w:eastAsia="Arial" w:hAnsi="Arial"/>
          <w:sz w:val="18"/>
          <w:szCs w:val="18"/>
          <w:color w:val="auto"/>
        </w:rPr>
        <w:t>A real-time data layer for planning, integrating, and managing data sources to create a complete, trustworthy foundation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identity resolution, enterprise-level security, and privacy solutions embedded throughout.</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8"/>
          <w:szCs w:val="18"/>
          <w:color w:val="auto"/>
        </w:rPr>
        <w:t>We power digital optimization for our customers through the following key system capabilities:</w:t>
      </w:r>
    </w:p>
    <w:p>
      <w:pPr>
        <w:spacing w:after="0" w:line="104" w:lineRule="exact"/>
        <w:rPr>
          <w:sz w:val="20"/>
          <w:szCs w:val="20"/>
          <w:color w:val="auto"/>
        </w:rPr>
      </w:pPr>
    </w:p>
    <w:p>
      <w:pPr>
        <w:ind w:left="503" w:right="60" w:hanging="503"/>
        <w:spacing w:after="0" w:line="241" w:lineRule="auto"/>
        <w:tabs>
          <w:tab w:leader="none" w:pos="503"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Behavioral Data at the Core. </w:t>
      </w:r>
      <w:r>
        <w:rPr>
          <w:rFonts w:ascii="Arial" w:cs="Arial" w:eastAsia="Arial" w:hAnsi="Arial"/>
          <w:sz w:val="18"/>
          <w:szCs w:val="18"/>
          <w:color w:val="auto"/>
        </w:rPr>
        <w:t>We designed data and machine-learning infrastructure purpose-built to understand cross-device and cross-product end-user data – enabling businesses to see, analyze, and act on behavioral data. Our infrastructure is structured around user-joins and partitioned by end users, which is the key to understanding end user behavior in-product. The Amplitude Behavioral Graph processes behavioral data points to help answer questions like why users convert or drop off, which interactions predict likelihood to buy, and what are the most common paths end users take.</w:t>
      </w:r>
    </w:p>
    <w:p>
      <w:pPr>
        <w:spacing w:after="0" w:line="81" w:lineRule="exact"/>
        <w:rPr>
          <w:rFonts w:ascii="Arial" w:cs="Arial" w:eastAsia="Arial" w:hAnsi="Arial"/>
          <w:sz w:val="18"/>
          <w:szCs w:val="18"/>
          <w:color w:val="auto"/>
        </w:rPr>
      </w:pPr>
    </w:p>
    <w:p>
      <w:pPr>
        <w:ind w:left="503" w:right="140" w:hanging="503"/>
        <w:spacing w:after="0" w:line="243" w:lineRule="auto"/>
        <w:tabs>
          <w:tab w:leader="none" w:pos="503"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Built-In Data Management. </w:t>
      </w:r>
      <w:r>
        <w:rPr>
          <w:rFonts w:ascii="Arial" w:cs="Arial" w:eastAsia="Arial" w:hAnsi="Arial"/>
          <w:sz w:val="18"/>
          <w:szCs w:val="18"/>
          <w:color w:val="auto"/>
        </w:rPr>
        <w:t>Our system includes a comprehensive, built-in data integration and governance suite to plan, integrate,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large, distributed data sources in real time. It automatically resolves user identities, normalizes and transforms data into one stream, and governs data quality, consistency, and access across organizations of any size, which is critical for analytics and personalization initiatives.</w:t>
      </w:r>
    </w:p>
    <w:p>
      <w:pPr>
        <w:spacing w:after="0" w:line="79" w:lineRule="exact"/>
        <w:rPr>
          <w:rFonts w:ascii="Arial" w:cs="Arial" w:eastAsia="Arial" w:hAnsi="Arial"/>
          <w:sz w:val="18"/>
          <w:szCs w:val="18"/>
          <w:color w:val="auto"/>
        </w:rPr>
      </w:pPr>
    </w:p>
    <w:p>
      <w:pPr>
        <w:ind w:left="503" w:right="200" w:hanging="503"/>
        <w:spacing w:after="0" w:line="262" w:lineRule="auto"/>
        <w:tabs>
          <w:tab w:leader="none" w:pos="503"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Real-time Analytics and Insight. </w:t>
      </w:r>
      <w:r>
        <w:rPr>
          <w:rFonts w:ascii="Arial" w:cs="Arial" w:eastAsia="Arial" w:hAnsi="Arial"/>
          <w:sz w:val="17"/>
          <w:szCs w:val="17"/>
          <w:color w:val="auto"/>
        </w:rPr>
        <w:t>We provide the market-leading product analytics solution that enables teams to access out-of-the-box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to instantly answer both simple and complex questions about product and customer behaviors. Teams can easily analyze any end-user path across multiple devices, products, and channels from an aggregate to individual end-user level to understand the context behind every end-user action and identify opportunities to improve the digital product experience.</w:t>
      </w:r>
    </w:p>
    <w:p>
      <w:pPr>
        <w:spacing w:after="0" w:line="64" w:lineRule="exact"/>
        <w:rPr>
          <w:rFonts w:ascii="Arial" w:cs="Arial" w:eastAsia="Arial" w:hAnsi="Arial"/>
          <w:sz w:val="17"/>
          <w:szCs w:val="17"/>
          <w:color w:val="auto"/>
        </w:rPr>
      </w:pPr>
    </w:p>
    <w:p>
      <w:pPr>
        <w:ind w:left="503" w:right="180" w:hanging="503"/>
        <w:spacing w:after="0" w:line="241" w:lineRule="auto"/>
        <w:tabs>
          <w:tab w:leader="none" w:pos="503"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Adoption and Collaboration. </w:t>
      </w:r>
      <w:r>
        <w:rPr>
          <w:rFonts w:ascii="Arial" w:cs="Arial" w:eastAsia="Arial" w:hAnsi="Arial"/>
          <w:sz w:val="18"/>
          <w:szCs w:val="18"/>
          <w:color w:val="auto"/>
        </w:rPr>
        <w:t>Our system provides an easy-to-use interface that allows for viral adoption and democratization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within an organization, regardless of technical abilities. Within minutes a new customer on our system can start generating insights relevant to their respective functional areas and engaging with collaborative dashboards, reports, and tools that allow a broad spectrum of people in an organization to participate in data-driven decision making. This ease of use fuels cross-functional adoption that can scale to thousands of active users surfacing insights and sharing findings.</w:t>
      </w:r>
    </w:p>
    <w:p>
      <w:pPr>
        <w:spacing w:after="0" w:line="81" w:lineRule="exact"/>
        <w:rPr>
          <w:rFonts w:ascii="Arial" w:cs="Arial" w:eastAsia="Arial" w:hAnsi="Arial"/>
          <w:sz w:val="18"/>
          <w:szCs w:val="18"/>
          <w:color w:val="auto"/>
        </w:rPr>
      </w:pPr>
    </w:p>
    <w:p>
      <w:pPr>
        <w:ind w:left="503" w:right="80" w:hanging="503"/>
        <w:spacing w:after="0" w:line="255" w:lineRule="auto"/>
        <w:tabs>
          <w:tab w:leader="none" w:pos="503"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Powering Data-Driven Action. </w:t>
      </w:r>
      <w:r>
        <w:rPr>
          <w:rFonts w:ascii="Arial" w:cs="Arial" w:eastAsia="Arial" w:hAnsi="Arial"/>
          <w:sz w:val="17"/>
          <w:szCs w:val="17"/>
          <w:color w:val="auto"/>
        </w:rPr>
        <w:t>Our system allows teams to directly turn end-user insight into action with personalized, Netflix-like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experiences in a few clicks and without requiring technical expertise. We use sophisticated identity resolution and targeting to reach the right end user, machine-learning recommendations to decide the right content, and real-time integrations with systems our customers already use for delivery at the right time. Additionally, our customers can deploy and test new experiences using the first experimentation and feature management solution powered by behavioral data and product analytics. For example, our system can predict the likelihood a customer will churn based on their behavior and of those statistically similar, and the system will automatically test which campaign or in-product experience is best optimized to drive retention.</w:t>
      </w:r>
    </w:p>
    <w:p>
      <w:pPr>
        <w:spacing w:after="0" w:line="71" w:lineRule="exact"/>
        <w:rPr>
          <w:rFonts w:ascii="Arial" w:cs="Arial" w:eastAsia="Arial" w:hAnsi="Arial"/>
          <w:sz w:val="17"/>
          <w:szCs w:val="17"/>
          <w:color w:val="auto"/>
        </w:rPr>
      </w:pPr>
    </w:p>
    <w:p>
      <w:pPr>
        <w:jc w:val="both"/>
        <w:ind w:left="503" w:right="240" w:hanging="503"/>
        <w:spacing w:after="0" w:line="284" w:lineRule="auto"/>
        <w:tabs>
          <w:tab w:leader="none" w:pos="503"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Enterprise-grade Platform. </w:t>
      </w:r>
      <w:r>
        <w:rPr>
          <w:rFonts w:ascii="Arial" w:cs="Arial" w:eastAsia="Arial" w:hAnsi="Arial"/>
          <w:sz w:val="16"/>
          <w:szCs w:val="16"/>
          <w:color w:val="auto"/>
        </w:rPr>
        <w:t>Our platform is architected to handle a scale qualitatively different from what is capable by existing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engagement and experience tools. We offer top-tier security and reliability as our platform is SOC2 Type-2 and ISO 27001 certified, offers single sign-on support and user permissioning, is a recognized AWS Partner for Digital Customer Experience, and has delivered a 99.99% data ingestion uptime service-level agreement (“SLA”) with 99.97% data durability for the year ended December 31, 2021.</w:t>
      </w:r>
    </w:p>
    <w:p>
      <w:pPr>
        <w:spacing w:after="0" w:line="47"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54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Key Benefits to Our Customers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system provides the following key benefits to our customers:</w:t>
      </w:r>
    </w:p>
    <w:p>
      <w:pPr>
        <w:spacing w:after="0" w:line="104" w:lineRule="exact"/>
        <w:rPr>
          <w:sz w:val="20"/>
          <w:szCs w:val="20"/>
          <w:color w:val="auto"/>
        </w:rPr>
      </w:pPr>
    </w:p>
    <w:p>
      <w:pPr>
        <w:ind w:left="1020" w:hanging="503"/>
        <w:spacing w:after="0" w:line="276"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Enable the Right Product Bets and Accelerate Innovation. </w:t>
      </w:r>
      <w:r>
        <w:rPr>
          <w:rFonts w:ascii="Arial" w:cs="Arial" w:eastAsia="Arial" w:hAnsi="Arial"/>
          <w:sz w:val="16"/>
          <w:szCs w:val="16"/>
          <w:color w:val="auto"/>
        </w:rPr>
        <w:t>We enable our customers to answer the critical questions about how their 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users are using their digital products and what behaviors lead to better business outcomes. Every click, every interaction, and every event we collect is input from end users that help to inform what actions teams can take to optimize digital products in real time. Our customers are able to analyze behaviors, track engagement, spot friction in the buying process, and understand the drivers of conversion. These insights allow teams to make the right product bets, assess and measure the impact of those decisions, feed learnings back into the system, and rapidly iterate to resolve potential problems before they impact customer acquisition, retention, and lifetime value.</w:t>
      </w:r>
    </w:p>
    <w:p>
      <w:pPr>
        <w:spacing w:after="0" w:line="53" w:lineRule="exact"/>
        <w:rPr>
          <w:rFonts w:ascii="Arial" w:cs="Arial" w:eastAsia="Arial" w:hAnsi="Arial"/>
          <w:sz w:val="16"/>
          <w:szCs w:val="16"/>
          <w:color w:val="auto"/>
        </w:rPr>
      </w:pPr>
    </w:p>
    <w:p>
      <w:pPr>
        <w:ind w:left="1020" w:hanging="503"/>
        <w:spacing w:after="0" w:line="255"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Unify Teams with Common Visibility. </w:t>
      </w:r>
      <w:r>
        <w:rPr>
          <w:rFonts w:ascii="Arial" w:cs="Arial" w:eastAsia="Arial" w:hAnsi="Arial"/>
          <w:sz w:val="17"/>
          <w:szCs w:val="17"/>
          <w:color w:val="auto"/>
        </w:rPr>
        <w:t>We bring a common set of user behavior and in-product engagement data to every team, from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marketing, to data science, and beyond. Out-of-the-box dashboards and analytics reports provide common visibility leveraging the same data, while teams can easily click into each report to get as much granularity as required to inform actions and recommendations. Dashboards allow teams to also solve use cases specific to their area of responsibility, for example, understanding what behavior drives conversions to optimize marketing campaigns. This visibility results in better decisions, faster actions, better outcomes, and transformed customer experiences. Our system represents a single source of truth about in-product customer user behavior, and a common place where teams can share results, learn from each other, and plan action together.</w:t>
      </w:r>
    </w:p>
    <w:p>
      <w:pPr>
        <w:spacing w:after="0" w:line="71" w:lineRule="exact"/>
        <w:rPr>
          <w:rFonts w:ascii="Arial" w:cs="Arial" w:eastAsia="Arial" w:hAnsi="Arial"/>
          <w:sz w:val="17"/>
          <w:szCs w:val="17"/>
          <w:color w:val="auto"/>
        </w:rPr>
      </w:pPr>
    </w:p>
    <w:p>
      <w:pPr>
        <w:ind w:left="102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Value of Product Investments. </w:t>
      </w:r>
      <w:r>
        <w:rPr>
          <w:rFonts w:ascii="Arial" w:cs="Arial" w:eastAsia="Arial" w:hAnsi="Arial"/>
          <w:sz w:val="18"/>
          <w:szCs w:val="18"/>
          <w:color w:val="auto"/>
        </w:rPr>
        <w:t>The ability of our system to attribute revenue to specific product investments transforms what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traditionally been viewed as a cost center into a revenue center. This ability unleashes a much more powerful way to operate when companies can make investments with confidence and drive product-led growth.</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pursue the following growth strategies:</w:t>
      </w:r>
    </w:p>
    <w:p>
      <w:pPr>
        <w:spacing w:after="0" w:line="104" w:lineRule="exact"/>
        <w:rPr>
          <w:sz w:val="20"/>
          <w:szCs w:val="20"/>
          <w:color w:val="auto"/>
        </w:rPr>
      </w:pPr>
    </w:p>
    <w:p>
      <w:pPr>
        <w:ind w:left="1020" w:right="40" w:hanging="503"/>
        <w:spacing w:after="0" w:line="253"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Acquire New Customers Across Every Industry. </w:t>
      </w:r>
      <w:r>
        <w:rPr>
          <w:rFonts w:ascii="Arial" w:cs="Arial" w:eastAsia="Arial" w:hAnsi="Arial"/>
          <w:sz w:val="17"/>
          <w:szCs w:val="17"/>
          <w:color w:val="auto"/>
        </w:rPr>
        <w:t>We believe that our Digital Optimization System is applicable to businesses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industries, company size, and stage of digital maturity. We plan to invest to capture the significant market opportunity we believe is only in its early innings. We have experienced rapid growth in our customer base since our inception and had over 1,500 paying customers and 26 of the Fortune 100 as of December 31, 2021, which demonstrates both our successful traction to date as well as our significant opportunity to continue to penetrate the largest global organizations. We believe we have an efficient and productive go-to-market motion that will allow us to continue to acquire new customers and grow our customer base. Additionally, as more companies and industries continue their transformation into digital-first companies, we believe our immediate potential customer base will grow as we help these companies address their digital optimization needs. We are focused on winning key reference accounts among industries and emerging use cases to establish ourselves as the system of choice for the next wave of digital innovation.</w:t>
      </w:r>
    </w:p>
    <w:p>
      <w:pPr>
        <w:spacing w:after="0" w:line="75" w:lineRule="exact"/>
        <w:rPr>
          <w:rFonts w:ascii="Arial" w:cs="Arial" w:eastAsia="Arial" w:hAnsi="Arial"/>
          <w:sz w:val="17"/>
          <w:szCs w:val="17"/>
          <w:color w:val="auto"/>
        </w:rPr>
      </w:pPr>
    </w:p>
    <w:p>
      <w:pPr>
        <w:ind w:left="1020" w:hanging="503"/>
        <w:spacing w:after="0" w:line="24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Across Our Existing Customer Base. </w:t>
      </w:r>
      <w:r>
        <w:rPr>
          <w:rFonts w:ascii="Arial" w:cs="Arial" w:eastAsia="Arial" w:hAnsi="Arial"/>
          <w:sz w:val="18"/>
          <w:szCs w:val="18"/>
          <w:color w:val="auto"/>
        </w:rPr>
        <w:t>We believe that there are significant opportunities to continue to expand our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existing customers. Our pricing model, based on platform functionality and committed event volume, allows us to grow as our customers grow. We employ a land and expand business model designed to land with an initial use case and expand through onboarding additional functional teams, products, and use cases.</w:t>
      </w:r>
    </w:p>
    <w:p>
      <w:pPr>
        <w:spacing w:after="0" w:line="79" w:lineRule="exact"/>
        <w:rPr>
          <w:rFonts w:ascii="Arial" w:cs="Arial" w:eastAsia="Arial" w:hAnsi="Arial"/>
          <w:sz w:val="18"/>
          <w:szCs w:val="18"/>
          <w:color w:val="auto"/>
        </w:rPr>
      </w:pPr>
    </w:p>
    <w:p>
      <w:pPr>
        <w:ind w:left="1540" w:hanging="509"/>
        <w:spacing w:after="0" w:line="279"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i w:val="1"/>
          <w:iCs w:val="1"/>
          <w:color w:val="auto"/>
        </w:rPr>
        <w:t xml:space="preserve">Promote Upsell: </w:t>
      </w:r>
      <w:r>
        <w:rPr>
          <w:rFonts w:ascii="Arial" w:cs="Arial" w:eastAsia="Arial" w:hAnsi="Arial"/>
          <w:sz w:val="16"/>
          <w:szCs w:val="16"/>
          <w:color w:val="auto"/>
        </w:rPr>
        <w:t>Once a customer is on our platform there are many ways we can promote upsell opportunities. Customers can expand</w:t>
      </w:r>
      <w:r>
        <w:rPr>
          <w:rFonts w:ascii="Arial" w:cs="Arial" w:eastAsia="Arial" w:hAnsi="Arial"/>
          <w:sz w:val="16"/>
          <w:szCs w:val="16"/>
          <w:i w:val="1"/>
          <w:iCs w:val="1"/>
          <w:color w:val="auto"/>
        </w:rPr>
        <w:t xml:space="preserve"> </w:t>
      </w:r>
      <w:r>
        <w:rPr>
          <w:rFonts w:ascii="Arial" w:cs="Arial" w:eastAsia="Arial" w:hAnsi="Arial"/>
          <w:sz w:val="16"/>
          <w:szCs w:val="16"/>
          <w:color w:val="auto"/>
        </w:rPr>
        <w:t>an initial use case by adding additional events or functionality to generate deeper analytics. They can also expand into additional functional teams who are looking to address a related use case or bring new digital products on our platform, both of which require additional data to be instrumented. As the strategic value of our platform grows as more data is instrumented and insights generated and shared, it becomes easier to find additional upsell opportunities across digital products, use cases, and teams.</w:t>
      </w:r>
    </w:p>
    <w:p>
      <w:pPr>
        <w:spacing w:after="0" w:line="51" w:lineRule="exact"/>
        <w:rPr>
          <w:rFonts w:ascii="Arial" w:cs="Arial" w:eastAsia="Arial" w:hAnsi="Arial"/>
          <w:sz w:val="18"/>
          <w:szCs w:val="18"/>
          <w:color w:val="auto"/>
        </w:rPr>
      </w:pPr>
    </w:p>
    <w:p>
      <w:pPr>
        <w:ind w:left="1540" w:right="40" w:hanging="509"/>
        <w:spacing w:after="0" w:line="324"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i w:val="1"/>
          <w:iCs w:val="1"/>
          <w:color w:val="auto"/>
        </w:rPr>
        <w:t xml:space="preserve">Drive Cross-sell: </w:t>
      </w:r>
      <w:r>
        <w:rPr>
          <w:rFonts w:ascii="Arial" w:cs="Arial" w:eastAsia="Arial" w:hAnsi="Arial"/>
          <w:sz w:val="16"/>
          <w:szCs w:val="16"/>
          <w:color w:val="auto"/>
        </w:rPr>
        <w:t>Our platform delivers end-to-end optimization that allows our customers to expand beyond analytics and layer on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products, such as Recommend and Experiment, and we offer to optimize the digital product experiences of their customers.</w:t>
      </w:r>
    </w:p>
    <w:p>
      <w:pPr>
        <w:spacing w:after="0" w:line="12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Within our largest customers, we have demonstrated our ability to grow our reach to include thousands of users across their organization who leverage our system to drive business outcomes. Our dollar-based net retention rate as of December 31, 2021 and 2020 was 123% and 119%, respectively, for paying customers. As of December 31, 2021 and 2020, we had 385 and 262 customers, respectively, that each represented greater than $100,000 in ARR and 29 and 15 customers, respectively, that each represented greater than $1 million in ARR, demonstrating how critical we are to our customers’ success.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1974215</wp:posOffset>
            </wp:positionH>
            <wp:positionV relativeFrom="page">
              <wp:posOffset>354965</wp:posOffset>
            </wp:positionV>
            <wp:extent cx="3891915" cy="2100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389191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20" w:right="60" w:hanging="503"/>
        <w:spacing w:after="0" w:line="24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Product Leadership with Continued Investment in Our Platform. </w:t>
      </w:r>
      <w:r>
        <w:rPr>
          <w:rFonts w:ascii="Arial" w:cs="Arial" w:eastAsia="Arial" w:hAnsi="Arial"/>
          <w:sz w:val="18"/>
          <w:szCs w:val="18"/>
          <w:color w:val="auto"/>
        </w:rPr>
        <w:t>We see significant opportunities to leverage the same data 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powering our core analytics suite to layer on additional products that address adjacent high-value use cases desired by our customers. As a product-led company, the valuable feedback loop we have established with our own customers helps us identify product and platform enhancements best aligned to drive our future growth.</w:t>
      </w:r>
    </w:p>
    <w:p>
      <w:pPr>
        <w:spacing w:after="0" w:line="79" w:lineRule="exact"/>
        <w:rPr>
          <w:rFonts w:ascii="Arial" w:cs="Arial" w:eastAsia="Arial" w:hAnsi="Arial"/>
          <w:sz w:val="18"/>
          <w:szCs w:val="18"/>
          <w:color w:val="auto"/>
        </w:rPr>
      </w:pPr>
    </w:p>
    <w:p>
      <w:pPr>
        <w:ind w:left="1020" w:right="440" w:hanging="503"/>
        <w:spacing w:after="0" w:line="24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Global and Partnership Reach. </w:t>
      </w:r>
      <w:r>
        <w:rPr>
          <w:rFonts w:ascii="Arial" w:cs="Arial" w:eastAsia="Arial" w:hAnsi="Arial"/>
          <w:sz w:val="18"/>
          <w:szCs w:val="18"/>
          <w:color w:val="auto"/>
        </w:rPr>
        <w:t>We believe there is significant potential to continue to grow our business in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because of the universal nature of the problem we help to solve. For the years ended December 31, 2021 and 2020, 36% of our revenue was generated outside of the United States. Additionally, we plan to continue to invest in our partner network to strengthen our ecosystem and extend our reach.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Platform and Technology</w:t>
      </w:r>
    </w:p>
    <w:p>
      <w:pPr>
        <w:spacing w:after="0" w:line="104" w:lineRule="exact"/>
        <w:rPr>
          <w:sz w:val="20"/>
          <w:szCs w:val="20"/>
          <w:color w:val="auto"/>
        </w:rPr>
      </w:pPr>
    </w:p>
    <w:p>
      <w:pPr>
        <w:ind w:right="240" w:firstLine="509"/>
        <w:spacing w:after="0" w:line="270" w:lineRule="auto"/>
        <w:rPr>
          <w:sz w:val="20"/>
          <w:szCs w:val="20"/>
          <w:color w:val="auto"/>
        </w:rPr>
      </w:pPr>
      <w:r>
        <w:rPr>
          <w:rFonts w:ascii="Arial" w:cs="Arial" w:eastAsia="Arial" w:hAnsi="Arial"/>
          <w:sz w:val="17"/>
          <w:szCs w:val="17"/>
          <w:color w:val="auto"/>
        </w:rPr>
        <w:t>Data enters our system through many sources, including our software-development kits ("SDKs"), server side, and integration with our partner systems. It then goes through the processing and cleanup stage before being stored in our behavioral graph which is a user-oriented distributed columnar data store. Our Behavioral Graph powers the analytics, collaboration, prediction, and recommendation platform.</w:t>
      </w:r>
    </w:p>
    <w:p>
      <w:pPr>
        <w:spacing w:after="0" w:line="164"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We have designed a system that can process large amounts of data and provide an interactive query/response model. Instead of building a general purpose data storage and processing system similar to data warehouses that would require our users to know SQL and wait a long time to get answers to their analytics-oriented join-heavy queries, we have built a brand new system from the ground up focused on end-user behavior analysis that is optimized to ingest, process, and store it in a specific format, and structure to power low latency query/response.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Real-time Data Management</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underpinning of the Digital Optimization System is our real-time Data Management layer. This layer includes our core data platform that offers our customers a number of tools and capabilities for ingesting data to us, resolving identity to create a consistent and unique identity, and managing customer and product data.</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differentiators include:</w:t>
      </w:r>
    </w:p>
    <w:p>
      <w:pPr>
        <w:spacing w:after="0" w:line="104" w:lineRule="exact"/>
        <w:rPr>
          <w:sz w:val="20"/>
          <w:szCs w:val="20"/>
          <w:color w:val="auto"/>
        </w:rPr>
      </w:pPr>
    </w:p>
    <w:p>
      <w:pPr>
        <w:ind w:left="1540" w:right="280" w:hanging="514"/>
        <w:spacing w:after="0" w:line="284" w:lineRule="auto"/>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Structured, event-based schema. </w:t>
      </w:r>
      <w:r>
        <w:rPr>
          <w:rFonts w:ascii="Arial" w:cs="Arial" w:eastAsia="Arial" w:hAnsi="Arial"/>
          <w:sz w:val="16"/>
          <w:szCs w:val="16"/>
          <w:color w:val="auto"/>
        </w:rPr>
        <w:t>We ingest and process event data. Each event represents an interaction that an end user or device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performed on our customers’ products. Event data has information about the event as well as the end user and device that has performed the event, and it follows a specific but flexible schema. As event data enters our platform, it gets ingested, sanitized, enriched, and canonicalized and is stored in an optimized format in our behavioral graph to enable low latency query/response.</w:t>
      </w:r>
    </w:p>
    <w:p>
      <w:pPr>
        <w:spacing w:after="0" w:line="47" w:lineRule="exact"/>
        <w:rPr>
          <w:rFonts w:ascii="Arial" w:cs="Arial" w:eastAsia="Arial" w:hAnsi="Arial"/>
          <w:sz w:val="16"/>
          <w:szCs w:val="16"/>
          <w:color w:val="auto"/>
        </w:rPr>
      </w:pPr>
    </w:p>
    <w:p>
      <w:pPr>
        <w:ind w:left="1540" w:hanging="514"/>
        <w:spacing w:after="0" w:line="248"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and scale of digital sources. </w:t>
      </w:r>
      <w:r>
        <w:rPr>
          <w:rFonts w:ascii="Arial" w:cs="Arial" w:eastAsia="Arial" w:hAnsi="Arial"/>
          <w:sz w:val="18"/>
          <w:szCs w:val="18"/>
          <w:color w:val="auto"/>
        </w:rPr>
        <w:t>We have a number of tools and offerings such as several client-side and server-side SDKs, APIs,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integration with customer storage systems such as Amazon S3 and data warehouses that allows us to ingest from a number of sources, including mobile applications, websites, and backend services.</w:t>
      </w:r>
    </w:p>
    <w:p>
      <w:pPr>
        <w:spacing w:after="0" w:line="73" w:lineRule="exact"/>
        <w:rPr>
          <w:rFonts w:ascii="Arial" w:cs="Arial" w:eastAsia="Arial" w:hAnsi="Arial"/>
          <w:sz w:val="18"/>
          <w:szCs w:val="18"/>
          <w:color w:val="auto"/>
        </w:rPr>
      </w:pPr>
    </w:p>
    <w:p>
      <w:pPr>
        <w:ind w:left="1540" w:right="140" w:hanging="514"/>
        <w:spacing w:after="0" w:line="243"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Identity resolution for a multi-platform world. </w:t>
      </w:r>
      <w:r>
        <w:rPr>
          <w:rFonts w:ascii="Arial" w:cs="Arial" w:eastAsia="Arial" w:hAnsi="Arial"/>
          <w:sz w:val="18"/>
          <w:szCs w:val="18"/>
          <w:color w:val="auto"/>
        </w:rPr>
        <w:t>In the multi-platform world, end users interact with our customers’ products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devices; it is logged in at times and anonymous at other times. Our identity resolution service automatically captures one consistent view of the customer’s usage across platforms through continuous event streaming as users log in and out of customers’ products, browse anonymously, and use multiple devices.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Amplitude Behavioral Graph</w:t>
      </w:r>
    </w:p>
    <w:p>
      <w:pPr>
        <w:spacing w:after="0" w:line="104"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Event data is fed into the Amplitude Behavioral Graph, which is purpose-built to handle the scale, speed, and complexity of user behavior in digital products. It is the foundation of all of the analytics and personalization applications as part of the Digital Optimization System.</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differentiators include:</w:t>
      </w:r>
    </w:p>
    <w:p>
      <w:pPr>
        <w:spacing w:after="0" w:line="104" w:lineRule="exact"/>
        <w:rPr>
          <w:sz w:val="20"/>
          <w:szCs w:val="20"/>
          <w:color w:val="auto"/>
        </w:rPr>
      </w:pPr>
    </w:p>
    <w:p>
      <w:pPr>
        <w:ind w:left="1540" w:hanging="514"/>
        <w:spacing w:after="0" w:line="257" w:lineRule="auto"/>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Complex distributed joins. </w:t>
      </w:r>
      <w:r>
        <w:rPr>
          <w:rFonts w:ascii="Arial" w:cs="Arial" w:eastAsia="Arial" w:hAnsi="Arial"/>
          <w:sz w:val="17"/>
          <w:szCs w:val="17"/>
          <w:color w:val="auto"/>
        </w:rPr>
        <w:t>The most important user behavior questions involve looking at many different points in a user’s journey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answer, traditionally referred to as “joins” in SQL-based systems. At scale, this must be done in a distributed manner, and the more sophisticated the product the more complex the questions become. We built a database from the ground up using state-of-the-art columnar storage techniques and embedded it at every layer with knowledge of behavioral data and questions –for example pre-partitioning data by user and caching partial, reusable computations. We can express the varied semantics of product questions while running at the speed of native code, allowing us to answer customers’ questions in seconds.</w:t>
      </w:r>
    </w:p>
    <w:p>
      <w:pPr>
        <w:spacing w:after="0" w:line="67" w:lineRule="exact"/>
        <w:rPr>
          <w:rFonts w:ascii="Arial" w:cs="Arial" w:eastAsia="Arial" w:hAnsi="Arial"/>
          <w:sz w:val="17"/>
          <w:szCs w:val="17"/>
          <w:color w:val="auto"/>
        </w:rPr>
      </w:pPr>
    </w:p>
    <w:p>
      <w:pPr>
        <w:ind w:left="1540" w:right="80" w:hanging="514"/>
        <w:spacing w:after="0" w:line="248"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Real-time data observation. </w:t>
      </w:r>
      <w:r>
        <w:rPr>
          <w:rFonts w:ascii="Arial" w:cs="Arial" w:eastAsia="Arial" w:hAnsi="Arial"/>
          <w:sz w:val="18"/>
          <w:szCs w:val="18"/>
          <w:color w:val="auto"/>
        </w:rPr>
        <w:t>We built our database to match the speed at which digital products evolve. We use a lambda architecture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separate real-time and batch processing layers so that data is not only available for querying within seconds, but also optimized for long-term trend analysis.</w:t>
      </w:r>
    </w:p>
    <w:p>
      <w:pPr>
        <w:spacing w:after="0" w:line="73" w:lineRule="exact"/>
        <w:rPr>
          <w:rFonts w:ascii="Arial" w:cs="Arial" w:eastAsia="Arial" w:hAnsi="Arial"/>
          <w:sz w:val="18"/>
          <w:szCs w:val="18"/>
          <w:color w:val="auto"/>
        </w:rPr>
      </w:pPr>
    </w:p>
    <w:p>
      <w:pPr>
        <w:ind w:left="1540" w:right="40" w:hanging="514"/>
        <w:spacing w:after="0" w:line="248"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Multi-tenancy and scale. </w:t>
      </w:r>
      <w:r>
        <w:rPr>
          <w:rFonts w:ascii="Arial" w:cs="Arial" w:eastAsia="Arial" w:hAnsi="Arial"/>
          <w:sz w:val="18"/>
          <w:szCs w:val="18"/>
          <w:color w:val="auto"/>
        </w:rPr>
        <w:t>At any point in time, there are hundreds of queries running simultaneously on our database, each of varying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and complexity. We use a multi-tenant architecture to achieve economies of scale, and we have designed a differentiated throttling mechanism in order to isolate the effects of customers’ queries on each other.</w:t>
      </w:r>
    </w:p>
    <w:p>
      <w:pPr>
        <w:spacing w:after="0" w:line="73" w:lineRule="exact"/>
        <w:rPr>
          <w:rFonts w:ascii="Arial" w:cs="Arial" w:eastAsia="Arial" w:hAnsi="Arial"/>
          <w:sz w:val="18"/>
          <w:szCs w:val="18"/>
          <w:color w:val="auto"/>
        </w:rPr>
      </w:pPr>
    </w:p>
    <w:p>
      <w:pPr>
        <w:ind w:left="1540" w:right="20" w:hanging="514"/>
        <w:spacing w:after="0" w:line="284" w:lineRule="auto"/>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AutoML. </w:t>
      </w:r>
      <w:r>
        <w:rPr>
          <w:rFonts w:ascii="Arial" w:cs="Arial" w:eastAsia="Arial" w:hAnsi="Arial"/>
          <w:sz w:val="16"/>
          <w:szCs w:val="16"/>
          <w:color w:val="auto"/>
        </w:rPr>
        <w:t>Using our structured, event-based schema and database that is embedded with an understanding of behavioral data,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automated the most challenging part of machine learning pipelines and feature extraction. Our Behavioral Graph can generate a meaningful and robust set of thousands of features for each user in the system, which is used for a variety of applications. By having this automation with little to no customer input, we can offer truly self-service machine learning via AutoML.</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08"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Our Digital Optimization System is used globally by organizations of all sizes and across a vast range of industries. As of December 31, 2021 and 2020, we had 1,597 and 1,039 paying customers, respectively, representing a year-over-year growth rate of 54%, and 26 and 25 of the Fortune 100, respectively. We believe that our Digital Optimization System can help organizations of all sizes, from the smallest startups to the largest global organizations, unleash the power of digital optimization to drive business outcomes and deliver value to customers. We continue to increase the number of customers who have entered and grown into larger subscriptions with us. As of December 31, 2021 and 2020, we had 385 and 262 customers, respectively, that each represented greater than $100,000 in ARR, representing a 47% increase year-over-year. Additionally, we had 29 and 15 customers, respectively, that each represented greater than $1 million in ARR, up 93% year-over-year. The number of customers representing greater than $100,000 and $1 million in ARR demonstrates the strategic importance of our platform and our ability to both initially land significant accounts and grow them over time.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jc w:val="both"/>
        <w:ind w:right="60" w:firstLine="509"/>
        <w:spacing w:after="0" w:line="324" w:lineRule="auto"/>
        <w:rPr>
          <w:sz w:val="20"/>
          <w:szCs w:val="20"/>
          <w:color w:val="auto"/>
        </w:rPr>
      </w:pPr>
      <w:r>
        <w:rPr>
          <w:rFonts w:ascii="Arial" w:cs="Arial" w:eastAsia="Arial" w:hAnsi="Arial"/>
          <w:sz w:val="16"/>
          <w:szCs w:val="16"/>
          <w:color w:val="auto"/>
        </w:rPr>
        <w:t>Our sales and marketing efforts focus on landing customer accounts by addressing an initial digital optimization use case across one or more digital products and expanding those relationships over time as we deliver ongoing value and meet a greater portion of our customers’ digital optimization needs.</w:t>
      </w:r>
    </w:p>
    <w:p>
      <w:pPr>
        <w:spacing w:after="0" w:line="12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employ an efficient, multi-pronged go-to-market strategy combining direct sales, including field and inside sales, product-led growth initiatives, including subscription plans to meet the needs of a diverse range of companies, and marketing initiatives to supplement our sales efforts. Our field sales personnel focus on attracting new customers as well as expanding usage within our existing customer base. Our sales team is supported by business and sales development professionals and solution consultants who facilitate the sales process through identifying use cases based on customer needs, assessing requirements, addressing security and technical questions, consulting on customers’ data stacks, and finding additional expansion use cases.</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3" w:name="page14"/>
    <w:bookmarkEnd w:id="13"/>
    <w:p>
      <w:pPr>
        <w:ind w:right="40" w:firstLine="509"/>
        <w:spacing w:after="0" w:line="239" w:lineRule="auto"/>
        <w:rPr>
          <w:sz w:val="20"/>
          <w:szCs w:val="20"/>
          <w:color w:val="auto"/>
        </w:rPr>
      </w:pPr>
      <w:r>
        <w:rPr>
          <w:rFonts w:ascii="Arial" w:cs="Arial" w:eastAsia="Arial" w:hAnsi="Arial"/>
          <w:sz w:val="18"/>
          <w:szCs w:val="18"/>
          <w:color w:val="auto"/>
        </w:rPr>
        <w:t xml:space="preserve">In accordance with our ethos to empower companies of all sizes to unleash digital optimization to drive their business, we offer a variety of free and paid plans depending on our customers’ needs. For startups, we offer a </w:t>
      </w:r>
      <w:r>
        <w:rPr>
          <w:rFonts w:ascii="Arial" w:cs="Arial" w:eastAsia="Arial" w:hAnsi="Arial"/>
          <w:sz w:val="18"/>
          <w:szCs w:val="18"/>
          <w:i w:val="1"/>
          <w:iCs w:val="1"/>
          <w:color w:val="auto"/>
        </w:rPr>
        <w:t>Scholarship</w:t>
      </w:r>
      <w:r>
        <w:rPr>
          <w:rFonts w:ascii="Arial" w:cs="Arial" w:eastAsia="Arial" w:hAnsi="Arial"/>
          <w:sz w:val="18"/>
          <w:szCs w:val="18"/>
          <w:color w:val="auto"/>
        </w:rPr>
        <w:t xml:space="preserve"> plan, which consists of a self-serve, free one-year subscription to our </w:t>
      </w:r>
      <w:r>
        <w:rPr>
          <w:rFonts w:ascii="Arial" w:cs="Arial" w:eastAsia="Arial" w:hAnsi="Arial"/>
          <w:sz w:val="18"/>
          <w:szCs w:val="18"/>
          <w:i w:val="1"/>
          <w:iCs w:val="1"/>
          <w:color w:val="auto"/>
        </w:rPr>
        <w:t xml:space="preserve">Growth </w:t>
      </w:r>
      <w:r>
        <w:rPr>
          <w:rFonts w:ascii="Arial" w:cs="Arial" w:eastAsia="Arial" w:hAnsi="Arial"/>
          <w:sz w:val="18"/>
          <w:szCs w:val="18"/>
          <w:color w:val="auto"/>
        </w:rPr>
        <w:t>plan, to help them turbo-charge their digital optimization efforts. For larger commercial companies and organizations, we offer both free and paid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plans. Our free, self-serve </w:t>
      </w:r>
      <w:r>
        <w:rPr>
          <w:rFonts w:ascii="Arial" w:cs="Arial" w:eastAsia="Arial" w:hAnsi="Arial"/>
          <w:sz w:val="18"/>
          <w:szCs w:val="18"/>
          <w:i w:val="1"/>
          <w:iCs w:val="1"/>
          <w:color w:val="auto"/>
        </w:rPr>
        <w:t>Starter</w:t>
      </w:r>
      <w:r>
        <w:rPr>
          <w:rFonts w:ascii="Arial" w:cs="Arial" w:eastAsia="Arial" w:hAnsi="Arial"/>
          <w:sz w:val="18"/>
          <w:szCs w:val="18"/>
          <w:color w:val="auto"/>
        </w:rPr>
        <w:t xml:space="preserve"> plan allows access to a limited set of core offerings, including our leading Analytics offering, and serves as effective brand marketing and a low friction model for getting a single team started with Amplitude, which can also create a glide path to conversion into one of our paid plans. Our paid </w:t>
      </w:r>
      <w:r>
        <w:rPr>
          <w:rFonts w:ascii="Arial" w:cs="Arial" w:eastAsia="Arial" w:hAnsi="Arial"/>
          <w:sz w:val="18"/>
          <w:szCs w:val="18"/>
          <w:i w:val="1"/>
          <w:iCs w:val="1"/>
          <w:color w:val="auto"/>
        </w:rPr>
        <w:t>Growth</w:t>
      </w:r>
      <w:r>
        <w:rPr>
          <w:rFonts w:ascii="Arial" w:cs="Arial" w:eastAsia="Arial" w:hAnsi="Arial"/>
          <w:sz w:val="18"/>
          <w:szCs w:val="18"/>
          <w:color w:val="auto"/>
        </w:rPr>
        <w:t xml:space="preserve"> and </w:t>
      </w:r>
      <w:r>
        <w:rPr>
          <w:rFonts w:ascii="Arial" w:cs="Arial" w:eastAsia="Arial" w:hAnsi="Arial"/>
          <w:sz w:val="18"/>
          <w:szCs w:val="18"/>
          <w:i w:val="1"/>
          <w:iCs w:val="1"/>
          <w:color w:val="auto"/>
        </w:rPr>
        <w:t>Enterprise</w:t>
      </w:r>
      <w:r>
        <w:rPr>
          <w:rFonts w:ascii="Arial" w:cs="Arial" w:eastAsia="Arial" w:hAnsi="Arial"/>
          <w:sz w:val="18"/>
          <w:szCs w:val="18"/>
          <w:color w:val="auto"/>
        </w:rPr>
        <w:t xml:space="preserve"> plans provide access to additional capabilities, functionality, and event volume to meet the needs of larger and more complex use cases.</w:t>
      </w:r>
    </w:p>
    <w:p>
      <w:pPr>
        <w:spacing w:after="0" w:line="191"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Our professional services team helps customers design and execute their digital optimization, product-led growth, analytics, and personalization projects. We offer our customers implementation, training, and related services to help them realize the full benefits of our Digital Optimization System. We also work closely with our partner ecosystem to help them deploy our solutions and build our technology into their services offerings, providing opportunities for us to increase the breadth and depth of our deployment within new and existing customers.</w:t>
      </w:r>
    </w:p>
    <w:p>
      <w:pPr>
        <w:spacing w:after="0" w:line="172"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We have more than 60 partners in the Amplitude partner ecosystem program, which provides solutions to help accelerate our customers’ digital optimization initiatives. Our ecosystem consists of the following:</w:t>
      </w:r>
    </w:p>
    <w:p>
      <w:pPr>
        <w:spacing w:after="0" w:line="63" w:lineRule="exact"/>
        <w:rPr>
          <w:sz w:val="20"/>
          <w:szCs w:val="20"/>
          <w:color w:val="auto"/>
        </w:rPr>
      </w:pPr>
    </w:p>
    <w:p>
      <w:pPr>
        <w:ind w:left="1020" w:right="3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Solutions partners, </w:t>
      </w:r>
      <w:r>
        <w:rPr>
          <w:rFonts w:ascii="Arial" w:cs="Arial" w:eastAsia="Arial" w:hAnsi="Arial"/>
          <w:sz w:val="18"/>
          <w:szCs w:val="18"/>
          <w:color w:val="auto"/>
        </w:rPr>
        <w:t>including global systems integrators, consultancies, and digital agencies, partner with Amplitude to provide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transformation strategy, best practices, and support.</w:t>
      </w:r>
    </w:p>
    <w:p>
      <w:pPr>
        <w:spacing w:after="0" w:line="62" w:lineRule="exact"/>
        <w:rPr>
          <w:rFonts w:ascii="Arial" w:cs="Arial" w:eastAsia="Arial" w:hAnsi="Arial"/>
          <w:sz w:val="18"/>
          <w:szCs w:val="18"/>
          <w:color w:val="auto"/>
        </w:rPr>
      </w:pPr>
    </w:p>
    <w:p>
      <w:pPr>
        <w:ind w:left="1020" w:right="80" w:hanging="503"/>
        <w:spacing w:after="0" w:line="270"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Technology partners, </w:t>
      </w:r>
      <w:r>
        <w:rPr>
          <w:rFonts w:ascii="Arial" w:cs="Arial" w:eastAsia="Arial" w:hAnsi="Arial"/>
          <w:sz w:val="17"/>
          <w:szCs w:val="17"/>
          <w:color w:val="auto"/>
        </w:rPr>
        <w:t>who integrate their software with the Digital Optimization System to build and deliver end-to-end enterprise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solutions. Amplitude has dozens of technology integrations and partners across more than a dozen software categories, including marketing automation, attribution tools, data warehouses, and customer data platforms, to name a few.</w:t>
      </w:r>
    </w:p>
    <w:p>
      <w:pPr>
        <w:spacing w:after="0" w:line="16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marketing efforts focus on driving our go-to-market demand generation engine across all market segments and across both new and existing customers, as well as raising our brand profile globally. To do this, we utilize a combination of online and offline marketing programs such as online advertising, blogs, public relations, social media, educational white papers and webinars, product demos, workshops, roundtables, and customer case studies. These gatherings focus on attracting a broad mix of prospects and customers to focus on digital optimization and Amplitude product education, and the sharing of customer success stories and best practices.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we had 301 employees in our sales and marketing organization.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0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believe that our company culture enables us to achieve our mission, is a core driver of our business success, and is a significant reason why people choose to build their careers at Amplitude. We are pioneers in this field who endeavor to make product, business, and people decisions that allow us to carry out our mission while staying true to our values. We believe Diversity, Equity, and Inclusion ("DEI") are rooted in the fabric of our culture. We advance our culture of belonging–in which Humility, Ownership, and Growth Mindset are at the center–by coming together to make a collective impact in our work and our communities. Through strategic initiatives and partnerships, policy development and stewardship, innovation and education, our DEI-embedded culture shapes our future to one where all employees can fully realize their potential.</w:t>
      </w:r>
    </w:p>
    <w:p>
      <w:pPr>
        <w:spacing w:after="0" w:line="63"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Humility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ego – we operate from a place of empathy and openness and seek to understand many points of view.</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Ownership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take the initiative to solve problems that drive our shared company success.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Growth Mindset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tenacious in the face of challenges and seek input in order to grow ourselves and others.</w:t>
      </w:r>
    </w:p>
    <w:p>
      <w:pPr>
        <w:spacing w:after="0" w:line="216" w:lineRule="exact"/>
        <w:rPr>
          <w:sz w:val="20"/>
          <w:szCs w:val="20"/>
          <w:color w:val="auto"/>
        </w:rPr>
      </w:pPr>
    </w:p>
    <w:p>
      <w:pPr>
        <w:ind w:right="520" w:firstLine="509"/>
        <w:spacing w:after="0" w:line="284" w:lineRule="auto"/>
        <w:rPr>
          <w:sz w:val="20"/>
          <w:szCs w:val="20"/>
          <w:color w:val="auto"/>
        </w:rPr>
      </w:pPr>
      <w:r>
        <w:rPr>
          <w:rFonts w:ascii="Arial" w:cs="Arial" w:eastAsia="Arial" w:hAnsi="Arial"/>
          <w:sz w:val="16"/>
          <w:szCs w:val="16"/>
          <w:color w:val="auto"/>
        </w:rPr>
        <w:t>We use our values as the cornerstone for setting the tone for how we show up with one another and our customers. We are intentional about embedding them as the lens through which we operate. We are deliberate in operationalizing our values through our selection of talent, recognizing, rewarding, and how we celebrate. We regularly recognize and celebrate those who are exemplary models of our values through our Quarterly Values Awards. We believe that it is this focus on our values that is what sets us apart in building a culture of empathy and accountability.</w:t>
      </w:r>
    </w:p>
    <w:p>
      <w:pPr>
        <w:spacing w:after="0" w:line="155"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In 2021, we were recognized by San Francisco Business Times and Built In as “Best Places to Work in the Bay Area” and “Best Midsize Places to Work in the Bay Area,” respectively. Additionally, Business Insider has included us in their “Startups to bet your career on” list.</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 w:name="page15"/>
    <w:bookmarkEnd w:id="14"/>
    <w:p>
      <w:pPr>
        <w:ind w:right="40" w:firstLine="509"/>
        <w:spacing w:after="0" w:line="243" w:lineRule="auto"/>
        <w:rPr>
          <w:sz w:val="20"/>
          <w:szCs w:val="20"/>
          <w:color w:val="auto"/>
        </w:rPr>
      </w:pPr>
      <w:r>
        <w:rPr>
          <w:rFonts w:ascii="Arial" w:cs="Arial" w:eastAsia="Arial" w:hAnsi="Arial"/>
          <w:sz w:val="18"/>
          <w:szCs w:val="18"/>
          <w:color w:val="auto"/>
        </w:rPr>
        <w:t>In 2020, together with four of our ecosystem partners, we announced the launch of a joint-initiative called Tech for Black Founders. Our mission is to create an ecosystem that provides resources and technology to empower Black-founded businesses and level the playing field for underserved founders. Our shared goal is to help Black-founded businesses accelerate growth and scale as rapidly and efficiently as possible. Since we began, we have received nearly 200 applications, with 83 companies currently in the program.</w:t>
      </w:r>
    </w:p>
    <w:p>
      <w:pPr>
        <w:spacing w:after="0" w:line="18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We operate from a place of openness, taking initiative to drive our shared company success, while seeking input in order to grow ourselves and our customers. Our values fuel our growth, guiding us as we learn, succeed, and celebrate together.</w:t>
      </w:r>
    </w:p>
    <w:p>
      <w:pPr>
        <w:spacing w:after="0" w:line="171"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As of December 31, 2021, we had a total of 612 employees, including 121 employees located outside the United States. None of our employees is represented by a labor union or covered by collective bargaining agreements. We have not experienced any work stoppages. We consider our relationship with our employees to be good.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research and development efforts are focused on continued innovation, enhancing our platform features and functionalities, and expanding the services we offer to increase market penetration and deepen our relationships with our customers. We believe the timely development of new, and the enhancement of our existing platform features and services is essential to maintaining our competitive position. We continually incorporate feedback and new cases from our customers into our platform. As of December 31, 2021, we had 130 employees in our research and development organization. We intend to continue to invest in our research and development capabilities to extend our platform. Research and development expenses totaled $48.3 million and $26.1 million in years ended December 31, 2021 and 2020,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market for digital optimization is new and evolving. Businesses have used a range of point solutions built for other use cases in an effort to address their needs, none of which offer the breadth and depth of capabilities offered by our Digital Optimization System. However, we do compete with a number of companies, ranging from large and diversified businesses to smaller start-ups, that offer certain solutions and functionality similar to aspects of our platform. These competitors include the following:</w:t>
      </w:r>
    </w:p>
    <w:p>
      <w:pPr>
        <w:spacing w:after="0" w:line="80"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analytics point tools such as Pendo, Mixpanel, and Heap;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web and marketing analytics vendors such as Adobe Experience Cloud and Google Analytics;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intelligence solutions such as Looker and Tableau.</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principal competitive factors for companies in our industry are:</w:t>
      </w:r>
    </w:p>
    <w:p>
      <w:pPr>
        <w:spacing w:after="0" w:line="104"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powerful and flexible infrastructure that can ingest and manage a broad variety and large volume of data;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platform functionality, including speed, scale, and breadth and depth of insights;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size of end-user base and level of customer adoption;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enterprise-grade technology that is secure and reliable;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self-service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enable collaboration across numerous teams;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ease of integration and deployment with existing IT infrastructure;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mindshare with line of business and non-technical teams;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address a variety of evolving customer needs and use cases;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of professional services and customer support;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15" w:name="page16"/>
    <w:bookmarkEnd w:id="15"/>
    <w:p>
      <w:pPr>
        <w:ind w:right="100" w:firstLine="509"/>
        <w:spacing w:after="0" w:line="276" w:lineRule="auto"/>
        <w:rPr>
          <w:sz w:val="20"/>
          <w:szCs w:val="20"/>
          <w:color w:val="auto"/>
        </w:rPr>
      </w:pPr>
      <w:r>
        <w:rPr>
          <w:rFonts w:ascii="Arial" w:cs="Arial" w:eastAsia="Arial" w:hAnsi="Arial"/>
          <w:sz w:val="16"/>
          <w:szCs w:val="16"/>
          <w:color w:val="auto"/>
        </w:rPr>
        <w:t>On the basis of the factors above, we believe that we compare favorably to our competitors. However, some of our actual and potential competitors have advantages over us, such as substantially greater financial, technical, and other resources, such as larger sales forces and marketing budgets, greater brand recognition, broader distribution networks and global presence, longer operating histories, more established relationships with current or potential customers and commercial partners, and more mature intellectual property portfolios. They may be able to leverage these resources to gain market share and prevent potential customers from purchasing our products. Additionally, we expect the industry to attract new entrants, who could compete with our business and introduce new offerings. As we scale and expand our business, we may enter new markets and encounter additional competition.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Our intellectual property is an important part of our business. We rely on patent, copyright, trade secret, and trademark laws, as well as confidentiality agreements, license agreements, intellectual property assignment agreements, and similar contracts, to establish and protect our proprietary rights. We maintain a policy requiring our employees, contractors, consultants, and other third parties to enter into confidentiality and proprietary rights agreements to control access to our proprietary information. However, these laws, agreements, and policies provide only limited protection, and our intellectual property rights and other proprietary rights may still be challenged, invalidated, infringed, or misappropriated in the United States and in foreign jurisdictions. The laws of certain jurisdictions do not protect proprietary rights to the same extent as the laws of the United States, and it may therefore be difficult, impossible, or otherwise not commercially reasonable to protect our proprietary rights in certain jurisdictions. In addition, we use software components licensed from third parties under open-source software licenses, which licenses generally do not contain warranties or indemnifications from the licensors with respect to infringement, security vulnerabilities, or other issues. As a result, we would not have contractual protections if our use of the open-source software licensed from third parties infringes third-party intellectual property rights or if we encounter other issues with respect to our use of third-party open-source software. We also publicly license our SDK and certain other components to third parties pursuant to open-source licenses. The value of the software we publicly license to third parties pursuant to open-source licenses may be diminished given that such licenses grant those third parties broad rights to modify and distribute such software and could allow a competitor to more easily develop a competing product by examining our software.</w:t>
      </w:r>
    </w:p>
    <w:p>
      <w:pPr>
        <w:spacing w:after="0" w:line="18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pursue the registration of our domain names, trademarks, and service marks and pursue patent protection of our technology in the United States and in certain locations outside the United States. As of December 31, 2021, we had five U.S. and two foreign patent applications pending. We continually review our development efforts to assess the existence and patentability of new intellectual property, and the extension of our intellectual property rights abroad. As of December 31, 2021, we had four registered trademarks in the United States, 11 registered trademarks internationally, and one trademark application pending in the United States.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&amp; Security</w:t>
      </w:r>
    </w:p>
    <w:p>
      <w:pPr>
        <w:spacing w:after="0" w:line="108"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Numerous state, federal, and foreign laws and regulations, including consumer protection laws and regulations, including data breach notification laws, govern the collection, dissemination, processing, use, access to, confidentiality, and security of personal information and could apply to our operations or the operations of our partners. In particular, certain state and non-U.S. laws, such as the California Consumer Privacy Act of 2018 (the "CCPA"), the European Union General Data Protection Regulation (the "CPRA"), and the GDPR, set strict standards for maintaining the privacy and security of personal information. Many of these laws differ from each other in significant ways and may not have the same effect, thus complicating compliance efforts. Failure to comply with these laws, where applicable, can result in the imposition of significant civil and/or criminal penalties and private litigation. In sum, privacy and security laws, regulations, and other obligations are constantly evolving, may conflict with each other, and can result in investigations, proceedings, or actions that lead to significant civil and/or criminal penalties and restrictions on data processing.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were incorporated in the State of Delaware in November 2011 as Sonalight, Inc. and founded our Amplitude business in 2012. In December 2014, we changed our name to Amplitude, Inc. Our principal executive offices are located at 201 Third Street, Suite 200, San Francisco, California 94103. Our telephone number is (650) 988-5131 and our website address is www.amplitude.com. Information contained on, or that can be accessed through, our website is not incorporated by reference into this Annual Report on Form 10-K.</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these reports filed pursuant to Sections 13(a) and 15(d) of the Exchange Act are filed with the SEC. Such reports and other information filed or furnished by us with the SEC are available free of charge on our investor relations website at investors.amplitude.com, as soon as reasonably practicable after we file such material with, or furnish it to, the SEC, when such reports are available on the SEC’s website at www.sec.gov.</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our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6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Our revenue was $167.3 million and $102.5 million for the fiscal years ended December 31, 2021 and 2020, respectively. However, you should not rely on our historical revenue growth as an indication of our future performance.</w:t>
      </w:r>
    </w:p>
    <w:p>
      <w:pPr>
        <w:spacing w:after="0" w:line="171" w:lineRule="exact"/>
        <w:rPr>
          <w:sz w:val="20"/>
          <w:szCs w:val="20"/>
          <w:color w:val="auto"/>
        </w:rPr>
      </w:pPr>
    </w:p>
    <w:p>
      <w:pPr>
        <w:ind w:right="260" w:firstLine="509"/>
        <w:spacing w:after="0" w:line="291" w:lineRule="auto"/>
        <w:rPr>
          <w:sz w:val="20"/>
          <w:szCs w:val="20"/>
          <w:color w:val="auto"/>
        </w:rPr>
      </w:pPr>
      <w:r>
        <w:rPr>
          <w:rFonts w:ascii="Arial" w:cs="Arial" w:eastAsia="Arial" w:hAnsi="Arial"/>
          <w:sz w:val="17"/>
          <w:szCs w:val="17"/>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47"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Our revenue growth rate may decline over time. In future periods, our revenue growth could slow or our revenue could decline for a number of reasons, including slowing demand for our Digital Optimization System, increased competition, changes to technology, a decrease in the growth of our overall market, or our failure, for any reason, to manage our growth effectively or continue to take advantage of growth opportunities. We have also encountered, and will continue to encounter, risks and uncertainties frequently experienced by growing companies in rapidly changing industries, such as the risks and uncertainties described in this Annual Report on Form 10-K. If our assumptions regarding these risks and uncertainties and our future revenue growth are incorrect or change, or if we do not address these risks successfully, our financial condition and results of operations could differ materially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our expectations, and our business could be materially adversely affected.</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As our costs increase, we may not be able to generate sufficient revenue to achieve and sustain profitability.</w:t>
      </w:r>
    </w:p>
    <w:p>
      <w:pPr>
        <w:spacing w:after="0" w:line="115"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We have experienced net losses in each period since inception. We generated net losses of $75.0 million and $24.6 million for the fiscal years ended December 31, 2021 and 2020, respectively. As of December 31, 2021, we had an accumulated deficit of $179.8 million. We expect our costs and expenses to increase in future periods. In particular, we intend to continue to invest significant resources in:</w:t>
      </w:r>
    </w:p>
    <w:p>
      <w:pPr>
        <w:spacing w:after="0" w:line="74" w:lineRule="exact"/>
        <w:rPr>
          <w:sz w:val="20"/>
          <w:szCs w:val="20"/>
          <w:color w:val="auto"/>
        </w:rPr>
      </w:pPr>
    </w:p>
    <w:p>
      <w:pPr>
        <w:ind w:left="1020" w:right="520" w:hanging="503"/>
        <w:spacing w:after="0" w:line="32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development of our Digital Optimization System, including investments in our research and development team, the development or acquisition of new products, features, and functionality, and improvements to the scalability, availability, and security of our platform;</w:t>
      </w:r>
    </w:p>
    <w:p>
      <w:pPr>
        <w:spacing w:after="0" w:line="16" w:lineRule="exact"/>
        <w:rPr>
          <w:rFonts w:ascii="Arial" w:cs="Arial" w:eastAsia="Arial" w:hAnsi="Arial"/>
          <w:sz w:val="16"/>
          <w:szCs w:val="16"/>
          <w:color w:val="auto"/>
        </w:rPr>
      </w:pPr>
    </w:p>
    <w:p>
      <w:pPr>
        <w:ind w:left="1020" w:right="56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international expansion, in an effort to increase our customer base and sales;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w:t>
      </w:r>
    </w:p>
    <w:p>
      <w:pPr>
        <w:spacing w:after="0" w:line="212"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In addition, part of our business strategy is to focus on our long-term growth. As a result, our profitability may be lower in the near-term than it would be if our strategy were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cause long-term profitability. If we are ultimately unable to achieve profitability at the level anticipated by industry or financial analysts and our stockholders, our stock price may decline.</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8" w:name="page19"/>
    <w:bookmarkEnd w:id="18"/>
    <w:p>
      <w:pPr>
        <w:ind w:right="80" w:firstLine="509"/>
        <w:spacing w:after="0" w:line="248" w:lineRule="auto"/>
        <w:rPr>
          <w:sz w:val="20"/>
          <w:szCs w:val="20"/>
          <w:color w:val="auto"/>
        </w:rPr>
      </w:pPr>
      <w:r>
        <w:rPr>
          <w:rFonts w:ascii="Arial" w:cs="Arial" w:eastAsia="Arial" w:hAnsi="Arial"/>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9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56" w:lineRule="exact"/>
        <w:rPr>
          <w:sz w:val="20"/>
          <w:szCs w:val="20"/>
          <w:color w:val="auto"/>
        </w:rPr>
      </w:pPr>
    </w:p>
    <w:p>
      <w:pPr>
        <w:jc w:val="both"/>
        <w:ind w:right="80" w:firstLine="509"/>
        <w:spacing w:after="0" w:line="257" w:lineRule="auto"/>
        <w:rPr>
          <w:sz w:val="20"/>
          <w:szCs w:val="20"/>
          <w:color w:val="auto"/>
        </w:rPr>
      </w:pPr>
      <w:r>
        <w:rPr>
          <w:rFonts w:ascii="Arial" w:cs="Arial" w:eastAsia="Arial" w:hAnsi="Arial"/>
          <w:sz w:val="17"/>
          <w:szCs w:val="17"/>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Optimization System and the successful implementation of our marketing strategy.</w:t>
      </w:r>
    </w:p>
    <w:p>
      <w:pPr>
        <w:spacing w:after="0" w:line="175"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Our customer retention and expansion and the rate at which we attract new customers may decline or fluctuate as a result of a number of factors, including our customers’ satisfaction with our Digital Optimization System;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8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our stock price could decline.</w:t>
      </w:r>
    </w:p>
    <w:p>
      <w:pPr>
        <w:spacing w:after="0" w:line="63"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74" w:lineRule="exact"/>
        <w:rPr>
          <w:sz w:val="20"/>
          <w:szCs w:val="20"/>
          <w:color w:val="auto"/>
        </w:rPr>
      </w:pPr>
    </w:p>
    <w:p>
      <w:pPr>
        <w:ind w:left="1020" w:right="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demand for, or pricing of, our Digital Optimization System, including as a result of our introduction of new products, features, and functionality;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usage of our Digital Optimization System;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retain existing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expansion rates;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investments in new products, features, and functionality;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customers’ purchases;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speed with which customers are able to migrate data onto our platform after purchasing capacity;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awareness of our brand on a global basis;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features, or functionality developed or acquired by us or our competitors;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costs associated with our cloud computing infrastructure, particularly the cloud services provided by Amazon Web Services (“AWS”);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research and development and sales and marketing expenses;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 w:name="page20"/>
    <w:bookmarkEnd w:id="19"/>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15" w:lineRule="exact"/>
        <w:rPr>
          <w:rFonts w:ascii="Arial" w:cs="Arial" w:eastAsia="Arial" w:hAnsi="Arial"/>
          <w:sz w:val="17"/>
          <w:szCs w:val="17"/>
          <w:color w:val="auto"/>
        </w:rPr>
      </w:pPr>
    </w:p>
    <w:p>
      <w:pPr>
        <w:ind w:left="1020" w:right="3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mergers, acquisitions or strategic partnerships, and their integration;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identify and complete merger, acquisition or strategic partnership opportunities;</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and related difficulties in collections;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 epidemics or pandemics, such as the coronavirus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03" w:lineRule="exact"/>
        <w:rPr>
          <w:rFonts w:ascii="Arial" w:cs="Arial" w:eastAsia="Arial" w:hAnsi="Arial"/>
          <w:sz w:val="18"/>
          <w:szCs w:val="18"/>
          <w:color w:val="auto"/>
        </w:rPr>
      </w:pPr>
    </w:p>
    <w:p>
      <w:pPr>
        <w:ind w:left="1020" w:right="840" w:hanging="503"/>
        <w:spacing w:after="0" w:line="29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things, expenses associated with compliance, particularly with respect to compliance with evolving privacy and data protection laws and regulations;</w:t>
      </w:r>
    </w:p>
    <w:p>
      <w:pPr>
        <w:spacing w:after="0" w:line="38" w:lineRule="exact"/>
        <w:rPr>
          <w:rFonts w:ascii="Arial" w:cs="Arial" w:eastAsia="Arial" w:hAnsi="Arial"/>
          <w:sz w:val="17"/>
          <w:szCs w:val="17"/>
          <w:color w:val="auto"/>
        </w:rPr>
      </w:pPr>
    </w:p>
    <w:p>
      <w:pPr>
        <w:ind w:left="1020" w:right="500" w:hanging="503"/>
        <w:spacing w:after="0" w:line="29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38" w:lineRule="exact"/>
        <w:rPr>
          <w:rFonts w:ascii="Arial" w:cs="Arial" w:eastAsia="Arial" w:hAnsi="Arial"/>
          <w:sz w:val="17"/>
          <w:szCs w:val="17"/>
          <w:color w:val="auto"/>
        </w:rPr>
      </w:pPr>
    </w:p>
    <w:p>
      <w:pPr>
        <w:ind w:left="1020" w:right="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platform.</w:t>
      </w:r>
    </w:p>
    <w:p>
      <w:pPr>
        <w:spacing w:after="0" w:line="212" w:lineRule="exact"/>
        <w:rPr>
          <w:sz w:val="20"/>
          <w:szCs w:val="20"/>
          <w:color w:val="auto"/>
        </w:rPr>
      </w:pPr>
    </w:p>
    <w:p>
      <w:pPr>
        <w:jc w:val="both"/>
        <w:ind w:right="300" w:firstLine="509"/>
        <w:spacing w:after="0" w:line="248"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If our results of operations fall below the expectations of investors and securities analysts who follow our stock, the price of our Class A common stock could decline substantially, and we could face costly lawsuits, including securities class action litigation.</w:t>
      </w:r>
    </w:p>
    <w:p>
      <w:pPr>
        <w:spacing w:after="0" w:line="29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We expect to continue to focus on sales to larger organizations and may become more dependent on those relationships, which may increase the variability of our sales cycles and our results of operations.</w:t>
      </w:r>
    </w:p>
    <w:p>
      <w:pPr>
        <w:spacing w:after="0" w:line="63"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As we continue to focus on, and may become more dependent on, sales to larger organizations, we expect our sales cycles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sales cycle may adversely affect our financial results. Factors that may influence the length and variability of our sales cycle include:</w:t>
      </w:r>
    </w:p>
    <w:p>
      <w:pPr>
        <w:spacing w:after="0" w:line="64"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Digital Optimization System;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competitive nature of evaluation and purchasing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or planned introductions of new products, features, or functionality by us or our competitors;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lengthy purchasing approval processes.</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 w:name="page21"/>
    <w:bookmarkEnd w:id="20"/>
    <w:p>
      <w:pPr>
        <w:ind w:right="200"/>
        <w:spacing w:after="0" w:line="261" w:lineRule="auto"/>
        <w:rPr>
          <w:sz w:val="20"/>
          <w:szCs w:val="20"/>
          <w:color w:val="auto"/>
        </w:rPr>
      </w:pPr>
      <w:r>
        <w:rPr>
          <w:rFonts w:ascii="Arial" w:cs="Arial" w:eastAsia="Arial" w:hAnsi="Arial"/>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Optimization System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agreements. Our subscription model also makes it difficult for us to rapidly increase our revenue through additional sales in any period, as revenue from new customers must be recognized over the applicable subscription term.</w:t>
      </w:r>
    </w:p>
    <w:p>
      <w:pPr>
        <w:spacing w:after="0" w:line="28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63"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or potential customers. Our ability to grow revenue and the profitability of our business depend on demand for software applications generally. Historically, during economic downturns there have been reductions in spending on software applications and services generally as well as pressure for extended billing terms and other financial concessions. If economic conditions deteriorate, our customers and prospective customers may go out of business or elect to decrease their budgets, which would limit our ability to grow our business and materially adversely affect our financial condition and results of operations. In addition, our competitors, many of whom are larger and have greater financial resources than we do, may respond to challenging market conditions by lowering prices in an attempt to attract our customers, and they may be less dependent on key industry events to generate sales for their products.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market for SaaS applications develops more slowly than we expect or declines, our business would be adversely affected.</w:t>
      </w:r>
    </w:p>
    <w:p>
      <w:pPr>
        <w:spacing w:after="0" w:line="104"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Our success will depend to a substantial extent on the widespread adoption of SaaS applications in general, and of SaaS applications that look to solve aspects of digital optimization.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Optimization System,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Optimization System. If we or other SaaS providers experience data security incidents, loss of customer data, disruptions in delivery, or other problems, the market for SaaS applications, including our Digital Optimization System,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1" w:name="page22"/>
    <w:bookmarkEnd w:id="21"/>
    <w:p>
      <w:pPr>
        <w:ind w:right="120"/>
        <w:spacing w:after="0" w:line="261" w:lineRule="auto"/>
        <w:rPr>
          <w:sz w:val="20"/>
          <w:szCs w:val="20"/>
          <w:color w:val="auto"/>
        </w:rPr>
      </w:pPr>
      <w:r>
        <w:rPr>
          <w:rFonts w:ascii="Arial" w:cs="Arial" w:eastAsia="Arial" w:hAnsi="Arial"/>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63"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The market for applications that looks to address digital optimization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74" w:lineRule="exact"/>
        <w:rPr>
          <w:sz w:val="20"/>
          <w:szCs w:val="20"/>
          <w:color w:val="auto"/>
        </w:rPr>
      </w:pPr>
    </w:p>
    <w:p>
      <w:pPr>
        <w:ind w:left="1020" w:right="18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in-house software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 integrated systems vendors;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smaller companies offering alternative SaaS applications;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or emerging entrants seeking to develop competing technologies.</w:t>
      </w:r>
    </w:p>
    <w:p>
      <w:pPr>
        <w:spacing w:after="0" w:line="212"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Our competitors may be able to respond more quickly and effectively than we can to new or changing opportunities, technologies, standards, or customer requirements. With the introduction of new technologies, the evolution of our Digital Optimization System, and new market entrants, we expect competition to intensify in the future. Pricing pressures and increased competition generally could result in reduced sales, reduced margins, losses, or the failure of our Digital Optimization System to achieve or maintain more widespread market acceptance, any of which could harm our business.</w:t>
      </w:r>
    </w:p>
    <w:p>
      <w:pPr>
        <w:spacing w:after="0" w:line="155"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Our competitors vary in size and in the breadth and scope of the products and services they offer. Further, other established SaaS providers not currently focused on digital optimization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this Annual Report on Form 10-K.</w:t>
      </w:r>
    </w:p>
    <w:p>
      <w:pPr>
        <w:spacing w:after="0" w:line="27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6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Our ability to attract new customers and retain and increase revenue from existing customers depends in large part on our ability to enhance and improve our Digital Optimization System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Optimization System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Optimization System to meet customer requirements, or otherwise gain market acceptance, our business, financial condition, and results of operations could be materially adversely affected.</w:t>
      </w:r>
    </w:p>
    <w:p>
      <w:pPr>
        <w:spacing w:after="0" w:line="18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Because our Digital Optimization System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Optimization System may need to address additional requirements specific to those industries.</w:t>
      </w:r>
    </w:p>
    <w:p>
      <w:pPr>
        <w:spacing w:after="0" w:line="18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If we are unable to enhance our Digital Optimization System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2" w:name="page23"/>
    <w:bookmarkEnd w:id="22"/>
    <w:p>
      <w:pPr>
        <w:ind w:right="20"/>
        <w:spacing w:after="0" w:line="261" w:lineRule="auto"/>
        <w:rPr>
          <w:sz w:val="20"/>
          <w:szCs w:val="20"/>
          <w:color w:val="auto"/>
        </w:rPr>
      </w:pPr>
      <w:r>
        <w:rPr>
          <w:rFonts w:ascii="Arial" w:cs="Arial" w:eastAsia="Arial" w:hAnsi="Arial"/>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have experienced and expect to continue to experience rapid growth in our business, personnel and operations, which has placed, and may continue to place, significant demands on our management, operational and financial resources.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Optimization System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 the quality of our products may suffer, which could negatively affect our brand and reputation and harm our ability to retain and attract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277"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i w:val="1"/>
          <w:iCs w:val="1"/>
          <w:color w:val="auto"/>
        </w:rPr>
        <w:t>The COVID-19 pandemic or similar outbreaks could have an adverse impact on our business and operations, and the markets and communities in which we, our partners and customers operate, and the impact of the pandemic is difficult to assess or predict.</w:t>
      </w:r>
    </w:p>
    <w:p>
      <w:pPr>
        <w:spacing w:after="0" w:line="39"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The continued impact and ultimate duration of the COVID-19 pandemic (including the Delta and Omicron variants and any new strains or variants of the virus) on the global economy and our business are difficult to assess or predict. Actual and potential impacts include:</w:t>
      </w:r>
    </w:p>
    <w:p>
      <w:pPr>
        <w:spacing w:after="0" w:line="106" w:lineRule="exact"/>
        <w:rPr>
          <w:sz w:val="20"/>
          <w:szCs w:val="20"/>
          <w:color w:val="auto"/>
        </w:rPr>
      </w:pPr>
    </w:p>
    <w:p>
      <w:pPr>
        <w:ind w:left="1020" w:right="460" w:hanging="503"/>
        <w:spacing w:after="0" w:line="29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customer prospects and our existing customers may experience slowdowns in their businesses, which in turn may result in reduced demand for our Digital Optimization System, lengthening of sales cycles, loss of customers, and difficulties in collections.</w:t>
      </w:r>
    </w:p>
    <w:p>
      <w:pPr>
        <w:spacing w:after="0" w:line="38" w:lineRule="exact"/>
        <w:rPr>
          <w:rFonts w:ascii="Arial" w:cs="Arial" w:eastAsia="Arial" w:hAnsi="Arial"/>
          <w:sz w:val="17"/>
          <w:szCs w:val="17"/>
          <w:color w:val="auto"/>
        </w:rPr>
      </w:pPr>
    </w:p>
    <w:p>
      <w:pPr>
        <w:ind w:left="1020" w:right="4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employees are working from home significantly more frequently than they did historically prior to the COVID-19 pandemic, which may result in decreased employee productivity and morale with increased unwanted employee attrition.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continue to incur fixed costs, particularly for real estate, and are deriving reduced or no benefit from those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continue to experience disruptions to our growth planning, such as for facilities and international expansion.</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anticipate incurring costs in returning to work from our facilities around the world, including changes to the workplace, such as space planning, food service, and amenities.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legal liability for safe workplace claims.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critical vendors could go out of business.</w:t>
      </w:r>
    </w:p>
    <w:p>
      <w:pPr>
        <w:spacing w:after="0" w:line="103" w:lineRule="exact"/>
        <w:rPr>
          <w:rFonts w:ascii="Arial" w:cs="Arial" w:eastAsia="Arial" w:hAnsi="Arial"/>
          <w:sz w:val="18"/>
          <w:szCs w:val="18"/>
          <w:color w:val="auto"/>
        </w:rPr>
      </w:pPr>
    </w:p>
    <w:p>
      <w:pPr>
        <w:ind w:left="1020" w:right="240" w:hanging="503"/>
        <w:spacing w:after="0" w:line="29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in-person marketing events, including customer user conferences, have been cancelled, and we may continue to experience prolonged delays in our ability to reschedule or conduct in-person marketing events and other sales and marketing activities.</w:t>
      </w:r>
    </w:p>
    <w:p>
      <w:pPr>
        <w:spacing w:after="0" w:line="38" w:lineRule="exact"/>
        <w:rPr>
          <w:rFonts w:ascii="Arial" w:cs="Arial" w:eastAsia="Arial" w:hAnsi="Arial"/>
          <w:sz w:val="17"/>
          <w:szCs w:val="17"/>
          <w:color w:val="auto"/>
        </w:rPr>
      </w:pPr>
    </w:p>
    <w:p>
      <w:pPr>
        <w:ind w:left="1020" w:right="16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continue to conduct or from time to time return to conducting our business on a fully virtual basis, as opposed to the mix of virtual and in-person interactions with customers and partners that our marketing, sales, professional services, and support organizations were accustomed to prior to the COVID-19 pandemic.</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3" w:name="page24"/>
    <w:bookmarkEnd w:id="23"/>
    <w:p>
      <w:pPr>
        <w:ind w:firstLine="509"/>
        <w:spacing w:after="0" w:line="268" w:lineRule="auto"/>
        <w:rPr>
          <w:sz w:val="20"/>
          <w:szCs w:val="20"/>
          <w:color w:val="auto"/>
        </w:rPr>
      </w:pPr>
      <w:r>
        <w:rPr>
          <w:rFonts w:ascii="Arial" w:cs="Arial" w:eastAsia="Arial" w:hAnsi="Arial"/>
          <w:sz w:val="16"/>
          <w:szCs w:val="16"/>
          <w:color w:val="auto"/>
        </w:rPr>
        <w:t>As global economic conditions improve with the rollout of vaccines, business activity may not recover as quickly as anticipated. Conditions may vary between countries and regions and will be subject to the effectiveness and duration of government policies, vaccine administration rates, and other factors that may not be foreseeable. For example, on November 4, 2021, the U.S. Department of Labor’s Occupational Safety and Health Administration (“OSHA”) issued an interim final rule requiring all employers with 100 or more employees to ensure that their employees are fully vaccinated or tested for COVID-19 on at least a weekly basis. While the U.S. Supreme Court stayed the OSHA rule in January 2022, we currently require employees in North America to be fully vaccinated to utilize our office space or attend in-person company events and have implemented other health and safety protocols. It is not possible to predict with any certainty the impact that our current policies and protocols could have on our company, our workforce, and our operations. In addition, we cannot predict what policies we may determine to, or be required to, implement in the future, or the effect thereof on our business, including whether the imposition of certain policies could cause us to lose, or experience difficulties hiring, qualified personnel. It is not possible at this time to predict the duration and extent of the impact that COVID-19 could have on worldwide economic activity and our business in particular. In addition, as stay-at-home orders and other quarantine and isolation measures are lifted, the amount of time that consumers spend interacting with digital products may normalize or decline, which could slow customer demand for our Digital Optimization System. Moreover, to the extent the COVID-19 pandemic materially adversely affects our business, financial condition, and results of operations, it may also have the effect of heightening many of the other risks described in this “Risk Factors” section, including, but not limited to, those related to our ability to expand within our existing customer base, acquire new customers, develop and expand our sales and marketing capabilities, and expand internationally.</w:t>
      </w:r>
    </w:p>
    <w:p>
      <w:pPr>
        <w:spacing w:after="0" w:line="28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If our security measures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7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Use of our platform involves the storage, transmission, and processing of our customers’ proprietary data, including personal or identifying information of their customers or employees. Unauthorized disclosure of or access to or security breaches of our platform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and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86"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our industry and our customers’ industries. In addition, we may experience attacks, unavailable systems, unauthorized access to systems or data or disclosure due to employee theft or misuse, denial-of-service attacks, sophisticated nation-state and nation-state supported actors, and advanced persistent threat intrusions. Electronic security attacks designed to gain access to personal, sensitive, or confidential data are constantly evolving, and such attacks continue to grow in sophistication.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We have previously been, and may in the future become, the target of cyberattacks by third parties seeking unauthorized access to our or our customers’ data or to disrupt our operations or ability to provide our services.</w:t>
      </w:r>
    </w:p>
    <w:p>
      <w:pPr>
        <w:spacing w:after="0" w:line="168" w:lineRule="exact"/>
        <w:rPr>
          <w:sz w:val="20"/>
          <w:szCs w:val="20"/>
          <w:color w:val="auto"/>
        </w:rPr>
      </w:pPr>
    </w:p>
    <w:p>
      <w:pPr>
        <w:ind w:right="160" w:firstLine="509"/>
        <w:spacing w:after="0" w:line="254" w:lineRule="auto"/>
        <w:rPr>
          <w:sz w:val="20"/>
          <w:szCs w:val="20"/>
          <w:color w:val="auto"/>
        </w:rPr>
      </w:pPr>
      <w:r>
        <w:rPr>
          <w:rFonts w:ascii="Arial" w:cs="Arial" w:eastAsia="Arial" w:hAnsi="Arial"/>
          <w:sz w:val="17"/>
          <w:szCs w:val="17"/>
          <w:color w:val="auto"/>
        </w:rPr>
        <w:t>We have contractual and legal obligations to notify relevant stakeholders of security breaches. Most jurisdictions have enacted laws requiring companies to notify individuals, regulatory authorities, and others of security incidents or data breaches involving certain types of data.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7"/>
          <w:szCs w:val="17"/>
          <w:b w:val="1"/>
          <w:bCs w:val="1"/>
          <w:i w:val="1"/>
          <w:iCs w:val="1"/>
          <w:color w:val="auto"/>
        </w:rPr>
        <w:t>A security breach may cause us to breach customer contracts. Our agreements with certain customers may require us to use industry-standard or reasonable measures to safeguard personal information or confidential information. A security breach could lead to claims by our customers, their end-users, or other relevant stakeholders that we have failed to comply with such legal or contractual obligations. As a result, we could be subject to legal action or our customers could end their relationships with us. There can be no assurance that any limitations of liability in our contracts would be enforceable or adequate or would otherwise protect us from liabilities or damages.</w:t>
      </w:r>
    </w:p>
    <w:p>
      <w:pPr>
        <w:spacing w:after="0" w:line="66"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155"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w:t>
      </w:r>
    </w:p>
    <w:p>
      <w:pPr>
        <w:spacing w:after="0" w:line="288"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1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Our business and continued growth depend in part on the ability of our existing and potential customers to access our platform at any time and within an acceptable amount of time. Our agreements with customers typically provide for service 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denial of service attacks or other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 level commitments under our customer agreements. As a result, our business, financial condition, and results of operations could be materially adversely affected if we suffer unscheduled downtime that exceeds the service level commitments we have made to our customers. Any extended service outages could materially adversely affect our business and reputation.</w:t>
      </w:r>
    </w:p>
    <w:p>
      <w:pPr>
        <w:spacing w:after="0" w:line="187"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Our Digital Optimization System is proprietary, and we rely on the expertise of members of our engineering, operations, product, and software development teams for their continued performance. It may become increasingly difficult and costly to maintain and improve our performance,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5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Optimization System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 w:name="page26"/>
    <w:bookmarkEnd w:id="25"/>
    <w:p>
      <w:pPr>
        <w:ind w:right="60" w:firstLine="509"/>
        <w:spacing w:after="0" w:line="243" w:lineRule="auto"/>
        <w:rPr>
          <w:sz w:val="20"/>
          <w:szCs w:val="20"/>
          <w:color w:val="auto"/>
        </w:rPr>
      </w:pPr>
      <w:r>
        <w:rPr>
          <w:rFonts w:ascii="Arial" w:cs="Arial" w:eastAsia="Arial" w:hAnsi="Arial"/>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errors, failures, or bugs in our platform could materially adversely affect our business and growth prospects.</w:t>
      </w:r>
    </w:p>
    <w:p>
      <w:pPr>
        <w:spacing w:after="0" w:line="104" w:lineRule="exact"/>
        <w:rPr>
          <w:sz w:val="20"/>
          <w:szCs w:val="20"/>
          <w:color w:val="auto"/>
        </w:rPr>
      </w:pPr>
    </w:p>
    <w:p>
      <w:pPr>
        <w:jc w:val="both"/>
        <w:ind w:right="220" w:firstLine="509"/>
        <w:spacing w:after="0" w:line="262" w:lineRule="auto"/>
        <w:rPr>
          <w:sz w:val="20"/>
          <w:szCs w:val="20"/>
          <w:color w:val="auto"/>
        </w:rPr>
      </w:pPr>
      <w:r>
        <w:rPr>
          <w:rFonts w:ascii="Arial" w:cs="Arial" w:eastAsia="Arial" w:hAnsi="Arial"/>
          <w:sz w:val="17"/>
          <w:szCs w:val="17"/>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anticipate that certain of these errors, failures, vulnerabilities, and bugs will only be discovered and remediated after deployment to customers. Software errors, failures, vulnerabilities, and bugs in our platform could materially adversely affect our business and growth prospects.</w:t>
      </w:r>
    </w:p>
    <w:p>
      <w:pPr>
        <w:spacing w:after="0" w:line="2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6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using our Digital Optimization System,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Optimization System to existing and prospective customers, our business, financial condition, and results of operations.</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Incorrect or improper implementation or use of our Digital Optimization System could result in customer dissatisfaction and materially adversely affect our business, financial condition, and results of operations.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often assist our customers in implementing our Digital Optimization System (whether through us directly or a third-party implementation partner), and they may need training in the proper use of our Digital Optimization System to maximize its potential and avoid inadequate performance. If we or our implementation partners fail to train customers on how to efficiently and effectively use our Digital Optimization System or we fail to provide adequate product support to our customers, we may lose opportunities for additional subscriptions, customers may choose not to renew or expand the use of our Digital Optimization System, we may experience negative publicity or legal claims against us, and our reputation and brand may suffer. Any of these circumstances could materially adversely affect our business, financial condition, and results of operations.</w:t>
      </w:r>
    </w:p>
    <w:p>
      <w:pPr>
        <w:spacing w:after="0" w:line="283"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7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customers and prospective customers expect our Digital Optimization System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Optimization System may become less marketable, less competitive, or obsolete, and our business, financial condition, results of operations, and growth prospects could be materially adversely affected.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ind w:right="180"/>
        <w:spacing w:after="0" w:line="261" w:lineRule="auto"/>
        <w:rPr>
          <w:sz w:val="20"/>
          <w:szCs w:val="20"/>
          <w:color w:val="auto"/>
        </w:rPr>
      </w:pPr>
      <w:r>
        <w:rPr>
          <w:rFonts w:ascii="Arial" w:cs="Arial" w:eastAsia="Arial" w:hAnsi="Arial"/>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6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We have limited experience with respect to determining the optimal prices for our Digital Optimization System and, as a result, we have in the past needed, and expect in the future that we will need, to change our pricing model from time to time. As the market for our Digital Optimization System matures, or as new competitors introduce new products or services that compete with ours, we may be unable to attract new customers at the same price or based on the same pricing models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92"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3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Optimization System by new and existing customers, especially enterprise customers, our business, financial condition, and results of operations may be materially adversely affected.</w:t>
      </w:r>
    </w:p>
    <w:p>
      <w:pPr>
        <w:spacing w:after="0" w:line="15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9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Optimization System, but there can be no assurance that these steps will be effective, and restrictions on travel and other limitations as a result of the COVID-19 pandemic undermine our efforts to provide training and build relationships. In addition, if our channel partners are unsuccessful in marketing and selling access to our Digital Optimization System, it would limit our expansion into certain geographies, sectors, and industries. If we are unable to develop and maintain effective sales incentive programs for our channel partners, we may not be able to incentivize these partners to sell access to our Digital Optimization System to customers.</w:t>
      </w:r>
    </w:p>
    <w:p>
      <w:pPr>
        <w:spacing w:after="0" w:line="18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Optimization System altogether. Our channel partners could subject us to lawsuits, potential liability, and reputational harm if, for example, any of our channel partners misrepresents the functionality of our Digital Optimization System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Optimization System. If our channel partners are unsuccessful in selling access to our Digital Optimization System, or if we are unable to enter into arrangements with or retain a sufficient number of high-quality channel partners in each of the regions in which we sell access to our Digital Optimization System and keep them motivated to sell access to our Digital Optimization System, our business, financial condition, results of operations, and growth prospects could be adversely affected.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p>
      <w:pPr>
        <w:ind w:right="20"/>
        <w:spacing w:after="0" w:line="261" w:lineRule="auto"/>
        <w:rPr>
          <w:sz w:val="20"/>
          <w:szCs w:val="20"/>
          <w:color w:val="auto"/>
        </w:rPr>
      </w:pPr>
      <w:r>
        <w:rPr>
          <w:rFonts w:ascii="Arial" w:cs="Arial" w:eastAsia="Arial" w:hAnsi="Arial"/>
          <w:sz w:val="18"/>
          <w:szCs w:val="18"/>
          <w:b w:val="1"/>
          <w:bCs w:val="1"/>
          <w:i w:val="1"/>
          <w:iCs w:val="1"/>
          <w:color w:val="auto"/>
        </w:rPr>
        <w:t>If our marketing strategies are not effective in attracting new and retaining existing customers, our business and ability to grow our revenues would be harmed.</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rely on our marketing strategies consisting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 to drive our sales and revenue. These strategies may not continue to generate the level of sales necessary to increase our revenue. If our outbound sales efforts are unsuccessful at attracting and retaining new and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18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80"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have experienced rapid growth in our customer base since our inception. Although our growth strategy includes acquiring new customers across industries, company size, and stages of digital maturity, we believe there is continued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may require considerable time to evaluate and test our Digital Optimization System prior to making a purchase decision and placing an order. A number of factors influence the length and variability of our sales cycle, including the need to educate potential customers about the uses and benefits of our Digital Optimization System,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During the year ended December 31, 2021, the average length of our sales cycle to enterprises was four to six months, as compared to one to two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and enhance our brand, our business, financial condition, and results of operations may be materially adversely affected.</w:t>
      </w:r>
    </w:p>
    <w:p>
      <w:pPr>
        <w:spacing w:after="0" w:line="13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We believe that maintaining and enhancing our reputation as a differentiated and category-defining company in digital optimization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Optimization System from competitive products and services. In addition, independent industry analysts often provide reviews of our Digital Optimization System, as well as products and services offered by our competitors, and perception of our Digital Optimization System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8" w:name="page29"/>
    <w:bookmarkEnd w:id="28"/>
    <w:p>
      <w:pPr>
        <w:ind w:right="20" w:firstLine="509"/>
        <w:spacing w:after="0" w:line="259" w:lineRule="auto"/>
        <w:rPr>
          <w:sz w:val="20"/>
          <w:szCs w:val="20"/>
          <w:color w:val="auto"/>
        </w:rPr>
      </w:pPr>
      <w:r>
        <w:rPr>
          <w:rFonts w:ascii="Arial" w:cs="Arial" w:eastAsia="Arial" w:hAnsi="Arial"/>
          <w:sz w:val="17"/>
          <w:szCs w:val="17"/>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international in scope, and we plan further geographic expansion, creating a variety of operational challenges.</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For the year ended December 31, 2021 and 2020, 36%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04"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slower than anticipated public cloud adoption by international businesses;</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which may be unexpected, in a specific country’s or region’s political, economic, or legal and regulatory environment, including Brexit, pandemics, terrorist activities, tariffs, trade wars, or long-term environmental risks;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adapt and localize our Digital Optimization System for specific countries;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payment cycles and greater difficulty enforcing contracts, collecting accounts receivable, or satisfying revenue recognition criteria, especially in emerging markets;</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evolving, and 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1020" w:right="700" w:hanging="503"/>
        <w:spacing w:after="0" w:line="32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0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1020" w:right="360" w:hanging="503"/>
        <w:spacing w:after="0" w:line="32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COVID-19 or other pandemics or epidemics that could decrease economic activity in certain markets, decrease use of our products and services, or decrease our ability to import, export, or sell our products and services to existing or new customers in international markets;</w:t>
      </w:r>
    </w:p>
    <w:p>
      <w:pPr>
        <w:spacing w:after="0" w:line="16" w:lineRule="exact"/>
        <w:rPr>
          <w:rFonts w:ascii="Arial" w:cs="Arial" w:eastAsia="Arial" w:hAnsi="Arial"/>
          <w:sz w:val="16"/>
          <w:szCs w:val="16"/>
          <w:color w:val="auto"/>
        </w:rPr>
      </w:pPr>
    </w:p>
    <w:p>
      <w:pPr>
        <w:ind w:left="1020" w:right="40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exposure to liabilities under export control, economic and trade sanction, anti-corruption, and anti-money laundering laws, including the Export Administration Regulations, the OFAC regulations, the FCPA, U.S. bribery laws, the UK Bribery Act, and similar laws and regulations in other jurisdictions;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or preferences for domestic products;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differing technical standards, existing or future regulatory and certification requirements, and required features and functionality;</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privacy and data security, including the GDPR and similar laws and regulations in other jurisdictions; and</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71"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and expect to continue for some time to derive, substantially all of our revenue from our Amplitude Analytics product.</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Although we recently released our Amplitude Recommend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 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8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7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For the years ended December 31, 2021 and 2020, our research and development expenses were 29% and 25%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it would materially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agree to indemnify customers and other third parties, which exposes us to substantial potential liability.</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127"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do not know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80" w:lineRule="exact"/>
        <w:rPr>
          <w:sz w:val="20"/>
          <w:szCs w:val="20"/>
          <w:color w:val="auto"/>
        </w:rPr>
      </w:pPr>
    </w:p>
    <w:p>
      <w:pPr>
        <w:ind w:left="1020" w:right="1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uncertainty in, and evolution of, legal standards relating to the validity, enforceability, and scope of protection of intellectual property rights;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invalidation of our intellectual property rights through administrative processes or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inability by us to detect infringement or other misappropriation of our intellectual property rights by third parties;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practical, resource, or business limitations on our ability to enforce our rights.</w:t>
      </w:r>
    </w:p>
    <w:p>
      <w:pPr>
        <w:spacing w:after="0" w:line="21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180" w:lineRule="exact"/>
        <w:rPr>
          <w:sz w:val="20"/>
          <w:szCs w:val="20"/>
          <w:color w:val="auto"/>
        </w:rPr>
      </w:pPr>
    </w:p>
    <w:p>
      <w:pPr>
        <w:ind w:right="300" w:firstLine="509"/>
        <w:spacing w:after="0" w:line="284"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55"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spacing w:after="0" w:line="261"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63"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intellectual property litigation to which we become a party may require us to do one or more of the following:</w:t>
      </w:r>
    </w:p>
    <w:p>
      <w:pPr>
        <w:spacing w:after="0" w:line="104" w:lineRule="exact"/>
        <w:rPr>
          <w:sz w:val="20"/>
          <w:szCs w:val="20"/>
          <w:color w:val="auto"/>
        </w:rPr>
      </w:pPr>
    </w:p>
    <w:p>
      <w:pPr>
        <w:ind w:left="1020" w:right="10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cease selling, licensing, or using products or features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subscription fee refunds, or other costs or damages, including indemnification of third parties;</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Intellectual property litigation is typically complex, time consuming, and expensive to resolve and would divert the resources, time, and attention of our management and technical personnel,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94"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“open-source” software could negatively affect our ability to sell our platform and subject us to possible litigation.</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use software in our Digital Optimization System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Regulatory Compliance and Legal Matters</w:t>
      </w:r>
    </w:p>
    <w:p>
      <w:pPr>
        <w:spacing w:after="0" w:line="10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economic sanctions, and anti-corruption laws and regulations, that may expose us to liability and increase our costs.</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Our Digital Optimization System is subject to U.S. export controls, including the U.S. Department of Commerce’s Export Administration Regulations and economic and trade sanctions regulations administered by the U.S. Department of the Treasury’s Office of Foreign Assets Control.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83"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are also subject to various domestic and international anti-corruption laws, such as the U.S. Foreign Corrupt Practices Act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69"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Violations of applicable anti-corruption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p>
    <w:p>
      <w:pPr>
        <w:spacing w:after="0" w:line="297" w:lineRule="exact"/>
        <w:rPr>
          <w:sz w:val="20"/>
          <w:szCs w:val="20"/>
          <w:color w:val="auto"/>
        </w:rPr>
      </w:pPr>
    </w:p>
    <w:p>
      <w:pPr>
        <w:ind w:right="160"/>
        <w:spacing w:after="0" w:line="322" w:lineRule="auto"/>
        <w:rPr>
          <w:sz w:val="20"/>
          <w:szCs w:val="20"/>
          <w:color w:val="auto"/>
        </w:rPr>
      </w:pPr>
      <w:r>
        <w:rPr>
          <w:rFonts w:ascii="Arial" w:cs="Arial" w:eastAsia="Arial" w:hAnsi="Arial"/>
          <w:sz w:val="15"/>
          <w:szCs w:val="15"/>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2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artificial intelligence and machine learning,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3" w:name="page34"/>
    <w:bookmarkEnd w:id="33"/>
    <w:p>
      <w:pPr>
        <w:ind w:firstLine="509"/>
        <w:spacing w:after="0" w:line="267" w:lineRule="auto"/>
        <w:rPr>
          <w:sz w:val="20"/>
          <w:szCs w:val="20"/>
          <w:color w:val="auto"/>
        </w:rPr>
      </w:pPr>
      <w:r>
        <w:rPr>
          <w:rFonts w:ascii="Arial" w:cs="Arial" w:eastAsia="Arial" w:hAnsi="Arial"/>
          <w:sz w:val="16"/>
          <w:szCs w:val="16"/>
          <w:color w:val="auto"/>
        </w:rPr>
        <w:t>We may incur significant expenses to comply with the laws, regulations and other obligations that apply to us. For example, the GDPR imposes stringent data protection requirements for processing the personal data of individuals within the European Economic Area (the “EEA”), including, for example,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(“SCCs”), one of the primary mechanisms used by companies to transfer personal data out of the EEA, complies with the GDPR. While the CJEU upheld the validity of the SCCs, the CJEU ruled that the underlying data transfers must be assessed on a case-by-case basis by the data controller to determine whether the personal data will be adequately protected. The European Commission issued revised SCCs on June 4, 2021 to account for the decision of the CJEU and recommendations made by the European Data Protection Board. The revised SCCs must be used for relevant new data transfers from September 27, 2021; existing SCC arrangements must be migrated to the revised clauses by December 27, 2022. Moreover, the new SCCs have not been approved for use under the United Kingdom GDPR (“UK GDPR”) and a new UK international data transfer agreement (“IDTA”) is likely to be approved in 2022. Once approved, the IDTA will be the UK equivalent of the E.U. SCCs and will replace the latter for transfers of personal data from the UK. As such, we will need to review existing transfers of personal data out of the EEA and the UK and put in place measures to implement the new SCCs and the IDTA, subject to the applicable transition periods. Accordingly, unless we put in place such measures by the end of the applicable transition periods, any transfers by us of personal data from Europe or the UK may not comply with European data protection laws and may increase our exposure to the GDPR’s or the UK GDPR’s heightened sanctions for violations of its cross-border data transfer restrictions. Loss of our ability to transfer personal data from Europe or the UK may also require us to increase our data processing capabilities in those jurisdictions at significant expense.</w:t>
      </w:r>
    </w:p>
    <w:p>
      <w:pPr>
        <w:spacing w:after="0" w:line="170"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Further, from January 1, 2021, companies have had to comply with both the GDPR and the UK GDPR, which, together with the amended UK Data Protection Act 2018, retains the GDPR in UK national law. The UK GDPR mirrors the fines under the GDPR, imposing fines up to the greater of €20 million (£17.5 million) or 4% of global turnover. The European Commission has adopted an adequacy decision in favor of the United Kingdom, enabling data transfers from 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w:t>
      </w:r>
    </w:p>
    <w:p>
      <w:pPr>
        <w:spacing w:after="0" w:line="183"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Optimization System,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4" w:name="page35"/>
    <w:bookmarkEnd w:id="34"/>
    <w:p>
      <w:pPr>
        <w:ind w:right="160" w:firstLine="509"/>
        <w:spacing w:after="0" w:line="269" w:lineRule="auto"/>
        <w:rPr>
          <w:sz w:val="20"/>
          <w:szCs w:val="20"/>
          <w:color w:val="auto"/>
        </w:rPr>
      </w:pPr>
      <w:r>
        <w:rPr>
          <w:rFonts w:ascii="Arial" w:cs="Arial" w:eastAsia="Arial" w:hAnsi="Arial"/>
          <w:sz w:val="16"/>
          <w:szCs w:val="16"/>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CCPA became effective on January 1, 2020. The CCPA requires companies that process information on California residents to make certain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and provides for penalties for noncompliance. Additionally,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passed in Virginia and Colorado, and proposed in other states and at the federal level, reflecting a trend toward more stringent privacy legislation in the United States. The enactment of such laws may have potentially conflicting requirements that would make compliance challenging.</w:t>
      </w:r>
    </w:p>
    <w:p>
      <w:pPr>
        <w:spacing w:after="0" w:line="17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68" w:lineRule="exact"/>
        <w:rPr>
          <w:sz w:val="20"/>
          <w:szCs w:val="20"/>
          <w:color w:val="auto"/>
        </w:rPr>
      </w:pPr>
    </w:p>
    <w:p>
      <w:pPr>
        <w:ind w:right="120" w:firstLine="509"/>
        <w:spacing w:after="0" w:line="272"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criminal or civil sanctions, all of which may harm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Tax and Accounting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conduct transactions, particularly intercompany transactions, in currencies other than the U.S. dollar. While we have primarily transacted with customers and vendors in U.S. dollars, we have transacted in foreign currencies for subscriptions to our Digital Optimization System, and we expect to significantly expand the number of transactions with customers for our Digital Optimization System that are denominated in foreign currencies. In addition,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171"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104"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reduced cash flows, and lower overall profitability of our operations.</w:t>
      </w:r>
    </w:p>
    <w:p>
      <w:pPr>
        <w:spacing w:after="0" w:line="224"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In addition, the Organization for Economic Co-operation and Development has initiated a base erosion and profit shifting project that seeks to establish certain international standards for taxing the worldwide income of multinational companies. As a result of these developments, the tax laws of certain countries in which we do business could change on a prospective or retroactive basis, and any such changes could increase our liabilities for taxes,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and therefore could materially adversely affect our cash flows, financial condition, and results of operations.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w:t>
      </w:r>
    </w:p>
    <w:p>
      <w:pPr>
        <w:spacing w:after="0" w:line="104" w:lineRule="exact"/>
        <w:rPr>
          <w:sz w:val="20"/>
          <w:szCs w:val="20"/>
          <w:color w:val="auto"/>
        </w:rPr>
      </w:pPr>
    </w:p>
    <w:p>
      <w:pPr>
        <w:ind w:right="240" w:firstLine="509"/>
        <w:spacing w:after="0" w:line="265" w:lineRule="auto"/>
        <w:rPr>
          <w:sz w:val="20"/>
          <w:szCs w:val="20"/>
          <w:color w:val="auto"/>
        </w:rPr>
      </w:pPr>
      <w:r>
        <w:rPr>
          <w:rFonts w:ascii="Arial" w:cs="Arial" w:eastAsia="Arial" w:hAnsi="Arial"/>
          <w:sz w:val="16"/>
          <w:szCs w:val="16"/>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and have determined that none of the operating losses will expire solely due to Section 382 limitations. However, we may experience ownership changes as a result of subsequent shifts in our stock ownership, some of which may be outside of our control. Such change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increase state taxes owed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 material adverse effect on our results of operations.</w:t>
      </w:r>
    </w:p>
    <w:p>
      <w:pPr>
        <w:spacing w:after="0" w:line="104" w:lineRule="exact"/>
        <w:rPr>
          <w:sz w:val="20"/>
          <w:szCs w:val="20"/>
          <w:color w:val="auto"/>
        </w:rPr>
      </w:pPr>
    </w:p>
    <w:p>
      <w:pPr>
        <w:ind w:right="360" w:firstLine="509"/>
        <w:spacing w:after="0" w:line="276" w:lineRule="auto"/>
        <w:rPr>
          <w:sz w:val="20"/>
          <w:szCs w:val="20"/>
          <w:color w:val="auto"/>
        </w:rPr>
      </w:pPr>
      <w:r>
        <w:rPr>
          <w:rFonts w:ascii="Arial" w:cs="Arial" w:eastAsia="Arial" w:hAnsi="Arial"/>
          <w:sz w:val="16"/>
          <w:szCs w:val="16"/>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and may materially affect our financial results in the period or periods in which such outcome is determined.</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04"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26" w:lineRule="exact"/>
        <w:rPr>
          <w:rFonts w:ascii="Arial" w:cs="Arial" w:eastAsia="Arial" w:hAnsi="Arial"/>
          <w:sz w:val="16"/>
          <w:szCs w:val="16"/>
          <w:color w:val="auto"/>
        </w:rPr>
      </w:pPr>
    </w:p>
    <w:p>
      <w:pPr>
        <w:ind w:left="1020" w:right="8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Cuts and Jobs Act (“TCJA”), the Coronavirus Aid, Relief, and Economic Security Act (“CARES Act”), and proposed legislation;</w:t>
      </w:r>
    </w:p>
    <w:p>
      <w:pPr>
        <w:spacing w:after="0" w:line="62" w:lineRule="exact"/>
        <w:rPr>
          <w:rFonts w:ascii="Arial" w:cs="Arial" w:eastAsia="Arial" w:hAnsi="Arial"/>
          <w:sz w:val="18"/>
          <w:szCs w:val="18"/>
          <w:color w:val="auto"/>
        </w:rPr>
      </w:pPr>
    </w:p>
    <w:p>
      <w:pPr>
        <w:ind w:left="1020" w:right="220" w:hanging="503"/>
        <w:spacing w:after="0" w:line="291"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acquisitions.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developments could materially adversely affect our results of operations.</w:t>
      </w:r>
    </w:p>
    <w:p>
      <w:pPr>
        <w:spacing w:after="0" w:line="225"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effect on the results of operations for that period.</w:t>
      </w:r>
    </w:p>
    <w:p>
      <w:pPr>
        <w:spacing w:after="0" w:line="33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63"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taxable in certain jurisdictions will be accepted by state and local tax authorities.</w:t>
      </w:r>
    </w:p>
    <w:p>
      <w:pPr>
        <w:spacing w:after="0" w:line="22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An increasing number of states have considered or adopted laws that attempt to impose tax collection obligations on out-of-state companies. Additionally, the Supreme Court of the United States recently ruled in South Dakota v. Wayfair, Inc. et al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15"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completed before the announcement of a change.</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7" w:name="page38"/>
    <w:bookmarkEnd w:id="37"/>
    <w:p>
      <w:pPr>
        <w:ind w:right="180"/>
        <w:spacing w:after="0" w:line="26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consolidated financial statements and accompanying notes appearing elsewhere in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04"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could decline significantly and rapidly.</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trading price of our Class A common stock may fluctuate substantially in response to numerous factors in addition to the ones described in the preceding risk factors, many of which are beyond our control, including:</w:t>
      </w:r>
    </w:p>
    <w:p>
      <w:pPr>
        <w:spacing w:after="0" w:line="63"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results of operations, or operating metrics and those of our competitors;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 or our failure to meet these projections;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pricing of our Digital Optimization System;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or regulations applicable to our Digital Optimization System;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board of directors, senior management, or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our Class A common stock made available for trading;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elections, or responses to these events;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concentrated voting control of our executive officers, directors, and their affiliates.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8" w:name="page39"/>
    <w:bookmarkEnd w:id="38"/>
    <w:p>
      <w:pPr>
        <w:ind w:right="160" w:firstLine="509"/>
        <w:spacing w:after="0" w:line="259" w:lineRule="auto"/>
        <w:rPr>
          <w:sz w:val="20"/>
          <w:szCs w:val="20"/>
          <w:color w:val="auto"/>
        </w:rPr>
      </w:pPr>
      <w:r>
        <w:rPr>
          <w:rFonts w:ascii="Arial" w:cs="Arial" w:eastAsia="Arial" w:hAnsi="Arial"/>
          <w:sz w:val="17"/>
          <w:szCs w:val="17"/>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principal stockholders have the ability to influence the outcome of director elections and other matters requiring stockholder approval.</w:t>
      </w:r>
    </w:p>
    <w:p>
      <w:pPr>
        <w:spacing w:after="0" w:line="12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of the date of this Annual Report on Form 10-K, our directors, executive officers, and holders of more than 5% of our capital stock and their affiliates collectively beneficially own, in the aggregate, shares representing a substantial majority of the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p>
    <w:p>
      <w:pPr>
        <w:spacing w:after="0" w:line="29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80"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84"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6"/>
          <w:szCs w:val="16"/>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9"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74"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 of our securityholders are subject to any contractual lock-up or other contractual restriction on the transfer or sale of their shares.</w:t>
      </w:r>
    </w:p>
    <w:p>
      <w:pPr>
        <w:spacing w:after="0" w:line="22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88" w:lineRule="exact"/>
        <w:rPr>
          <w:sz w:val="20"/>
          <w:szCs w:val="20"/>
          <w:color w:val="auto"/>
        </w:rPr>
      </w:pPr>
    </w:p>
    <w:p>
      <w:pPr>
        <w:jc w:val="both"/>
        <w:ind w:right="20" w:firstLine="509"/>
        <w:spacing w:after="0" w:line="270" w:lineRule="auto"/>
        <w:rPr>
          <w:sz w:val="20"/>
          <w:szCs w:val="20"/>
          <w:color w:val="auto"/>
        </w:rPr>
      </w:pPr>
      <w:r>
        <w:rPr>
          <w:rFonts w:ascii="Arial" w:cs="Arial" w:eastAsia="Arial" w:hAnsi="Arial"/>
          <w:sz w:val="17"/>
          <w:szCs w:val="17"/>
          <w:color w:val="auto"/>
        </w:rPr>
        <w:t>In addition, we filed a registration statement to register all shares subject to options and RSUs outstanding or reserved for future issuance under our equity compensation plans. As of December 31, 2021, we had 21,214,155 options outstanding that, if fully exercised, would result in the issuance of shares of Class A common stock, as well as 1,716,614 shares of Class A common stock subject to RSU awards.</w:t>
      </w:r>
    </w:p>
    <w:p>
      <w:pPr>
        <w:spacing w:after="0" w:line="164" w:lineRule="exact"/>
        <w:rPr>
          <w:sz w:val="20"/>
          <w:szCs w:val="20"/>
          <w:color w:val="auto"/>
        </w:rPr>
      </w:pPr>
    </w:p>
    <w:p>
      <w:pPr>
        <w:ind w:right="800" w:firstLine="509"/>
        <w:spacing w:after="0" w:line="261" w:lineRule="auto"/>
        <w:rPr>
          <w:sz w:val="20"/>
          <w:szCs w:val="20"/>
          <w:color w:val="auto"/>
        </w:rPr>
      </w:pPr>
      <w:r>
        <w:rPr>
          <w:rFonts w:ascii="Arial" w:cs="Arial" w:eastAsia="Arial" w:hAnsi="Arial"/>
          <w:sz w:val="18"/>
          <w:szCs w:val="18"/>
          <w:color w:val="auto"/>
        </w:rPr>
        <w:t>Accordingly, these shares will be able to be freely sold in the public market upon issuance, subject to applicable vesting requirements and compliance by affiliates with Rule 144.</w:t>
      </w:r>
    </w:p>
    <w:p>
      <w:pPr>
        <w:spacing w:after="0" w:line="17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whether as a result of registration rights or otherwise, could cause the trading price of our Class A common stock to decline or be volatile.</w:t>
      </w:r>
    </w:p>
    <w:p>
      <w:pPr>
        <w:spacing w:after="0" w:line="200" w:lineRule="exact"/>
        <w:rPr>
          <w:sz w:val="20"/>
          <w:szCs w:val="20"/>
          <w:color w:val="auto"/>
        </w:rPr>
      </w:pPr>
    </w:p>
    <w:p>
      <w:pPr>
        <w:spacing w:after="0" w:line="3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6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0" w:name="page41"/>
    <w:bookmarkEnd w:id="40"/>
    <w:p>
      <w:pPr>
        <w:ind w:right="680"/>
        <w:spacing w:after="0" w:line="26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3" w:lineRule="exact"/>
        <w:rPr>
          <w:sz w:val="20"/>
          <w:szCs w:val="20"/>
          <w:color w:val="auto"/>
        </w:rPr>
      </w:pPr>
    </w:p>
    <w:p>
      <w:pPr>
        <w:ind w:right="60" w:firstLine="509"/>
        <w:spacing w:after="0" w:line="282" w:lineRule="auto"/>
        <w:rPr>
          <w:sz w:val="20"/>
          <w:szCs w:val="20"/>
          <w:color w:val="auto"/>
        </w:rPr>
      </w:pPr>
      <w:r>
        <w:rPr>
          <w:rFonts w:ascii="Arial" w:cs="Arial" w:eastAsia="Arial" w:hAnsi="Arial"/>
          <w:sz w:val="16"/>
          <w:szCs w:val="16"/>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w:t>
      </w:r>
    </w:p>
    <w:p>
      <w:pPr>
        <w:spacing w:after="0"/>
        <w:rPr>
          <w:sz w:val="20"/>
          <w:szCs w:val="20"/>
          <w:color w:val="auto"/>
        </w:rPr>
      </w:pPr>
      <w:r>
        <w:rPr>
          <w:rFonts w:ascii="Arial" w:cs="Arial" w:eastAsia="Arial" w:hAnsi="Arial"/>
          <w:sz w:val="18"/>
          <w:szCs w:val="18"/>
          <w:color w:val="auto"/>
        </w:rPr>
        <w:t>A common stock after price appreciation, which may never occur, as the only way to realize any future gains on your investment.</w:t>
      </w:r>
    </w:p>
    <w:p>
      <w:pPr>
        <w:spacing w:after="0" w:line="3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3"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0"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We will remain an emerging growth company until the earliest of: (1) December 31, 2026; (2) the last day of the first fiscal year in which our annual gross revenue is $1.07 billion or more; (3) the date on which we have, during the previous rolling three-year period, issued more than $1 billion in non-convertible debt securities; and (4) the date we qualify as a “large accelerated filer,” with at least $700 million of equity securities held by non-affiliates.</w:t>
      </w:r>
    </w:p>
    <w:p>
      <w:pPr>
        <w:spacing w:after="0" w:line="147"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296"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39" w:lineRule="exact"/>
        <w:rPr>
          <w:sz w:val="20"/>
          <w:szCs w:val="20"/>
          <w:color w:val="auto"/>
        </w:rPr>
      </w:pPr>
    </w:p>
    <w:p>
      <w:pPr>
        <w:ind w:right="200" w:firstLine="509"/>
        <w:spacing w:after="0" w:line="324"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16" w:lineRule="exact"/>
        <w:rPr>
          <w:sz w:val="20"/>
          <w:szCs w:val="20"/>
          <w:color w:val="auto"/>
        </w:rPr>
      </w:pPr>
    </w:p>
    <w:p>
      <w:pPr>
        <w:ind w:left="1020" w:right="4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ind w:right="20" w:firstLine="509"/>
        <w:spacing w:after="0" w:line="270"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company, thereby reducing the likelihood that you would receive a premium for your shares of our Class A common stock in an acquisition.</w:t>
      </w:r>
    </w:p>
    <w:p>
      <w:pPr>
        <w:spacing w:after="0" w:line="3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Our restated certificate of incorporation and amended and restated bylaws provide that we will indemnify our directors and officers, in each case to the fullest extent permitted by Delaware law.</w:t>
      </w:r>
    </w:p>
    <w:p>
      <w:pPr>
        <w:spacing w:after="0" w:line="171"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63" w:lineRule="exact"/>
        <w:rPr>
          <w:sz w:val="20"/>
          <w:szCs w:val="20"/>
          <w:color w:val="auto"/>
        </w:rPr>
      </w:pPr>
    </w:p>
    <w:p>
      <w:pPr>
        <w:ind w:left="1020" w:right="40" w:hanging="503"/>
        <w:spacing w:after="0" w:line="262"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64"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26" w:lineRule="exact"/>
        <w:rPr>
          <w:rFonts w:ascii="Arial" w:cs="Arial" w:eastAsia="Arial" w:hAnsi="Arial"/>
          <w:sz w:val="16"/>
          <w:szCs w:val="16"/>
          <w:color w:val="auto"/>
        </w:rPr>
      </w:pPr>
    </w:p>
    <w:p>
      <w:pPr>
        <w:jc w:val="both"/>
        <w:ind w:left="1020" w:right="160" w:hanging="503"/>
        <w:spacing w:after="0" w:line="324"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 w:lineRule="exact"/>
        <w:rPr>
          <w:rFonts w:ascii="Arial" w:cs="Arial" w:eastAsia="Arial" w:hAnsi="Arial"/>
          <w:sz w:val="16"/>
          <w:szCs w:val="16"/>
          <w:color w:val="auto"/>
        </w:rPr>
      </w:pPr>
    </w:p>
    <w:p>
      <w:pPr>
        <w:ind w:left="1020" w:right="240" w:hanging="503"/>
        <w:spacing w:after="0" w:line="291"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1" w:lineRule="exact"/>
        <w:rPr>
          <w:sz w:val="20"/>
          <w:szCs w:val="20"/>
          <w:color w:val="auto"/>
        </w:rPr>
      </w:pPr>
    </w:p>
    <w:p>
      <w:pPr>
        <w:jc w:val="both"/>
        <w:ind w:right="380" w:firstLine="509"/>
        <w:spacing w:after="0" w:line="359"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1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16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certificate of incorporation or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2" w:name="page43"/>
    <w:bookmarkEnd w:id="42"/>
    <w:p>
      <w:pPr>
        <w:spacing w:after="0" w:line="243" w:lineRule="auto"/>
        <w:rPr>
          <w:sz w:val="20"/>
          <w:szCs w:val="20"/>
          <w:color w:val="auto"/>
        </w:rPr>
      </w:pPr>
      <w:r>
        <w:rPr>
          <w:rFonts w:ascii="Arial" w:cs="Arial" w:eastAsia="Arial" w:hAnsi="Arial"/>
          <w:sz w:val="18"/>
          <w:szCs w:val="18"/>
          <w:color w:val="auto"/>
        </w:rPr>
        <w:t>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88" w:lineRule="exact"/>
        <w:rPr>
          <w:sz w:val="20"/>
          <w:szCs w:val="20"/>
          <w:color w:val="auto"/>
        </w:rPr>
      </w:pPr>
    </w:p>
    <w:p>
      <w:pPr>
        <w:ind w:right="180" w:firstLine="509"/>
        <w:spacing w:after="0" w:line="271" w:lineRule="auto"/>
        <w:rPr>
          <w:sz w:val="20"/>
          <w:szCs w:val="20"/>
          <w:color w:val="auto"/>
        </w:rPr>
      </w:pPr>
      <w:r>
        <w:rPr>
          <w:rFonts w:ascii="Arial" w:cs="Arial" w:eastAsia="Arial" w:hAnsi="Arial"/>
          <w:sz w:val="16"/>
          <w:szCs w:val="16"/>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attract and retain highly skilled employees could materially adversely affect our business.</w:t>
      </w:r>
    </w:p>
    <w:p>
      <w:pPr>
        <w:spacing w:after="0" w:line="104"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have. As our company grows and evolves, we may need to implement more complex organizational management structures or adapt our corporate culture and work environments. These changes could have an adverse impact on our corporate culture, which could harm our ability to retain and recruit personnel.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If we fail to attract new personnel or fail to retain and motivate our current personnel, our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business and growth prospects could be materially adversely affected.</w:t>
      </w:r>
    </w:p>
    <w:p>
      <w:pPr>
        <w:spacing w:after="0" w:line="33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63"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business, regulatory, or political climate in the San Francisco Bay Area could adversely affect our operations.</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ind w:right="640"/>
        <w:spacing w:after="0" w:line="261"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Digital Optimization System, and could harm our business.</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Optimization System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Optimization System could decline.</w:t>
      </w:r>
    </w:p>
    <w:p>
      <w:pPr>
        <w:spacing w:after="0" w:line="29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30"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Optimization System or generate any particular level of revenue for us. Any expansion in our markets depends on a number of factors, including the cost, performance, and perceived value associated with our Digital Optimization System and the products of our competitors. Even if the markets in which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compete achieve the forecasted growth, our business could fail to grow at similar rates, if at all.</w:t>
      </w:r>
    </w:p>
    <w:p>
      <w:pPr>
        <w:spacing w:after="0" w:line="332" w:lineRule="exact"/>
        <w:rPr>
          <w:sz w:val="20"/>
          <w:szCs w:val="20"/>
          <w:color w:val="auto"/>
        </w:rPr>
      </w:pPr>
    </w:p>
    <w:p>
      <w:pPr>
        <w:spacing w:after="0" w:line="356" w:lineRule="auto"/>
        <w:rPr>
          <w:sz w:val="20"/>
          <w:szCs w:val="20"/>
          <w:color w:val="auto"/>
        </w:rPr>
      </w:pPr>
      <w:r>
        <w:rPr>
          <w:rFonts w:ascii="Arial" w:cs="Arial" w:eastAsia="Arial" w:hAnsi="Arial"/>
          <w:sz w:val="15"/>
          <w:szCs w:val="15"/>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1"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have in the past and intend in the future to seek to acquire or invest in businesses, joint ventures, and platform technologies that we believe could complement or expand our Digital Optimization System,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our business, financial condition, and results of operations.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occurrences and similar events.</w:t>
      </w:r>
    </w:p>
    <w:p>
      <w:pPr>
        <w:spacing w:after="0" w:line="104"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could harm our business. We have a large employee presence in San Francisco, California. In the event of a major earthquake, fire, power loss, telecommunications failure, cyberattack, war,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189"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Additionally, we rely on our network and third-party infrastructure and applications, internal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jc w:val="both"/>
        <w:ind w:right="860" w:firstLine="509"/>
        <w:spacing w:after="0" w:line="294" w:lineRule="auto"/>
        <w:rPr>
          <w:sz w:val="20"/>
          <w:szCs w:val="20"/>
          <w:color w:val="auto"/>
        </w:rPr>
      </w:pPr>
      <w:r>
        <w:rPr>
          <w:rFonts w:ascii="Arial" w:cs="Arial" w:eastAsia="Arial" w:hAnsi="Arial"/>
          <w:sz w:val="16"/>
          <w:szCs w:val="16"/>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5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will be required to devote substantial time to compliance with our public company responsibilities and corporate governance practices.</w:t>
      </w:r>
    </w:p>
    <w:p>
      <w:pPr>
        <w:spacing w:after="0" w:line="130"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which we expect to further increase after we are no longer an “emerging growth company.” The Sarbanes-Oxley Act, the Dodd-Frank Wall Street Reform and Consumer Protection Act, Nasdaq rules,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We cannot predict or estimate the amount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additional costs we will incur as a public company or the specific timing of such costs.</w:t>
      </w:r>
    </w:p>
    <w:p>
      <w:pPr>
        <w:spacing w:after="0" w:line="33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74"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We will be required, pursuant to Section 404, to furnish a report by management on, among other things, the effectiveness of our internal control over financial reporting on an annual basis, beginning with our second annual report on Form 10-K.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have begun to establish a compliance and controls function and we will need to hire additional accounting and financial personnel with appropriate public company experience and technical accounting knowledge and compile the system and process documentation necessary to perform the evaluation needed to comply with Section 404.</w:t>
      </w:r>
    </w:p>
    <w:p>
      <w:pPr>
        <w:spacing w:after="0" w:line="171"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systems required of public companies, could also restrict our future access to the capital markets.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principal executive office is located in San Francisco and consists of approximately 57,530 square feet of space under a sublease that expires on September 30, 2025. We also lease four additional offices in Amsterdam, Paris, Singapore, and London. 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840"/>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Price of Our Common Stock</w:t>
      </w:r>
    </w:p>
    <w:p>
      <w:pPr>
        <w:spacing w:after="0" w:line="1"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Our Class A common stock has been traded on The Nasdaq Capital Market under the symbol "AMPL" since September 28, 2021. Prior to that date, there was no public trading market for our Class A common stock. Our Class B common stock is neither listed nor publicly traded.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0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As of February 9, 2022, there were 30 holders of record of our Class A common stock and 48 holders of our Class B common stock. The actual number of stockholders is greater than the number of holders of record and includes stockholders who are beneficial owners but whose shares are held in street name by brokers and other nominees.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never declared or paid any cash dividend on our common stock. We do not expect to declare or pay any cash dividends in the foreseeable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8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September 28, 2021 (the date our Class A common stock commenced trading on the Nasdaq Capital Market) through December 31, 2021 with (ii) the cumulative total return of the Nasdaq Composite Index and the Nasdaq Emerging Cloud Index over the same period, assuming the investment of $100 in our Class A common stock and in both of the other indices on September 28, 2021 and the reinvestment of dividends. The graph uses the beginning market price on September 28, 2021 of $50 per share as the initial value of our Class A common stock. As discussed above, we have never declared or paid a cash dividend on our Class A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51435</wp:posOffset>
            </wp:positionV>
            <wp:extent cx="4071620" cy="2425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716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08"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Set forth below is information regarding all securities issued by the Registrant without registration under the Securities Act during the period covered by this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Plan-Related Issuances</w:t>
      </w:r>
    </w:p>
    <w:p>
      <w:pPr>
        <w:spacing w:after="0" w:line="104" w:lineRule="exact"/>
        <w:rPr>
          <w:sz w:val="20"/>
          <w:szCs w:val="20"/>
          <w:color w:val="auto"/>
        </w:rPr>
      </w:pPr>
    </w:p>
    <w:p>
      <w:pPr>
        <w:jc w:val="both"/>
        <w:ind w:right="320" w:firstLine="509"/>
        <w:spacing w:after="0" w:line="243" w:lineRule="auto"/>
        <w:rPr>
          <w:sz w:val="20"/>
          <w:szCs w:val="20"/>
          <w:color w:val="auto"/>
        </w:rPr>
      </w:pPr>
      <w:r>
        <w:rPr>
          <w:rFonts w:ascii="Arial" w:cs="Arial" w:eastAsia="Arial" w:hAnsi="Arial"/>
          <w:sz w:val="18"/>
          <w:szCs w:val="18"/>
          <w:color w:val="auto"/>
        </w:rPr>
        <w:t>From January 1, 2021 to September 21, 2021 (the date of filing of our registration statement on Form S-8), we issued and sold to certain of our directors, officers, employees, consultants, and other service providers an aggregate of 5,752,730 shares of common stock upon the exercise of options under our Amended and Restated 2014 Stock Option and Grant Plan (the "2014 Plan"), for a weighted average exercise price of $2.19 per share and an aggregate purchase price of $12.6 million.</w:t>
      </w:r>
    </w:p>
    <w:p>
      <w:pPr>
        <w:spacing w:after="0" w:line="188"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From January 1, 2021 to December 31, 2021, we issued and sold to an accredited investor an aggregate of 36,062 shares of Class B common stock upon the exercise of options granted outside our 2014 Plan, at a weighted average exercise price of $0.30 per share and an aggregate purchase price of $0.01 million.</w:t>
      </w:r>
    </w:p>
    <w:p>
      <w:pPr>
        <w:spacing w:after="0" w:line="182"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From January 1, 2021 to September 21, 2021 (the date of filing of our registration statement on Form S-8), we granted to our directors, officers, employees, consultants, and other service providers options to purchase an aggregate of 4,661,590 shares of our common stock under our 2014 Plan, at a weighted average exercise price of $8.61 per share.</w:t>
      </w:r>
    </w:p>
    <w:p>
      <w:pPr>
        <w:spacing w:after="0" w:line="182" w:lineRule="exact"/>
        <w:rPr>
          <w:sz w:val="20"/>
          <w:szCs w:val="20"/>
          <w:color w:val="auto"/>
        </w:rPr>
      </w:pPr>
    </w:p>
    <w:p>
      <w:pPr>
        <w:ind w:right="320" w:firstLine="509"/>
        <w:spacing w:after="0" w:line="324" w:lineRule="auto"/>
        <w:rPr>
          <w:sz w:val="20"/>
          <w:szCs w:val="20"/>
          <w:color w:val="auto"/>
        </w:rPr>
      </w:pPr>
      <w:r>
        <w:rPr>
          <w:rFonts w:ascii="Arial" w:cs="Arial" w:eastAsia="Arial" w:hAnsi="Arial"/>
          <w:sz w:val="16"/>
          <w:szCs w:val="16"/>
          <w:color w:val="auto"/>
        </w:rPr>
        <w:t>From January 1, 2021 to September 21, 2021 (the date of filing of our registration statement on Form S-8), we granted to our directors, officers, employees, consultants, and other service providers RSUs representing an aggregate of 1,259,238 shares of our common stock under our 2014 Plan.</w:t>
      </w:r>
    </w:p>
    <w:p>
      <w:pPr>
        <w:spacing w:after="0" w:line="124" w:lineRule="exact"/>
        <w:rPr>
          <w:sz w:val="20"/>
          <w:szCs w:val="20"/>
          <w:color w:val="auto"/>
        </w:rPr>
      </w:pPr>
    </w:p>
    <w:p>
      <w:pPr>
        <w:ind w:right="320" w:firstLine="509"/>
        <w:spacing w:after="0" w:line="291" w:lineRule="auto"/>
        <w:rPr>
          <w:sz w:val="20"/>
          <w:szCs w:val="20"/>
          <w:color w:val="auto"/>
        </w:rPr>
      </w:pPr>
      <w:r>
        <w:rPr>
          <w:rFonts w:ascii="Arial" w:cs="Arial" w:eastAsia="Arial" w:hAnsi="Arial"/>
          <w:sz w:val="17"/>
          <w:szCs w:val="17"/>
          <w:color w:val="auto"/>
        </w:rPr>
        <w:t>From January 1, 2021 to September 21, 2021 (the date of filing of our registration statement on Form S-8), we granted to our directors, officers, employees, consultants, and other service providers an aggregate of 46,875 shares of restricted common stock under our 2014 Plan.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Warrant-Related Issuances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 September 2021, we issued an aggregate of 6,822 shares of Class B common stock to an accredited investor upon the net exercise of warrants at a weighted average exercise price of $1.39 per share and an aggregate purchase price of $0.01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Redeemable Convertible Preferred Stock</w:t>
      </w:r>
    </w:p>
    <w:p>
      <w:pPr>
        <w:spacing w:after="0" w:line="104" w:lineRule="exact"/>
        <w:rPr>
          <w:sz w:val="20"/>
          <w:szCs w:val="20"/>
          <w:color w:val="auto"/>
        </w:rPr>
      </w:pPr>
    </w:p>
    <w:p>
      <w:pPr>
        <w:ind w:right="260" w:firstLine="509"/>
        <w:spacing w:after="0" w:line="324" w:lineRule="auto"/>
        <w:rPr>
          <w:sz w:val="20"/>
          <w:szCs w:val="20"/>
          <w:color w:val="auto"/>
        </w:rPr>
      </w:pPr>
      <w:r>
        <w:rPr>
          <w:rFonts w:ascii="Arial" w:cs="Arial" w:eastAsia="Arial" w:hAnsi="Arial"/>
          <w:sz w:val="16"/>
          <w:szCs w:val="16"/>
          <w:color w:val="auto"/>
        </w:rPr>
        <w:t>In six closings between May 2021 and August 2021, we issued and sold an aggregate of 6,246,111 shares of our Series F redeemable convertible preferred stock at a purchase price of $32.0199 per share to 22 accredited investors, for an aggregate purchase price of $200.0 million.</w:t>
      </w:r>
    </w:p>
    <w:p>
      <w:pPr>
        <w:spacing w:after="0" w:line="124"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contains information relating to the repurchases of our common stock made by us in the three months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600" w:type="dxa"/>
            <w:vAlign w:val="bottom"/>
            <w:vMerge w:val="restart"/>
          </w:tcPr>
          <w:p>
            <w:pPr>
              <w:ind w:left="3040"/>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17"/>
                <w:szCs w:val="17"/>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Total number of</w:t>
            </w:r>
          </w:p>
        </w:tc>
        <w:tc>
          <w:tcPr>
            <w:tcW w:w="2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Average Price Paid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line="216" w:lineRule="exact"/>
              <w:rPr>
                <w:sz w:val="20"/>
                <w:szCs w:val="20"/>
                <w:color w:val="auto"/>
              </w:rPr>
            </w:pPr>
            <w:r>
              <w:rPr>
                <w:rFonts w:ascii="Arial" w:cs="Arial" w:eastAsia="Arial" w:hAnsi="Arial"/>
                <w:sz w:val="18"/>
                <w:szCs w:val="18"/>
                <w:b w:val="1"/>
                <w:bCs w:val="1"/>
                <w:color w:val="auto"/>
                <w:w w:val="88"/>
              </w:rPr>
              <w:t>shares purchased</w:t>
            </w:r>
            <w:r>
              <w:rPr>
                <w:rFonts w:ascii="Arial" w:cs="Arial" w:eastAsia="Arial" w:hAnsi="Arial"/>
                <w:sz w:val="24"/>
                <w:szCs w:val="24"/>
                <w:b w:val="1"/>
                <w:bCs w:val="1"/>
                <w:color w:val="auto"/>
                <w:w w:val="88"/>
                <w:vertAlign w:val="superscript"/>
              </w:rPr>
              <w:t>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per Share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October 1 - October 31, 2021</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November 1 - November 30, 2021</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1 - December 31, 2021</w:t>
            </w:r>
          </w:p>
        </w:tc>
        <w:tc>
          <w:tcPr>
            <w:tcW w:w="16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-142240</wp:posOffset>
            </wp:positionV>
            <wp:extent cx="431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-142240</wp:posOffset>
            </wp:positionV>
            <wp:extent cx="3429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20828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ind w:left="580" w:right="640"/>
        <w:spacing w:after="0" w:line="206"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Represents shares of unvested Class A common stock that were repurchased by us from former employees upon termination of employment in accordance with the terms of the employees’ stock option agreements. We purchased the shares from the former employees at the respective original exercise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-367030</wp:posOffset>
            </wp:positionV>
            <wp:extent cx="20828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included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 Item 1A in this Annual Report on Form 10-K. Our fiscal year ends December 31.</w:t>
      </w:r>
    </w:p>
    <w:p>
      <w:pPr>
        <w:spacing w:after="0" w:line="162"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i w:val="1"/>
          <w:iCs w:val="1"/>
          <w:color w:val="auto"/>
        </w:rPr>
        <w:t>Unless the context otherwise requires, all references in this report to "Amplitude," the "Company," "we," "our," "us," or similar terms refer to Amplitude, Inc. and its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have built the first unified system that empowers teams to understand how digital products drive their business, thereby unleashing the full potential of product-led growth for businesses of every size, industry, and stage in their digital maturity. Our Digital Optimization System brings an entirely new depth of customer understanding with the speed of action to optimize digital experiences in the moment. We power the teams behind many of the most-beloved digital products to make the right bets, drive innovation, and maximize business outcomes.</w:t>
      </w:r>
    </w:p>
    <w:p>
      <w:pPr>
        <w:spacing w:after="0" w:line="17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At the core of our Digital Optimization System is our Behavioral Graph, a proprietary, purpose-built behavioral database that is the largest of its kind. Our Behavioral Graph instantly finds patterns, makes recommendations, and connects customer actions along their journeys to outcomes that drive engagement, growth, and loyalty. We have architected our Behavioral Graph to power numerous products linking data to insight to action, beginning first with our product analytics solution. G2 ranked Amplitude as the #3 best software product overall and #5 best enterprise product in their 2022 Best Software Awards. The G2 Winter 2022 Report also ranked Amplitude as the #1 product analytics solution for the sixth quarter in a row, #1 in mobile analytics, and #3 in digital analytics. We have since expanded our Digital Optimization System to include products that enable cross-functional teams to personalize the digital product experiences of their customers, including our Recommend and Experiment offerings, which were both released in 2021.</w:t>
      </w:r>
    </w:p>
    <w:p>
      <w:pPr>
        <w:spacing w:after="0" w:line="163"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have experienced significant growth in recent years driven by the rapid adoption of our Digital Optimization System by our global, diversified base of 1,597 paying customers as of December 31, 2021. Our customers span across industries and sizes, from the leading digital innovators to those looking to transform and adapt their business in the new digital age. For the years ended December 31, 2021 and 2020, our revenue was $167.3 million and $102.5 million, respectively, representing year-over-year growth of 63%. For the years ended December 31, 2021 and 2020, our net loss was $75.0 million and $24.6 million, respectively. For the years ended December 31, 2021 and 2020, our net cash used in operating activities was $31.7 million and $10.4 million, respectively, and our free cash flow was $(34.9) million and $(12.6) million, respectively.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Our Business Model</w:t>
      </w:r>
    </w:p>
    <w:p>
      <w:pPr>
        <w:spacing w:after="0" w:line="10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generate revenue primarily through selling subscriptions to our platform. For the year ended December 31, 2021, subscription revenue comprised 97% of our total revenue. Our customers typically look to use our platform for an initial business use case they have identified, such as analytics on a digital product. As our customers experience the value of our platform in helping to drive business outcomes in that initial use case, they frequently expand that initial use case, expand into new use cases, and expand into additional products. Examples of ways customers expand the use of our platform include the following:</w:t>
      </w:r>
    </w:p>
    <w:p>
      <w:pPr>
        <w:spacing w:after="0" w:line="284" w:lineRule="exact"/>
        <w:rPr>
          <w:sz w:val="20"/>
          <w:szCs w:val="20"/>
          <w:color w:val="auto"/>
        </w:rPr>
      </w:pPr>
    </w:p>
    <w:p>
      <w:pPr>
        <w:ind w:left="1020" w:right="18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Customers expand an initial use case by tracking additional events on a digital product to gain greater insight into customer journeys or add additional functionality (e.g. predictive analytics, behavioral reports) to meet the needs of teams across the organization;</w:t>
      </w:r>
    </w:p>
    <w:p>
      <w:pPr>
        <w:spacing w:after="0" w:line="241"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Customers expand into new use cases by using our platform for additional digital products in their digital product portfolio and empowering additional teams (e.g. product, marketing, engineering, analytics) responsible for those digital product; and</w:t>
      </w:r>
    </w:p>
    <w:p>
      <w:pPr>
        <w:spacing w:after="0" w:line="265"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Customers expand by layering on additional offerings, such as our Recommend and Experiment products, on our core Analytics offering to power new capabilities to drive business outcomes.</w:t>
      </w:r>
    </w:p>
    <w:p>
      <w:pPr>
        <w:spacing w:after="0" w:line="37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pricing model is based on both the platform functionality required by our customers as well as committed event volume. An event could be any action that a user takes in a digital product, such as ‘Create account’, ‘Add to cart’, or ‘Share photo’. Events can also be actions that occur in a product without user action, such as ‘Verification completed’. Customers have the flexibility to choose the events sent to our platform and can also attach custom properties to an event to enable greater insight on the digital product end user.</w:t>
      </w:r>
    </w:p>
    <w:p>
      <w:pPr>
        <w:spacing w:after="0" w:line="39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We have been effective in helping our customers to gauge the proper event volume to contract to ensure that they maximize their investment in our platform. In situations where customers exceed their committed event volume in a given period, they incur overage charges that we have the contractual right to bill at our discretion. Depending on the circumstances, we often use this as an opportunity to renegotiate a customer contract to ensure they have the right contracted event volume to meet their business objectives. Historically, overage charges have not made up a significant portion of our revenue. In many cases, customers will proactively expand their contract within the contract term, generally increasing event volume and platform capabilities to expand existing or address new use cases. Substantially all of our customer contracts have a subscription period of one year or longer. In 2021, we billed a majority of these contracts annually in advance with the remainder billed quarterly, semi-annually, or monthly.</w:t>
      </w:r>
    </w:p>
    <w:p>
      <w:pPr>
        <w:spacing w:after="0" w:line="38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 xml:space="preserve">We offer a variety of plans that are right-sized to match the depth and breadth of our customers’ needs and complexity. Our </w:t>
      </w:r>
      <w:r>
        <w:rPr>
          <w:rFonts w:ascii="Arial" w:cs="Arial" w:eastAsia="Arial" w:hAnsi="Arial"/>
          <w:sz w:val="17"/>
          <w:szCs w:val="17"/>
          <w:i w:val="1"/>
          <w:iCs w:val="1"/>
          <w:color w:val="auto"/>
        </w:rPr>
        <w:t>Starter</w:t>
      </w:r>
      <w:r>
        <w:rPr>
          <w:rFonts w:ascii="Arial" w:cs="Arial" w:eastAsia="Arial" w:hAnsi="Arial"/>
          <w:sz w:val="17"/>
          <w:szCs w:val="17"/>
          <w:color w:val="auto"/>
        </w:rPr>
        <w:t xml:space="preserve"> plan is a free-tier, self-service option that allows prospects to easily sign up and begin to leverage the power of the platform in rapid fashion. This plan includes core product analytics with the ability to track up to 10 million events per month. Users of this plan get access to unlimited user seats and are encouraged to add additional team members across functions to proliferate the use of our platform within their organization.</w:t>
      </w:r>
    </w:p>
    <w:p>
      <w:pPr>
        <w:spacing w:after="0" w:line="375"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 xml:space="preserve">If a prospect outgrows the usage limits in the </w:t>
      </w:r>
      <w:r>
        <w:rPr>
          <w:rFonts w:ascii="Arial" w:cs="Arial" w:eastAsia="Arial" w:hAnsi="Arial"/>
          <w:sz w:val="16"/>
          <w:szCs w:val="16"/>
          <w:i w:val="1"/>
          <w:iCs w:val="1"/>
          <w:color w:val="auto"/>
        </w:rPr>
        <w:t>Starter</w:t>
      </w:r>
      <w:r>
        <w:rPr>
          <w:rFonts w:ascii="Arial" w:cs="Arial" w:eastAsia="Arial" w:hAnsi="Arial"/>
          <w:sz w:val="16"/>
          <w:szCs w:val="16"/>
          <w:color w:val="auto"/>
        </w:rPr>
        <w:t xml:space="preserve"> plan or requires additional features such as predictive analytics, behavioral reports, or additional event volume, we offer a </w:t>
      </w:r>
      <w:r>
        <w:rPr>
          <w:rFonts w:ascii="Arial" w:cs="Arial" w:eastAsia="Arial" w:hAnsi="Arial"/>
          <w:sz w:val="16"/>
          <w:szCs w:val="16"/>
          <w:i w:val="1"/>
          <w:iCs w:val="1"/>
          <w:color w:val="auto"/>
        </w:rPr>
        <w:t>Growth</w:t>
      </w:r>
      <w:r>
        <w:rPr>
          <w:rFonts w:ascii="Arial" w:cs="Arial" w:eastAsia="Arial" w:hAnsi="Arial"/>
          <w:sz w:val="16"/>
          <w:szCs w:val="16"/>
          <w:color w:val="auto"/>
        </w:rPr>
        <w:t xml:space="preserve"> plan that requires conversion to a paid subscription contract. </w:t>
      </w:r>
      <w:r>
        <w:rPr>
          <w:rFonts w:ascii="Arial" w:cs="Arial" w:eastAsia="Arial" w:hAnsi="Arial"/>
          <w:sz w:val="16"/>
          <w:szCs w:val="16"/>
          <w:i w:val="1"/>
          <w:iCs w:val="1"/>
          <w:color w:val="auto"/>
        </w:rPr>
        <w:t>Growth</w:t>
      </w:r>
      <w:r>
        <w:rPr>
          <w:rFonts w:ascii="Arial" w:cs="Arial" w:eastAsia="Arial" w:hAnsi="Arial"/>
          <w:sz w:val="16"/>
          <w:szCs w:val="16"/>
          <w:color w:val="auto"/>
        </w:rPr>
        <w:t xml:space="preserve"> plan users also get access to dedicated customer support to further maximize the value from the platform. Customers that require the complete analytics tool kit to handle more scale and larger, sophisticated use cases can purchase our </w:t>
      </w:r>
      <w:r>
        <w:rPr>
          <w:rFonts w:ascii="Arial" w:cs="Arial" w:eastAsia="Arial" w:hAnsi="Arial"/>
          <w:sz w:val="16"/>
          <w:szCs w:val="16"/>
          <w:i w:val="1"/>
          <w:iCs w:val="1"/>
          <w:color w:val="auto"/>
        </w:rPr>
        <w:t>Enterprise</w:t>
      </w:r>
      <w:r>
        <w:rPr>
          <w:rFonts w:ascii="Arial" w:cs="Arial" w:eastAsia="Arial" w:hAnsi="Arial"/>
          <w:sz w:val="16"/>
          <w:szCs w:val="16"/>
          <w:color w:val="auto"/>
        </w:rPr>
        <w:t xml:space="preserve"> plan. The </w:t>
      </w:r>
      <w:r>
        <w:rPr>
          <w:rFonts w:ascii="Arial" w:cs="Arial" w:eastAsia="Arial" w:hAnsi="Arial"/>
          <w:sz w:val="16"/>
          <w:szCs w:val="16"/>
          <w:i w:val="1"/>
          <w:iCs w:val="1"/>
          <w:color w:val="auto"/>
        </w:rPr>
        <w:t>Enterprise</w:t>
      </w:r>
      <w:r>
        <w:rPr>
          <w:rFonts w:ascii="Arial" w:cs="Arial" w:eastAsia="Arial" w:hAnsi="Arial"/>
          <w:sz w:val="16"/>
          <w:szCs w:val="16"/>
          <w:color w:val="auto"/>
        </w:rPr>
        <w:t xml:space="preserve"> plan includes everything in the </w:t>
      </w:r>
      <w:r>
        <w:rPr>
          <w:rFonts w:ascii="Arial" w:cs="Arial" w:eastAsia="Arial" w:hAnsi="Arial"/>
          <w:sz w:val="16"/>
          <w:szCs w:val="16"/>
          <w:i w:val="1"/>
          <w:iCs w:val="1"/>
          <w:color w:val="auto"/>
        </w:rPr>
        <w:t>Growth</w:t>
      </w:r>
      <w:r>
        <w:rPr>
          <w:rFonts w:ascii="Arial" w:cs="Arial" w:eastAsia="Arial" w:hAnsi="Arial"/>
          <w:sz w:val="16"/>
          <w:szCs w:val="16"/>
          <w:color w:val="auto"/>
        </w:rPr>
        <w:t xml:space="preserve"> plan as well as additional robust features such as advanced data governance, custom user permissions and roles, automated insights, and more. At any point, a customer that needs additional capabilities can purchase add-on functionality or products, including Recommend and Experiment, which are natively integrated with Amplitude Analytics.</w:t>
      </w:r>
    </w:p>
    <w:p>
      <w:pPr>
        <w:spacing w:after="0" w:line="161"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Our land-and-expand business model is powered by the ease of use, rapid time to value, and broad applicability of our platform to provide actionable insights in real time to numerous teams across an organization. This model has enabled us, in many cases, to significantly expand the reach of our platform within organizations.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0" w:name="page51"/>
    <w:bookmarkEnd w:id="50"/>
    <w:p>
      <w:pPr>
        <w:ind w:right="100" w:firstLine="509"/>
        <w:spacing w:after="0" w:line="272" w:lineRule="auto"/>
        <w:rPr>
          <w:sz w:val="20"/>
          <w:szCs w:val="20"/>
          <w:color w:val="auto"/>
        </w:rPr>
      </w:pPr>
      <w:r>
        <w:rPr>
          <w:rFonts w:ascii="Arial" w:cs="Arial" w:eastAsia="Arial" w:hAnsi="Arial"/>
          <w:sz w:val="16"/>
          <w:szCs w:val="16"/>
          <w:color w:val="auto"/>
        </w:rPr>
        <w:t>As of December 31, 2021, we had 385 customers that each represented greater than $100,000 in ARR and 29 customers that each represented greater than $1 million in ARR, demonstrating the mission critical nature of our platform to help customers succeed in the new digital age. In comparison, we had 262 customers that each represented greater than $100,000 in ARR and 15 customers that each represented greater than $1 million in ARR for the years ended December 31, 2020. Customers that each represented greater than $100,000 in ARR accounted for approximately 73% and 72% of our total ARR as of December 31, 2021 and 2020, respectively. We define ARR as the annual recurring revenue of subscription agreements at a point in time based on the terms of customers’ contracts. ARR should be viewed independently of revenue, and does not represent our U.S. GAAP revenue on an annualized basis, as it is an operating metric that can be impacted by contract start and end dates and renewal rates. ARR is not intended to be a replacement for or forecast of revenue. No single customer accounted for more than 4% of our revenue in the years ended December 31, 2021 and 2020.</w:t>
      </w:r>
    </w:p>
    <w:p>
      <w:pPr>
        <w:spacing w:after="0" w:line="168"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Our ability to expand within our customer base is also demonstrated by our strong dollar-based net retention rate. As of December 31, 2021 and 2020, our dollar-based net retention rate across paying customers was 123% and 119%,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and Expansion</w:t>
      </w:r>
    </w:p>
    <w:p>
      <w:pPr>
        <w:spacing w:after="0" w:line="104"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We believe that our Digital Optimization System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8"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As of December 31, 2021 and 2020, we had 1,597 and 1,039 paying customers, respectively, representing an increase of 54% year-over-year. As of December 31, 2021 and 2020, 26 and 25 of the Fortune 100 were paying customers, respectively, which demonstrates both our traction to date as well as our significant opportunity to continue to penetrate into the largest global organizations. Our relationship with some of the world’s most beloved product-led companies has resulted in increased brand credibility and access to many attractive growth opportunities.</w:t>
      </w:r>
    </w:p>
    <w:p>
      <w:pPr>
        <w:spacing w:after="0" w:line="17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We have been successful at efficiently growing our customer spend over time as evidenced by our dollar-based net retention rates. As of December 31, 2021 and 2020, our dollar-based net retention rate was 123% and 119%, respectively, for paying customers. We continue to increase the number of customers who have entered and grown into larger subscriptions with us. As of December 31, 2021 and 2020, we had 385 and 262 customers, respectively, that each represented greater than $100,000 in ARR, representing a 47% increase year-over-year. Additionally, we had 29 and 15 customers, respectively, that each represented greater than $1 million in ARR, up 93% year-over-year. The number of customers representing greater than $100,000 and $1 million in ARR demonstrates the strategic importance of our platform and our ability to both initially land significant accounts and grow them over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Platform</w:t>
      </w:r>
    </w:p>
    <w:p>
      <w:pPr>
        <w:spacing w:after="0" w:line="104"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For example, in 2021, we announced the launch of our Recommend and Experiment products, and we are encouraged by the early adoption of these products by our customers. Furthermore, we may choose to add new products and offerings or enhance our platform capabilities through acquisitions. In 2020, we acquired ClearBrain to bolster our predictive analytics capabilities, and in 2021, we acquired Iteratively, a software company that bolsters our ability to empower developers to more quickly, easily, and accurately instrument data into our platform. Going forward, we may pursue both strategic partnerships and acquisitions that we believe will be complementary to our business, accelerate customer acquisition, increase usage of our platform, and/or expand our product offerings in our core markets.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Investing for Growth</w:t>
      </w:r>
    </w:p>
    <w:p>
      <w:pPr>
        <w:spacing w:after="0" w:line="104"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Our investment for growth encompasses multiple critical areas, including product expansion, our sales force, sales support, partner ecosystem, and our international presence. We continue to evolve our technology to ensure that we are best serving our customers’ needs. We believe this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to continue to increase in dollar amount, and although we believe these expenses as a percentage of revenue will decrease over the longer term, we expect that these expenses as a percentage of revenue will increase in the short term as we invest in product innovation.</w:t>
      </w:r>
    </w:p>
    <w:p>
      <w:pPr>
        <w:spacing w:after="0" w:line="18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We will continue to invest in expanding our sales force and associated sales support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continue to increase in dollar amount, and although we believe these expenses as a percentage of revenue will decrease over the longer term, we expect these expenses as a percentage of revenue will increase in the short term as we invest in sales growth.</w:t>
      </w:r>
    </w:p>
    <w:p>
      <w:pPr>
        <w:spacing w:after="0" w:line="159"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Finally, we see opportunities to expand offices and headcount internationally to better service targeted international markets where we believe we have significant opportunity to accelerate existing traction and success. For the years ended December 31, 2021 and 2020, 36% of our revenue was generated outside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08"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188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4"/>
              </w:rPr>
              <w:t>As of</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0"/>
              </w:rPr>
              <w:t>December 31,</w:t>
            </w: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YoY Growth</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14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w w:val="89"/>
              </w:rPr>
              <w:t>2020</w:t>
            </w:r>
          </w:p>
        </w:tc>
        <w:tc>
          <w:tcPr>
            <w:tcW w:w="3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Paying Customers</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1,597</w:t>
            </w:r>
          </w:p>
        </w:tc>
        <w:tc>
          <w:tcPr>
            <w:tcW w:w="3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1,039</w:t>
            </w:r>
          </w:p>
        </w:tc>
        <w:tc>
          <w:tcPr>
            <w:tcW w:w="3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Dollar-Based Net Retention Rate</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123 %</w:t>
            </w:r>
          </w:p>
        </w:tc>
        <w:tc>
          <w:tcPr>
            <w:tcW w:w="3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119 %</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Customers</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8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our customer or the DUNS does not exist.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0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calculate our dollar-based net retention rate to measure our ability to retain and expand ARR from our customers and believe it is an indicator of the value our platform delivers to customers and our future business opportunities. Our dollar-based net retention rate compares our ARR from the same set of customers across comparable periods and reflects customer renewals, expansion, contraction, and attrition.</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2" w:name="page53"/>
    <w:bookmarkEnd w:id="52"/>
    <w:p>
      <w:pPr>
        <w:ind w:firstLine="509"/>
        <w:spacing w:after="0"/>
        <w:rPr>
          <w:sz w:val="20"/>
          <w:szCs w:val="20"/>
          <w:color w:val="auto"/>
        </w:rPr>
      </w:pPr>
      <w:r>
        <w:rPr>
          <w:rFonts w:ascii="Arial" w:cs="Arial" w:eastAsia="Arial" w:hAnsi="Arial"/>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COVID-19</w:t>
      </w:r>
    </w:p>
    <w:p>
      <w:pPr>
        <w:spacing w:after="0" w:line="108"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The COVID-19 pandemic has had an adverse effect on the global economy, including the businesses of many of our customers and prospective customers and did, in the early stages of the pandemic, result in increased attrition from our smaller customers and those customers in the most impacted industries such as travel and entertainment. Overall, however, the COVID-19 pandemic has resulted in favorable trends for our business and the businesses of those customers who have been able to leverage digital optimization of their products as sales increasingly shifted online.</w:t>
      </w:r>
    </w:p>
    <w:p>
      <w:pPr>
        <w:spacing w:after="0" w:line="155"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Although we believe the COVID-19 pandemic has largely resulted in favorable trends for our business to date, we have experienced business disruptions, particularly at our San Francisco headquarters due to restrictions on gatherings and our ability to travel to customers. Moreover, our existing and prospective customers have experienced and may continue to experience slowdowns in their businesses, including due to ongoing worldwide supply chain disruptions, which in turn has and may result in reduced demand for our platform, lengthening of sales cycles, loss of customers, and difficulties in collections. In addition, the COVID-19 pandemic has resulted in, and may continue to result in, significant disruption of global financial markets, which could limit our or our customers' ability to access capital on favorable terms or at all. The ongoing impact of the pandemic on our future business, financial condition, and results of operations depends on the pandemic’s duration and severity, which are difficult to assess or predict. See “Risk Factors” included under Part I, Item 1A of this Annual Report on Form 10-K for further discussion of the impact of the COVID-19 pandemic on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ind w:right="180" w:firstLine="509"/>
        <w:spacing w:after="0" w:line="259" w:lineRule="auto"/>
        <w:rPr>
          <w:sz w:val="20"/>
          <w:szCs w:val="20"/>
          <w:color w:val="auto"/>
        </w:rPr>
      </w:pPr>
      <w:r>
        <w:rPr>
          <w:rFonts w:ascii="Arial" w:cs="Arial" w:eastAsia="Arial" w:hAnsi="Arial"/>
          <w:sz w:val="17"/>
          <w:szCs w:val="17"/>
          <w:color w:val="auto"/>
        </w:rPr>
        <w:t>The following Non-GAAP Financial Measures and related Non-GAAP reconciliations are for the year ended December 31, 2021, compared to the same period in 2020, unless otherwise stated. Non-GAAP Financial Measures and related Non-GAAP reconciliations for the year ended December 31, 2020 compared to the year ended December 31, 2019 may be found in the section titled “Management’s Discussion and Analysis of Financial Condition and Results of Operations” in our final prospectus related to the direct listing of our Class A common stock on the Nasdaq Capital Market, filed with the SEC pursuant to Rule 424(b) under the Securities Act of 1933, as amended, on September 28, 2021.</w:t>
      </w:r>
    </w:p>
    <w:p>
      <w:pPr>
        <w:spacing w:after="0" w:line="185" w:lineRule="exact"/>
        <w:rPr>
          <w:sz w:val="20"/>
          <w:szCs w:val="20"/>
          <w:color w:val="auto"/>
        </w:rPr>
      </w:pPr>
    </w:p>
    <w:p>
      <w:pPr>
        <w:jc w:val="center"/>
        <w:ind w:left="6320"/>
        <w:spacing w:after="0"/>
        <w:rPr>
          <w:sz w:val="20"/>
          <w:szCs w:val="20"/>
          <w:color w:val="auto"/>
        </w:rPr>
      </w:pPr>
      <w:r>
        <w:rPr>
          <w:rFonts w:ascii="Arial" w:cs="Arial" w:eastAsia="Arial" w:hAnsi="Arial"/>
          <w:sz w:val="18"/>
          <w:szCs w:val="18"/>
          <w:b w:val="1"/>
          <w:bCs w:val="1"/>
          <w:color w:val="auto"/>
        </w:rPr>
        <w:t>Year Ended</w:t>
      </w:r>
    </w:p>
    <w:p>
      <w:pPr>
        <w:jc w:val="center"/>
        <w:ind w:left="6320"/>
        <w:spacing w:after="0" w:line="234" w:lineRule="auto"/>
        <w:rPr>
          <w:sz w:val="20"/>
          <w:szCs w:val="20"/>
          <w:color w:val="auto"/>
        </w:rPr>
      </w:pPr>
      <w:r>
        <w:rPr>
          <w:rFonts w:ascii="Arial" w:cs="Arial" w:eastAsia="Arial" w:hAnsi="Arial"/>
          <w:sz w:val="18"/>
          <w:szCs w:val="18"/>
          <w:b w:val="1"/>
          <w:bCs w:val="1"/>
          <w:color w:val="auto"/>
        </w:rPr>
        <w:t>December 31,</w:t>
      </w:r>
    </w:p>
    <w:tbl>
      <w:tblPr>
        <w:tblLayout w:type="fixed"/>
        <w:tblInd w:w="580" w:type="dxa"/>
        <w:tblCellMar>
          <w:top w:w="0" w:type="dxa"/>
          <w:left w:w="0" w:type="dxa"/>
          <w:bottom w:w="0" w:type="dxa"/>
          <w:right w:w="0" w:type="dxa"/>
        </w:tblCellMar>
      </w:tblPr>
      <w:tr>
        <w:trPr>
          <w:trHeight w:val="202"/>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201" w:lineRule="exact"/>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201" w:lineRule="exact"/>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115,497</w:t>
            </w: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71,981</w:t>
            </w:r>
          </w:p>
        </w:tc>
        <w:tc>
          <w:tcPr>
            <w:tcW w:w="340" w:type="dxa"/>
            <w:vAlign w:val="bottom"/>
            <w:shd w:val="clear" w:color="auto" w:fill="CFF0FC"/>
          </w:tcPr>
          <w:p>
            <w:pPr>
              <w:spacing w:after="0"/>
              <w:rPr>
                <w:sz w:val="17"/>
                <w:szCs w:val="17"/>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Non-GAAP Gross Profit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119,100</w:t>
            </w:r>
          </w:p>
        </w:tc>
        <w:tc>
          <w:tcPr>
            <w:tcW w:w="5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72,798</w:t>
            </w:r>
          </w:p>
        </w:tc>
        <w:tc>
          <w:tcPr>
            <w:tcW w:w="340" w:type="dxa"/>
            <w:vAlign w:val="bottom"/>
          </w:tcPr>
          <w:p>
            <w:pPr>
              <w:spacing w:after="0"/>
              <w:rPr>
                <w:sz w:val="20"/>
                <w:szCs w:val="20"/>
                <w:color w:val="auto"/>
              </w:rPr>
            </w:pPr>
          </w:p>
        </w:tc>
      </w:tr>
      <w:tr>
        <w:trPr>
          <w:trHeight w:val="175"/>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Gross Margin</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69 %</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70 %</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Non-GAAP Gross Margin</w:t>
            </w:r>
          </w:p>
        </w:tc>
        <w:tc>
          <w:tcPr>
            <w:tcW w:w="30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71 %</w:t>
            </w: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71 %</w:t>
            </w:r>
          </w:p>
        </w:tc>
      </w:tr>
      <w:tr>
        <w:trPr>
          <w:trHeight w:val="175"/>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(74,149 )</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(24,003 )</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Non-GAAP Loss from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(14,640 )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(6,610 )</w:t>
            </w:r>
          </w:p>
        </w:tc>
      </w:tr>
      <w:tr>
        <w:trPr>
          <w:trHeight w:val="175"/>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from Operations Margin</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(44 )%</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(23 )%</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Non-GAAP Loss from Operations Margin</w:t>
            </w:r>
          </w:p>
        </w:tc>
        <w:tc>
          <w:tcPr>
            <w:tcW w:w="3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(9 )%</w:t>
            </w:r>
          </w:p>
        </w:tc>
        <w:tc>
          <w:tcPr>
            <w:tcW w:w="28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r>
      <w:tr>
        <w:trPr>
          <w:trHeight w:val="175"/>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(31,713 )</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(10,392 )</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Free Cash Flow</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(34,935 )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(12,600 )</w:t>
            </w:r>
          </w:p>
        </w:tc>
      </w:tr>
      <w:tr>
        <w:trPr>
          <w:trHeight w:val="175"/>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 Margin</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(19 )%</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(10 )%</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Free Cash Flow Margin</w:t>
            </w:r>
          </w:p>
        </w:tc>
        <w:tc>
          <w:tcPr>
            <w:tcW w:w="3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(21 )%</w:t>
            </w:r>
          </w:p>
        </w:tc>
        <w:tc>
          <w:tcPr>
            <w:tcW w:w="28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(12 )%</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Margin and Non-GAAP Operating Margin</w:t>
      </w:r>
    </w:p>
    <w:p>
      <w:pPr>
        <w:spacing w:after="0" w:line="104"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which currently consist exclusively of costs related to the listing of our Class A common stock on the Nasdaq Capital Market (the "Direct Listing").</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define non-GAAP loss from operations and non-GAAP operating margin as U.S. GAAP loss from operations and U.S. GAAP operating margin, respectively, excluding stock-based compensation expense and related employer payroll taxes, amortization of acquired intangible assets, and non-recurring costs, such as Direct Listing costs.</w:t>
      </w:r>
    </w:p>
    <w:p>
      <w:pPr>
        <w:spacing w:after="0" w:line="182"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63"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We use non-GAAP gross margin and non-GAAP operating margin in conjunction with traditional U.S. GAAP measures to evaluate our financial performance. We believe that non-GAAP gross margin and non-GAAP operating margin provide our management and investors consistency and comparability with our past financial performance and facilitates period-to-period comparisons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104"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We define free cash flow as net cash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ind w:right="300"/>
        <w:spacing w:after="0" w:line="261" w:lineRule="auto"/>
        <w:rPr>
          <w:sz w:val="20"/>
          <w:szCs w:val="20"/>
          <w:color w:val="auto"/>
        </w:rPr>
      </w:pPr>
      <w:r>
        <w:rPr>
          <w:rFonts w:ascii="Arial" w:cs="Arial" w:eastAsia="Arial" w:hAnsi="Arial"/>
          <w:sz w:val="18"/>
          <w:szCs w:val="18"/>
          <w:color w:val="auto"/>
        </w:rPr>
        <w:t>if negative, about the amount of cash used in our operations other than that used for investments in property and equipment and capitalized internal-use software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reconcile the most directly comparable U.S. GAAP financial measure to each of these non-GAAP financial measures.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Non-GAAP Gross Profit and Gross Margin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1"/>
        </w:trPr>
        <w:tc>
          <w:tcPr>
            <w:tcW w:w="5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3"/>
          </w:tcPr>
          <w:p>
            <w:pPr>
              <w:jc w:val="right"/>
              <w:ind w:right="10"/>
              <w:spacing w:after="0" w:line="198" w:lineRule="exact"/>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1"/>
        </w:trPr>
        <w:tc>
          <w:tcPr>
            <w:tcW w:w="58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115,497</w:t>
            </w:r>
          </w:p>
        </w:tc>
        <w:tc>
          <w:tcPr>
            <w:tcW w:w="4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71,981</w:t>
            </w:r>
          </w:p>
        </w:tc>
        <w:tc>
          <w:tcPr>
            <w:tcW w:w="24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Add: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70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Stock-based compensation expense</w:t>
            </w:r>
            <w:r>
              <w:rPr>
                <w:rFonts w:ascii="Arial" w:cs="Arial" w:eastAsia="Arial" w:hAnsi="Arial"/>
                <w:sz w:val="23"/>
                <w:szCs w:val="23"/>
                <w:color w:val="auto"/>
                <w:vertAlign w:val="superscript"/>
              </w:rPr>
              <w:t>(1)</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1,952</w:t>
            </w:r>
          </w:p>
        </w:tc>
        <w:tc>
          <w:tcPr>
            <w:tcW w:w="4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w:t>
            </w:r>
          </w:p>
        </w:tc>
        <w:tc>
          <w:tcPr>
            <w:tcW w:w="24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700" w:type="dxa"/>
            <w:vAlign w:val="bottom"/>
          </w:tcPr>
          <w:p>
            <w:pPr>
              <w:spacing w:after="0" w:line="202" w:lineRule="exact"/>
              <w:rPr>
                <w:sz w:val="20"/>
                <w:szCs w:val="20"/>
                <w:color w:val="auto"/>
              </w:rPr>
            </w:pPr>
            <w:r>
              <w:rPr>
                <w:rFonts w:ascii="Arial" w:cs="Arial" w:eastAsia="Arial" w:hAnsi="Arial"/>
                <w:sz w:val="18"/>
                <w:szCs w:val="18"/>
                <w:color w:val="auto"/>
              </w:rPr>
              <w:t>Acquired intangible assets amortization</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1,651</w:t>
            </w:r>
          </w:p>
        </w:tc>
        <w:tc>
          <w:tcPr>
            <w:tcW w:w="40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2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Gross Profit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119,100</w:t>
            </w:r>
          </w:p>
        </w:tc>
        <w:tc>
          <w:tcPr>
            <w:tcW w:w="4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72,798</w:t>
            </w:r>
          </w:p>
        </w:tc>
        <w:tc>
          <w:tcPr>
            <w:tcW w:w="240" w:type="dxa"/>
            <w:vAlign w:val="bottom"/>
            <w:shd w:val="clear" w:color="auto" w:fill="CFF0FC"/>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Non-GAAP Gross Margin</w:t>
            </w:r>
          </w:p>
        </w:tc>
        <w:tc>
          <w:tcPr>
            <w:tcW w:w="3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71 %</w:t>
            </w:r>
          </w:p>
        </w:tc>
        <w:tc>
          <w:tcPr>
            <w:tcW w:w="4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71 %</w:t>
            </w:r>
          </w:p>
        </w:tc>
      </w:tr>
    </w:tbl>
    <w:p>
      <w:pPr>
        <w:spacing w:after="0" w:line="102"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Stock-based compensation expense-related charges include employer payroll tax-related expenses on employee stock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-98425</wp:posOffset>
            </wp:positionV>
            <wp:extent cx="9340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Non-GAAP Loss From Operations and Loss From Operations Margin</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1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9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w w:val="85"/>
              </w:rPr>
              <w:t>(74,149 )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(24,003 )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Add:</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20" w:type="dxa"/>
            <w:vAlign w:val="bottom"/>
            <w:shd w:val="clear" w:color="auto" w:fill="CFF0FC"/>
          </w:tcPr>
          <w:p>
            <w:pPr>
              <w:spacing w:after="0" w:line="229"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4"/>
                <w:szCs w:val="24"/>
                <w:color w:val="auto"/>
                <w:vertAlign w:val="superscript"/>
              </w:rPr>
              <w:t>(1)</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39,667</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Acquired intangible assets amortization</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1,651</w:t>
            </w:r>
          </w:p>
        </w:tc>
        <w:tc>
          <w:tcPr>
            <w:tcW w:w="4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Direct listing expenses</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18,191</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Non-GAAP Loss from Operations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(14,640 )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(6,610 )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Non-GAAP Loss from Operations Margin</w:t>
            </w:r>
          </w:p>
        </w:tc>
        <w:tc>
          <w:tcPr>
            <w:tcW w:w="9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(9 )%</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9340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91"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Stock-based compensation expense-related charges include employer payroll tax-related expenses on employee stock transactions.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5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1"/>
        </w:trPr>
        <w:tc>
          <w:tcPr>
            <w:tcW w:w="5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(1,498 )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(5,908 )</w:t>
            </w:r>
          </w:p>
        </w:tc>
      </w:tr>
      <w:tr>
        <w:trPr>
          <w:trHeight w:val="230"/>
        </w:trPr>
        <w:tc>
          <w:tcPr>
            <w:tcW w:w="5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222,643</w:t>
            </w:r>
          </w:p>
        </w:tc>
        <w:tc>
          <w:tcPr>
            <w:tcW w:w="4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54,245</w:t>
            </w:r>
          </w:p>
        </w:tc>
        <w:tc>
          <w:tcPr>
            <w:tcW w:w="34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(31,713 )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(10,392 )</w:t>
            </w:r>
          </w:p>
        </w:tc>
      </w:tr>
      <w:tr>
        <w:trPr>
          <w:trHeight w:val="229"/>
        </w:trPr>
        <w:tc>
          <w:tcPr>
            <w:tcW w:w="580" w:type="dxa"/>
            <w:vAlign w:val="bottom"/>
          </w:tcPr>
          <w:p>
            <w:pPr>
              <w:spacing w:after="0"/>
              <w:rPr>
                <w:sz w:val="19"/>
                <w:szCs w:val="19"/>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(1,529 )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(984 )</w:t>
            </w:r>
          </w:p>
        </w:tc>
      </w:tr>
      <w:tr>
        <w:trPr>
          <w:trHeight w:val="229"/>
        </w:trPr>
        <w:tc>
          <w:tcPr>
            <w:tcW w:w="5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Capitalization of internal-use software costs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(1,693 )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(1,224 )</w:t>
            </w:r>
          </w:p>
        </w:tc>
      </w:tr>
      <w:tr>
        <w:trPr>
          <w:trHeight w:val="230"/>
        </w:trPr>
        <w:tc>
          <w:tcPr>
            <w:tcW w:w="58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(34,935 )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(12,600 )</w:t>
            </w: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Free Cash Flow Margin</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(21 )%</w:t>
            </w:r>
          </w:p>
        </w:tc>
        <w:tc>
          <w:tcPr>
            <w:tcW w:w="112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right="100" w:firstLine="509"/>
        <w:spacing w:after="0" w:line="243" w:lineRule="auto"/>
        <w:rPr>
          <w:sz w:val="20"/>
          <w:szCs w:val="20"/>
          <w:color w:val="auto"/>
        </w:rPr>
      </w:pPr>
      <w:r>
        <w:rPr>
          <w:rFonts w:ascii="Arial" w:cs="Arial" w:eastAsia="Arial" w:hAnsi="Arial"/>
          <w:sz w:val="18"/>
          <w:szCs w:val="18"/>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Cost of revenue consists primarily of the cost of providing our platform to our customers and consists of third-party hosting fees, personnel-related expenses for our operations and support personnel, allocated overhead costs for overhead used in cost of revenue activities, and amortization of our capitalized internal-use software and acquired developed software. As we acquire new customers and existing customers increase their use of our platform, we expect that our cost of revenue will continue to increase in dollar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04" w:lineRule="exact"/>
        <w:rPr>
          <w:sz w:val="20"/>
          <w:szCs w:val="20"/>
          <w:color w:val="auto"/>
        </w:rPr>
      </w:pPr>
    </w:p>
    <w:p>
      <w:pPr>
        <w:jc w:val="both"/>
        <w:ind w:right="120" w:firstLine="509"/>
        <w:spacing w:after="0" w:line="284"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continue to invest in our business, we expect our operating expenses to continue to increase in dollar amount, and although we believe our operating expenses as a percentage of revenue will decrease over the longer term, we expect operating expenses as a percentage of revenue will increase in the short term as we invest in product innovation and sales growth and incur additional professional services and compliance costs as we operate as a public company.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Research and development expenses consist primarily of personnel-related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continue to increase in dollar amount but to decrease as a percentage of revenue over the longer term, although the percentage may fluctuate from quarter to quarter depending on the extent and timing of product development initiatives. In the short term, we expect research and development costs to increase as a percentage of revenue as we invest in product innovation. In addition, we incurred additional research and development expenses during fiscal 2021, when we completed our Direct Listing, as a result of the stock-based compensation expenses associated with our RSUs. We anticipate that we will incur additional stock-based compensation expense in future periods due to the increase in the fair value of our common stock in connection with our Direct Listing.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although the percentage may fluctuate from quarter to quarter depending on the extent and timing of our marketing initiatives. In the short term, we expect sales and marketing costs to increase as a percentage of revenue as we invest in product sales growth, including investments to increase our brand awareness and build out sales capacity. In addition, we incurred additional sales and marketing expenses during fiscal 2021, when we completed our Direct Listing, as a result of stock-based compensation expense associated with our RSUs. We anticipate that we will incur additional stock-based compensation expense in future periods due to the increase in the fair value of our common stock in connection with our Direct Listing.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18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connection with our Direct Listing, which we completed in fiscal 2021, we incurred significant fees related to financial advisory, audit, and legal services. Also, in connection with our Direct Listing, we incurred general and administrative expenses during fiscal 2021, as a result of stock-based compensation expense associated with our RSUs. We anticipate that we will incur additional stock-based compensation expense in future periods due to the increase in the fair value of our common stock following our Direct Listing. We have also incurred additional expenses in connection with operating as a public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 In addition, as a public company, we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 over the longer term, although the percentage may fluctuate from period to period depending on the timing and amount of our general and administrative expenses, including in the short term as we expect to incur increased compliance and professional service costs.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(expense), net consists primarily of interest income on our cash holdings offset by foreign currency transaction gains and losses.</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$415.8 million and tax credit carryforwards of $5.4 million, net of reserves as of December 31, 2021,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17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following discussion and analysis are for the year ended December 31, 2021, compared to the same period in 2020, unless otherwise stated. Discussion and analysis for the year ended December 31, 2020 compared to the year ended December 31, 2019 may be found in the section titled “Management’s Discussion and Analysis of Financial Condition and Results of Operations” in our final prospectus related to the direct listing of our Class A common stock on the Nasdaq Capital Market, filed with the SEC pursuant to Rule 424(b) under the Securities Act of 1933, as amended, on September 28, 2021.</w:t>
      </w:r>
    </w:p>
    <w:p>
      <w:pPr>
        <w:spacing w:after="0" w:line="201"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Year Ended</w:t>
      </w:r>
    </w:p>
    <w:p>
      <w:pPr>
        <w:jc w:val="center"/>
        <w:ind w:left="6680"/>
        <w:spacing w:after="0" w:line="234" w:lineRule="auto"/>
        <w:rPr>
          <w:sz w:val="20"/>
          <w:szCs w:val="20"/>
          <w:color w:val="auto"/>
        </w:rPr>
      </w:pPr>
      <w:r>
        <w:rPr>
          <w:rFonts w:ascii="Arial" w:cs="Arial" w:eastAsia="Arial" w:hAnsi="Arial"/>
          <w:sz w:val="18"/>
          <w:szCs w:val="18"/>
          <w:b w:val="1"/>
          <w:bCs w:val="1"/>
          <w:color w:val="auto"/>
        </w:rPr>
        <w:t>December 31,</w:t>
      </w:r>
    </w:p>
    <w:tbl>
      <w:tblPr>
        <w:tblLayout w:type="fixed"/>
        <w:tblInd w:w="580" w:type="dxa"/>
        <w:tblCellMar>
          <w:top w:w="0" w:type="dxa"/>
          <w:left w:w="0" w:type="dxa"/>
          <w:bottom w:w="0" w:type="dxa"/>
          <w:right w:w="0" w:type="dxa"/>
        </w:tblCellMar>
      </w:tblPr>
      <w:tr>
        <w:trPr>
          <w:trHeight w:val="202"/>
        </w:trPr>
        <w:tc>
          <w:tcPr>
            <w:tcW w:w="6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201"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0"/>
              <w:spacing w:after="0" w:line="201"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399"/>
        </w:trPr>
        <w:tc>
          <w:tcPr>
            <w:tcW w:w="6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167,261</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102,464</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51,764</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30,483</w:t>
            </w:r>
          </w:p>
        </w:tc>
        <w:tc>
          <w:tcPr>
            <w:tcW w:w="100" w:type="dxa"/>
            <w:vAlign w:val="bottom"/>
          </w:tcPr>
          <w:p>
            <w:pPr>
              <w:spacing w:after="0"/>
              <w:rPr>
                <w:sz w:val="17"/>
                <w:szCs w:val="17"/>
                <w:color w:val="auto"/>
              </w:rPr>
            </w:pPr>
          </w:p>
        </w:tc>
      </w:tr>
      <w:tr>
        <w:trPr>
          <w:trHeight w:val="196"/>
        </w:trPr>
        <w:tc>
          <w:tcPr>
            <w:tcW w:w="6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115,497</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71,981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80"/>
              <w:spacing w:after="0" w:line="20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48,251</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26,098</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80"/>
              <w:spacing w:after="0" w:line="20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3"/>
                <w:szCs w:val="23"/>
                <w:color w:val="auto"/>
                <w:vertAlign w:val="superscript"/>
              </w:rPr>
              <w:t>(1)</w:t>
            </w: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86,025</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51,819</w:t>
            </w:r>
          </w:p>
        </w:tc>
        <w:tc>
          <w:tcPr>
            <w:tcW w:w="100" w:type="dxa"/>
            <w:vAlign w:val="bottom"/>
          </w:tcPr>
          <w:p>
            <w:pPr>
              <w:spacing w:after="0"/>
              <w:rPr>
                <w:sz w:val="17"/>
                <w:szCs w:val="17"/>
                <w:color w:val="auto"/>
              </w:rPr>
            </w:pPr>
          </w:p>
        </w:tc>
      </w:tr>
      <w:tr>
        <w:trPr>
          <w:trHeight w:val="203"/>
        </w:trPr>
        <w:tc>
          <w:tcPr>
            <w:tcW w:w="67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55,370</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8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189,646</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95,984</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(74,149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(24,003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2"/>
        </w:trPr>
        <w:tc>
          <w:tcPr>
            <w:tcW w:w="67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Loss before provision for income taxes</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(73,954</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(23,734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1,029</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(74,983</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(24,567</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-1325245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-1325245</wp:posOffset>
            </wp:positionV>
            <wp:extent cx="603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-802005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-802005</wp:posOffset>
            </wp:positionV>
            <wp:extent cx="6032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23"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3742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Year Ended</w:t>
      </w:r>
    </w:p>
    <w:p>
      <w:pPr>
        <w:jc w:val="center"/>
        <w:ind w:left="6740"/>
        <w:spacing w:after="0"/>
        <w:rPr>
          <w:sz w:val="20"/>
          <w:szCs w:val="20"/>
          <w:color w:val="auto"/>
        </w:rPr>
      </w:pPr>
      <w:r>
        <w:rPr>
          <w:rFonts w:ascii="Arial" w:cs="Arial" w:eastAsia="Arial" w:hAnsi="Arial"/>
          <w:sz w:val="18"/>
          <w:szCs w:val="18"/>
          <w:b w:val="1"/>
          <w:bCs w:val="1"/>
          <w:color w:val="auto"/>
        </w:rPr>
        <w:t>December 31,</w:t>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Pr>
          <w:p>
            <w:pPr>
              <w:spacing w:after="0"/>
              <w:rPr>
                <w:sz w:val="18"/>
                <w:szCs w:val="18"/>
                <w:color w:val="auto"/>
              </w:rPr>
            </w:pPr>
          </w:p>
        </w:tc>
      </w:tr>
      <w:tr>
        <w:trPr>
          <w:trHeight w:val="453"/>
        </w:trPr>
        <w:tc>
          <w:tcPr>
            <w:tcW w:w="6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93"/>
              </w:rPr>
              <w:t>(in thousands)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7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13,613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5,582</w:t>
            </w:r>
          </w:p>
        </w:tc>
        <w:tc>
          <w:tcPr>
            <w:tcW w:w="6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7,871</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6,512</w:t>
            </w:r>
          </w:p>
        </w:tc>
        <w:tc>
          <w:tcPr>
            <w:tcW w:w="60" w:type="dxa"/>
            <w:vAlign w:val="bottom"/>
            <w:shd w:val="clear" w:color="auto" w:fill="CFF0FC"/>
          </w:tcPr>
          <w:p>
            <w:pPr>
              <w:spacing w:after="0"/>
              <w:rPr>
                <w:sz w:val="19"/>
                <w:szCs w:val="19"/>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10,959</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60" w:type="dxa"/>
            <w:vAlign w:val="bottom"/>
          </w:tcPr>
          <w:p>
            <w:pPr>
              <w:spacing w:after="0"/>
              <w:rPr>
                <w:sz w:val="18"/>
                <w:szCs w:val="18"/>
                <w:color w:val="auto"/>
              </w:rPr>
            </w:pPr>
          </w:p>
        </w:tc>
      </w:tr>
      <w:tr>
        <w:trPr>
          <w:trHeight w:val="210"/>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34,394</w:t>
            </w:r>
          </w:p>
        </w:tc>
        <w:tc>
          <w:tcPr>
            <w:tcW w:w="2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-5080</wp:posOffset>
            </wp:positionV>
            <wp:extent cx="431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-5080</wp:posOffset>
            </wp:positionV>
            <wp:extent cx="3429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Stock-based compensation expense for the years ended December 31, 2021 and 2020 includes $1.1 million and $11.1 million, respectively, of compensation expense related to common stock sales by select executives, which sales were made above fair value and were facilitated by us. For more information, refer to Note 5 of our consolidated financial statements.</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58" w:name="page59"/>
    <w:bookmarkEnd w:id="58"/>
    <w:p>
      <w:pPr>
        <w:ind w:firstLine="509"/>
        <w:spacing w:after="0" w:line="261" w:lineRule="auto"/>
        <w:rPr>
          <w:sz w:val="20"/>
          <w:szCs w:val="20"/>
          <w:color w:val="auto"/>
        </w:rPr>
      </w:pPr>
      <w:r>
        <w:rPr>
          <w:rFonts w:ascii="Arial" w:cs="Arial" w:eastAsia="Arial" w:hAnsi="Arial"/>
          <w:sz w:val="18"/>
          <w:szCs w:val="18"/>
          <w:color w:val="auto"/>
        </w:rPr>
        <w:t>The following table sets forth the components of our consolidated statements of operations data, for each of the periods presented, as a percentage of revenue.</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gridSpan w:val="3"/>
          </w:tcPr>
          <w:p>
            <w:pPr>
              <w:jc w:val="center"/>
              <w:ind w:right="950"/>
              <w:spacing w:after="0"/>
              <w:rPr>
                <w:sz w:val="20"/>
                <w:szCs w:val="20"/>
                <w:color w:val="auto"/>
              </w:rPr>
            </w:pPr>
            <w:r>
              <w:rPr>
                <w:rFonts w:ascii="Arial" w:cs="Arial" w:eastAsia="Arial" w:hAnsi="Arial"/>
                <w:sz w:val="18"/>
                <w:szCs w:val="18"/>
                <w:b w:val="1"/>
                <w:bCs w:val="1"/>
                <w:color w:val="auto"/>
                <w:w w:val="90"/>
              </w:rPr>
              <w:t>Year Ended</w:t>
            </w:r>
          </w:p>
        </w:tc>
      </w:tr>
      <w:tr>
        <w:trPr>
          <w:trHeight w:val="198"/>
        </w:trPr>
        <w:tc>
          <w:tcPr>
            <w:tcW w:w="6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gridSpan w:val="3"/>
          </w:tcPr>
          <w:p>
            <w:pPr>
              <w:jc w:val="center"/>
              <w:ind w:right="950"/>
              <w:spacing w:after="0" w:line="198" w:lineRule="exact"/>
              <w:rPr>
                <w:sz w:val="20"/>
                <w:szCs w:val="20"/>
                <w:color w:val="auto"/>
              </w:rPr>
            </w:pPr>
            <w:r>
              <w:rPr>
                <w:rFonts w:ascii="Arial" w:cs="Arial" w:eastAsia="Arial" w:hAnsi="Arial"/>
                <w:sz w:val="18"/>
                <w:szCs w:val="18"/>
                <w:b w:val="1"/>
                <w:bCs w:val="1"/>
                <w:color w:val="auto"/>
                <w:w w:val="90"/>
              </w:rPr>
              <w:t>December 31,</w:t>
            </w:r>
          </w:p>
        </w:tc>
      </w:tr>
      <w:tr>
        <w:trPr>
          <w:trHeight w:val="221"/>
        </w:trPr>
        <w:tc>
          <w:tcPr>
            <w:tcW w:w="6900" w:type="dxa"/>
            <w:vAlign w:val="bottom"/>
          </w:tcPr>
          <w:p>
            <w:pPr>
              <w:spacing w:after="0"/>
              <w:rPr>
                <w:sz w:val="19"/>
                <w:szCs w:val="19"/>
                <w:color w:val="auto"/>
              </w:rPr>
            </w:pPr>
          </w:p>
        </w:tc>
        <w:tc>
          <w:tcPr>
            <w:tcW w:w="10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9"/>
              </w:rPr>
              <w:t>2021</w:t>
            </w:r>
          </w:p>
        </w:tc>
        <w:tc>
          <w:tcPr>
            <w:tcW w:w="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196"/>
        </w:trPr>
        <w:tc>
          <w:tcPr>
            <w:tcW w:w="6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gridSpan w:val="3"/>
          </w:tcPr>
          <w:p>
            <w:pPr>
              <w:spacing w:after="0"/>
              <w:rPr>
                <w:sz w:val="17"/>
                <w:szCs w:val="17"/>
                <w:color w:val="auto"/>
              </w:rPr>
            </w:pPr>
          </w:p>
        </w:tc>
      </w:tr>
      <w:tr>
        <w:trPr>
          <w:trHeight w:val="203"/>
        </w:trPr>
        <w:tc>
          <w:tcPr>
            <w:tcW w:w="6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102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1"/>
              </w:rPr>
              <w:t>100%</w:t>
            </w:r>
          </w:p>
        </w:tc>
        <w:tc>
          <w:tcPr>
            <w:tcW w:w="2180" w:type="dxa"/>
            <w:vAlign w:val="bottom"/>
            <w:gridSpan w:val="3"/>
            <w:shd w:val="clear" w:color="auto" w:fill="CFF0FC"/>
          </w:tcPr>
          <w:p>
            <w:pPr>
              <w:jc w:val="center"/>
              <w:ind w:left="550"/>
              <w:spacing w:after="0" w:line="202" w:lineRule="exact"/>
              <w:rPr>
                <w:sz w:val="20"/>
                <w:szCs w:val="20"/>
                <w:color w:val="auto"/>
              </w:rPr>
            </w:pPr>
            <w:r>
              <w:rPr>
                <w:rFonts w:ascii="Arial" w:cs="Arial" w:eastAsia="Arial" w:hAnsi="Arial"/>
                <w:sz w:val="18"/>
                <w:szCs w:val="18"/>
                <w:color w:val="auto"/>
                <w:w w:val="91"/>
              </w:rPr>
              <w:t>100%</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02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88"/>
              </w:rPr>
              <w:t>31%</w:t>
            </w:r>
          </w:p>
        </w:tc>
        <w:tc>
          <w:tcPr>
            <w:tcW w:w="2180" w:type="dxa"/>
            <w:vAlign w:val="bottom"/>
            <w:gridSpan w:val="3"/>
          </w:tcPr>
          <w:p>
            <w:pPr>
              <w:jc w:val="center"/>
              <w:ind w:left="570"/>
              <w:spacing w:after="0" w:line="202" w:lineRule="exact"/>
              <w:rPr>
                <w:sz w:val="20"/>
                <w:szCs w:val="20"/>
                <w:color w:val="auto"/>
              </w:rPr>
            </w:pPr>
            <w:r>
              <w:rPr>
                <w:rFonts w:ascii="Arial" w:cs="Arial" w:eastAsia="Arial" w:hAnsi="Arial"/>
                <w:sz w:val="18"/>
                <w:szCs w:val="18"/>
                <w:color w:val="auto"/>
                <w:w w:val="88"/>
              </w:rPr>
              <w:t>30%</w:t>
            </w:r>
          </w:p>
        </w:tc>
      </w:tr>
      <w:tr>
        <w:trPr>
          <w:trHeight w:val="196"/>
        </w:trPr>
        <w:tc>
          <w:tcPr>
            <w:tcW w:w="6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Gross margin</w:t>
            </w:r>
          </w:p>
        </w:tc>
        <w:tc>
          <w:tcPr>
            <w:tcW w:w="1020" w:type="dxa"/>
            <w:vAlign w:val="bottom"/>
            <w:tcBorders>
              <w:top w:val="single" w:sz="8" w:color="auto"/>
              <w:bottom w:val="single" w:sz="8" w:color="auto"/>
            </w:tcBorders>
            <w:shd w:val="clear" w:color="auto" w:fill="CFF0FC"/>
          </w:tcPr>
          <w:p>
            <w:pPr>
              <w:jc w:val="center"/>
              <w:ind w:left="410"/>
              <w:spacing w:after="0" w:line="196" w:lineRule="exact"/>
              <w:rPr>
                <w:sz w:val="20"/>
                <w:szCs w:val="20"/>
                <w:color w:val="auto"/>
              </w:rPr>
            </w:pPr>
            <w:r>
              <w:rPr>
                <w:rFonts w:ascii="Arial" w:cs="Arial" w:eastAsia="Arial" w:hAnsi="Arial"/>
                <w:sz w:val="18"/>
                <w:szCs w:val="18"/>
                <w:color w:val="auto"/>
                <w:w w:val="88"/>
              </w:rPr>
              <w:t>69%</w:t>
            </w: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70%</w:t>
            </w:r>
          </w:p>
        </w:tc>
      </w:tr>
      <w:tr>
        <w:trPr>
          <w:trHeight w:val="196"/>
        </w:trPr>
        <w:tc>
          <w:tcPr>
            <w:tcW w:w="69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88"/>
              </w:rPr>
              <w:t>29%</w:t>
            </w:r>
          </w:p>
        </w:tc>
        <w:tc>
          <w:tcPr>
            <w:tcW w:w="2180" w:type="dxa"/>
            <w:vAlign w:val="bottom"/>
            <w:gridSpan w:val="3"/>
            <w:shd w:val="clear" w:color="auto" w:fill="CFF0FC"/>
          </w:tcPr>
          <w:p>
            <w:pPr>
              <w:jc w:val="center"/>
              <w:ind w:left="570"/>
              <w:spacing w:after="0" w:line="202" w:lineRule="exact"/>
              <w:rPr>
                <w:sz w:val="20"/>
                <w:szCs w:val="20"/>
                <w:color w:val="auto"/>
              </w:rPr>
            </w:pPr>
            <w:r>
              <w:rPr>
                <w:rFonts w:ascii="Arial" w:cs="Arial" w:eastAsia="Arial" w:hAnsi="Arial"/>
                <w:sz w:val="18"/>
                <w:szCs w:val="18"/>
                <w:color w:val="auto"/>
                <w:w w:val="88"/>
              </w:rPr>
              <w:t>25%</w:t>
            </w:r>
          </w:p>
        </w:tc>
      </w:tr>
      <w:tr>
        <w:trPr>
          <w:trHeight w:val="202"/>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102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88"/>
              </w:rPr>
              <w:t>51%</w:t>
            </w:r>
          </w:p>
        </w:tc>
        <w:tc>
          <w:tcPr>
            <w:tcW w:w="2180" w:type="dxa"/>
            <w:vAlign w:val="bottom"/>
            <w:gridSpan w:val="3"/>
          </w:tcPr>
          <w:p>
            <w:pPr>
              <w:jc w:val="center"/>
              <w:ind w:left="570"/>
              <w:spacing w:after="0" w:line="202" w:lineRule="exact"/>
              <w:rPr>
                <w:sz w:val="20"/>
                <w:szCs w:val="20"/>
                <w:color w:val="auto"/>
              </w:rPr>
            </w:pPr>
            <w:r>
              <w:rPr>
                <w:rFonts w:ascii="Arial" w:cs="Arial" w:eastAsia="Arial" w:hAnsi="Arial"/>
                <w:sz w:val="18"/>
                <w:szCs w:val="18"/>
                <w:color w:val="auto"/>
                <w:w w:val="88"/>
              </w:rPr>
              <w:t>51%</w:t>
            </w:r>
          </w:p>
        </w:tc>
      </w:tr>
      <w:tr>
        <w:trPr>
          <w:trHeight w:val="203"/>
        </w:trPr>
        <w:tc>
          <w:tcPr>
            <w:tcW w:w="69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88"/>
              </w:rPr>
              <w:t>33%</w:t>
            </w:r>
          </w:p>
        </w:tc>
        <w:tc>
          <w:tcPr>
            <w:tcW w:w="5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18%</w:t>
            </w:r>
          </w:p>
        </w:tc>
      </w:tr>
      <w:tr>
        <w:trPr>
          <w:trHeight w:val="196"/>
        </w:trPr>
        <w:tc>
          <w:tcPr>
            <w:tcW w:w="690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1020" w:type="dxa"/>
            <w:vAlign w:val="bottom"/>
          </w:tcPr>
          <w:p>
            <w:pPr>
              <w:jc w:val="center"/>
              <w:ind w:left="390"/>
              <w:spacing w:after="0" w:line="196" w:lineRule="exact"/>
              <w:rPr>
                <w:sz w:val="20"/>
                <w:szCs w:val="20"/>
                <w:color w:val="auto"/>
              </w:rPr>
            </w:pPr>
            <w:r>
              <w:rPr>
                <w:rFonts w:ascii="Arial" w:cs="Arial" w:eastAsia="Arial" w:hAnsi="Arial"/>
                <w:sz w:val="18"/>
                <w:szCs w:val="18"/>
                <w:color w:val="auto"/>
                <w:w w:val="91"/>
              </w:rPr>
              <w:t>113%</w:t>
            </w:r>
          </w:p>
        </w:tc>
        <w:tc>
          <w:tcPr>
            <w:tcW w:w="2180" w:type="dxa"/>
            <w:vAlign w:val="bottom"/>
            <w:gridSpan w:val="3"/>
          </w:tcPr>
          <w:p>
            <w:pPr>
              <w:jc w:val="center"/>
              <w:ind w:left="570"/>
              <w:spacing w:after="0" w:line="196" w:lineRule="exact"/>
              <w:rPr>
                <w:sz w:val="20"/>
                <w:szCs w:val="20"/>
                <w:color w:val="auto"/>
              </w:rPr>
            </w:pPr>
            <w:r>
              <w:rPr>
                <w:rFonts w:ascii="Arial" w:cs="Arial" w:eastAsia="Arial" w:hAnsi="Arial"/>
                <w:sz w:val="18"/>
                <w:szCs w:val="18"/>
                <w:color w:val="auto"/>
                <w:w w:val="88"/>
              </w:rPr>
              <w:t>94%</w:t>
            </w:r>
          </w:p>
        </w:tc>
      </w:tr>
      <w:tr>
        <w:trPr>
          <w:trHeight w:val="196"/>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020" w:type="dxa"/>
            <w:vAlign w:val="bottom"/>
            <w:tcBorders>
              <w:top w:val="single" w:sz="8" w:color="auto"/>
            </w:tcBorders>
            <w:shd w:val="clear" w:color="auto" w:fill="CFF0FC"/>
          </w:tcPr>
          <w:p>
            <w:pPr>
              <w:jc w:val="center"/>
              <w:ind w:left="410"/>
              <w:spacing w:after="0" w:line="196" w:lineRule="exact"/>
              <w:rPr>
                <w:sz w:val="20"/>
                <w:szCs w:val="20"/>
                <w:color w:val="auto"/>
              </w:rPr>
            </w:pPr>
            <w:r>
              <w:rPr>
                <w:rFonts w:ascii="Arial" w:cs="Arial" w:eastAsia="Arial" w:hAnsi="Arial"/>
                <w:sz w:val="18"/>
                <w:szCs w:val="18"/>
                <w:color w:val="auto"/>
                <w:w w:val="91"/>
              </w:rPr>
              <w:t>(44)%</w:t>
            </w: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(23)%</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20" w:type="dxa"/>
            <w:vAlign w:val="bottom"/>
          </w:tcPr>
          <w:p>
            <w:pPr>
              <w:jc w:val="center"/>
              <w:ind w:left="410"/>
              <w:spacing w:after="0" w:line="202" w:lineRule="exact"/>
              <w:rPr>
                <w:sz w:val="20"/>
                <w:szCs w:val="20"/>
                <w:color w:val="auto"/>
              </w:rPr>
            </w:pPr>
            <w:r>
              <w:rPr>
                <w:rFonts w:ascii="Arial" w:cs="Arial" w:eastAsia="Arial" w:hAnsi="Arial"/>
                <w:sz w:val="18"/>
                <w:szCs w:val="18"/>
                <w:color w:val="auto"/>
              </w:rPr>
              <w:t>*</w:t>
            </w:r>
          </w:p>
        </w:tc>
        <w:tc>
          <w:tcPr>
            <w:tcW w:w="2180" w:type="dxa"/>
            <w:vAlign w:val="bottom"/>
            <w:gridSpan w:val="3"/>
          </w:tcPr>
          <w:p>
            <w:pPr>
              <w:jc w:val="center"/>
              <w:ind w:left="570"/>
              <w:spacing w:after="0" w:line="202" w:lineRule="exact"/>
              <w:rPr>
                <w:sz w:val="20"/>
                <w:szCs w:val="20"/>
                <w:color w:val="auto"/>
              </w:rPr>
            </w:pPr>
            <w:r>
              <w:rPr>
                <w:rFonts w:ascii="Arial" w:cs="Arial" w:eastAsia="Arial" w:hAnsi="Arial"/>
                <w:sz w:val="18"/>
                <w:szCs w:val="18"/>
                <w:color w:val="auto"/>
              </w:rPr>
              <w:t>*</w:t>
            </w:r>
          </w:p>
        </w:tc>
      </w:tr>
      <w:tr>
        <w:trPr>
          <w:trHeight w:val="196"/>
        </w:trPr>
        <w:tc>
          <w:tcPr>
            <w:tcW w:w="69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Loss before provision for income taxes</w:t>
            </w:r>
          </w:p>
        </w:tc>
        <w:tc>
          <w:tcPr>
            <w:tcW w:w="1020" w:type="dxa"/>
            <w:vAlign w:val="bottom"/>
            <w:tcBorders>
              <w:top w:val="single" w:sz="8" w:color="auto"/>
            </w:tcBorders>
            <w:shd w:val="clear" w:color="auto" w:fill="CFF0FC"/>
          </w:tcPr>
          <w:p>
            <w:pPr>
              <w:jc w:val="center"/>
              <w:ind w:left="410"/>
              <w:spacing w:after="0" w:line="196" w:lineRule="exact"/>
              <w:rPr>
                <w:sz w:val="20"/>
                <w:szCs w:val="20"/>
                <w:color w:val="auto"/>
              </w:rPr>
            </w:pPr>
            <w:r>
              <w:rPr>
                <w:rFonts w:ascii="Arial" w:cs="Arial" w:eastAsia="Arial" w:hAnsi="Arial"/>
                <w:sz w:val="18"/>
                <w:szCs w:val="18"/>
                <w:color w:val="auto"/>
                <w:w w:val="91"/>
              </w:rPr>
              <w:t>(44)%</w:t>
            </w: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(23)%</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2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92"/>
              </w:rPr>
              <w:t>1%</w:t>
            </w:r>
          </w:p>
        </w:tc>
        <w:tc>
          <w:tcPr>
            <w:tcW w:w="2180" w:type="dxa"/>
            <w:vAlign w:val="bottom"/>
            <w:gridSpan w:val="3"/>
          </w:tcPr>
          <w:p>
            <w:pPr>
              <w:jc w:val="center"/>
              <w:ind w:left="570"/>
              <w:spacing w:after="0" w:line="202" w:lineRule="exact"/>
              <w:rPr>
                <w:sz w:val="20"/>
                <w:szCs w:val="20"/>
                <w:color w:val="auto"/>
              </w:rPr>
            </w:pPr>
            <w:r>
              <w:rPr>
                <w:rFonts w:ascii="Arial" w:cs="Arial" w:eastAsia="Arial" w:hAnsi="Arial"/>
                <w:sz w:val="18"/>
                <w:szCs w:val="18"/>
                <w:color w:val="auto"/>
                <w:w w:val="92"/>
              </w:rPr>
              <w:t>1%</w:t>
            </w:r>
          </w:p>
        </w:tc>
      </w:tr>
      <w:tr>
        <w:trPr>
          <w:trHeight w:val="196"/>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1020" w:type="dxa"/>
            <w:vAlign w:val="bottom"/>
            <w:tcBorders>
              <w:top w:val="single" w:sz="8" w:color="auto"/>
            </w:tcBorders>
            <w:shd w:val="clear" w:color="auto" w:fill="CFF0FC"/>
          </w:tcPr>
          <w:p>
            <w:pPr>
              <w:jc w:val="center"/>
              <w:ind w:left="410"/>
              <w:spacing w:after="0" w:line="196" w:lineRule="exact"/>
              <w:rPr>
                <w:sz w:val="20"/>
                <w:szCs w:val="20"/>
                <w:color w:val="auto"/>
              </w:rPr>
            </w:pPr>
            <w:r>
              <w:rPr>
                <w:rFonts w:ascii="Arial" w:cs="Arial" w:eastAsia="Arial" w:hAnsi="Arial"/>
                <w:sz w:val="18"/>
                <w:szCs w:val="18"/>
                <w:color w:val="auto"/>
                <w:w w:val="91"/>
              </w:rPr>
              <w:t>(45)%</w:t>
            </w: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-1325245</wp:posOffset>
            </wp:positionV>
            <wp:extent cx="10287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-802005</wp:posOffset>
            </wp:positionV>
            <wp:extent cx="10287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23"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3742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2021 and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Year Ended</w:t>
      </w:r>
    </w:p>
    <w:p>
      <w:pPr>
        <w:jc w:val="center"/>
        <w:ind w:left="1040"/>
        <w:spacing w:after="0" w:line="232" w:lineRule="auto"/>
        <w:rPr>
          <w:sz w:val="20"/>
          <w:szCs w:val="20"/>
          <w:color w:val="auto"/>
        </w:rPr>
      </w:pPr>
      <w:r>
        <w:rPr>
          <w:rFonts w:ascii="Arial" w:cs="Arial" w:eastAsia="Arial" w:hAnsi="Arial"/>
          <w:sz w:val="18"/>
          <w:szCs w:val="18"/>
          <w:b w:val="1"/>
          <w:bCs w:val="1"/>
          <w:color w:val="auto"/>
        </w:rPr>
        <w:t>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4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4"/>
          </w:tcPr>
          <w:p>
            <w:pPr>
              <w:jc w:val="right"/>
              <w:ind w:right="50"/>
              <w:spacing w:after="0"/>
              <w:rPr>
                <w:sz w:val="20"/>
                <w:szCs w:val="20"/>
                <w:color w:val="auto"/>
              </w:rPr>
            </w:pPr>
            <w:r>
              <w:rPr>
                <w:rFonts w:ascii="Arial" w:cs="Arial" w:eastAsia="Arial" w:hAnsi="Arial"/>
                <w:sz w:val="18"/>
                <w:szCs w:val="18"/>
                <w:b w:val="1"/>
                <w:bCs w:val="1"/>
                <w:i w:val="1"/>
                <w:iCs w:val="1"/>
                <w:color w:val="auto"/>
                <w:w w:val="84"/>
              </w:rPr>
              <w:t>(in thousands, except percentages)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167,261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102,464</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64,797</w:t>
            </w:r>
          </w:p>
        </w:tc>
        <w:tc>
          <w:tcPr>
            <w:tcW w:w="158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63%</w:t>
            </w:r>
          </w:p>
        </w:tc>
      </w:tr>
    </w:tbl>
    <w:p>
      <w:pPr>
        <w:spacing w:after="0" w:line="229" w:lineRule="exact"/>
        <w:rPr>
          <w:sz w:val="20"/>
          <w:szCs w:val="20"/>
          <w:color w:val="auto"/>
        </w:rPr>
      </w:pPr>
    </w:p>
    <w:p>
      <w:pPr>
        <w:jc w:val="both"/>
        <w:ind w:right="500" w:firstLine="509"/>
        <w:spacing w:after="0" w:line="248" w:lineRule="auto"/>
        <w:rPr>
          <w:sz w:val="20"/>
          <w:szCs w:val="20"/>
          <w:color w:val="auto"/>
        </w:rPr>
      </w:pPr>
      <w:r>
        <w:rPr>
          <w:rFonts w:ascii="Arial" w:cs="Arial" w:eastAsia="Arial" w:hAnsi="Arial"/>
          <w:sz w:val="18"/>
          <w:szCs w:val="18"/>
          <w:color w:val="auto"/>
        </w:rPr>
        <w:t>Revenue increased $64.8 million, or 63%, in fiscal 2021 compared to fiscal 2020. The increase in revenue was primarily due to growth of our paying customer base of 54% and revenue generated from our existing paying customers as reflected by our dollar-based net retention of 123% as of December 31, 2021 compared to 119% as of December 31, 2020.</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Year Ended</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6"/>
              </w:rPr>
              <w:t>$ Change</w:t>
            </w:r>
          </w:p>
        </w:tc>
        <w:tc>
          <w:tcPr>
            <w:tcW w:w="180" w:type="dxa"/>
            <w:vAlign w:val="bottom"/>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80" w:type="dxa"/>
            <w:vAlign w:val="bottom"/>
            <w:gridSpan w:val="5"/>
          </w:tcPr>
          <w:p>
            <w:pPr>
              <w:jc w:val="right"/>
              <w:ind w:right="90"/>
              <w:spacing w:after="0"/>
              <w:rPr>
                <w:sz w:val="20"/>
                <w:szCs w:val="20"/>
                <w:color w:val="auto"/>
              </w:rPr>
            </w:pPr>
            <w:r>
              <w:rPr>
                <w:rFonts w:ascii="Arial" w:cs="Arial" w:eastAsia="Arial" w:hAnsi="Arial"/>
                <w:sz w:val="18"/>
                <w:szCs w:val="18"/>
                <w:b w:val="1"/>
                <w:bCs w:val="1"/>
                <w:i w:val="1"/>
                <w:iCs w:val="1"/>
                <w:color w:val="auto"/>
                <w:w w:val="88"/>
              </w:rPr>
              <w:t>(in thousands, except percentages)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51,764</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30,483</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21,281</w:t>
            </w:r>
          </w:p>
        </w:tc>
        <w:tc>
          <w:tcPr>
            <w:tcW w:w="156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69 %</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70 %</w:t>
            </w:r>
          </w:p>
        </w:tc>
        <w:tc>
          <w:tcPr>
            <w:tcW w:w="180" w:type="dxa"/>
            <w:vAlign w:val="bottom"/>
          </w:tcPr>
          <w:p>
            <w:pPr>
              <w:spacing w:after="0"/>
              <w:rPr>
                <w:sz w:val="21"/>
                <w:szCs w:val="21"/>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color w:val="auto"/>
                <w:w w:val="99"/>
              </w:rPr>
              <w:t>N/A</w:t>
            </w:r>
          </w:p>
        </w:tc>
        <w:tc>
          <w:tcPr>
            <w:tcW w:w="1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Cost of revenue increased $21.2 million, or 70%, in fiscal 2021 compared to fiscal 2020. The increase was primarily due to an increase of $12.4 million in third-party hosting costs as we increased capacity to support paying customer usage and growth of our paying customer base and $6.9 million in personnel and related expenses directly associated with an increase in headcount, including an increase in allocated overhead costs. Additionally, cost of revenue increased by $1.9 million due to the amortization of acquired intangibles assets related to our business combinations and amortization of internal-use software costs.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18"/>
                <w:szCs w:val="18"/>
                <w:color w:val="auto"/>
              </w:rPr>
            </w:pPr>
          </w:p>
        </w:tc>
        <w:tc>
          <w:tcPr>
            <w:tcW w:w="13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5"/>
          </w:tcPr>
          <w:p>
            <w:pPr>
              <w:jc w:val="right"/>
              <w:ind w:right="50"/>
              <w:spacing w:after="0"/>
              <w:rPr>
                <w:sz w:val="20"/>
                <w:szCs w:val="20"/>
                <w:color w:val="auto"/>
              </w:rPr>
            </w:pPr>
            <w:r>
              <w:rPr>
                <w:rFonts w:ascii="Arial" w:cs="Arial" w:eastAsia="Arial" w:hAnsi="Arial"/>
                <w:sz w:val="18"/>
                <w:szCs w:val="18"/>
                <w:b w:val="1"/>
                <w:bCs w:val="1"/>
                <w:i w:val="1"/>
                <w:iCs w:val="1"/>
                <w:color w:val="auto"/>
                <w:w w:val="88"/>
              </w:rPr>
              <w:t>(in thousands, except percentages)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48,251</w:t>
            </w:r>
          </w:p>
        </w:tc>
        <w:tc>
          <w:tcPr>
            <w:tcW w:w="6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22,153</w:t>
            </w:r>
          </w:p>
        </w:tc>
        <w:tc>
          <w:tcPr>
            <w:tcW w:w="156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85%</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86,025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34,206</w:t>
            </w:r>
          </w:p>
        </w:tc>
        <w:tc>
          <w:tcPr>
            <w:tcW w:w="156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66%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55,370</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18,067</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37,303</w:t>
            </w:r>
          </w:p>
        </w:tc>
        <w:tc>
          <w:tcPr>
            <w:tcW w:w="1560" w:type="dxa"/>
            <w:vAlign w:val="bottom"/>
            <w:tcBorders>
              <w:bottom w:val="single" w:sz="8" w:color="CFF0FC"/>
            </w:tcBorders>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1"/>
              </w:rPr>
              <w:t>206%</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189,646</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93,662</w:t>
            </w:r>
          </w:p>
        </w:tc>
        <w:tc>
          <w:tcPr>
            <w:tcW w:w="156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-150495</wp:posOffset>
            </wp:positionV>
            <wp:extent cx="431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-150495</wp:posOffset>
            </wp:positionV>
            <wp:extent cx="431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-150495</wp:posOffset>
            </wp:positionV>
            <wp:extent cx="3429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Research and development expenses increased $22.2 million, or 85%, in fiscal 2021 compared to fiscal 2020. The increase was primarily due to an increase of $10.9 million in stock-based compensation expense and related payroll taxes as a result of increased headcount, increased value of stock-based awards, and additional expense due to the satisfaction of the performance-based vesting condition of certain equity awards upon the Direct Listing. This increase also was attributable to an increase of $10.0 million in personnel and related expenses directly associated with an increase in headcount, including an increase in allocated overhead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04"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Sales and marketing expenses increased $34.2 million, or 66%, in fiscal 2021 compared to fiscal 2020. The increase was primarily due to an increase of $23.7 million in personnel and related expenses directly associated with an increase in headcount, including an increase in allocated overhead costs. This increase was also attributable to an increase of $6.8 million related to expenses to support our marketing, lead generation and advertising programs. The increase was also due to a $3.7 million increase in stock-based compensation expense and related payroll taxes as a result of increased headcount, increased value of stock-based awards, and additional expense due to the satisfaction of the performance-based vesting condition of certain equity awards upon the Direct Listing, offset by less expenses from secondary sales of common stock by sales and marketing personnel in fiscal 2021 compared to fiscal 2020.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General and administrative expenses increased $37.3 million, or 206%, in fiscal 2021 compared to fiscal 2020. The increase was primarily due to an increase of $22.4 million in fees for professional services incurred in connection with our Direct Listing and in preparation for operating as a public company. The increase was also attributable to a $7.7 million increase in stock-based compensation expense and related payroll taxes as a result of increased headcount, increased value of stock-based awards, and additional expense due to the satisfaction of the performance-based vesting condition of certain equity awards upon the Direct Listing. This increase also was attributable to an increase of $5.8 million in personnel and related expenses directly associated with an increase in headcount, including an increase in allocated overhead costs, and $1.2 million in increased insurance fees, mainly attributable to directors' and officers' liability insurance necessary for operating as a public company.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Other Income (Expense), net</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0"/>
              </w:rPr>
              <w:t>Year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240" w:type="dxa"/>
            <w:vAlign w:val="bottom"/>
            <w:vMerge w:val="restart"/>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6"/>
          </w:tcPr>
          <w:p>
            <w:pPr>
              <w:jc w:val="right"/>
              <w:ind w:right="320"/>
              <w:spacing w:after="0"/>
              <w:rPr>
                <w:sz w:val="20"/>
                <w:szCs w:val="20"/>
                <w:color w:val="auto"/>
              </w:rPr>
            </w:pPr>
            <w:r>
              <w:rPr>
                <w:rFonts w:ascii="Arial" w:cs="Arial" w:eastAsia="Arial" w:hAnsi="Arial"/>
                <w:sz w:val="18"/>
                <w:szCs w:val="18"/>
                <w:b w:val="1"/>
                <w:bCs w:val="1"/>
                <w:i w:val="1"/>
                <w:iCs w:val="1"/>
                <w:color w:val="auto"/>
                <w:w w:val="88"/>
              </w:rPr>
              <w:t>(in thousands, except percentages)</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1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(74 )</w:t>
            </w:r>
          </w:p>
        </w:tc>
        <w:tc>
          <w:tcPr>
            <w:tcW w:w="13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Other income (expense), net decreased $0.1 million, or 28%, in fiscal 2021 compared to fiscal 2020. The decrease is related to a $0.1 million decrease in income resulting from fluctuations in foreign exchange rates due to increased operations in foreign jurisdictions in fiscal 2021 compared to fiscal 2020.</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Provision for Income Taxes</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gridSpan w:val="5"/>
          </w:tcPr>
          <w:p>
            <w:pPr>
              <w:jc w:val="right"/>
              <w:ind w:right="30"/>
              <w:spacing w:after="0"/>
              <w:rPr>
                <w:sz w:val="20"/>
                <w:szCs w:val="20"/>
                <w:color w:val="auto"/>
              </w:rPr>
            </w:pPr>
            <w:r>
              <w:rPr>
                <w:rFonts w:ascii="Arial" w:cs="Arial" w:eastAsia="Arial" w:hAnsi="Arial"/>
                <w:sz w:val="18"/>
                <w:szCs w:val="18"/>
                <w:b w:val="1"/>
                <w:bCs w:val="1"/>
                <w:i w:val="1"/>
                <w:iCs w:val="1"/>
                <w:color w:val="auto"/>
                <w:w w:val="88"/>
              </w:rPr>
              <w:t>(in thousands, except percentages)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ind w:left="40"/>
              <w:spacing w:after="0"/>
              <w:rPr>
                <w:sz w:val="20"/>
                <w:szCs w:val="20"/>
                <w:color w:val="auto"/>
              </w:rPr>
            </w:pPr>
            <w:r>
              <w:rPr>
                <w:rFonts w:ascii="Arial" w:cs="Arial" w:eastAsia="Arial" w:hAnsi="Arial"/>
                <w:sz w:val="18"/>
                <w:szCs w:val="18"/>
                <w:color w:val="auto"/>
                <w:w w:val="84"/>
              </w:rPr>
              <w:t>1,029</w:t>
            </w:r>
          </w:p>
        </w:tc>
        <w:tc>
          <w:tcPr>
            <w:tcW w:w="114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58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Provision for income taxes increased $0.2 million, or 24%, in fiscal 2021 compared to fiscal 2020 mainly due to increased foreign taxes resulting from increased foreign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$179.8 million as of December 31, 2021 and negative cash flows from operating activities for fiscal 2021 and fiscal 2020.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 company.</w:t>
      </w:r>
    </w:p>
    <w:p>
      <w:pPr>
        <w:spacing w:after="0" w:line="175"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As of December 31, 2021, our principal sources of liquidity were cash and cash equivalents of $307.4 million and restricted cash of $0.9 million. Additionally, a substantial source of our cash provided by operating activities is our deferred revenue, which is included on our consolidated balance sheets as a liability. Deferred revenue consists of the unearned portion of billed fees for our subscriptions, which is recorded as revenue over the term of the subscription agreement. As of December 31, 2021, we had $69.3 million of deferred revenue, all of which was recorded as a current liability. This deferred revenue will be recognized as revenue when or as the related performance obligations are met.</w:t>
      </w:r>
    </w:p>
    <w:p>
      <w:pPr>
        <w:spacing w:after="0" w:line="174"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2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Year Ended</w:t>
      </w:r>
    </w:p>
    <w:p>
      <w:pPr>
        <w:jc w:val="center"/>
        <w:ind w:left="5800"/>
        <w:spacing w:after="0" w:line="232" w:lineRule="auto"/>
        <w:rPr>
          <w:sz w:val="20"/>
          <w:szCs w:val="20"/>
          <w:color w:val="auto"/>
        </w:rPr>
      </w:pPr>
      <w:r>
        <w:rPr>
          <w:rFonts w:ascii="Arial" w:cs="Arial" w:eastAsia="Arial" w:hAnsi="Arial"/>
          <w:sz w:val="18"/>
          <w:szCs w:val="18"/>
          <w:b w:val="1"/>
          <w:bCs w:val="1"/>
          <w:color w:val="auto"/>
        </w:rPr>
        <w:t>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399"/>
        </w:trPr>
        <w:tc>
          <w:tcPr>
            <w:tcW w:w="5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3"/>
          </w:tcPr>
          <w:p>
            <w:pPr>
              <w:jc w:val="right"/>
              <w:ind w:right="110"/>
              <w:spacing w:after="0"/>
              <w:rPr>
                <w:sz w:val="20"/>
                <w:szCs w:val="20"/>
                <w:color w:val="auto"/>
              </w:rPr>
            </w:pPr>
            <w:r>
              <w:rPr>
                <w:rFonts w:ascii="Arial" w:cs="Arial" w:eastAsia="Arial" w:hAnsi="Arial"/>
                <w:sz w:val="18"/>
                <w:szCs w:val="18"/>
                <w:b w:val="1"/>
                <w:bCs w:val="1"/>
                <w:i w:val="1"/>
                <w:iCs w:val="1"/>
                <w:color w:val="auto"/>
              </w:rPr>
              <w:t>(in thousands)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(31,713 )</w:t>
            </w:r>
          </w:p>
        </w:tc>
        <w:tc>
          <w:tcPr>
            <w:tcW w:w="58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(10,392 )</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(1,498 )</w:t>
            </w:r>
          </w:p>
        </w:tc>
        <w:tc>
          <w:tcPr>
            <w:tcW w:w="58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(5,908 )</w:t>
            </w:r>
          </w:p>
        </w:tc>
      </w:tr>
      <w:tr>
        <w:trPr>
          <w:trHeight w:val="202"/>
        </w:trPr>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222,643</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54,245</w:t>
            </w:r>
          </w:p>
        </w:tc>
        <w:tc>
          <w:tcPr>
            <w:tcW w:w="100" w:type="dxa"/>
            <w:vAlign w:val="bottom"/>
            <w:shd w:val="clear" w:color="auto" w:fill="CFF0FC"/>
          </w:tcPr>
          <w:p>
            <w:pPr>
              <w:spacing w:after="0"/>
              <w:rPr>
                <w:sz w:val="17"/>
                <w:szCs w:val="17"/>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preferred stock and common stock.</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1" w:name="page62"/>
    <w:bookmarkEnd w:id="61"/>
    <w:p>
      <w:pPr>
        <w:ind w:right="20" w:firstLine="509"/>
        <w:spacing w:after="0" w:line="238" w:lineRule="auto"/>
        <w:rPr>
          <w:sz w:val="20"/>
          <w:szCs w:val="20"/>
          <w:color w:val="auto"/>
        </w:rPr>
      </w:pPr>
      <w:r>
        <w:rPr>
          <w:rFonts w:ascii="Arial" w:cs="Arial" w:eastAsia="Arial" w:hAnsi="Arial"/>
          <w:sz w:val="18"/>
          <w:szCs w:val="18"/>
          <w:color w:val="auto"/>
        </w:rPr>
        <w:t>Net cash used in operating activities of $31.7 million for fiscal 2021 reflects our net loss of $75.0 million, adjusted by non-cash items such as stock-based compensation expense of $34.4 million and depreciation and amortization of $3.1 million as well as net cash provided by changes in our operating assets and liabilities of $6.2 million. The net cash provided by changes in our operating assets and liabilities primarily consisted of a $28.5 million increase in deferred revenue, resulting from increased billings for subscriptions, and a $4.5 million increase in accrued expenses and accounts payable, resulting primarily from increases in accrued professional services, marketing, accrued payroll, and benefits due to an increase in the size of our operations. These increases were partially offset by a $16.7 million increase in prepaid expenses and other current and noncurrent assets related to an increase in prepayments made in advance for future services, an increase in deferred commissions of $9.2 million, and a $3.0 million increase in accounts receivable due to higher customer billings.</w:t>
      </w:r>
    </w:p>
    <w:p>
      <w:pPr>
        <w:spacing w:after="0" w:line="19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Net cash used in operating activities of $10.4 million for fiscal 2020 reflects our net loss of $24.6 million, adjusted by non-cash items such as stock-based compensation expense of $16.6 million and depreciation and amortization of $1.7 million as well as net cash used from changes in our operating assets and liabilities of $4.3 million. The net cash used from changes in operating assets and liabilities primarily consisted of a $7.2 million increase in prepaid expenses and other current and noncurrent assets related to an increase in prepayments made in advance for future services, an increase in deferred commissions of $7.2 million, and a $5.6 million increase in accounts receivable due to higher customer billings. These decreases were partially offset by an $11.0 million increase in deferred revenue, resulting from increased billings for subscriptions, and a $4.1 million increase in accrued expenses and accounts payable, resulting primarily from increases in accrued professional services, marketing, accrued payroll, and benefits due to an increase in the size of our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Net cash used in investing activities of $1.5 million for fiscal 2021 consisted of $1.7 million in capitalized internal-use software development costs and $1.5 million in purchases of property and equipment. These decreases were partially offset by $1.7 million in net cash acquired upon the acquisition of a privately-held company.</w:t>
      </w:r>
    </w:p>
    <w:p>
      <w:pPr>
        <w:spacing w:after="0" w:line="182" w:lineRule="exact"/>
        <w:rPr>
          <w:sz w:val="20"/>
          <w:szCs w:val="20"/>
          <w:color w:val="auto"/>
        </w:rPr>
      </w:pPr>
    </w:p>
    <w:p>
      <w:pPr>
        <w:ind w:right="700" w:firstLine="509"/>
        <w:spacing w:after="0" w:line="261" w:lineRule="auto"/>
        <w:rPr>
          <w:sz w:val="20"/>
          <w:szCs w:val="20"/>
          <w:color w:val="auto"/>
        </w:rPr>
      </w:pPr>
      <w:r>
        <w:rPr>
          <w:rFonts w:ascii="Arial" w:cs="Arial" w:eastAsia="Arial" w:hAnsi="Arial"/>
          <w:sz w:val="18"/>
          <w:szCs w:val="18"/>
          <w:color w:val="auto"/>
        </w:rPr>
        <w:t>Net cash used in investing activities of $5.9 million for fiscal 2020 consisted of $3.7 million in cash paid for an acquisition, $1.2 million of capitalized internal-use software development costs, and $1.0 million in purchases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Net cash provided by financing activities of $222.6 million for fiscal 2021 primarily consisted of $199.8 million in net proceeds from the sale and issuance of Series F preferred stock, $21.8 million in proceeds from the exercise of stock options, and $1.1 million of net cash provided through sales of common stock to cover tax-related amounts that had not yet been remitted to the respective taxing jurisdictions. It is expected that this $1.1 million net cash received will be paid in subsequent periods and will be recorded as a financing cash outflow at such time.</w:t>
      </w:r>
    </w:p>
    <w:p>
      <w:pPr>
        <w:spacing w:after="0" w:line="17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Net cash provided by financing activities of $54.2 million for fiscal 2020 primarily consisted of $49.6 million in net proceeds from the sale and issuance of Series E preferred stock, $0.2 million in net proceeds from the sale and issuance of Series D preferred stock, and $4.4 million in proceeds from the exercise of stock options.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Remaining performance obligations (“RPO”) as of December 31, 2021 and 2020, including the expected timing of recognition is as follows: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28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Less than or equal to 12 months</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137,266</w:t>
            </w:r>
          </w:p>
        </w:tc>
        <w:tc>
          <w:tcPr>
            <w:tcW w:w="122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85,706</w:t>
            </w:r>
          </w:p>
        </w:tc>
        <w:tc>
          <w:tcPr>
            <w:tcW w:w="184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4"/>
              </w:rPr>
              <w:t>60%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Greater than 12 months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32,868</w:t>
            </w:r>
          </w:p>
        </w:tc>
        <w:tc>
          <w:tcPr>
            <w:tcW w:w="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w:t>
            </w:r>
          </w:p>
        </w:tc>
        <w:tc>
          <w:tcPr>
            <w:tcW w:w="18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231%</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remaining performance obligations</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170,134</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95,637</w:t>
            </w:r>
          </w:p>
        </w:tc>
        <w:tc>
          <w:tcPr>
            <w:tcW w:w="184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4"/>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-5080</wp:posOffset>
            </wp:positionV>
            <wp:extent cx="431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-5080</wp:posOffset>
            </wp:positionV>
            <wp:extent cx="431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Annual Report on Form 10-K.</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As of December 31, 2021, 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4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5"/>
              </w:rPr>
              <w:t>2023 - 2024</w:t>
            </w:r>
          </w:p>
        </w:tc>
        <w:tc>
          <w:tcPr>
            <w:tcW w:w="12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2025 - 2026</w:t>
            </w:r>
          </w:p>
        </w:tc>
        <w:tc>
          <w:tcPr>
            <w:tcW w:w="140" w:type="dxa"/>
            <w:vAlign w:val="bottom"/>
          </w:tcPr>
          <w:p>
            <w:pPr>
              <w:spacing w:after="0"/>
              <w:rPr>
                <w:sz w:val="19"/>
                <w:szCs w:val="19"/>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8"/>
              </w:rPr>
              <w:t>After 2026</w:t>
            </w:r>
          </w:p>
        </w:tc>
        <w:tc>
          <w:tcPr>
            <w:tcW w:w="60" w:type="dxa"/>
            <w:vAlign w:val="bottom"/>
          </w:tcPr>
          <w:p>
            <w:pPr>
              <w:spacing w:after="0"/>
              <w:rPr>
                <w:sz w:val="19"/>
                <w:szCs w:val="19"/>
                <w:color w:val="auto"/>
              </w:rPr>
            </w:pPr>
          </w:p>
        </w:tc>
      </w:tr>
      <w:tr>
        <w:trPr>
          <w:trHeight w:val="223"/>
        </w:trPr>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(in thousands)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line="229" w:lineRule="exact"/>
              <w:rPr>
                <w:sz w:val="20"/>
                <w:szCs w:val="20"/>
                <w:color w:val="auto"/>
              </w:rPr>
            </w:pPr>
            <w:r>
              <w:rPr>
                <w:rFonts w:ascii="Arial" w:cs="Arial" w:eastAsia="Arial" w:hAnsi="Arial"/>
                <w:sz w:val="18"/>
                <w:szCs w:val="18"/>
                <w:color w:val="auto"/>
                <w:w w:val="97"/>
              </w:rPr>
              <w:t>Operating lease and real estate-related commitments</w:t>
            </w:r>
            <w:r>
              <w:rPr>
                <w:rFonts w:ascii="Arial" w:cs="Arial" w:eastAsia="Arial" w:hAnsi="Arial"/>
                <w:sz w:val="24"/>
                <w:szCs w:val="24"/>
                <w:color w:val="auto"/>
                <w:w w:val="97"/>
                <w:vertAlign w:val="superscript"/>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14,308</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7,871</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5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r>
      <w:tr>
        <w:trPr>
          <w:trHeight w:val="216"/>
        </w:trPr>
        <w:tc>
          <w:tcPr>
            <w:tcW w:w="4360" w:type="dxa"/>
            <w:vAlign w:val="bottom"/>
          </w:tcPr>
          <w:p>
            <w:pPr>
              <w:spacing w:after="0" w:line="216"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4"/>
                <w:szCs w:val="24"/>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252,522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39,026</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106,663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106,833</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r>
      <w:tr>
        <w:trPr>
          <w:trHeight w:val="209"/>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266,830</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41,793</w:t>
            </w: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114,534</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110,503</w:t>
            </w: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-5080</wp:posOffset>
            </wp:positionV>
            <wp:extent cx="431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-5080</wp:posOffset>
            </wp:positionV>
            <wp:extent cx="431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-5080</wp:posOffset>
            </wp:positionV>
            <wp:extent cx="3429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-5080</wp:posOffset>
            </wp:positionV>
            <wp:extent cx="3429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-5080</wp:posOffset>
            </wp:positionV>
            <wp:extent cx="342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10"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future real estate-related non-cancellable minimum rental payments under operating leases and real estate commitments with substitution rights.</w:t>
      </w:r>
    </w:p>
    <w:p>
      <w:pPr>
        <w:spacing w:after="0" w:line="13" w:lineRule="exact"/>
        <w:rPr>
          <w:rFonts w:ascii="Arial" w:cs="Arial" w:eastAsia="Arial" w:hAnsi="Arial"/>
          <w:sz w:val="14"/>
          <w:szCs w:val="14"/>
          <w:color w:val="auto"/>
        </w:rPr>
      </w:pPr>
    </w:p>
    <w:p>
      <w:pPr>
        <w:ind w:left="380" w:hanging="372"/>
        <w:spacing w:after="0" w:line="248"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Included in this commitment is a hosting arrangement with AWS. We entered into the 60-month contract in August 2021. The contract may be terminated by either party if the other party is in material breach of the contract and such breach remains uncured for 30 days. Pursuant to the terms of the contract, we are required to spend a minimum of $267 million over the five-year term of the contract. As of December 31, 2021, we had $250 million remaining on this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-423545</wp:posOffset>
            </wp:positionV>
            <wp:extent cx="9340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our Direct Listing, we entered into indemnification agreements with our directors and certain officers and employees that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revenues,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8"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generate revenue primarily from sales of subscription services. Revenue is recognized when, or as, the related performance obligation is satisfied by transferring the control of the promised service to a customer. The amount of revenue recognized reflects the consideration that we expect to be entitled to receive in exchange for these services. We account for revenue contracts with customers by applying the requirements of ASC 606, which includes the following steps:</w:t>
      </w:r>
    </w:p>
    <w:p>
      <w:pPr>
        <w:spacing w:after="0" w:line="80"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recognition of the revenue when, or as, a performance obligation is satisfied.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3" w:name="page64"/>
    <w:bookmarkEnd w:id="63"/>
    <w:p>
      <w:pPr>
        <w:ind w:firstLine="509"/>
        <w:spacing w:after="0" w:line="271" w:lineRule="auto"/>
        <w:rPr>
          <w:sz w:val="20"/>
          <w:szCs w:val="20"/>
          <w:color w:val="auto"/>
        </w:rPr>
      </w:pPr>
      <w:r>
        <w:rPr>
          <w:rFonts w:ascii="Arial" w:cs="Arial" w:eastAsia="Arial" w:hAnsi="Arial"/>
          <w:sz w:val="16"/>
          <w:szCs w:val="16"/>
          <w:color w:val="auto"/>
        </w:rPr>
        <w:t>Our SaaS subscription agreements with customers enable them to access and send event volume data to our platform. Subscription arrangements with customers do not provide the customer with the right to take possession of our software at any time. Instead, customers are granted continuous access to the platform over the contractual period. A time-elapsed method is used to measure progress because our obligation is to provide continuous service over the contractual period and control is transferred evenly over the contractual period. Accordingly, the fixed consideration related to subscription revenue is recognized ratably over the contract term beginning on the date access to the subscription product is provisioned. The typical subscription term is 12 months with various payment terms ranging from monthly to annual up-front payments. Most contracts are non-cancelable over the contractual term.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Acquisition Costs (Deferred Commissions)</w:t>
      </w:r>
    </w:p>
    <w:p>
      <w:pPr>
        <w:spacing w:after="0" w:line="104" w:lineRule="exact"/>
        <w:rPr>
          <w:sz w:val="20"/>
          <w:szCs w:val="20"/>
          <w:color w:val="auto"/>
        </w:rPr>
      </w:pPr>
    </w:p>
    <w:p>
      <w:pPr>
        <w:jc w:val="both"/>
        <w:ind w:right="380" w:firstLine="509"/>
        <w:spacing w:after="0" w:line="248" w:lineRule="auto"/>
        <w:rPr>
          <w:sz w:val="20"/>
          <w:szCs w:val="20"/>
          <w:color w:val="auto"/>
        </w:rPr>
      </w:pPr>
      <w:r>
        <w:rPr>
          <w:rFonts w:ascii="Arial" w:cs="Arial" w:eastAsia="Arial" w:hAnsi="Arial"/>
          <w:sz w:val="18"/>
          <w:szCs w:val="18"/>
          <w:color w:val="auto"/>
        </w:rPr>
        <w:t>We capitalize sales commissions that are recoverable and incremental due to the acquisition of customer contracts. We determine whether costs should be deferred based on its sales compensation plans, if the commissions are in fact incremental and would not have occurred absent the customer contract.</w:t>
      </w:r>
    </w:p>
    <w:p>
      <w:pPr>
        <w:spacing w:after="0" w:line="18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Commissions paid upon the initial acquisition of a contract are deferred and then amortized on a straight-line basis over a period of benefit, determined to be five years. The period of benefit is estimated by considering factors such as the expected life of our subscription contracts, historical customer attrition rates, technological life of our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We determine the period of benefit for renewal subscription contracts by considering the contractual term for renewal contracts.</w:t>
      </w:r>
    </w:p>
    <w:p>
      <w:pPr>
        <w:spacing w:after="0" w:line="18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statements of operations. We periodically review these deferred commissions to determine whether events or changes in circumstances have occurred that could impact recoverability or the period of benefit. There were no impairment losses recorded during the periods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measure and recognize compensation expense for all stock-based payment awards granted to employees, directors, and non-employees based on the estimated fair values on the date of the grant and vesting criteria. For options, vesting is typically over a four-year period and is contingent upon continued employment on each vesting date. In general, options granted to newly hired employees vest 25% after the first year of service and ratably each month over the remaining 36-month period. For RSUs, vesting is typically over a four-year period and is contingent upon continued employment on each vesting date. In general, RSUs granted to employees vest 25% after the first year of service and ratably each quarter over the remaining 36-month period.</w:t>
      </w:r>
    </w:p>
    <w:p>
      <w:pPr>
        <w:spacing w:after="0" w:line="159"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The fair value of options granted are estimated on the grant date. Options granted pursuant to the 2021 Incentive Award Plan (the "2021 Plan") are valued utilizing the Black-Scholes option pricing model and options granted pursuant to the 2014 Plan are valued utilizing the Monte Carlo simulation model. The determination of the grant date fair value is affected by the estimated fair value of our common stock as well as additional assumptions regarding a number of other subjective variables. These variables include expected stock price volatility over a contractual or expected term, actual and projected employee stock option exercise behaviors, the risk-free interest rate for a contractual or expected term, and expected dividends. For assumptions utilized in each respective model, refer to Note 5 of the consolidated financial statements appearing elsewhere in this Annual Report on Form 10-K.</w:t>
      </w:r>
    </w:p>
    <w:p>
      <w:pPr>
        <w:spacing w:after="0" w:line="161"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recognize compensation expense for service-based stock-based awards as an expense over the employee’s or director’s requisite service period on a straight-line basis. We also have certain options and awards that have performance-based vesting conditions upon certain liquidity events. As a result of the Direct Listing, the liquidity event was met for all outstanding awards with a performance condition and therefore the related expense was recognized using the accelerated attribution method. Forfeitures are accounted for as they occur. Stock-based compensation expense is allocated to cost of revenue and operating expenses on the consolidated statements of operations based on the associated employee’s functional department.</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Determining Fair Value of Stock Options</w:t>
      </w:r>
    </w:p>
    <w:p>
      <w:pPr>
        <w:spacing w:after="0" w:line="104"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The fair value of each option granted to employees under the 2021 Plan is estimated on the grant date using the Black-Scholes pricing model. Based on the nature of the underlying options granted under the 2014 Plan, the fair value of each option granted to employees is estimated on the date of grant using the Monte Carlo simulation model. The fair value of each grant of stock option was determined by us using the two methods and the respective assumptions discussed below. The determination of each of these inputs is subjective and generally requires a level of judgment.</w:t>
      </w:r>
    </w:p>
    <w:p>
      <w:pPr>
        <w:spacing w:after="0" w:line="17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expected stock price volatility assumption was determined by examining the historical volatilities of a group of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peers over a period equal to the expected life of the options, as we did not have sufficient trading history for our common stock.</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i w:val="1"/>
          <w:iCs w:val="1"/>
          <w:color w:val="auto"/>
        </w:rPr>
        <w:t xml:space="preserve">Contractual term (Monte Carlo) </w:t>
      </w:r>
      <w:r>
        <w:rPr>
          <w:rFonts w:ascii="Arial" w:cs="Arial" w:eastAsia="Arial" w:hAnsi="Arial"/>
          <w:sz w:val="17"/>
          <w:szCs w:val="17"/>
          <w:color w:val="auto"/>
        </w:rPr>
        <w:t>– The contractual term of stock options is used to model the expected exercise behavior of the option holders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10-year exercise period. This method utilizes a Monte Carlo simulation based on historical exercise data as the options are not considered to be "plain-vanilla" where a simplified method is allowed as certain holders have up until option expiration to exercise regardless of employment status. The Monte Carlo simulation models expected exercise behavior utilizing an estimated stock price at which the holder of the option would choose to exercise an option prior to the end of the stated term. For this assumption, we utilized a value multiple on the strike price of 4.0 times.</w:t>
      </w:r>
    </w:p>
    <w:p>
      <w:pPr>
        <w:spacing w:after="0" w:line="17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i w:val="1"/>
          <w:iCs w:val="1"/>
          <w:color w:val="auto"/>
        </w:rPr>
        <w:t xml:space="preserve">Expected term (Black-Scholes) </w:t>
      </w:r>
      <w:r>
        <w:rPr>
          <w:rFonts w:ascii="Arial" w:cs="Arial" w:eastAsia="Arial" w:hAnsi="Arial"/>
          <w:sz w:val="16"/>
          <w:szCs w:val="16"/>
          <w:color w:val="auto"/>
        </w:rPr>
        <w:t>– Expected term represents the period that our stock-based awards are expected to be outstanding. The expected term</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are determined based on the vesting terms, exercise terms, and contractual lives of the options. For stock options considered to be “plain-vanilla” options, we estimate the expected term based on the simplified method, which is essentially the weighted average of the vesting period and contractual term, as our historical option exercise experience does not provide a reasonable basis upon which to estimate the expected term.</w:t>
      </w:r>
    </w:p>
    <w:p>
      <w:pPr>
        <w:spacing w:after="0" w:line="15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expected dividend assumption was based on our history and expectation that it will not declare dividend payout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near future.</w:t>
      </w:r>
    </w:p>
    <w:p>
      <w:pPr>
        <w:spacing w:after="0" w:line="171"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contractual terms.</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 Prior to the Direct Listing, the fair value of our common stock was determined by our board of directors,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intended all options granted to be exercisable at a price per share not less than the per share fair value of common stock underlying those options on the date of grant. The valuations of our common stock were determined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The board of directors considered numerous objective and subjective factors to determine the fair value of our common stock at each meeting in which awards were approved. The factors considered included, but were not limited to:</w:t>
      </w:r>
    </w:p>
    <w:p>
      <w:pPr>
        <w:spacing w:after="0" w:line="81" w:lineRule="exact"/>
        <w:rPr>
          <w:sz w:val="20"/>
          <w:szCs w:val="20"/>
          <w:color w:val="auto"/>
        </w:rPr>
      </w:pPr>
    </w:p>
    <w:p>
      <w:pPr>
        <w:ind w:left="1540" w:hanging="514"/>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contemporaneous independent third-party valuations of our common stock;</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prices, rights, preferences, and privileges of our redeemable convertible preferred stock relative to those of its common stock;</w:t>
      </w:r>
    </w:p>
    <w:p>
      <w:pPr>
        <w:spacing w:after="0" w:line="126" w:lineRule="exact"/>
        <w:rPr>
          <w:rFonts w:ascii="Arial" w:cs="Arial" w:eastAsia="Arial" w:hAnsi="Arial"/>
          <w:sz w:val="16"/>
          <w:szCs w:val="16"/>
          <w:color w:val="auto"/>
        </w:rPr>
      </w:pPr>
    </w:p>
    <w:p>
      <w:pPr>
        <w:ind w:left="1540" w:hanging="514"/>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operating and financial results;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03" w:lineRule="exact"/>
        <w:rPr>
          <w:rFonts w:ascii="Arial" w:cs="Arial" w:eastAsia="Arial" w:hAnsi="Arial"/>
          <w:sz w:val="18"/>
          <w:szCs w:val="18"/>
          <w:color w:val="auto"/>
        </w:rPr>
      </w:pPr>
    </w:p>
    <w:p>
      <w:pPr>
        <w:ind w:left="1540" w:right="120" w:hanging="514"/>
        <w:spacing w:after="0" w:line="261"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direct listing, or sale of our Company, given prevailing market conditions; and</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precedent transactions involving our shares.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5" w:name="page66"/>
    <w:bookmarkEnd w:id="65"/>
    <w:p>
      <w:pPr>
        <w:ind w:firstLine="509"/>
        <w:spacing w:after="0" w:line="253" w:lineRule="auto"/>
        <w:rPr>
          <w:sz w:val="20"/>
          <w:szCs w:val="20"/>
          <w:color w:val="auto"/>
        </w:rPr>
      </w:pPr>
      <w:r>
        <w:rPr>
          <w:rFonts w:ascii="Arial" w:cs="Arial" w:eastAsia="Arial" w:hAnsi="Arial"/>
          <w:sz w:val="17"/>
          <w:szCs w:val="17"/>
          <w:color w:val="auto"/>
        </w:rPr>
        <w:t>In valuing our common stock, the fair value of our business was determined using various valuation methods, including combinations of income and market approaches. The income approach estimates value based on the expectation of future cash flows that our company will generate. These future cash flows are discounted to their present values using a discount rate that is derived from an analysis of the cost of capital of comparable publicly-traded companies in our industry or similar business operations as of each valuation date and is adjusted to reflect the risks inherent in our cash flows. The market approach estimates value based on a comparison of our company to comparable public companies in a similar line of business and similar to us in economic drivers and operating characteristics. From the comparable companies, a representative market value multiple is determined and then applied to our prior financial results and future financial forecasts to estimate the value of our business. Concurrent with preferred stock financings, we also used the option pricing model to back solve the value of our common stock utilizing our most recent round of financing, which implies a total equity value as well as a per share common stock value.</w:t>
      </w:r>
    </w:p>
    <w:p>
      <w:pPr>
        <w:spacing w:after="0" w:line="184" w:lineRule="exact"/>
        <w:rPr>
          <w:sz w:val="20"/>
          <w:szCs w:val="20"/>
          <w:color w:val="auto"/>
        </w:rPr>
      </w:pPr>
    </w:p>
    <w:p>
      <w:pPr>
        <w:ind w:right="220" w:firstLine="509"/>
        <w:spacing w:after="0" w:line="324" w:lineRule="auto"/>
        <w:rPr>
          <w:sz w:val="20"/>
          <w:szCs w:val="20"/>
          <w:color w:val="auto"/>
        </w:rPr>
      </w:pPr>
      <w:r>
        <w:rPr>
          <w:rFonts w:ascii="Arial" w:cs="Arial" w:eastAsia="Arial" w:hAnsi="Arial"/>
          <w:sz w:val="16"/>
          <w:szCs w:val="16"/>
          <w:color w:val="auto"/>
        </w:rPr>
        <w:t>For each valuation, the fair value of our business determined by the income and market approaches was then allocated to the common stock using either the option-pricing method (“OPM”), or a hybrid of the probability-weighted expected return method (“PWERM”) and OPM methods.</w:t>
      </w:r>
    </w:p>
    <w:p>
      <w:pPr>
        <w:spacing w:after="0" w:line="124"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Our valuations prior to March 31, 2021 were allocated based on the OPM. Beginning March 31, 2021, our valuations were allocated based on a hybrid method of the PWERM and the OPM. Using the PWERM, the value of our common stock was estimated based upon a probability-weighted analysis of varying values for our common stock assuming possible future events for our company, including a scenario assuming we became a publicly-traded company and a scenario assuming we continued as a privately-held company.</w:t>
      </w:r>
    </w:p>
    <w:p>
      <w:pPr>
        <w:spacing w:after="0" w:line="18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addition, we also considered and included secondary transactions involving our capital stock in our valuations.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8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For valuations after the Direct Listing, our board of directors determined the fair value of each share of underlying Class A common stock based on the closing price of our Class A common stock on the Nasdaq Capital Market as reported on the date of grant. As our Class A common stock is publicly traded, it is subject to potentially significant fluctuations in the market price. Increases and decreases in the market price of our common stock will increase and decrease the fair value of our stock-based awards granted in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See Note 1 to our consolidated financial statements included in Part II, Item 8 of this Annual Report on Form 10-K for more information regarding recent accounting pronouncements.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Our cash and cash equivalents consist of cash on hand. As of December 31, 2021, we had cash and cash equivalents of $307.4 million. We do not have any marketable securities and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4"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560" w:type="dxa"/>
            <w:vAlign w:val="bottom"/>
            <w:gridSpan w:val="6"/>
            <w:vMerge w:val="restart"/>
          </w:tcPr>
          <w:p>
            <w:pPr>
              <w:ind w:left="20"/>
              <w:spacing w:after="0"/>
              <w:rPr>
                <w:rFonts w:ascii="Arial" w:cs="Arial" w:eastAsia="Arial" w:hAnsi="Arial"/>
                <w:sz w:val="18"/>
                <w:szCs w:val="18"/>
                <w:color w:val="0000FF"/>
                <w:w w:val="92"/>
              </w:rPr>
            </w:pPr>
            <w:hyperlink w:anchor="page69">
              <w:r>
                <w:rPr>
                  <w:rFonts w:ascii="Arial" w:cs="Arial" w:eastAsia="Arial" w:hAnsi="Arial"/>
                  <w:sz w:val="18"/>
                  <w:szCs w:val="18"/>
                  <w:color w:val="0000FF"/>
                  <w:w w:val="92"/>
                </w:rPr>
                <w:t>Report of Independent Registered Public Accounting Firm (PCAOB ID 185)</w:t>
              </w:r>
            </w:hyperlink>
          </w:p>
        </w:tc>
        <w:tc>
          <w:tcPr>
            <w:tcW w:w="4820" w:type="dxa"/>
            <w:vAlign w:val="bottom"/>
            <w:gridSpan w:val="2"/>
            <w:vMerge w:val="restart"/>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60" w:type="dxa"/>
            <w:vAlign w:val="bottom"/>
            <w:tcBorders>
              <w:bottom w:val="single" w:sz="8" w:color="0000FF"/>
            </w:tcBorders>
            <w:gridSpan w:val="6"/>
            <w:vMerge w:val="continue"/>
          </w:tcPr>
          <w:p>
            <w:pPr>
              <w:spacing w:after="0"/>
              <w:rPr>
                <w:sz w:val="14"/>
                <w:szCs w:val="14"/>
                <w:color w:val="auto"/>
              </w:rPr>
            </w:pPr>
          </w:p>
        </w:tc>
        <w:tc>
          <w:tcPr>
            <w:tcW w:w="4820" w:type="dxa"/>
            <w:vAlign w:val="bottom"/>
            <w:gridSpan w:val="2"/>
            <w:vMerge w:val="continue"/>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380" w:type="dxa"/>
            <w:vAlign w:val="bottom"/>
            <w:gridSpan w:val="8"/>
          </w:tcPr>
          <w:p>
            <w:pPr>
              <w:ind w:left="20"/>
              <w:spacing w:after="0" w:line="196" w:lineRule="exact"/>
              <w:rPr>
                <w:rFonts w:ascii="Arial" w:cs="Arial" w:eastAsia="Arial" w:hAnsi="Arial"/>
                <w:sz w:val="18"/>
                <w:szCs w:val="18"/>
                <w:color w:val="0000FF"/>
              </w:rPr>
            </w:pPr>
            <w:hyperlink w:anchor="page70">
              <w:r>
                <w:rPr>
                  <w:rFonts w:ascii="Arial" w:cs="Arial" w:eastAsia="Arial" w:hAnsi="Arial"/>
                  <w:sz w:val="18"/>
                  <w:szCs w:val="18"/>
                  <w:color w:val="0000FF"/>
                </w:rPr>
                <w:t>Consolidated Balance Sheets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FF"/>
            </w:tcBorders>
            <w:gridSpan w:val="2"/>
          </w:tcPr>
          <w:p>
            <w:pPr>
              <w:ind w:left="20"/>
              <w:spacing w:after="0" w:line="196"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Consolidated Statements of Operations</w:t>
              </w:r>
            </w:hyperlink>
          </w:p>
        </w:tc>
        <w:tc>
          <w:tcPr>
            <w:tcW w:w="20" w:type="dxa"/>
            <w:vAlign w:val="bottom"/>
            <w:tcBorders>
              <w:bottom w:val="single" w:sz="8" w:color="0000EE"/>
            </w:tcBorders>
          </w:tcPr>
          <w:p>
            <w:pPr>
              <w:spacing w:after="0"/>
              <w:rPr>
                <w:sz w:val="17"/>
                <w:szCs w:val="17"/>
                <w:color w:val="auto"/>
              </w:rPr>
            </w:pPr>
          </w:p>
        </w:tc>
        <w:tc>
          <w:tcPr>
            <w:tcW w:w="752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380" w:type="dxa"/>
            <w:vAlign w:val="bottom"/>
            <w:gridSpan w:val="8"/>
          </w:tcPr>
          <w:p>
            <w:pPr>
              <w:ind w:left="20"/>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Consolidated Statements of Redeemable Convertible Preferred Stock and Stockholders’ Equity (Deficit</w:t>
              </w:r>
            </w:hyperlink>
            <w:r>
              <w:rPr>
                <w:rFonts w:ascii="Arial" w:cs="Arial" w:eastAsia="Arial" w:hAnsi="Arial"/>
                <w:sz w:val="18"/>
                <w:szCs w:val="18"/>
                <w:color w:val="000000"/>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FF"/>
              <w:bottom w:val="single" w:sz="8" w:color="0000FF"/>
            </w:tcBorders>
            <w:gridSpan w:val="4"/>
          </w:tcPr>
          <w:p>
            <w:pPr>
              <w:ind w:left="20"/>
              <w:spacing w:after="0" w:line="196"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Consolidated Statements of Cash Flows</w:t>
              </w:r>
            </w:hyperlink>
          </w:p>
        </w:tc>
        <w:tc>
          <w:tcPr>
            <w:tcW w:w="4580" w:type="dxa"/>
            <w:vAlign w:val="bottom"/>
            <w:tcBorders>
              <w:top w:val="single" w:sz="8" w:color="0000FF"/>
            </w:tcBorders>
            <w:gridSpan w:val="3"/>
          </w:tcPr>
          <w:p>
            <w:pPr>
              <w:spacing w:after="0"/>
              <w:rPr>
                <w:sz w:val="17"/>
                <w:szCs w:val="17"/>
                <w:color w:val="auto"/>
              </w:rPr>
            </w:pPr>
          </w:p>
        </w:tc>
        <w:tc>
          <w:tcPr>
            <w:tcW w:w="29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0380" w:type="dxa"/>
            <w:vAlign w:val="bottom"/>
            <w:gridSpan w:val="8"/>
          </w:tcPr>
          <w:p>
            <w:pPr>
              <w:ind w:left="20"/>
              <w:spacing w:after="0" w:line="196" w:lineRule="exact"/>
              <w:rPr>
                <w:rFonts w:ascii="Arial" w:cs="Arial" w:eastAsia="Arial" w:hAnsi="Arial"/>
                <w:sz w:val="18"/>
                <w:szCs w:val="18"/>
                <w:color w:val="0000FF"/>
              </w:rPr>
            </w:pPr>
            <w:hyperlink w:anchor="page74">
              <w:r>
                <w:rPr>
                  <w:rFonts w:ascii="Arial" w:cs="Arial" w:eastAsia="Arial" w:hAnsi="Arial"/>
                  <w:sz w:val="18"/>
                  <w:szCs w:val="18"/>
                  <w:color w:val="0000FF"/>
                </w:rPr>
                <w:t>Notes to Consolidated Financial Statements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547"/>
        </w:trPr>
        <w:tc>
          <w:tcPr>
            <w:tcW w:w="3160" w:type="dxa"/>
            <w:vAlign w:val="bottom"/>
            <w:tcBorders>
              <w:top w:val="single" w:sz="8" w:color="0000FF"/>
            </w:tcBorders>
            <w:gridSpan w:val="5"/>
          </w:tcPr>
          <w:p>
            <w:pPr>
              <w:spacing w:after="0"/>
              <w:rPr>
                <w:sz w:val="24"/>
                <w:szCs w:val="24"/>
                <w:color w:val="auto"/>
              </w:rPr>
            </w:pPr>
          </w:p>
        </w:tc>
        <w:tc>
          <w:tcPr>
            <w:tcW w:w="4320" w:type="dxa"/>
            <w:vAlign w:val="bottom"/>
            <w:gridSpan w:val="2"/>
          </w:tcPr>
          <w:p>
            <w:pPr>
              <w:jc w:val="right"/>
              <w:ind w:right="1760"/>
              <w:spacing w:after="0"/>
              <w:rPr>
                <w:sz w:val="20"/>
                <w:szCs w:val="20"/>
                <w:color w:val="auto"/>
              </w:rPr>
            </w:pPr>
            <w:r>
              <w:rPr>
                <w:rFonts w:ascii="Arial" w:cs="Arial" w:eastAsia="Arial" w:hAnsi="Arial"/>
                <w:sz w:val="18"/>
                <w:szCs w:val="18"/>
                <w:color w:val="auto"/>
              </w:rPr>
              <w:t>68</w:t>
            </w:r>
          </w:p>
        </w:tc>
        <w:tc>
          <w:tcPr>
            <w:tcW w:w="2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Amplitude, Inc.: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have audited the accompanying consolidated balance sheets of Amplitude, Inc. and subsidiaries (the Company) as of December 31, 2021 and 2020, the related consolidated statements of operations, redeemable convertible preferred stock and stockholders’ equity (deficit),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As of</w:t>
            </w:r>
          </w:p>
        </w:tc>
        <w:tc>
          <w:tcPr>
            <w:tcW w:w="220" w:type="dxa"/>
            <w:vAlign w:val="bottom"/>
          </w:tcPr>
          <w:p>
            <w:pPr>
              <w:spacing w:after="0"/>
              <w:rPr>
                <w:sz w:val="16"/>
                <w:szCs w:val="16"/>
                <w:color w:val="auto"/>
              </w:rPr>
            </w:pPr>
          </w:p>
        </w:tc>
        <w:tc>
          <w:tcPr>
            <w:tcW w:w="15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162"/>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460"/>
              <w:spacing w:after="0" w:line="162" w:lineRule="exact"/>
              <w:rPr>
                <w:sz w:val="20"/>
                <w:szCs w:val="20"/>
                <w:color w:val="auto"/>
              </w:rPr>
            </w:pPr>
            <w:r>
              <w:rPr>
                <w:rFonts w:ascii="Arial" w:cs="Arial" w:eastAsia="Arial" w:hAnsi="Arial"/>
                <w:sz w:val="16"/>
                <w:szCs w:val="16"/>
                <w:b w:val="1"/>
                <w:bCs w:val="1"/>
                <w:color w:val="auto"/>
                <w:w w:val="92"/>
              </w:rPr>
              <w:t>December 31,</w:t>
            </w:r>
          </w:p>
        </w:tc>
        <w:tc>
          <w:tcPr>
            <w:tcW w:w="220" w:type="dxa"/>
            <w:vAlign w:val="bottom"/>
          </w:tcPr>
          <w:p>
            <w:pPr>
              <w:spacing w:after="0"/>
              <w:rPr>
                <w:sz w:val="14"/>
                <w:szCs w:val="14"/>
                <w:color w:val="auto"/>
              </w:rPr>
            </w:pPr>
          </w:p>
        </w:tc>
        <w:tc>
          <w:tcPr>
            <w:tcW w:w="1540" w:type="dxa"/>
            <w:vAlign w:val="bottom"/>
            <w:gridSpan w:val="2"/>
          </w:tcPr>
          <w:p>
            <w:pPr>
              <w:jc w:val="center"/>
              <w:ind w:right="259"/>
              <w:spacing w:after="0" w:line="162"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307,445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117,783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Restricted cash, current</w:t>
            </w:r>
          </w:p>
        </w:tc>
        <w:tc>
          <w:tcPr>
            <w:tcW w:w="200" w:type="dxa"/>
            <w:vAlign w:val="bottom"/>
          </w:tcPr>
          <w:p>
            <w:pPr>
              <w:spacing w:after="0"/>
              <w:rPr>
                <w:sz w:val="16"/>
                <w:szCs w:val="16"/>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w w:val="98"/>
              </w:rPr>
              <w:t>Accounts receivable, net of allowance for doubtful accounts of $85 and $162 as of December 31, 2021 and</w:t>
            </w:r>
          </w:p>
        </w:tc>
        <w:tc>
          <w:tcPr>
            <w:tcW w:w="200" w:type="dxa"/>
            <w:vAlign w:val="bottom"/>
            <w:shd w:val="clear" w:color="auto" w:fill="CFF0FC"/>
          </w:tcPr>
          <w:p>
            <w:pPr>
              <w:spacing w:after="0"/>
              <w:rPr>
                <w:sz w:val="13"/>
                <w:szCs w:val="13"/>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20,444</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17,396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2020, respectively</w:t>
            </w:r>
          </w:p>
        </w:tc>
        <w:tc>
          <w:tcPr>
            <w:tcW w:w="200" w:type="dxa"/>
            <w:vAlign w:val="bottom"/>
            <w:shd w:val="clear" w:color="auto" w:fill="CFF0FC"/>
          </w:tcPr>
          <w:p>
            <w:pPr>
              <w:spacing w:after="0"/>
              <w:rPr>
                <w:sz w:val="17"/>
                <w:szCs w:val="17"/>
                <w:color w:val="auto"/>
              </w:rPr>
            </w:pPr>
          </w:p>
        </w:tc>
        <w:tc>
          <w:tcPr>
            <w:tcW w:w="14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19,116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Deferred commissions, current</w:t>
            </w:r>
          </w:p>
        </w:tc>
        <w:tc>
          <w:tcPr>
            <w:tcW w:w="20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8,112</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5,563</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5"/>
                <w:szCs w:val="15"/>
                <w:color w:val="auto"/>
              </w:rPr>
            </w:pP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355,117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148,679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3,554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Restricted cash, noncurrent</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commissions, noncurrent</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20,573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11,389</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6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400,388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175,082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76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LIABILITIES, REDEEMABLE CONVERTIBLE PREFERRED STOCK AND STOCKHOLDERS'</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EQUITY (DEFICIT)</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3,363</w:t>
            </w:r>
          </w:p>
        </w:tc>
        <w:tc>
          <w:tcPr>
            <w:tcW w:w="2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4,417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17,936</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69,294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90,593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53,324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93,840</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54,391</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color w:val="auto"/>
              </w:rPr>
              <w:t>Commitments and contingencies (Note 8)</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Redeemable convertible preferred stock:</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ind w:left="200"/>
              <w:spacing w:after="0" w:line="152" w:lineRule="exact"/>
              <w:rPr>
                <w:sz w:val="20"/>
                <w:szCs w:val="20"/>
                <w:color w:val="auto"/>
              </w:rPr>
            </w:pPr>
            <w:r>
              <w:rPr>
                <w:rFonts w:ascii="Arial" w:cs="Arial" w:eastAsia="Arial" w:hAnsi="Arial"/>
                <w:sz w:val="16"/>
                <w:szCs w:val="16"/>
                <w:color w:val="auto"/>
              </w:rPr>
              <w:t>Redeemable convertible preferred stock, $0.00001 par value per share; zero and</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20"/>
              <w:spacing w:after="0" w:line="162" w:lineRule="exact"/>
              <w:rPr>
                <w:sz w:val="20"/>
                <w:szCs w:val="20"/>
                <w:color w:val="auto"/>
              </w:rPr>
            </w:pPr>
            <w:r>
              <w:rPr>
                <w:rFonts w:ascii="Arial" w:cs="Arial" w:eastAsia="Arial" w:hAnsi="Arial"/>
                <w:sz w:val="16"/>
                <w:szCs w:val="16"/>
                <w:color w:val="auto"/>
              </w:rPr>
              <w:t>61,740 shares authorized as of December 31, 2021 and 2020, respectively;</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20"/>
              <w:spacing w:after="0" w:line="162" w:lineRule="exact"/>
              <w:rPr>
                <w:sz w:val="20"/>
                <w:szCs w:val="20"/>
                <w:color w:val="auto"/>
              </w:rPr>
            </w:pPr>
            <w:r>
              <w:rPr>
                <w:rFonts w:ascii="Arial" w:cs="Arial" w:eastAsia="Arial" w:hAnsi="Arial"/>
                <w:sz w:val="16"/>
                <w:szCs w:val="16"/>
                <w:color w:val="auto"/>
              </w:rPr>
              <w:t>zero and 61,717 shares issued and outstanding as of December 31, 2021</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20"/>
              <w:spacing w:after="0" w:line="162" w:lineRule="exact"/>
              <w:rPr>
                <w:sz w:val="20"/>
                <w:szCs w:val="20"/>
                <w:color w:val="auto"/>
              </w:rPr>
            </w:pPr>
            <w:r>
              <w:rPr>
                <w:rFonts w:ascii="Arial" w:cs="Arial" w:eastAsia="Arial" w:hAnsi="Arial"/>
                <w:sz w:val="16"/>
                <w:szCs w:val="16"/>
                <w:color w:val="auto"/>
              </w:rPr>
              <w:t>and 2020, respectively; aggregate liquidation preference of zero and $192,074</w:t>
            </w:r>
          </w:p>
        </w:tc>
        <w:tc>
          <w:tcPr>
            <w:tcW w:w="200" w:type="dxa"/>
            <w:vAlign w:val="bottom"/>
          </w:tcPr>
          <w:p>
            <w:pPr>
              <w:spacing w:after="0"/>
              <w:rPr>
                <w:sz w:val="14"/>
                <w:szCs w:val="14"/>
                <w:color w:val="auto"/>
              </w:rPr>
            </w:pP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187,811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60" w:type="dxa"/>
            <w:vAlign w:val="bottom"/>
          </w:tcPr>
          <w:p>
            <w:pPr>
              <w:ind w:left="320"/>
              <w:spacing w:after="0"/>
              <w:rPr>
                <w:sz w:val="20"/>
                <w:szCs w:val="20"/>
                <w:color w:val="auto"/>
              </w:rPr>
            </w:pPr>
            <w:r>
              <w:rPr>
                <w:rFonts w:ascii="Arial" w:cs="Arial" w:eastAsia="Arial" w:hAnsi="Arial"/>
                <w:sz w:val="16"/>
                <w:szCs w:val="16"/>
                <w:color w:val="auto"/>
              </w:rPr>
              <w:t>as of December 31, 2021 and 2020, respectively</w:t>
            </w:r>
          </w:p>
        </w:tc>
        <w:tc>
          <w:tcPr>
            <w:tcW w:w="2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 (deficit):</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ind w:left="200"/>
              <w:spacing w:after="0" w:line="152" w:lineRule="exact"/>
              <w:rPr>
                <w:sz w:val="20"/>
                <w:szCs w:val="20"/>
                <w:color w:val="auto"/>
              </w:rPr>
            </w:pPr>
            <w:r>
              <w:rPr>
                <w:rFonts w:ascii="Arial" w:cs="Arial" w:eastAsia="Arial" w:hAnsi="Arial"/>
                <w:sz w:val="16"/>
                <w:szCs w:val="16"/>
                <w:color w:val="auto"/>
              </w:rPr>
              <w:t>Preferred stock, $0.00001 par value per share; 20,000 and zero shares authorized</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20"/>
              <w:spacing w:after="0" w:line="162" w:lineRule="exact"/>
              <w:rPr>
                <w:sz w:val="20"/>
                <w:szCs w:val="20"/>
                <w:color w:val="auto"/>
              </w:rPr>
            </w:pPr>
            <w:r>
              <w:rPr>
                <w:rFonts w:ascii="Arial" w:cs="Arial" w:eastAsia="Arial" w:hAnsi="Arial"/>
                <w:sz w:val="16"/>
                <w:szCs w:val="16"/>
                <w:color w:val="auto"/>
              </w:rPr>
              <w:t>as of December 31, 2021 and 2020, respectively; zero shares issued and</w:t>
            </w:r>
          </w:p>
        </w:tc>
        <w:tc>
          <w:tcPr>
            <w:tcW w:w="200" w:type="dxa"/>
            <w:vAlign w:val="bottom"/>
          </w:tcPr>
          <w:p>
            <w:pPr>
              <w:spacing w:after="0"/>
              <w:rPr>
                <w:sz w:val="14"/>
                <w:szCs w:val="14"/>
                <w:color w:val="auto"/>
              </w:rPr>
            </w:pP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54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tcPr>
          <w:p>
            <w:pPr>
              <w:ind w:left="320"/>
              <w:spacing w:after="0"/>
              <w:rPr>
                <w:sz w:val="20"/>
                <w:szCs w:val="20"/>
                <w:color w:val="auto"/>
              </w:rPr>
            </w:pPr>
            <w:r>
              <w:rPr>
                <w:rFonts w:ascii="Arial" w:cs="Arial" w:eastAsia="Arial" w:hAnsi="Arial"/>
                <w:sz w:val="16"/>
                <w:szCs w:val="16"/>
                <w:color w:val="auto"/>
              </w:rPr>
              <w:t>outstanding as of December 31, 2021 and 2020, respectively</w:t>
            </w:r>
          </w:p>
        </w:tc>
        <w:tc>
          <w:tcPr>
            <w:tcW w:w="2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Class A common stock, $0.00001 par value per share; 600,000 and zero shares</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20"/>
              <w:spacing w:after="0" w:line="162" w:lineRule="exact"/>
              <w:rPr>
                <w:sz w:val="20"/>
                <w:szCs w:val="20"/>
                <w:color w:val="auto"/>
              </w:rPr>
            </w:pPr>
            <w:r>
              <w:rPr>
                <w:rFonts w:ascii="Arial" w:cs="Arial" w:eastAsia="Arial" w:hAnsi="Arial"/>
                <w:sz w:val="16"/>
                <w:szCs w:val="16"/>
                <w:color w:val="auto"/>
              </w:rPr>
              <w:t>authorized as of December 31, 2021 and 2020, respectively; 58,725 and zero</w:t>
            </w:r>
          </w:p>
        </w:tc>
        <w:tc>
          <w:tcPr>
            <w:tcW w:w="200" w:type="dxa"/>
            <w:vAlign w:val="bottom"/>
            <w:shd w:val="clear" w:color="auto" w:fill="CFF0FC"/>
          </w:tcPr>
          <w:p>
            <w:pPr>
              <w:spacing w:after="0"/>
              <w:rPr>
                <w:sz w:val="14"/>
                <w:szCs w:val="14"/>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shares issued and outstanding as of December 31, 2021 and 2020, respectively</w:t>
            </w:r>
          </w:p>
        </w:tc>
        <w:tc>
          <w:tcPr>
            <w:tcW w:w="200" w:type="dxa"/>
            <w:vAlign w:val="bottom"/>
            <w:shd w:val="clear" w:color="auto" w:fill="CFF0FC"/>
          </w:tcPr>
          <w:p>
            <w:pPr>
              <w:spacing w:after="0"/>
              <w:rPr>
                <w:sz w:val="17"/>
                <w:szCs w:val="17"/>
                <w:color w:val="auto"/>
              </w:rPr>
            </w:pPr>
          </w:p>
        </w:tc>
        <w:tc>
          <w:tcPr>
            <w:tcW w:w="14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60" w:type="dxa"/>
            <w:vAlign w:val="bottom"/>
          </w:tcPr>
          <w:p>
            <w:pPr>
              <w:ind w:left="200"/>
              <w:spacing w:after="0" w:line="152" w:lineRule="exact"/>
              <w:rPr>
                <w:sz w:val="20"/>
                <w:szCs w:val="20"/>
                <w:color w:val="auto"/>
              </w:rPr>
            </w:pPr>
            <w:r>
              <w:rPr>
                <w:rFonts w:ascii="Arial" w:cs="Arial" w:eastAsia="Arial" w:hAnsi="Arial"/>
                <w:sz w:val="16"/>
                <w:szCs w:val="16"/>
                <w:color w:val="auto"/>
              </w:rPr>
              <w:t>Class B common stock, $0.00001 par value per share; 600,000 and 118,600</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20"/>
              <w:spacing w:after="0" w:line="162" w:lineRule="exact"/>
              <w:rPr>
                <w:sz w:val="20"/>
                <w:szCs w:val="20"/>
                <w:color w:val="auto"/>
              </w:rPr>
            </w:pPr>
            <w:r>
              <w:rPr>
                <w:rFonts w:ascii="Arial" w:cs="Arial" w:eastAsia="Arial" w:hAnsi="Arial"/>
                <w:sz w:val="16"/>
                <w:szCs w:val="16"/>
                <w:color w:val="auto"/>
              </w:rPr>
              <w:t>shares authorized as of December 31, 2021 and 2020, respectively; 51,151</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20"/>
              <w:spacing w:after="0" w:line="162" w:lineRule="exact"/>
              <w:rPr>
                <w:sz w:val="20"/>
                <w:szCs w:val="20"/>
                <w:color w:val="auto"/>
              </w:rPr>
            </w:pPr>
            <w:r>
              <w:rPr>
                <w:rFonts w:ascii="Arial" w:cs="Arial" w:eastAsia="Arial" w:hAnsi="Arial"/>
                <w:sz w:val="16"/>
                <w:szCs w:val="16"/>
                <w:color w:val="auto"/>
              </w:rPr>
              <w:t>and 27,924 shares issued and outstanding as of December 31, 2021 and</w:t>
            </w:r>
          </w:p>
        </w:tc>
        <w:tc>
          <w:tcPr>
            <w:tcW w:w="200" w:type="dxa"/>
            <w:vAlign w:val="bottom"/>
          </w:tcPr>
          <w:p>
            <w:pPr>
              <w:spacing w:after="0"/>
              <w:rPr>
                <w:sz w:val="14"/>
                <w:szCs w:val="14"/>
                <w:color w:val="auto"/>
              </w:rPr>
            </w:pP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54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tcPr>
          <w:p>
            <w:pPr>
              <w:ind w:left="320"/>
              <w:spacing w:after="0"/>
              <w:rPr>
                <w:sz w:val="20"/>
                <w:szCs w:val="20"/>
                <w:color w:val="auto"/>
              </w:rPr>
            </w:pPr>
            <w:r>
              <w:rPr>
                <w:rFonts w:ascii="Arial" w:cs="Arial" w:eastAsia="Arial" w:hAnsi="Arial"/>
                <w:sz w:val="16"/>
                <w:szCs w:val="16"/>
                <w:color w:val="auto"/>
              </w:rPr>
              <w:t>2020, respectively</w:t>
            </w:r>
          </w:p>
        </w:tc>
        <w:tc>
          <w:tcPr>
            <w:tcW w:w="2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486,354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37,704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(179,807 )</w:t>
            </w:r>
          </w:p>
        </w:tc>
        <w:tc>
          <w:tcPr>
            <w:tcW w:w="22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(104,824 )</w:t>
            </w:r>
          </w:p>
        </w:tc>
        <w:tc>
          <w:tcPr>
            <w:tcW w:w="0" w:type="dxa"/>
            <w:vAlign w:val="bottom"/>
          </w:tcPr>
          <w:p>
            <w:pPr>
              <w:spacing w:after="0"/>
              <w:rPr>
                <w:sz w:val="1"/>
                <w:szCs w:val="1"/>
                <w:color w:val="auto"/>
              </w:rPr>
            </w:pPr>
          </w:p>
        </w:tc>
      </w:tr>
      <w:tr>
        <w:trPr>
          <w:trHeight w:val="183"/>
        </w:trPr>
        <w:tc>
          <w:tcPr>
            <w:tcW w:w="766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stockholders’ equity (deficit)</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4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306,548</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4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(67,120</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660" w:type="dxa"/>
            <w:vAlign w:val="bottom"/>
          </w:tcPr>
          <w:p>
            <w:pPr>
              <w:ind w:left="380"/>
              <w:spacing w:after="0" w:line="169" w:lineRule="exact"/>
              <w:rPr>
                <w:sz w:val="20"/>
                <w:szCs w:val="20"/>
                <w:color w:val="auto"/>
              </w:rPr>
            </w:pPr>
            <w:r>
              <w:rPr>
                <w:rFonts w:ascii="Arial" w:cs="Arial" w:eastAsia="Arial" w:hAnsi="Arial"/>
                <w:sz w:val="16"/>
                <w:szCs w:val="16"/>
                <w:color w:val="auto"/>
              </w:rPr>
              <w:t>Total liabilities, redeemable convertible preferred stock and stockholders’ equity (deficit)</w:t>
            </w:r>
          </w:p>
        </w:tc>
        <w:tc>
          <w:tcPr>
            <w:tcW w:w="2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400,388</w:t>
            </w: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175,082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-4582795</wp:posOffset>
            </wp:positionV>
            <wp:extent cx="514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-4582795</wp:posOffset>
            </wp:positionV>
            <wp:extent cx="514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-3608070</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-3590925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-3608070</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-3590925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-2499360</wp:posOffset>
            </wp:positionV>
            <wp:extent cx="514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-2499360</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-150495</wp:posOffset>
            </wp:positionV>
            <wp:extent cx="514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r>
      <w:tr>
        <w:trPr>
          <w:trHeight w:val="176"/>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5"/>
                <w:szCs w:val="15"/>
                <w:color w:val="auto"/>
              </w:rPr>
            </w:pPr>
          </w:p>
        </w:tc>
        <w:tc>
          <w:tcPr>
            <w:tcW w:w="146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December 31,</w:t>
            </w:r>
          </w:p>
        </w:tc>
      </w:tr>
      <w:tr>
        <w:trPr>
          <w:trHeight w:val="216"/>
        </w:trPr>
        <w:tc>
          <w:tcPr>
            <w:tcW w:w="6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8"/>
                <w:szCs w:val="18"/>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167,261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102,464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68,442</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51,764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30,483</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22,105</w:t>
            </w:r>
          </w:p>
        </w:tc>
        <w:tc>
          <w:tcPr>
            <w:tcW w:w="80" w:type="dxa"/>
            <w:vAlign w:val="bottom"/>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115,497</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71,981</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46,337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48,251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26,098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19,036</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86,025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51,819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47,079</w:t>
            </w:r>
          </w:p>
        </w:tc>
        <w:tc>
          <w:tcPr>
            <w:tcW w:w="8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55,370</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18,067</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14,553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189,646</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95,984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80,668</w:t>
            </w:r>
          </w:p>
        </w:tc>
        <w:tc>
          <w:tcPr>
            <w:tcW w:w="80" w:type="dxa"/>
            <w:vAlign w:val="bottom"/>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380"/>
              <w:spacing w:after="0" w:line="196"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7"/>
                <w:szCs w:val="17"/>
                <w:color w:val="auto"/>
              </w:rPr>
            </w:pPr>
          </w:p>
        </w:tc>
        <w:tc>
          <w:tcPr>
            <w:tcW w:w="15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(73,954 )</w:t>
            </w:r>
          </w:p>
        </w:tc>
        <w:tc>
          <w:tcPr>
            <w:tcW w:w="120" w:type="dxa"/>
            <w:vAlign w:val="bottom"/>
          </w:tcPr>
          <w:p>
            <w:pPr>
              <w:spacing w:after="0"/>
              <w:rPr>
                <w:sz w:val="17"/>
                <w:szCs w:val="17"/>
                <w:color w:val="auto"/>
              </w:rPr>
            </w:pPr>
          </w:p>
        </w:tc>
        <w:tc>
          <w:tcPr>
            <w:tcW w:w="1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(23,734 )</w:t>
            </w:r>
          </w:p>
        </w:tc>
        <w:tc>
          <w:tcPr>
            <w:tcW w:w="120" w:type="dxa"/>
            <w:vAlign w:val="bottom"/>
          </w:tcPr>
          <w:p>
            <w:pPr>
              <w:spacing w:after="0"/>
              <w:rPr>
                <w:sz w:val="17"/>
                <w:szCs w:val="17"/>
                <w:color w:val="auto"/>
              </w:rPr>
            </w:pP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(32,871 )</w:t>
            </w: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1,029</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833</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38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(74,983 )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(24,567 )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(33,534 )</w:t>
            </w:r>
          </w:p>
        </w:tc>
      </w:tr>
      <w:tr>
        <w:trPr>
          <w:trHeight w:val="20"/>
        </w:trPr>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attributable to Class A and Class B common stockholders:</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(1.46 )</w:t>
            </w:r>
          </w:p>
        </w:tc>
        <w:tc>
          <w:tcPr>
            <w:tcW w:w="120" w:type="dxa"/>
            <w:vAlign w:val="bottom"/>
          </w:tcPr>
          <w:p>
            <w:pPr>
              <w:spacing w:after="0"/>
              <w:rPr>
                <w:sz w:val="17"/>
                <w:szCs w:val="17"/>
                <w:color w:val="auto"/>
              </w:rPr>
            </w:pPr>
          </w:p>
        </w:tc>
        <w:tc>
          <w:tcPr>
            <w:tcW w:w="1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(0.98 )</w:t>
            </w:r>
          </w:p>
        </w:tc>
        <w:tc>
          <w:tcPr>
            <w:tcW w:w="12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(1.38 )</w:t>
            </w:r>
          </w:p>
        </w:tc>
      </w:tr>
      <w:tr>
        <w:trPr>
          <w:trHeight w:val="20"/>
        </w:trPr>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658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shares used in computing net loss per share attributable to Class A</w:t>
            </w: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and Class B common stockholders: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51,360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25,060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24,322</w:t>
            </w:r>
          </w:p>
        </w:tc>
        <w:tc>
          <w:tcPr>
            <w:tcW w:w="8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-1899285</wp:posOffset>
            </wp:positionV>
            <wp:extent cx="5969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-1899285</wp:posOffset>
            </wp:positionV>
            <wp:extent cx="514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-1899285</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-1376680</wp:posOffset>
            </wp:positionV>
            <wp:extent cx="5969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-1376680</wp:posOffset>
            </wp:positionV>
            <wp:extent cx="5143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-1376680</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-1102360</wp:posOffset>
            </wp:positionV>
            <wp:extent cx="5969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-1102360</wp:posOffset>
            </wp:positionV>
            <wp:extent cx="514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-1102360</wp:posOffset>
            </wp:positionV>
            <wp:extent cx="5143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-836295</wp:posOffset>
            </wp:positionV>
            <wp:extent cx="5969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-836295</wp:posOffset>
            </wp:positionV>
            <wp:extent cx="514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-836295</wp:posOffset>
            </wp:positionV>
            <wp:extent cx="5143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Redeemable convertible</w:t>
            </w:r>
          </w:p>
        </w:tc>
        <w:tc>
          <w:tcPr>
            <w:tcW w:w="20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4"/>
              </w:rPr>
              <w:t>Class A and Class B common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preferred stock</w:t>
            </w:r>
          </w:p>
        </w:tc>
        <w:tc>
          <w:tcPr>
            <w:tcW w:w="12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stock</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12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4"/>
              </w:rPr>
              <w:t>equity (deficit)</w:t>
            </w: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2018</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56,399</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137,294</w:t>
            </w:r>
          </w:p>
        </w:tc>
        <w:tc>
          <w:tcPr>
            <w:tcW w:w="24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24,559</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9,665</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(46,723</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(37,058</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3"/>
        </w:trPr>
        <w:tc>
          <w:tcPr>
            <w:tcW w:w="3160" w:type="dxa"/>
            <w:vAlign w:val="bottom"/>
          </w:tcPr>
          <w:p>
            <w:pPr>
              <w:ind w:left="20"/>
              <w:spacing w:after="0" w:line="143" w:lineRule="exact"/>
              <w:rPr>
                <w:sz w:val="20"/>
                <w:szCs w:val="20"/>
                <w:color w:val="auto"/>
              </w:rPr>
            </w:pPr>
            <w:r>
              <w:rPr>
                <w:rFonts w:ascii="Arial" w:cs="Arial" w:eastAsia="Arial" w:hAnsi="Arial"/>
                <w:sz w:val="14"/>
                <w:szCs w:val="14"/>
                <w:color w:val="auto"/>
                <w:w w:val="96"/>
              </w:rPr>
              <w:t>Issuance of redeemable convertible preferred stock,</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20"/>
              <w:spacing w:after="0"/>
              <w:rPr>
                <w:sz w:val="20"/>
                <w:szCs w:val="20"/>
                <w:color w:val="auto"/>
              </w:rPr>
            </w:pPr>
            <w:r>
              <w:rPr>
                <w:rFonts w:ascii="Arial" w:cs="Arial" w:eastAsia="Arial" w:hAnsi="Arial"/>
                <w:sz w:val="14"/>
                <w:szCs w:val="14"/>
                <w:color w:val="auto"/>
              </w:rPr>
              <w:t>net of issuance costs of $3</w:t>
            </w:r>
          </w:p>
        </w:tc>
        <w:tc>
          <w:tcPr>
            <w:tcW w:w="700" w:type="dxa"/>
            <w:vAlign w:val="bottom"/>
          </w:tcPr>
          <w:p>
            <w:pPr>
              <w:jc w:val="right"/>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697</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160" w:type="dxa"/>
            <w:vAlign w:val="bottom"/>
          </w:tcPr>
          <w:p>
            <w:pPr>
              <w:ind w:left="20"/>
              <w:spacing w:after="0" w:line="143" w:lineRule="exact"/>
              <w:rPr>
                <w:sz w:val="20"/>
                <w:szCs w:val="20"/>
                <w:color w:val="auto"/>
              </w:rPr>
            </w:pPr>
            <w:r>
              <w:rPr>
                <w:rFonts w:ascii="Arial" w:cs="Arial" w:eastAsia="Arial" w:hAnsi="Arial"/>
                <w:sz w:val="14"/>
                <w:szCs w:val="14"/>
                <w:color w:val="auto"/>
              </w:rPr>
              <w:t>Donation of common stock and repurchase of</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20"/>
              <w:spacing w:after="0"/>
              <w:rPr>
                <w:sz w:val="20"/>
                <w:szCs w:val="20"/>
                <w:color w:val="auto"/>
              </w:rPr>
            </w:pPr>
            <w:r>
              <w:rPr>
                <w:rFonts w:ascii="Arial" w:cs="Arial" w:eastAsia="Arial" w:hAnsi="Arial"/>
                <w:sz w:val="14"/>
                <w:szCs w:val="14"/>
                <w:color w:val="auto"/>
              </w:rPr>
              <w:t>unvested stock options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(741 )</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restricted stock awards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4"/>
                <w:szCs w:val="14"/>
                <w:color w:val="auto"/>
              </w:rPr>
              <w:t>(33,534 )</w:t>
            </w: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(33,534 )</w:t>
            </w: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56,480</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137,991</w:t>
            </w:r>
          </w:p>
        </w:tc>
        <w:tc>
          <w:tcPr>
            <w:tcW w:w="24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24,646</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17,378</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(80,257</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(62,879</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3"/>
        </w:trPr>
        <w:tc>
          <w:tcPr>
            <w:tcW w:w="3160" w:type="dxa"/>
            <w:vAlign w:val="bottom"/>
          </w:tcPr>
          <w:p>
            <w:pPr>
              <w:ind w:left="20"/>
              <w:spacing w:after="0" w:line="143" w:lineRule="exact"/>
              <w:rPr>
                <w:sz w:val="20"/>
                <w:szCs w:val="20"/>
                <w:color w:val="auto"/>
              </w:rPr>
            </w:pPr>
            <w:r>
              <w:rPr>
                <w:rFonts w:ascii="Arial" w:cs="Arial" w:eastAsia="Arial" w:hAnsi="Arial"/>
                <w:sz w:val="14"/>
                <w:szCs w:val="14"/>
                <w:color w:val="auto"/>
                <w:w w:val="96"/>
              </w:rPr>
              <w:t>Issuance of redeemable convertible preferred stock,</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20"/>
              <w:spacing w:after="0"/>
              <w:rPr>
                <w:sz w:val="20"/>
                <w:szCs w:val="20"/>
                <w:color w:val="auto"/>
              </w:rPr>
            </w:pPr>
            <w:r>
              <w:rPr>
                <w:rFonts w:ascii="Arial" w:cs="Arial" w:eastAsia="Arial" w:hAnsi="Arial"/>
                <w:sz w:val="14"/>
                <w:szCs w:val="14"/>
                <w:color w:val="auto"/>
              </w:rPr>
              <w:t>net of issuance costs of $169</w:t>
            </w:r>
          </w:p>
        </w:tc>
        <w:tc>
          <w:tcPr>
            <w:tcW w:w="700" w:type="dxa"/>
            <w:vAlign w:val="bottom"/>
          </w:tcPr>
          <w:p>
            <w:pPr>
              <w:jc w:val="right"/>
              <w:spacing w:after="0"/>
              <w:rPr>
                <w:sz w:val="20"/>
                <w:szCs w:val="20"/>
                <w:color w:val="auto"/>
              </w:rPr>
            </w:pPr>
            <w:r>
              <w:rPr>
                <w:rFonts w:ascii="Arial" w:cs="Arial" w:eastAsia="Arial" w:hAnsi="Arial"/>
                <w:sz w:val="14"/>
                <w:szCs w:val="14"/>
                <w:color w:val="auto"/>
              </w:rPr>
              <w:t>5,237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49,820</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16,553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16,553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3,648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3,637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160" w:type="dxa"/>
            <w:vAlign w:val="bottom"/>
          </w:tcPr>
          <w:p>
            <w:pPr>
              <w:ind w:left="20"/>
              <w:spacing w:after="0" w:line="143" w:lineRule="exact"/>
              <w:rPr>
                <w:sz w:val="20"/>
                <w:szCs w:val="20"/>
                <w:color w:val="auto"/>
              </w:rPr>
            </w:pPr>
            <w:r>
              <w:rPr>
                <w:rFonts w:ascii="Arial" w:cs="Arial" w:eastAsia="Arial" w:hAnsi="Arial"/>
                <w:sz w:val="14"/>
                <w:szCs w:val="14"/>
                <w:color w:val="auto"/>
              </w:rPr>
              <w:t>Donation of common stock and repurchase of</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20"/>
              <w:spacing w:after="0"/>
              <w:rPr>
                <w:sz w:val="20"/>
                <w:szCs w:val="20"/>
                <w:color w:val="auto"/>
              </w:rPr>
            </w:pPr>
            <w:r>
              <w:rPr>
                <w:rFonts w:ascii="Arial" w:cs="Arial" w:eastAsia="Arial" w:hAnsi="Arial"/>
                <w:sz w:val="14"/>
                <w:szCs w:val="14"/>
                <w:color w:val="auto"/>
              </w:rPr>
              <w:t>unvested stock options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(370 )</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(24,567 )</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(24,567 )</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700" w:type="dxa"/>
            <w:vAlign w:val="bottom"/>
          </w:tcPr>
          <w:p>
            <w:pPr>
              <w:jc w:val="right"/>
              <w:spacing w:after="0"/>
              <w:rPr>
                <w:sz w:val="20"/>
                <w:szCs w:val="20"/>
                <w:color w:val="auto"/>
              </w:rPr>
            </w:pPr>
            <w:r>
              <w:rPr>
                <w:rFonts w:ascii="Arial" w:cs="Arial" w:eastAsia="Arial" w:hAnsi="Arial"/>
                <w:sz w:val="14"/>
                <w:szCs w:val="14"/>
                <w:color w:val="auto"/>
              </w:rPr>
              <w:t>61,717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187,811</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27,924</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37,704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68"/>
              <w:spacing w:after="0"/>
              <w:rPr>
                <w:sz w:val="20"/>
                <w:szCs w:val="20"/>
                <w:color w:val="auto"/>
              </w:rPr>
            </w:pPr>
            <w:r>
              <w:rPr>
                <w:rFonts w:ascii="Arial" w:cs="Arial" w:eastAsia="Arial" w:hAnsi="Arial"/>
                <w:sz w:val="14"/>
                <w:szCs w:val="14"/>
                <w:color w:val="auto"/>
              </w:rPr>
              <w:t>(104,824 )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(67,120 )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34,773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34,773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10,301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16,982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1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 connection with an</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acquisition</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160" w:type="dxa"/>
            <w:vAlign w:val="bottom"/>
          </w:tcPr>
          <w:p>
            <w:pPr>
              <w:ind w:left="20"/>
              <w:spacing w:after="0" w:line="143" w:lineRule="exact"/>
              <w:rPr>
                <w:sz w:val="20"/>
                <w:szCs w:val="20"/>
                <w:color w:val="auto"/>
              </w:rPr>
            </w:pPr>
            <w:r>
              <w:rPr>
                <w:rFonts w:ascii="Arial" w:cs="Arial" w:eastAsia="Arial" w:hAnsi="Arial"/>
                <w:sz w:val="14"/>
                <w:szCs w:val="14"/>
                <w:color w:val="auto"/>
                <w:w w:val="96"/>
              </w:rPr>
              <w:t>Issuance of redeemable convertible preferred stock,</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20"/>
              <w:spacing w:after="0"/>
              <w:rPr>
                <w:sz w:val="20"/>
                <w:szCs w:val="20"/>
                <w:color w:val="auto"/>
              </w:rPr>
            </w:pPr>
            <w:r>
              <w:rPr>
                <w:rFonts w:ascii="Arial" w:cs="Arial" w:eastAsia="Arial" w:hAnsi="Arial"/>
                <w:sz w:val="14"/>
                <w:szCs w:val="14"/>
                <w:color w:val="auto"/>
              </w:rPr>
              <w:t>net of issuance costs of $198</w:t>
            </w:r>
          </w:p>
        </w:tc>
        <w:tc>
          <w:tcPr>
            <w:tcW w:w="700" w:type="dxa"/>
            <w:vAlign w:val="bottom"/>
          </w:tcPr>
          <w:p>
            <w:pPr>
              <w:jc w:val="right"/>
              <w:spacing w:after="0"/>
              <w:rPr>
                <w:sz w:val="20"/>
                <w:szCs w:val="20"/>
                <w:color w:val="auto"/>
              </w:rPr>
            </w:pPr>
            <w:r>
              <w:rPr>
                <w:rFonts w:ascii="Arial" w:cs="Arial" w:eastAsia="Arial" w:hAnsi="Arial"/>
                <w:sz w:val="14"/>
                <w:szCs w:val="14"/>
                <w:color w:val="auto"/>
              </w:rPr>
              <w:t>6,247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199,802</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1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Conversion of redeemable convertible preferred</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to common stock upon Direct Listing</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(67,964 )</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(387,613 )</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67,964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387,612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387,613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2,617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4"/>
                <w:szCs w:val="14"/>
                <w:color w:val="auto"/>
              </w:rPr>
              <w:t>(74,983 )</w:t>
            </w: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(74,983 )</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December 31, 2021</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109,876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486,354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(179,807</w:t>
            </w:r>
          </w:p>
        </w:tc>
        <w:tc>
          <w:tcPr>
            <w:tcW w:w="220" w:type="dxa"/>
            <w:vAlign w:val="bottom"/>
            <w:tcBorders>
              <w:bottom w:val="single" w:sz="8" w:color="CFF0FC"/>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306,548</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-1436370</wp:posOffset>
            </wp:positionV>
            <wp:extent cx="768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-1436370</wp:posOffset>
            </wp:positionV>
            <wp:extent cx="7747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-1436370</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-1436370</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-1436370</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-1436370</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-1436370</wp:posOffset>
            </wp:positionV>
            <wp:extent cx="431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7"/>
                <w:szCs w:val="17"/>
                <w:color w:val="auto"/>
              </w:rPr>
            </w:pPr>
          </w:p>
        </w:tc>
        <w:tc>
          <w:tcPr>
            <w:tcW w:w="14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7"/>
                <w:szCs w:val="17"/>
                <w:color w:val="auto"/>
              </w:rPr>
            </w:pPr>
          </w:p>
        </w:tc>
        <w:tc>
          <w:tcPr>
            <w:tcW w:w="12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r>
      <w:tr>
        <w:trPr>
          <w:trHeight w:val="175"/>
        </w:trPr>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center"/>
              <w:ind w:right="39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5"/>
                <w:szCs w:val="15"/>
                <w:color w:val="auto"/>
              </w:rPr>
            </w:pPr>
          </w:p>
        </w:tc>
        <w:tc>
          <w:tcPr>
            <w:tcW w:w="1400" w:type="dxa"/>
            <w:vAlign w:val="bottom"/>
            <w:gridSpan w:val="2"/>
          </w:tcPr>
          <w:p>
            <w:pPr>
              <w:jc w:val="center"/>
              <w:ind w:right="23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5"/>
                <w:szCs w:val="15"/>
                <w:color w:val="auto"/>
              </w:rPr>
            </w:pPr>
          </w:p>
        </w:tc>
        <w:tc>
          <w:tcPr>
            <w:tcW w:w="1260" w:type="dxa"/>
            <w:vAlign w:val="bottom"/>
            <w:gridSpan w:val="2"/>
          </w:tcPr>
          <w:p>
            <w:pPr>
              <w:jc w:val="center"/>
              <w:ind w:right="110"/>
              <w:spacing w:after="0" w:line="176" w:lineRule="exact"/>
              <w:rPr>
                <w:sz w:val="20"/>
                <w:szCs w:val="20"/>
                <w:color w:val="auto"/>
              </w:rPr>
            </w:pPr>
            <w:r>
              <w:rPr>
                <w:rFonts w:ascii="Arial" w:cs="Arial" w:eastAsia="Arial" w:hAnsi="Arial"/>
                <w:sz w:val="18"/>
                <w:szCs w:val="18"/>
                <w:b w:val="1"/>
                <w:bCs w:val="1"/>
                <w:color w:val="auto"/>
                <w:w w:val="90"/>
              </w:rPr>
              <w:t>December 31,</w:t>
            </w:r>
          </w:p>
        </w:tc>
      </w:tr>
      <w:tr>
        <w:trPr>
          <w:trHeight w:val="216"/>
        </w:trPr>
        <w:tc>
          <w:tcPr>
            <w:tcW w:w="6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8"/>
                <w:szCs w:val="18"/>
                <w:color w:val="auto"/>
              </w:rPr>
            </w:pPr>
          </w:p>
        </w:tc>
      </w:tr>
      <w:tr>
        <w:trPr>
          <w:trHeight w:val="196"/>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(74,983 )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(24,567 )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(33,534 )</w:t>
            </w:r>
          </w:p>
        </w:tc>
      </w:tr>
      <w:tr>
        <w:trPr>
          <w:trHeight w:val="203"/>
        </w:trPr>
        <w:tc>
          <w:tcPr>
            <w:tcW w:w="6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3,093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80" w:type="dxa"/>
            <w:vAlign w:val="bottom"/>
          </w:tcPr>
          <w:p>
            <w:pPr>
              <w:spacing w:after="0"/>
              <w:rPr>
                <w:sz w:val="17"/>
                <w:szCs w:val="17"/>
                <w:color w:val="auto"/>
              </w:rPr>
            </w:pPr>
          </w:p>
        </w:tc>
      </w:tr>
      <w:tr>
        <w:trPr>
          <w:trHeight w:val="203"/>
        </w:trPr>
        <w:tc>
          <w:tcPr>
            <w:tcW w:w="6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34,394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16,553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7,334</w:t>
            </w: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380"/>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1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(377 )</w:t>
            </w: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80" w:type="dxa"/>
            <w:vAlign w:val="bottom"/>
          </w:tcPr>
          <w:p>
            <w:pPr>
              <w:spacing w:after="0"/>
              <w:rPr>
                <w:sz w:val="17"/>
                <w:szCs w:val="17"/>
                <w:color w:val="auto"/>
              </w:rPr>
            </w:pPr>
          </w:p>
        </w:tc>
      </w:tr>
      <w:tr>
        <w:trPr>
          <w:trHeight w:val="203"/>
        </w:trPr>
        <w:tc>
          <w:tcPr>
            <w:tcW w:w="6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56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7"/>
                <w:szCs w:val="17"/>
                <w:color w:val="auto"/>
              </w:rPr>
            </w:pPr>
          </w:p>
        </w:tc>
        <w:tc>
          <w:tcPr>
            <w:tcW w:w="1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(3,033 )</w:t>
            </w:r>
          </w:p>
        </w:tc>
        <w:tc>
          <w:tcPr>
            <w:tcW w:w="100" w:type="dxa"/>
            <w:vAlign w:val="bottom"/>
          </w:tcPr>
          <w:p>
            <w:pPr>
              <w:spacing w:after="0"/>
              <w:rPr>
                <w:sz w:val="17"/>
                <w:szCs w:val="17"/>
                <w:color w:val="auto"/>
              </w:rPr>
            </w:pP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(5,561 )</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(1,174 )</w:t>
            </w:r>
          </w:p>
        </w:tc>
      </w:tr>
      <w:tr>
        <w:trPr>
          <w:trHeight w:val="203"/>
        </w:trPr>
        <w:tc>
          <w:tcPr>
            <w:tcW w:w="63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(12,222 )</w:t>
            </w: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(1,469 )</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w:t>
            </w: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560"/>
              <w:spacing w:after="0" w:line="202" w:lineRule="exact"/>
              <w:rPr>
                <w:sz w:val="20"/>
                <w:szCs w:val="20"/>
                <w:color w:val="auto"/>
              </w:rPr>
            </w:pPr>
            <w:r>
              <w:rPr>
                <w:rFonts w:ascii="Arial" w:cs="Arial" w:eastAsia="Arial" w:hAnsi="Arial"/>
                <w:sz w:val="18"/>
                <w:szCs w:val="18"/>
                <w:color w:val="auto"/>
              </w:rPr>
              <w:t>Deferred commissions</w:t>
            </w:r>
          </w:p>
        </w:tc>
        <w:tc>
          <w:tcPr>
            <w:tcW w:w="240" w:type="dxa"/>
            <w:vAlign w:val="bottom"/>
          </w:tcPr>
          <w:p>
            <w:pPr>
              <w:spacing w:after="0"/>
              <w:rPr>
                <w:sz w:val="17"/>
                <w:szCs w:val="17"/>
                <w:color w:val="auto"/>
              </w:rPr>
            </w:pPr>
          </w:p>
        </w:tc>
        <w:tc>
          <w:tcPr>
            <w:tcW w:w="1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(9,245 )</w:t>
            </w:r>
          </w:p>
        </w:tc>
        <w:tc>
          <w:tcPr>
            <w:tcW w:w="100" w:type="dxa"/>
            <w:vAlign w:val="bottom"/>
          </w:tcPr>
          <w:p>
            <w:pPr>
              <w:spacing w:after="0"/>
              <w:rPr>
                <w:sz w:val="17"/>
                <w:szCs w:val="17"/>
                <w:color w:val="auto"/>
              </w:rPr>
            </w:pP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(7,180 )</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(5,799 )</w:t>
            </w:r>
          </w:p>
        </w:tc>
      </w:tr>
      <w:tr>
        <w:trPr>
          <w:trHeight w:val="203"/>
        </w:trPr>
        <w:tc>
          <w:tcPr>
            <w:tcW w:w="63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(4,491 )</w:t>
            </w: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(5,719 )</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(1,028 )</w:t>
            </w:r>
          </w:p>
        </w:tc>
      </w:tr>
      <w:tr>
        <w:trPr>
          <w:trHeight w:val="203"/>
        </w:trPr>
        <w:tc>
          <w:tcPr>
            <w:tcW w:w="6320" w:type="dxa"/>
            <w:vAlign w:val="bottom"/>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7"/>
                <w:szCs w:val="17"/>
                <w:color w:val="auto"/>
              </w:rPr>
            </w:pPr>
          </w:p>
        </w:tc>
        <w:tc>
          <w:tcPr>
            <w:tcW w:w="1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(1,054 )</w:t>
            </w: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80" w:type="dxa"/>
            <w:vAlign w:val="bottom"/>
          </w:tcPr>
          <w:p>
            <w:pPr>
              <w:spacing w:after="0"/>
              <w:rPr>
                <w:sz w:val="17"/>
                <w:szCs w:val="17"/>
                <w:color w:val="auto"/>
              </w:rPr>
            </w:pPr>
          </w:p>
        </w:tc>
      </w:tr>
      <w:tr>
        <w:trPr>
          <w:trHeight w:val="203"/>
        </w:trPr>
        <w:tc>
          <w:tcPr>
            <w:tcW w:w="63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5,556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2,680</w:t>
            </w: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56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28,470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11,047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13,519</w:t>
            </w:r>
          </w:p>
        </w:tc>
        <w:tc>
          <w:tcPr>
            <w:tcW w:w="80" w:type="dxa"/>
            <w:vAlign w:val="bottom"/>
          </w:tcPr>
          <w:p>
            <w:pPr>
              <w:spacing w:after="0"/>
              <w:rPr>
                <w:sz w:val="17"/>
                <w:szCs w:val="17"/>
                <w:color w:val="auto"/>
              </w:rPr>
            </w:pPr>
          </w:p>
        </w:tc>
      </w:tr>
      <w:tr>
        <w:trPr>
          <w:trHeight w:val="203"/>
        </w:trPr>
        <w:tc>
          <w:tcPr>
            <w:tcW w:w="6320" w:type="dxa"/>
            <w:vAlign w:val="bottom"/>
            <w:tcBorders>
              <w:bottom w:val="single" w:sz="8" w:color="CFF0FC"/>
            </w:tcBorders>
            <w:shd w:val="clear" w:color="auto" w:fill="CFF0FC"/>
          </w:tcPr>
          <w:p>
            <w:pPr>
              <w:ind w:left="560"/>
              <w:spacing w:after="0" w:line="202" w:lineRule="exact"/>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2,179</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423</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320" w:type="dxa"/>
            <w:vAlign w:val="bottom"/>
          </w:tcPr>
          <w:p>
            <w:pPr>
              <w:ind w:left="740"/>
              <w:spacing w:after="0" w:line="196"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17"/>
                <w:szCs w:val="17"/>
                <w:color w:val="auto"/>
              </w:rPr>
            </w:pPr>
          </w:p>
        </w:tc>
        <w:tc>
          <w:tcPr>
            <w:tcW w:w="18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(31,713 )</w:t>
            </w:r>
          </w:p>
        </w:tc>
        <w:tc>
          <w:tcPr>
            <w:tcW w:w="100" w:type="dxa"/>
            <w:vAlign w:val="bottom"/>
          </w:tcPr>
          <w:p>
            <w:pPr>
              <w:spacing w:after="0"/>
              <w:rPr>
                <w:sz w:val="17"/>
                <w:szCs w:val="17"/>
                <w:color w:val="auto"/>
              </w:rPr>
            </w:pPr>
          </w:p>
        </w:tc>
        <w:tc>
          <w:tcPr>
            <w:tcW w:w="14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(10,392 )</w:t>
            </w:r>
          </w:p>
        </w:tc>
        <w:tc>
          <w:tcPr>
            <w:tcW w:w="12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(16,036 )</w:t>
            </w:r>
          </w:p>
        </w:tc>
      </w:tr>
      <w:tr>
        <w:trPr>
          <w:trHeight w:val="196"/>
        </w:trPr>
        <w:tc>
          <w:tcPr>
            <w:tcW w:w="6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investing activity:</w:t>
            </w:r>
          </w:p>
        </w:tc>
        <w:tc>
          <w:tcPr>
            <w:tcW w:w="24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7"/>
                <w:szCs w:val="17"/>
                <w:color w:val="auto"/>
              </w:rPr>
            </w:pPr>
          </w:p>
        </w:tc>
        <w:tc>
          <w:tcPr>
            <w:tcW w:w="1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(1,529 )</w:t>
            </w:r>
          </w:p>
        </w:tc>
        <w:tc>
          <w:tcPr>
            <w:tcW w:w="100" w:type="dxa"/>
            <w:vAlign w:val="bottom"/>
          </w:tcPr>
          <w:p>
            <w:pPr>
              <w:spacing w:after="0"/>
              <w:rPr>
                <w:sz w:val="17"/>
                <w:szCs w:val="17"/>
                <w:color w:val="auto"/>
              </w:rPr>
            </w:pP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(984 )</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(648 )</w:t>
            </w:r>
          </w:p>
        </w:tc>
      </w:tr>
      <w:tr>
        <w:trPr>
          <w:trHeight w:val="203"/>
        </w:trPr>
        <w:tc>
          <w:tcPr>
            <w:tcW w:w="6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(3,700 )</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Capitalization of internal-use software costs</w:t>
            </w:r>
          </w:p>
        </w:tc>
        <w:tc>
          <w:tcPr>
            <w:tcW w:w="240" w:type="dxa"/>
            <w:vAlign w:val="bottom"/>
          </w:tcPr>
          <w:p>
            <w:pPr>
              <w:spacing w:after="0"/>
              <w:rPr>
                <w:sz w:val="17"/>
                <w:szCs w:val="17"/>
                <w:color w:val="auto"/>
              </w:rPr>
            </w:pPr>
          </w:p>
        </w:tc>
        <w:tc>
          <w:tcPr>
            <w:tcW w:w="1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(1,693 )</w:t>
            </w:r>
          </w:p>
        </w:tc>
        <w:tc>
          <w:tcPr>
            <w:tcW w:w="100" w:type="dxa"/>
            <w:vAlign w:val="bottom"/>
          </w:tcPr>
          <w:p>
            <w:pPr>
              <w:spacing w:after="0"/>
              <w:rPr>
                <w:sz w:val="17"/>
                <w:szCs w:val="17"/>
                <w:color w:val="auto"/>
              </w:rPr>
            </w:pP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(1,224 )</w:t>
            </w:r>
          </w:p>
        </w:tc>
        <w:tc>
          <w:tcPr>
            <w:tcW w:w="12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32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(1,498</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(5,908</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320" w:type="dxa"/>
            <w:vAlign w:val="bottom"/>
          </w:tcPr>
          <w:p>
            <w:pPr>
              <w:ind w:left="20"/>
              <w:spacing w:after="0" w:line="196" w:lineRule="exact"/>
              <w:rPr>
                <w:sz w:val="20"/>
                <w:szCs w:val="20"/>
                <w:color w:val="auto"/>
              </w:rPr>
            </w:pPr>
            <w:r>
              <w:rPr>
                <w:rFonts w:ascii="Arial" w:cs="Arial" w:eastAsia="Arial" w:hAnsi="Arial"/>
                <w:sz w:val="18"/>
                <w:szCs w:val="18"/>
                <w:color w:val="auto"/>
              </w:rPr>
              <w:t>Cash flows from financing activity:</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redeemable convertible preferred stock, net</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199,802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49,820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w:t>
            </w: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21,783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4,427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80" w:type="dxa"/>
            <w:vAlign w:val="bottom"/>
          </w:tcPr>
          <w:p>
            <w:pPr>
              <w:spacing w:after="0"/>
              <w:rPr>
                <w:sz w:val="17"/>
                <w:szCs w:val="17"/>
                <w:color w:val="auto"/>
              </w:rPr>
            </w:pPr>
          </w:p>
        </w:tc>
      </w:tr>
      <w:tr>
        <w:trPr>
          <w:trHeight w:val="203"/>
        </w:trPr>
        <w:tc>
          <w:tcPr>
            <w:tcW w:w="6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received for tax withholding obligations on equity award settlements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145,481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tax withholding obligations on equity award settlements</w:t>
            </w:r>
          </w:p>
        </w:tc>
        <w:tc>
          <w:tcPr>
            <w:tcW w:w="240" w:type="dxa"/>
            <w:vAlign w:val="bottom"/>
          </w:tcPr>
          <w:p>
            <w:pPr>
              <w:spacing w:after="0"/>
              <w:rPr>
                <w:sz w:val="17"/>
                <w:szCs w:val="17"/>
                <w:color w:val="auto"/>
              </w:rPr>
            </w:pPr>
          </w:p>
        </w:tc>
        <w:tc>
          <w:tcPr>
            <w:tcW w:w="1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(144,420 )</w:t>
            </w:r>
          </w:p>
        </w:tc>
        <w:tc>
          <w:tcPr>
            <w:tcW w:w="100" w:type="dxa"/>
            <w:vAlign w:val="bottom"/>
          </w:tcPr>
          <w:p>
            <w:pPr>
              <w:spacing w:after="0"/>
              <w:rPr>
                <w:sz w:val="17"/>
                <w:szCs w:val="17"/>
                <w:color w:val="auto"/>
              </w:rPr>
            </w:pP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(1,299 )</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(115 )</w:t>
            </w:r>
          </w:p>
        </w:tc>
      </w:tr>
      <w:tr>
        <w:trPr>
          <w:trHeight w:val="203"/>
        </w:trPr>
        <w:tc>
          <w:tcPr>
            <w:tcW w:w="6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Repurchase of unvested stock options</w:t>
            </w: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(3 )</w:t>
            </w: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(202 )</w:t>
            </w:r>
          </w:p>
        </w:tc>
      </w:tr>
      <w:tr>
        <w:trPr>
          <w:trHeight w:val="196"/>
        </w:trPr>
        <w:tc>
          <w:tcPr>
            <w:tcW w:w="6320" w:type="dxa"/>
            <w:vAlign w:val="bottom"/>
            <w:tcBorders>
              <w:top w:val="single" w:sz="8" w:color="CFF0FC"/>
            </w:tcBorders>
          </w:tcPr>
          <w:p>
            <w:pPr>
              <w:ind w:left="7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222,643</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54,245</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874</w:t>
            </w:r>
          </w:p>
        </w:tc>
        <w:tc>
          <w:tcPr>
            <w:tcW w:w="80" w:type="dxa"/>
            <w:vAlign w:val="bottom"/>
            <w:tcBorders>
              <w:top w:val="single" w:sz="8" w:color="CFF0FC"/>
            </w:tcBorders>
          </w:tcPr>
          <w:p>
            <w:pPr>
              <w:spacing w:after="0"/>
              <w:rPr>
                <w:sz w:val="17"/>
                <w:szCs w:val="17"/>
                <w:color w:val="auto"/>
              </w:rPr>
            </w:pPr>
          </w:p>
        </w:tc>
      </w:tr>
      <w:tr>
        <w:trPr>
          <w:trHeight w:val="196"/>
        </w:trPr>
        <w:tc>
          <w:tcPr>
            <w:tcW w:w="6320" w:type="dxa"/>
            <w:vAlign w:val="bottom"/>
            <w:shd w:val="clear" w:color="auto" w:fill="CFF0FC"/>
          </w:tcPr>
          <w:p>
            <w:pPr>
              <w:ind w:left="740"/>
              <w:spacing w:after="0" w:line="196" w:lineRule="exact"/>
              <w:rPr>
                <w:sz w:val="20"/>
                <w:szCs w:val="20"/>
                <w:color w:val="auto"/>
              </w:rPr>
            </w:pPr>
            <w:r>
              <w:rPr>
                <w:rFonts w:ascii="Arial" w:cs="Arial" w:eastAsia="Arial" w:hAnsi="Arial"/>
                <w:sz w:val="18"/>
                <w:szCs w:val="18"/>
                <w:color w:val="auto"/>
                <w:w w:val="99"/>
              </w:rPr>
              <w:t>Net increase (decrease) in cash, cash equivalents, and restricted cash</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189,432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37,945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(15,810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118,863</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80,918</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96,728</w:t>
            </w:r>
          </w:p>
        </w:tc>
        <w:tc>
          <w:tcPr>
            <w:tcW w:w="80" w:type="dxa"/>
            <w:vAlign w:val="bottom"/>
          </w:tcPr>
          <w:p>
            <w:pPr>
              <w:spacing w:after="0"/>
              <w:rPr>
                <w:sz w:val="17"/>
                <w:szCs w:val="17"/>
                <w:color w:val="auto"/>
              </w:rPr>
            </w:pPr>
          </w:p>
        </w:tc>
      </w:tr>
      <w:tr>
        <w:trPr>
          <w:trHeight w:val="236"/>
        </w:trPr>
        <w:tc>
          <w:tcPr>
            <w:tcW w:w="63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year</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308,295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118,863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80,918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6320" w:type="dxa"/>
            <w:vAlign w:val="bottom"/>
          </w:tcPr>
          <w:p>
            <w:pPr>
              <w:ind w:left="20"/>
              <w:spacing w:after="0" w:line="183" w:lineRule="exact"/>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Noncash investing and financing activity:</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Vesting of early exercised options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-2653665</wp:posOffset>
            </wp:positionV>
            <wp:extent cx="6032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-2653665</wp:posOffset>
            </wp:positionV>
            <wp:extent cx="514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-2653665</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-1856740</wp:posOffset>
            </wp:positionV>
            <wp:extent cx="603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-1856740</wp:posOffset>
            </wp:positionV>
            <wp:extent cx="514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-1856740</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-1076325</wp:posOffset>
            </wp:positionV>
            <wp:extent cx="603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-1076325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-1076325</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-539115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-522605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-539115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-522605</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-539115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-522605</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6300" w:firstLine="8"/>
        <w:spacing w:after="0" w:line="362" w:lineRule="auto"/>
        <w:tabs>
          <w:tab w:leader="none" w:pos="509"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Amplitude, Inc. (the “Company”) was incorporated in the state of Delaware in 2011 and is headquartered in San Francisco, California. The Company provides a Digital Optimization System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the Disaggregation of Revenue section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The reporting currency of the Company is the United States dollar. The functional currency of the Company’s foreign subsidiaries is also the United States dollar. Foreign currency transaction gains and losses are recognized in other income (expense), net in the consolidated statements of operations, and have not been material for any of the periods presented.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Certain amounts in the prior period financial statements have been reclassified to conform to the presentation of the current period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Listing</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On September 21, 2021, the Company’s registration statement related to the Direct Listing (the "Registration Statement") was declared effective by the SEC, and on September 28, 2021, the Company’s Class A common stock commenced trading. The Company incurred fees related to financial advisory service, audit, and legal expenses in connection with the Direct Listing and recorded general and administrative expenses of $18.2 million for the year ended December 31, 2021.</w:t>
      </w:r>
    </w:p>
    <w:p>
      <w:pPr>
        <w:spacing w:after="0" w:line="18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Prior to the Direct Listing, on August 30, 2021, an amended and restated certificate of incorporation of the Company was filed with the Secretary of State of the State of Delaware, which resulted in the creation of Class A common stock and Class B common stock. All existing shares of common stock issued and outstanding were reclassified into shares of Class B common stock.</w:t>
      </w:r>
    </w:p>
    <w:p>
      <w:pPr>
        <w:spacing w:after="0" w:line="182"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Upon the effectiveness of the Registration Statement, all 68.0 million outstanding shares of redeemable convertible preferred stock were converted into an equivalent number of shares of Class B common stock.</w:t>
      </w:r>
    </w:p>
    <w:p>
      <w:pPr>
        <w:spacing w:after="0" w:line="171"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On September 21, 2021, an amended and restated certificate of incorporation of the Company was filed with the Secretary of State of the State of Delaware, authorizing an aggregate of 1,220,000,000 shares of capital stock of the Company, including 600,000,000 shares of Class A common stock, 600,000,000 shares of Class B common stock, and 20,000,000 shares of preferred stock.</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80" w:lineRule="exact"/>
        <w:rPr>
          <w:sz w:val="20"/>
          <w:szCs w:val="20"/>
          <w:color w:val="auto"/>
        </w:rPr>
      </w:pPr>
    </w:p>
    <w:p>
      <w:pPr>
        <w:ind w:left="1140" w:hanging="369"/>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expected period of benefit for deferred commissions;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useful lives of long-lived assets;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valuation of the Company’s common stock and stock-based awards;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valuation of goodwill and intangible assets; and</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recognition, measurement, and valuation of deferred tax assets and income tax uncertainties.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While the duration and extent of the COVID-19 pandemic depends on future developments that cannot be accurately predicted at this time, such as the extent and effectiveness of containment actions, it has already had an adverse effect on the global economy and the lasting effects of the pandemic continue to be unknown. The Company may experience customer losses, including due to bankruptcy or customers ceasing operations, which may result in delays in collections or an inability to collect accounts receivable from these customers. The extent to which COVID-19 may continue to impact the Company’s financial condition, results of operations, or liquidity continues to remain uncertain, and as of the date of issuance of these financial statements, the Company is not aware of any specific event or circumstance that would require an update to its estimates or judgments or an adjustment to the carrying value of the Company’s assets or liabilities. These estimates may change, as new events occur and additional information is obtained, which will be recognized in the consolidated financial statements as soon as they become known. Actual results could differ from those estimates, and any such differences may be material to the Company’s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derives revenue primarily from sales of subscription services. Revenue is recognized when, or as, the related performance obligation is satisfied by transferring the control of the promised service to a customer. The amount of revenue recognized reflects the consideration that the Company expects to be entitled to receive in exchange for these services.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achieve the core principle of the revenue standard, the Company applies the following steps:</w:t>
      </w:r>
    </w:p>
    <w:p>
      <w:pPr>
        <w:spacing w:after="0" w:line="104" w:lineRule="exact"/>
        <w:rPr>
          <w:sz w:val="20"/>
          <w:szCs w:val="20"/>
          <w:color w:val="auto"/>
        </w:rPr>
      </w:pPr>
    </w:p>
    <w:p>
      <w:pPr>
        <w:ind w:left="1140" w:hanging="504"/>
        <w:spacing w:after="0"/>
        <w:tabs>
          <w:tab w:leader="none" w:pos="114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contract, or contracts, with the customer</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considers the terms and conditions of the contract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9" w:lineRule="exact"/>
        <w:rPr>
          <w:sz w:val="20"/>
          <w:szCs w:val="20"/>
          <w:color w:val="auto"/>
        </w:rPr>
      </w:pPr>
    </w:p>
    <w:p>
      <w:pPr>
        <w:ind w:left="1140" w:hanging="504"/>
        <w:spacing w:after="0"/>
        <w:tabs>
          <w:tab w:leader="none" w:pos="114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performance obligations in the contract</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whereby the transfer of the services and the products is separately identifiable from other promises in the contract. The Company’s performance obligations consist of (1) core subscription services and (2) professional and other services.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75" w:name="page76"/>
    <w:bookmarkEnd w:id="75"/>
    <w:p>
      <w:pPr>
        <w:ind w:left="1140" w:hanging="504"/>
        <w:spacing w:after="0"/>
        <w:tabs>
          <w:tab w:leader="none" w:pos="114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the transaction price</w:t>
      </w:r>
    </w:p>
    <w:p>
      <w:pPr>
        <w:spacing w:after="0" w:line="1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The transaction price is determined based on the consideration to which the Company expects to be entitled in exchange for transferring services to the customer. The transaction price includes SaaS subscription fees based on the contracted usage as well as variable consideration associated with overage fees on exceeded volume limits.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63" w:lineRule="exact"/>
        <w:rPr>
          <w:sz w:val="20"/>
          <w:szCs w:val="20"/>
          <w:color w:val="auto"/>
        </w:rPr>
      </w:pPr>
    </w:p>
    <w:p>
      <w:pPr>
        <w:ind w:left="1140" w:hanging="504"/>
        <w:spacing w:after="0"/>
        <w:tabs>
          <w:tab w:leader="none" w:pos="114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(“SSP”). Contracts typically have one performance obligation of providing access to the core subscription service. On occasion, contracts include professional services to customers, which are separate performance obligations. Professional services revenue has historically not been significant.</w:t>
      </w:r>
    </w:p>
    <w:p>
      <w:pPr>
        <w:spacing w:after="0" w:line="296" w:lineRule="exact"/>
        <w:rPr>
          <w:sz w:val="20"/>
          <w:szCs w:val="20"/>
          <w:color w:val="auto"/>
        </w:rPr>
      </w:pPr>
    </w:p>
    <w:p>
      <w:pPr>
        <w:ind w:left="1140" w:hanging="504"/>
        <w:spacing w:after="0"/>
        <w:tabs>
          <w:tab w:leader="none" w:pos="11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Recognition of the revenue when, or as, a performance obligation is satisfied</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control of the promised service to a customer. For subscription services, revenue is recognized as the customer is given access to the core subscription service, in an amount that reflects the consideration that the Company expects to receive in exchange for access to the services. With respect to professional services, the Company recognizes revenue as services are delivered. The Company generates all its revenue from contracts with customers.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Company generates revenue from SaaS subscriptions to customers that enable them to access and send event volume data to the Company’s cloud-based platform. Subscription arrangements with customers do not provide the customer with the right to take possession of the Company’s software at any time. Instead, customers are granted continuous access to the platform over the contractual period. A time-elapsed method is used to measure progress because the Company’s obligation is to provide continuous service over the contractual period and control is transferred evenly over the contractual period. Accordingly, the fixed consideration related to subscription revenue is recognized ratably over the contract term beginning on the date access to the subscription product is provisioned. The typical subscription term is 12 months with various payment terms ranging from monthly to annual up-front payments. Most contracts are non-cancellable over the contractual term.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Company’s contracts with customers generally include one combined performance obligation, its core subscription offering, which is a series of distinct services transferred to the customer ratably over the respective obligation’s term. Other performance obligations that may be identified in contracts include professional services. As of December 31, 2021, the unrecognized transaction price related to remaining performance obligations was $170.1 million.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remaining performance obligations as of December 31, 2021 are expected to be recognized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As of December 31,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Less than or equal to 12 months</w:t>
            </w:r>
          </w:p>
        </w:tc>
        <w:tc>
          <w:tcPr>
            <w:tcW w:w="4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137,266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Greater than 12 months</w:t>
            </w:r>
          </w:p>
        </w:tc>
        <w:tc>
          <w:tcPr>
            <w:tcW w:w="4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32,868</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9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remaining performance obligations</w:t>
            </w:r>
          </w:p>
        </w:tc>
        <w:tc>
          <w:tcPr>
            <w:tcW w:w="4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170,134</w:t>
            </w:r>
          </w:p>
        </w:tc>
        <w:tc>
          <w:tcPr>
            <w:tcW w:w="560" w:type="dxa"/>
            <w:vAlign w:val="bottom"/>
          </w:tcPr>
          <w:p>
            <w:pPr>
              <w:spacing w:after="0"/>
              <w:rPr>
                <w:sz w:val="20"/>
                <w:szCs w:val="20"/>
                <w:color w:val="auto"/>
              </w:rPr>
            </w:pPr>
          </w:p>
        </w:tc>
      </w:tr>
      <w:tr>
        <w:trPr>
          <w:trHeight w:val="507"/>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260" w:type="dxa"/>
            <w:vAlign w:val="bottom"/>
          </w:tcPr>
          <w:p>
            <w:pPr>
              <w:jc w:val="right"/>
              <w:ind w:right="299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-436880</wp:posOffset>
            </wp:positionV>
            <wp:extent cx="342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-419735</wp:posOffset>
            </wp:positionV>
            <wp:extent cx="342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4"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The following table shows the Company’s disaggregation of revenue by geographic areas, as determined based on the billing address of its customers (in thousands):</w:t>
      </w:r>
    </w:p>
    <w:p>
      <w:pPr>
        <w:spacing w:after="0" w:line="182"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Years Ended</w:t>
      </w:r>
    </w:p>
    <w:p>
      <w:pPr>
        <w:ind w:left="7960"/>
        <w:spacing w:after="0" w:line="234" w:lineRule="auto"/>
        <w:rPr>
          <w:sz w:val="20"/>
          <w:szCs w:val="20"/>
          <w:color w:val="auto"/>
        </w:rPr>
      </w:pPr>
      <w:r>
        <w:rPr>
          <w:rFonts w:ascii="Arial" w:cs="Arial" w:eastAsia="Arial" w:hAnsi="Arial"/>
          <w:sz w:val="18"/>
          <w:szCs w:val="18"/>
          <w:b w:val="1"/>
          <w:bCs w:val="1"/>
          <w:color w:val="auto"/>
        </w:rPr>
        <w:t>December 31,</w:t>
      </w:r>
    </w:p>
    <w:tbl>
      <w:tblPr>
        <w:tblLayout w:type="fixed"/>
        <w:tblInd w:w="580" w:type="dxa"/>
        <w:tblCellMar>
          <w:top w:w="0" w:type="dxa"/>
          <w:left w:w="0" w:type="dxa"/>
          <w:bottom w:w="0" w:type="dxa"/>
          <w:right w:w="0" w:type="dxa"/>
        </w:tblCellMar>
      </w:tblPr>
      <w:tr>
        <w:trPr>
          <w:trHeight w:val="202"/>
        </w:trPr>
        <w:tc>
          <w:tcPr>
            <w:tcW w:w="5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201"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201" w:lineRule="exact"/>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201"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107,244</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65,189</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43,823</w:t>
            </w:r>
          </w:p>
        </w:tc>
        <w:tc>
          <w:tcPr>
            <w:tcW w:w="6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60,017</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37,275</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24,619</w:t>
            </w:r>
          </w:p>
        </w:tc>
        <w:tc>
          <w:tcPr>
            <w:tcW w:w="6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167,261</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102,464</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68,442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342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342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Accounts receivable are primarily comprised of cash due from customers and are recorded at the invoiced amount, net of an allowance for doubtful accounts. The allowance for doubtful accounts is based on the Company’s assessment of the collectability of accounts. The Company regularly reviews the adequacy of the allowance for doubtful accounts based on a combination of factors. The Company records an allowance for doubtful accounts to reserve for potentially uncollectible receivables related to specific customers. This allowance is based on the review of the Company’s accounts receivable by aging category to identify specific customers with known disputes or collectability issues. Accounts receivable deemed uncollectible are charged against the allowance for doubtful accounts when identified. The Company maintained an allowance of $0.1 million and $0.2 million for doubtful accounts as of December 31, 2021 and 2020,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 and Significant Customers</w:t>
      </w:r>
    </w:p>
    <w:p>
      <w:pPr>
        <w:spacing w:after="0" w:line="104"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auto"/>
        </w:rPr>
        <w:t>Financial instruments that subject the Company to concentrations of credit risk consist primarily of cash and cash equivalents, restricted cash,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6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No customer accounted for 10% or more of total revenue for the years ended December 31, 2021, 2020, and 2019. As of the year ended December 31, 2021, one customer represented 10% of accounts receivable. As of the year ended December 31, 2020, two customers represented 14% and 13% of accounts receivable,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Deferred revenue consists of billings of payments received in advance of revenue recognition and is recognized when, or as, performance obligations are satisfied. The Company generally invoices its customers annually or in monthly, quarterly, or semi-annual installments. Accordingly, the deferred revenue balance does not represent the total contract value of annual non-cancellable subscription agreements. The amount of revenue recognized in the years ended December 31, 2021 and 2020 that was included in deferred revenue at the beginning of the period was $40.7 million and $28.2 million,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Company capitalizes sales commissions that are recoverable and incremental due to the acquisition of customer contracts. The Company determines whether costs should be deferred based on its sales compensation plans, if the commissions are in fact incremental and would not have occurred absent the customer contract.</w:t>
      </w:r>
    </w:p>
    <w:p>
      <w:pPr>
        <w:spacing w:after="0" w:line="18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Commissions paid upon the initial acquisition of a contract are deferred and then amortized on a straight-line basis over a period of benefit, determined to be five years. The period of benefit is estimated by considering factors such as the expected life of our subscription contracts, historical customer attrition rates, technological life of our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The Company determines the period of benefit for renewal subscription contracts by considering the contractual term for renewal contracts.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77" w:name="page78"/>
    <w:bookmarkEnd w:id="77"/>
    <w:p>
      <w:pPr>
        <w:ind w:firstLine="509"/>
        <w:spacing w:after="0" w:line="241" w:lineRule="auto"/>
        <w:rPr>
          <w:sz w:val="20"/>
          <w:szCs w:val="20"/>
          <w:color w:val="auto"/>
        </w:rPr>
      </w:pPr>
      <w:r>
        <w:rPr>
          <w:rFonts w:ascii="Arial" w:cs="Arial" w:eastAsia="Arial" w:hAnsi="Arial"/>
          <w:sz w:val="18"/>
          <w:szCs w:val="18"/>
          <w:color w:val="auto"/>
        </w:rPr>
        <w:t>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 of operations. The Company periodically reviews these deferred commissions to determine whether events or changes in circumstances have occurred that could impact recoverability or the period of benefit. There were no impairment losses recorded during the periods presented.</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represents a rollforward of the Company’s deferred commissions as of December 31, 2021 and 2020 (in thousands):</w:t>
      </w:r>
    </w:p>
    <w:p>
      <w:pPr>
        <w:spacing w:after="0" w:line="235"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Years Ended</w:t>
      </w:r>
    </w:p>
    <w:p>
      <w:pPr>
        <w:ind w:left="8440"/>
        <w:spacing w:after="0" w:line="234" w:lineRule="auto"/>
        <w:rPr>
          <w:sz w:val="20"/>
          <w:szCs w:val="20"/>
          <w:color w:val="auto"/>
        </w:rPr>
      </w:pPr>
      <w:r>
        <w:rPr>
          <w:rFonts w:ascii="Arial" w:cs="Arial" w:eastAsia="Arial" w:hAnsi="Arial"/>
          <w:sz w:val="18"/>
          <w:szCs w:val="18"/>
          <w:b w:val="1"/>
          <w:bCs w:val="1"/>
          <w:color w:val="auto"/>
        </w:rPr>
        <w:t>December 31,</w:t>
      </w:r>
    </w:p>
    <w:tbl>
      <w:tblPr>
        <w:tblLayout w:type="fixed"/>
        <w:tblInd w:w="580" w:type="dxa"/>
        <w:tblCellMar>
          <w:top w:w="0" w:type="dxa"/>
          <w:left w:w="0" w:type="dxa"/>
          <w:bottom w:w="0" w:type="dxa"/>
          <w:right w:w="0" w:type="dxa"/>
        </w:tblCellMar>
      </w:tblPr>
      <w:tr>
        <w:trPr>
          <w:trHeight w:val="202"/>
        </w:trPr>
        <w:tc>
          <w:tcPr>
            <w:tcW w:w="67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0"/>
              <w:spacing w:after="0" w:line="201"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960" w:type="dxa"/>
            <w:vAlign w:val="bottom"/>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19,440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12,260</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Additions to deferred commissions</w:t>
            </w:r>
          </w:p>
        </w:tc>
        <w:tc>
          <w:tcPr>
            <w:tcW w:w="9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16,077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11,221</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Amortization of deferred commissions</w:t>
            </w: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96"/>
              </w:rPr>
              <w:t>(6,832 )</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(4,041 )</w:t>
            </w:r>
          </w:p>
        </w:tc>
      </w:tr>
      <w:tr>
        <w:trPr>
          <w:trHeight w:val="196"/>
        </w:trPr>
        <w:tc>
          <w:tcPr>
            <w:tcW w:w="67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Ending balance</w:t>
            </w:r>
          </w:p>
        </w:tc>
        <w:tc>
          <w:tcPr>
            <w:tcW w:w="9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28,685</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19,440</w:t>
            </w:r>
          </w:p>
        </w:tc>
        <w:tc>
          <w:tcPr>
            <w:tcW w:w="100" w:type="dxa"/>
            <w:vAlign w:val="bottom"/>
            <w:tcBorders>
              <w:top w:val="single" w:sz="8" w:color="CFF0FC"/>
            </w:tcBorders>
          </w:tcPr>
          <w:p>
            <w:pPr>
              <w:spacing w:after="0"/>
              <w:rPr>
                <w:sz w:val="17"/>
                <w:szCs w:val="17"/>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commissions, current portion</w:t>
            </w:r>
          </w:p>
        </w:tc>
        <w:tc>
          <w:tcPr>
            <w:tcW w:w="9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8,112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5,563</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Deferred commissions, net of current portion</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20,573</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13,877</w:t>
            </w:r>
          </w:p>
        </w:tc>
        <w:tc>
          <w:tcPr>
            <w:tcW w:w="100" w:type="dxa"/>
            <w:vAlign w:val="bottom"/>
          </w:tcPr>
          <w:p>
            <w:pPr>
              <w:spacing w:after="0"/>
              <w:rPr>
                <w:sz w:val="17"/>
                <w:szCs w:val="17"/>
                <w:color w:val="auto"/>
              </w:rPr>
            </w:pPr>
          </w:p>
        </w:tc>
      </w:tr>
      <w:tr>
        <w:trPr>
          <w:trHeight w:val="236"/>
        </w:trPr>
        <w:tc>
          <w:tcPr>
            <w:tcW w:w="67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deferred commissions</w:t>
            </w:r>
          </w:p>
        </w:tc>
        <w:tc>
          <w:tcPr>
            <w:tcW w:w="960" w:type="dxa"/>
            <w:vAlign w:val="bottom"/>
            <w:tcBorders>
              <w:bottom w:val="single" w:sz="8" w:color="auto"/>
            </w:tcBorders>
            <w:shd w:val="clear" w:color="auto" w:fill="CFF0FC"/>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4"/>
              </w:rPr>
              <w:t>28,685</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19,440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-561975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-561975</wp:posOffset>
            </wp:positionV>
            <wp:extent cx="6032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Cost of revenue primarily consists of costs related to third-party hosting costs; employee-related expenses, including salaries, stock-based compensation and benefits for operations and support personnel; software license fees; certain developed technology and acquired developed software amortization; and allocated overhead.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Company’s costs related to research, design, maintenance, and minor enhancements of the Company’s platform are expensed as incurred. These costs consist primarily of personnel and related expenses, including stock-based compensation and allocated overhead costs, contractor and consulting fees related to the design, development, testing, and enhancements of the Company’s platform, and software, hardware, and cloud infrastructure fees for staging and development related to research and development activities necessary to support growth in the Company’s employee base and in the adoption of its platform.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Company expenses all advertising costs as incurred as a component of sales and marketing expenses. Advertising expenses of $4.5 million, $2.0 million, and $1.4 million were incurred during the years ended December 31, 2021, 2020, and 2019,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The Company records stock-based compensation expense for all stock-based awards, including stock options, restricted stock units (“RSUs”) and purchase rights issued under the 2021 Employee Stock Purchase Plan (“ESPP”), made to employees, non-employees, and directors based on estimated fair values recognized over the requisite service period. The Company measures and recognizes compensation expense for all stock-based payment awards granted to employees, directors, and non-employees based on the estimated fair values on the date of the grant and vesting criteria. For options, vesting is typically over a four-year period and is contingent upon continued employment on each vesting date. In general, options granted to employees vest 25% after the first year of service and ratably each month over the remaining 36-month period. For RSUs, vesting is typically over a four-year period and is contingent upon continued employment on each vesting date. In general, RSUs granted to employees vest 25% after the first year of service and ratably each quarter over the remaining 36-month period.</w:t>
      </w:r>
    </w:p>
    <w:p>
      <w:pPr>
        <w:spacing w:after="0" w:line="181"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The Company recognizes compensation expense for service-based stock-based awards as an expense over the employee’s or director’s requisite service period on a straight-line basis. The Company also had certain options and awards that have performance-based vesting conditions upon certain liquidity events. As a result of the Direct Listing, the liquidity event was met for all outstanding awards with a performance condition and were expensed using the accelerated attribution method. Forfeitures are accounted for as they occur. Stock-based compensation expense is allocated to cost of revenue and operating expenses on the consolidated statements of operations based on where the associated employee’s functional department is located.</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8" w:name="page79"/>
    <w:bookmarkEnd w:id="78"/>
    <w:p>
      <w:pPr>
        <w:ind w:right="20" w:firstLine="509"/>
        <w:spacing w:after="0" w:line="252" w:lineRule="auto"/>
        <w:rPr>
          <w:sz w:val="20"/>
          <w:szCs w:val="20"/>
          <w:color w:val="auto"/>
        </w:rPr>
      </w:pPr>
      <w:r>
        <w:rPr>
          <w:rFonts w:ascii="Arial" w:cs="Arial" w:eastAsia="Arial" w:hAnsi="Arial"/>
          <w:sz w:val="17"/>
          <w:szCs w:val="17"/>
          <w:color w:val="auto"/>
        </w:rPr>
        <w:t>The fair value of stock options granted under the 2021 Plan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For stock options considered to be “plain vanilla” options, the Company estimates the expected term based on the simplified method, which is essentially the weighted average of the vesting period and contractual term, as the Company's historical option exercise experience does not provide a reasonable basis upon which to estimate the expected term.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or purchase right. The Company’s expected dividend yield input is zero as it has not historically paid, nor does it expect in the future to pay, cash dividends on its common stock. Stock-based compensation expense for RSUs granted under the 2021 Plan is measured based on the fair value of the underlying shares on the date of grant.</w:t>
      </w:r>
    </w:p>
    <w:p>
      <w:pPr>
        <w:spacing w:after="0" w:line="18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fair value of options granted under the 2014 Plan are estimated on the grant date using the Monte Carlo simulation model. The determination of the grant date fair value is affected by the estimated fair value of the Company’s common stock as well as additional assumptions regarding a number of other subjective variables. These variables include expected stock price volatility over a contractual term, actual and projected employee stock option exercise behaviors, the risk-free interest rate for a contractual term, and expected dividends. Stock-based compensation expense for RSUs granted under the 2014 Plan is measured based on the fair value of the underlying shares on the date of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0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income in the period that includes the enactment date. Valuation allowances are established for deferred tax assets to the extent it is more likely than not that the deferred tax assets may not be realized.</w:t>
      </w:r>
    </w:p>
    <w:p>
      <w:pPr>
        <w:spacing w:after="0" w:line="175"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The Company evaluates uncertain tax positions taken or expected to be taken in the course of preparing its tax return to determine whether the tax positions are more likely than not of being sustained upon challenge by the applicable tax authority.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and cash equivalents are stated at fair value. Restricted cash represents cash held to collateralize lease obligations related to the Company's property leases. As of December 31, 2021, $0.9 million of restricted cash is recorded as noncurrent assets. As of December 31, 2020, $1.1 million of restricted cash is recorded as current assets related to a lease that ended in fiscal 2021. The following table represents the Company's cash, cash equivalents, and restricted cash at each period end (in thousands):</w:t>
      </w:r>
    </w:p>
    <w:p>
      <w:pPr>
        <w:spacing w:after="0" w:line="201"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As of</w:t>
      </w:r>
    </w:p>
    <w:p>
      <w:pPr>
        <w:jc w:val="center"/>
        <w:ind w:left="6680"/>
        <w:spacing w:after="0" w:line="234" w:lineRule="auto"/>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202"/>
        </w:trPr>
        <w:tc>
          <w:tcPr>
            <w:tcW w:w="5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52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50"/>
              <w:spacing w:after="0" w:line="201" w:lineRule="exact"/>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254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307,445</w:t>
            </w: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117,783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Restricted cash, current</w:t>
            </w:r>
          </w:p>
        </w:tc>
        <w:tc>
          <w:tcPr>
            <w:tcW w:w="2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1,080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Restricted cash, noncurrent</w:t>
            </w:r>
          </w:p>
        </w:tc>
        <w:tc>
          <w:tcPr>
            <w:tcW w:w="25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850</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00" w:type="dxa"/>
            <w:vAlign w:val="bottom"/>
          </w:tcPr>
          <w:p>
            <w:pPr>
              <w:spacing w:after="0" w:line="182" w:lineRule="exact"/>
              <w:rPr>
                <w:sz w:val="20"/>
                <w:szCs w:val="20"/>
                <w:color w:val="auto"/>
              </w:rPr>
            </w:pPr>
            <w:r>
              <w:rPr>
                <w:rFonts w:ascii="Arial" w:cs="Arial" w:eastAsia="Arial" w:hAnsi="Arial"/>
                <w:sz w:val="18"/>
                <w:szCs w:val="18"/>
                <w:color w:val="auto"/>
              </w:rPr>
              <w:t>Total cash, cash equivalents, and restricted cash</w:t>
            </w:r>
          </w:p>
        </w:tc>
        <w:tc>
          <w:tcPr>
            <w:tcW w:w="3520" w:type="dxa"/>
            <w:vAlign w:val="bottom"/>
            <w:gridSpan w:val="2"/>
          </w:tcPr>
          <w:p>
            <w:pPr>
              <w:jc w:val="right"/>
              <w:ind w:right="79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w w:val="89"/>
              </w:rPr>
              <w:t>308,295</w:t>
            </w:r>
          </w:p>
        </w:tc>
        <w:tc>
          <w:tcPr>
            <w:tcW w:w="56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118,863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540" w:type="dxa"/>
            <w:vAlign w:val="bottom"/>
            <w:vMerge w:val="restart"/>
          </w:tcPr>
          <w:p>
            <w:pPr>
              <w:jc w:val="right"/>
              <w:ind w:right="1510"/>
              <w:spacing w:after="0"/>
              <w:rPr>
                <w:sz w:val="20"/>
                <w:szCs w:val="20"/>
                <w:color w:val="auto"/>
              </w:rPr>
            </w:pPr>
            <w:r>
              <w:rPr>
                <w:rFonts w:ascii="Arial" w:cs="Arial" w:eastAsia="Arial" w:hAnsi="Arial"/>
                <w:sz w:val="18"/>
                <w:szCs w:val="18"/>
                <w:color w:val="auto"/>
              </w:rPr>
              <w:t>79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-570865</wp:posOffset>
            </wp:positionV>
            <wp:extent cx="431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-570865</wp:posOffset>
            </wp:positionV>
            <wp:extent cx="342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04"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82"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Level 1 – Unadjusted quoted prices in active markets for identical assets or liabilities that are accessible at the measurement date for assets or liabilities; the fair value hierarchy gives the highest priority to Level 1 inputs.</w:t>
      </w:r>
    </w:p>
    <w:p>
      <w:pPr>
        <w:spacing w:after="0" w:line="171" w:lineRule="exact"/>
        <w:rPr>
          <w:sz w:val="20"/>
          <w:szCs w:val="20"/>
          <w:color w:val="auto"/>
        </w:rPr>
      </w:pPr>
    </w:p>
    <w:p>
      <w:pPr>
        <w:jc w:val="both"/>
        <w:ind w:right="340" w:firstLine="509"/>
        <w:spacing w:after="0" w:line="324"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4"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Level 3 – Unobservable inputs for the asset or liability used to measure fair value to the extent that observable inputs are not available, thereby allowing for situations in which there is little, if any, market activity for the asset or liability at the measurement date; the fair value hierarchy gives the lowest priority to Level 3 inputs.</w:t>
      </w:r>
    </w:p>
    <w:p>
      <w:pPr>
        <w:spacing w:after="0" w:line="18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Observable inputs are based on market data obtained from independent sources. The fair value of cash and cash equivalents, restricted cash, accounts receivable, accounts payable, and accrued liabilities approximated their carrying values as of December 31, 2021 and 2020 due to their short-term nature. The fair values of all of these instruments are categorized as Level 1 in the fair value hierarchy.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valued based on the acquisition method of accounting. The excess of the fair value of purchase consideration over the values of these identifiable assets and liabilities is recorded as goodwill. When determining the fair value of assets acquired and liabilities assumed, management makes significant estimates and assumptions, particularly to acquired intangible assets. These assumptions include, but are not limited to, reproduction costs and appropriate discount rates. Management’s estimates of fair value are based upon assumptions believed to be reasonable, but which are inherently uncertain and unpredictable and, as a result, actual results may differ from estimates. Acquisition costs, such as legal and consulting fees, are expensed as incurred. During the measurement period, the Company may record adjustments to the assets acquired and liabilities assumed, with the corresponding offset to goodwill. Upon the conclusion of the measurement period, any subsequent adjustments are recorded in the consolidated statement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Acquired Intangible Assets</w:t>
      </w:r>
    </w:p>
    <w:p>
      <w:pPr>
        <w:spacing w:after="0" w:line="104"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Goodwill represents the excess of the purchase price over the fair value of net assets acquired in connection with business combinations accounted for using the acquisition method of accounting. The Company has one reporting unit and performs testing of goodwill in the fourth quarter of each year, or as events occur or circumstances change that would more likely than not reduce the fair value of a reporting unit below its carrying amount. These triggering events that may indicate impairment include, but are not limited to, a significant adverse change in customer demand or business climate that could affect the value of goodwill or a significant decrease in expected cash flows.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less than the carrying amount, then a quantitative goodwill impairment test is required. There were no impairments of goodwill recorded for the years ended December 31, 2021, 2020, and 2019. There were no other changes in goodwill other than additions from acquisitions during the years ended December 31, 2021 and 2020 as detailed in Note 3.</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Intangible assets mainly consist of developed technology resulting from the Company’s acquisitions. Acquired intangible assets are recorded at cost, net of accumulated amortization. Intangible assets are amortized on a straight-line basis over their estimated useful lives, which was determined to be three years for all acquired intangibles. Amortization costs were included within cost of revenue in the consolidated statements of operations upon the related product release date. Long-lived assets, including intangible assets, are reviewed for impairment whenever events or changes in circumstances indicate that the carrying amount of the asset may not be recoverable. There was no impairment of intangible assets recorded for the years ended December 31, 2021, 2020, and 2019.</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Property and equipment are stated at cost less accumulated depreciation. Depreciation is calculated on a straight-line basis over the estimated useful lives of those assets,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496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Property</w:t>
            </w:r>
          </w:p>
        </w:tc>
        <w:tc>
          <w:tcPr>
            <w:tcW w:w="180" w:type="dxa"/>
            <w:vAlign w:val="bottom"/>
          </w:tcPr>
          <w:p>
            <w:pPr>
              <w:spacing w:after="0"/>
              <w:rPr>
                <w:sz w:val="19"/>
                <w:szCs w:val="19"/>
                <w:color w:val="auto"/>
              </w:rPr>
            </w:pPr>
          </w:p>
        </w:tc>
        <w:tc>
          <w:tcPr>
            <w:tcW w:w="496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Useful Life</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Office equipment</w:t>
            </w:r>
          </w:p>
        </w:tc>
        <w:tc>
          <w:tcPr>
            <w:tcW w:w="180" w:type="dxa"/>
            <w:vAlign w:val="bottom"/>
            <w:shd w:val="clear" w:color="auto" w:fill="CFF0FC"/>
          </w:tcPr>
          <w:p>
            <w:pPr>
              <w:spacing w:after="0"/>
              <w:rPr>
                <w:sz w:val="17"/>
                <w:szCs w:val="17"/>
                <w:color w:val="auto"/>
              </w:rPr>
            </w:pPr>
          </w:p>
        </w:tc>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3 years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7"/>
                <w:szCs w:val="17"/>
                <w:color w:val="auto"/>
              </w:rPr>
            </w:pPr>
          </w:p>
        </w:tc>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7"/>
                <w:szCs w:val="17"/>
                <w:color w:val="auto"/>
              </w:rPr>
            </w:pPr>
          </w:p>
        </w:tc>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Shorter of remaining lease term or 5 years</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Software including internal-use software</w:t>
            </w:r>
          </w:p>
        </w:tc>
        <w:tc>
          <w:tcPr>
            <w:tcW w:w="1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3 years</w:t>
            </w:r>
          </w:p>
        </w:tc>
      </w:tr>
    </w:tbl>
    <w:p>
      <w:pPr>
        <w:spacing w:after="0" w:line="20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Maintenance and repairs are charged to expense as incurred and improvements are capitalized. When assets are retired or otherwise disposed of, the cost and accumulated depreciation is removed from the accounts and any resulting gain or loss is reflected in the statements of operations for the period realized.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 xml:space="preserve">The Company capitalizes development costs related to its platform and certain other projects for internal use. The Company considered the guidance set forth in Financial Accounting Standards Board ("FASB") Accounting Standards Codification ("ASC") Subtopic 350-40-15, </w:t>
      </w:r>
      <w:r>
        <w:rPr>
          <w:rFonts w:ascii="Arial" w:cs="Arial" w:eastAsia="Arial" w:hAnsi="Arial"/>
          <w:sz w:val="16"/>
          <w:szCs w:val="16"/>
          <w:i w:val="1"/>
          <w:iCs w:val="1"/>
          <w:color w:val="auto"/>
        </w:rPr>
        <w:t>Accounting for the Cost of</w:t>
      </w:r>
      <w:r>
        <w:rPr>
          <w:rFonts w:ascii="Arial" w:cs="Arial" w:eastAsia="Arial" w:hAnsi="Arial"/>
          <w:sz w:val="16"/>
          <w:szCs w:val="16"/>
          <w:color w:val="auto"/>
        </w:rPr>
        <w:t xml:space="preserve"> </w:t>
      </w:r>
      <w:r>
        <w:rPr>
          <w:rFonts w:ascii="Arial" w:cs="Arial" w:eastAsia="Arial" w:hAnsi="Arial"/>
          <w:sz w:val="16"/>
          <w:szCs w:val="16"/>
          <w:i w:val="1"/>
          <w:iCs w:val="1"/>
          <w:color w:val="auto"/>
        </w:rPr>
        <w:t>Computer Software Developed or Obtained for Internal Use</w:t>
      </w:r>
      <w:r>
        <w:rPr>
          <w:rFonts w:ascii="Arial" w:cs="Arial" w:eastAsia="Arial" w:hAnsi="Arial"/>
          <w:sz w:val="16"/>
          <w:szCs w:val="16"/>
          <w:color w:val="auto"/>
        </w:rPr>
        <w:t>, which requires companies to capitalize qualifying computer software costs that are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application development stage, and then amortize them over the software’s estimated useful life. Costs related to preliminary project activities and post-implementation activities are expensed as incurred. Capitalized internal-use software costs are included in "Property and equipment, net" on our consolidated balance sheets and are amortized on a straight-line basis over its estimated useful life into cost of revenue within the consolidated statements of operation. All software development costs prior to capitalization have been recorded in research and development expense in the consolidated statements of operations. There was no impairment to capitalized internal-use software costs during the years ended December 31, 2021, 2020, and 2019.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Company evaluates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comparison of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No impairment loss on long-lived assets was recognized in the years ended December 31, 2021, 2020, and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and Asset Retirement Obligations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Company categorizes leases at their inception as either operating or capital leases. The Company leases real estate facilities under operating leases. For leases that contain rent escalation or rent concession provisions, including rent holidays and other incentives, the Company records the total rent expense during the lease term on a straight-line basis over the term of the lease. The Company records the difference between the rent paid and the straight-line rent expense as a deferred rent liability within accrued expenses and other noncurrent liabilities on the consolidated balance sheets. The Company recognizes lease costs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16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Company establishes assets and liabilities for the present value of estimated future costs to retire long-lived assets at the termination or expiration of a lease. Such assets are depreciated over the lease period into operating expense, and the recorded liabilities are accreted to the future value of the estimated retirement costs to the extent that they are material.</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180" w:firstLine="509"/>
        <w:spacing w:after="0" w:line="257" w:lineRule="auto"/>
        <w:rPr>
          <w:sz w:val="20"/>
          <w:szCs w:val="20"/>
          <w:color w:val="auto"/>
        </w:rPr>
      </w:pPr>
      <w:r>
        <w:rPr>
          <w:rFonts w:ascii="Arial" w:cs="Arial" w:eastAsia="Arial" w:hAnsi="Arial"/>
          <w:sz w:val="17"/>
          <w:szCs w:val="17"/>
          <w:color w:val="auto"/>
        </w:rPr>
        <w:t>Basic and diluted net loss per share attributable to common stockholders is computed in conformity with the two-class method required for participating securities. Prior to the automatic conversion of all of its redeemable convertible preferred stock outstanding into Class B common stock concurrent with the Direct Listing, the Company considered all series of its redeemable convertible preferred stock to be participating securities as the holders of such stock have the right to receive nonforfeitable dividends on a ratable basis in the event that a dividend is paid on common stock. Under the two-class method, the net loss attributable to common stockholders is not allocated to the redeemable convertible preferred stock as the preferred stockholders do not have a contractual obligation to share in the Company’s losses.</w:t>
      </w:r>
    </w:p>
    <w:p>
      <w:pPr>
        <w:spacing w:after="0" w:line="17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stock equivalents to the extent they are dilutive. For purposes of this calculation, redeemable convertible preferred stock, stock options, early exercised stock options, RSUs, ESPP purchase rights and common stock warrants have been excluded from the calculation of diluted net loss per share attributable to common stockholders as their effect is anti-dilutive for all periods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 Company delivers its applications over the internet as a subscription service using a SaaS model. Each subscription is subject to the terms of the contractual arrangement with the customer and often includes certain provisions for holding the customer harmless against and indemnifying the customer from costs, damages, losses, liabilities, and expenses arising from claims that the Company’s software infringes upon a copyright, trademark, or other trade secret rights, and third-party claims arising from the Company’s breach of the contract. Customers also indemnify the Company for claims relating their improper use of the service or intellectual property claims originating from customer actions or content.</w:t>
      </w:r>
    </w:p>
    <w:p>
      <w:pPr>
        <w:spacing w:after="0" w:line="17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has not incurred any expense in defense or reimbursement of any of its customers for losses related to indemnification provisions, and no material claims against the Company are outstanding as of December 31, 2021, 2020, and 2019. The Company’s exposure under these indemnification provisions is often capped at a fixed amount in many customer agreements and uncapped in others. Due primarily to the lack of history of prior indemnification claims and the unique facts and circumstances involved in each particular contractual arrangement, the Company has determined that potential costs related to indemnification are not probable or estimable and, as such, has not recorded a reserve for the years ended December 31, 2021 and 2020.</w:t>
      </w:r>
    </w:p>
    <w:p>
      <w:pPr>
        <w:spacing w:after="0" w:line="189"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In addition, in the ordinary course of business, the Company may provide indemnifications of varying scope and terms to vendors, directors, officers, and other parties with respect to certain matters. The Company has not incurred any material costs as a result of such indemnifications and have not accrued any liabilities related to such obligations in its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For certain customers, the Company provides a performance warranty for accessibility to the Company’s platform as identified in an order form during the order duration. The Company’s software products are generally warranted for certain customers to substantially conform to the specifications set forth in the related customer contract and published documentation. In the event there is a failure of such warranties, the Company generally will correct the problem or provide a reasonable workaround or replacement product. The Company has the standard 30-day cure period for failures that amount to a material breach, and no warranted time frame for nonmaterial failures. If the Company cannot correct or provide a workaround or replacement product for material failures within the cure period, then the customer’s remedy is generally limited to termination of the contractual arrangement related to the nonconforming product services with a pro rata refund of the related fees paid. The Company has not incurred significant expense under these service warranties, nor does it expect that any future expense is probable. Accordingly, the Company has determined that potential costs related to warranties are not probable or estimable and, as such, has not recorded a reserve as of December 31, 2021 and 2020.</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jc w:val="both"/>
        <w:ind w:right="160" w:firstLine="509"/>
        <w:spacing w:after="0" w:line="262" w:lineRule="auto"/>
        <w:rPr>
          <w:sz w:val="20"/>
          <w:szCs w:val="20"/>
          <w:color w:val="auto"/>
        </w:rPr>
      </w:pPr>
      <w:r>
        <w:rPr>
          <w:rFonts w:ascii="Arial" w:cs="Arial" w:eastAsia="Arial" w:hAnsi="Arial"/>
          <w:sz w:val="17"/>
          <w:szCs w:val="17"/>
          <w:color w:val="auto"/>
        </w:rPr>
        <w:t xml:space="preserve">Leases: In February 2016, the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companies to recognize lease liabilities and corresponding right-of-use leased assets on the balance sheets and to disclose key information about leasing arrangements. Qualitative and quantitative disclosures will be enhanced to better understand the amount, timing, and uncertainty of cash flows arising from leases. ASU No. 2016-02 is effective for annual periods beginning after December 15, 2021, with early adoption permitted.</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in 2018 and 2019, the FASB issued the following Topic 842–related ASUs:</w:t>
      </w:r>
    </w:p>
    <w:p>
      <w:pPr>
        <w:spacing w:after="0" w:line="104" w:lineRule="exact"/>
        <w:rPr>
          <w:sz w:val="20"/>
          <w:szCs w:val="20"/>
          <w:color w:val="auto"/>
        </w:rPr>
      </w:pPr>
    </w:p>
    <w:p>
      <w:pPr>
        <w:ind w:left="1140" w:right="180" w:hanging="369"/>
        <w:spacing w:after="0" w:line="261"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2018-01, </w:t>
      </w: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which clarifies the applicability of Topic 842 to land easements and provides an optional transition practical expedient for existing land easements;</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makes certain technical corrections to Topic 842;</w:t>
      </w:r>
    </w:p>
    <w:p>
      <w:pPr>
        <w:spacing w:after="0" w:line="103" w:lineRule="exact"/>
        <w:rPr>
          <w:rFonts w:ascii="Arial" w:cs="Arial" w:eastAsia="Arial" w:hAnsi="Arial"/>
          <w:sz w:val="18"/>
          <w:szCs w:val="18"/>
          <w:color w:val="auto"/>
        </w:rPr>
      </w:pPr>
    </w:p>
    <w:p>
      <w:pPr>
        <w:ind w:left="1140" w:right="60" w:hanging="369"/>
        <w:spacing w:after="0" w:line="248"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allows companies to adopt Topic 842 without revising comparative period reporting or disclosures and provides an optional practical expedient to lessors to not separate lease and non-lease components of a contract if certain criteria are met; and</w:t>
      </w:r>
    </w:p>
    <w:p>
      <w:pPr>
        <w:spacing w:after="0" w:line="73" w:lineRule="exact"/>
        <w:rPr>
          <w:rFonts w:ascii="Arial" w:cs="Arial" w:eastAsia="Arial" w:hAnsi="Arial"/>
          <w:sz w:val="18"/>
          <w:szCs w:val="18"/>
          <w:color w:val="auto"/>
        </w:rPr>
      </w:pPr>
    </w:p>
    <w:p>
      <w:pPr>
        <w:ind w:left="1140" w:right="220" w:hanging="369"/>
        <w:spacing w:after="0" w:line="248"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2019-01, </w:t>
      </w:r>
      <w:r>
        <w:rPr>
          <w:rFonts w:ascii="Arial" w:cs="Arial" w:eastAsia="Arial" w:hAnsi="Arial"/>
          <w:sz w:val="18"/>
          <w:szCs w:val="18"/>
          <w:i w:val="1"/>
          <w:iCs w:val="1"/>
          <w:color w:val="auto"/>
        </w:rPr>
        <w:t>Leases (Topic 842): Codification Improvements</w:t>
      </w:r>
      <w:r>
        <w:rPr>
          <w:rFonts w:ascii="Arial" w:cs="Arial" w:eastAsia="Arial" w:hAnsi="Arial"/>
          <w:sz w:val="18"/>
          <w:szCs w:val="18"/>
          <w:color w:val="auto"/>
        </w:rPr>
        <w:t>, which provides guidance for certain lessors on determining the fair value of an underlying asset in a lease and on the cash flow statement presentation of lease payments received; ASU No. 2019-01 also clarifies disclosures required in interim periods after adoption of ASU No. 2016-02 in the year of adoption.</w:t>
      </w:r>
    </w:p>
    <w:p>
      <w:pPr>
        <w:spacing w:after="0" w:line="195"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Company will adopt Topic 842 as of January 1, 2022 and will recognize a cumulative-effect adjustment to the opening balance of accumulated deficit as of the adoption date. The Company will elect the optional transition approach to not apply Topic 842 in the comparative periods presented and the package of practical expedients. The Company will elect all practical expedients, with the exception of the hindsight expedient. The Company expects that the adoption of Topic 842 will result in the recognition of total right-of-use assets between $11.4 million and $11.9 million and total lease liabilities $12.9 million and $13.4 million, relating to our office space leases. The Company does not expect the adoption of Topic 842 to have a material impact to the consolidated financial statements of operations or cash flows from operating, investing, or financing activities.</w:t>
      </w:r>
    </w:p>
    <w:p>
      <w:pPr>
        <w:spacing w:after="0" w:line="162"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 xml:space="preserve">Financial Instruments - Credit Losses: In June 2016, the FASB issued ASU No. 2016-13, </w:t>
      </w:r>
      <w:r>
        <w:rPr>
          <w:rFonts w:ascii="Arial" w:cs="Arial" w:eastAsia="Arial" w:hAnsi="Arial"/>
          <w:sz w:val="18"/>
          <w:szCs w:val="18"/>
          <w:i w:val="1"/>
          <w:iCs w:val="1"/>
          <w:color w:val="auto"/>
        </w:rPr>
        <w:t>Financial Instruments (Topic 326).</w:t>
      </w:r>
      <w:r>
        <w:rPr>
          <w:rFonts w:ascii="Arial" w:cs="Arial" w:eastAsia="Arial" w:hAnsi="Arial"/>
          <w:sz w:val="18"/>
          <w:szCs w:val="18"/>
          <w:color w:val="auto"/>
        </w:rPr>
        <w:t xml:space="preserve"> This standard revises current U.S. GAAP methodology by requiring measurement and immediate recognition of expected credit losses on in-scope financial instruments, including trade receivables. ASU No. 2016-13 is effective for annual periods beginning after December 15, 2022, with early adoption permitted in fiscal years beginning after December 31, 2018. The Company is currently in the process of evaluating the impact of adoption on its consolidated financial statements.</w:t>
      </w:r>
    </w:p>
    <w:p>
      <w:pPr>
        <w:spacing w:after="0" w:line="18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 xml:space="preserve">Intangibles – Goodwill: In January 2017, the FASB issued No.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is currently evaluating the new guidance and assessing the potential impact on its consolidated financial statements.</w:t>
      </w:r>
    </w:p>
    <w:p>
      <w:pPr>
        <w:spacing w:after="0" w:line="293"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show the Company’s financial statement details as of December 31, 2021 and 2020.</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5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hosting</w:t>
            </w:r>
          </w:p>
        </w:tc>
        <w:tc>
          <w:tcPr>
            <w:tcW w:w="3560" w:type="dxa"/>
            <w:vAlign w:val="bottom"/>
            <w:gridSpan w:val="2"/>
            <w:shd w:val="clear" w:color="auto" w:fill="CFF0FC"/>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9,216</w:t>
            </w:r>
          </w:p>
        </w:tc>
        <w:tc>
          <w:tcPr>
            <w:tcW w:w="1220" w:type="dxa"/>
            <w:vAlign w:val="bottom"/>
            <w:gridSpan w:val="2"/>
            <w:shd w:val="clear" w:color="auto" w:fill="CFF0FC"/>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4,677</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Other prepaid expenses and other assets</w:t>
            </w:r>
          </w:p>
        </w:tc>
        <w:tc>
          <w:tcPr>
            <w:tcW w:w="25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9,900</w:t>
            </w:r>
          </w:p>
        </w:tc>
        <w:tc>
          <w:tcPr>
            <w:tcW w:w="2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2,180</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22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prepaid expense and other current assets</w:t>
            </w:r>
          </w:p>
        </w:tc>
        <w:tc>
          <w:tcPr>
            <w:tcW w:w="25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4"/>
              </w:rPr>
              <w:t>19,116</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6,857</w:t>
            </w:r>
          </w:p>
        </w:tc>
        <w:tc>
          <w:tcPr>
            <w:tcW w:w="560" w:type="dxa"/>
            <w:vAlign w:val="bottom"/>
          </w:tcPr>
          <w:p>
            <w:pPr>
              <w:spacing w:after="0"/>
              <w:rPr>
                <w:sz w:val="20"/>
                <w:szCs w:val="20"/>
                <w:color w:val="auto"/>
              </w:rPr>
            </w:pPr>
          </w:p>
        </w:tc>
      </w:tr>
      <w:tr>
        <w:trPr>
          <w:trHeight w:val="507"/>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580" w:type="dxa"/>
            <w:vAlign w:val="bottom"/>
          </w:tcPr>
          <w:p>
            <w:pPr>
              <w:jc w:val="right"/>
              <w:ind w:right="1570"/>
              <w:spacing w:after="0"/>
              <w:rPr>
                <w:sz w:val="20"/>
                <w:szCs w:val="20"/>
                <w:color w:val="auto"/>
              </w:rPr>
            </w:pPr>
            <w:r>
              <w:rPr>
                <w:rFonts w:ascii="Arial" w:cs="Arial" w:eastAsia="Arial" w:hAnsi="Arial"/>
                <w:sz w:val="18"/>
                <w:szCs w:val="18"/>
                <w:color w:val="auto"/>
              </w:rPr>
              <w:t>83</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-436880</wp:posOffset>
            </wp:positionV>
            <wp:extent cx="431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-419100</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-436880</wp:posOffset>
            </wp:positionV>
            <wp:extent cx="342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-419100</wp:posOffset>
            </wp:positionV>
            <wp:extent cx="342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7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As of December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Office equipment</w:t>
            </w:r>
          </w:p>
        </w:tc>
        <w:tc>
          <w:tcPr>
            <w:tcW w:w="980" w:type="dxa"/>
            <w:vAlign w:val="bottom"/>
            <w:shd w:val="clear" w:color="auto" w:fill="CFF0FC"/>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3,351</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5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2,058</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9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583</w:t>
            </w: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9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814</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9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Internal-use software</w:t>
            </w:r>
          </w:p>
        </w:tc>
        <w:tc>
          <w:tcPr>
            <w:tcW w:w="9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3,296</w:t>
            </w:r>
          </w:p>
        </w:tc>
        <w:tc>
          <w:tcPr>
            <w:tcW w:w="2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780" w:type="dxa"/>
            <w:vAlign w:val="bottom"/>
          </w:tcPr>
          <w:p>
            <w:pPr>
              <w:ind w:left="180"/>
              <w:spacing w:after="0" w:line="196" w:lineRule="exact"/>
              <w:rPr>
                <w:sz w:val="20"/>
                <w:szCs w:val="20"/>
                <w:color w:val="auto"/>
              </w:rPr>
            </w:pPr>
            <w:r>
              <w:rPr>
                <w:rFonts w:ascii="Arial" w:cs="Arial" w:eastAsia="Arial" w:hAnsi="Arial"/>
                <w:sz w:val="18"/>
                <w:szCs w:val="18"/>
                <w:color w:val="auto"/>
              </w:rPr>
              <w:t>Total property and equipment</w:t>
            </w:r>
          </w:p>
        </w:tc>
        <w:tc>
          <w:tcPr>
            <w:tcW w:w="9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7,499</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4,692</w:t>
            </w: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93"/>
              </w:rPr>
              <w:t>(2,667 )</w:t>
            </w:r>
          </w:p>
        </w:tc>
        <w:tc>
          <w:tcPr>
            <w:tcW w:w="9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3"/>
              </w:rPr>
              <w:t>(2,019 )</w:t>
            </w:r>
          </w:p>
        </w:tc>
      </w:tr>
      <w:tr>
        <w:trPr>
          <w:trHeight w:val="196"/>
        </w:trPr>
        <w:tc>
          <w:tcPr>
            <w:tcW w:w="60" w:type="dxa"/>
            <w:vAlign w:val="bottom"/>
          </w:tcPr>
          <w:p>
            <w:pPr>
              <w:spacing w:after="0"/>
              <w:rPr>
                <w:sz w:val="17"/>
                <w:szCs w:val="17"/>
                <w:color w:val="auto"/>
              </w:rPr>
            </w:pPr>
          </w:p>
        </w:tc>
        <w:tc>
          <w:tcPr>
            <w:tcW w:w="6780" w:type="dxa"/>
            <w:vAlign w:val="bottom"/>
            <w:tcBorders>
              <w:top w:val="single" w:sz="8" w:color="CFF0FC"/>
            </w:tcBorders>
          </w:tcPr>
          <w:p>
            <w:pPr>
              <w:ind w:left="180"/>
              <w:spacing w:after="0" w:line="182" w:lineRule="exact"/>
              <w:rPr>
                <w:sz w:val="20"/>
                <w:szCs w:val="20"/>
                <w:color w:val="auto"/>
              </w:rPr>
            </w:pPr>
            <w:r>
              <w:rPr>
                <w:rFonts w:ascii="Arial" w:cs="Arial" w:eastAsia="Arial" w:hAnsi="Arial"/>
                <w:sz w:val="18"/>
                <w:szCs w:val="18"/>
                <w:color w:val="auto"/>
              </w:rPr>
              <w:t>Property and equipment, net</w:t>
            </w:r>
          </w:p>
        </w:tc>
        <w:tc>
          <w:tcPr>
            <w:tcW w:w="980" w:type="dxa"/>
            <w:vAlign w:val="bottom"/>
            <w:tcBorders>
              <w:top w:val="single" w:sz="8" w:color="auto"/>
              <w:bottom w:val="single" w:sz="8" w:color="auto"/>
            </w:tcBorders>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4,832</w:t>
            </w:r>
          </w:p>
        </w:tc>
        <w:tc>
          <w:tcPr>
            <w:tcW w:w="24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750"/>
              <w:spacing w:after="0" w:line="182"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2,673</w:t>
            </w:r>
          </w:p>
        </w:tc>
        <w:tc>
          <w:tcPr>
            <w:tcW w:w="100" w:type="dxa"/>
            <w:vAlign w:val="bottom"/>
            <w:tcBorders>
              <w:top w:val="single" w:sz="8" w:color="CFF0FC"/>
            </w:tcBorders>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-424815</wp:posOffset>
            </wp:positionV>
            <wp:extent cx="6032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-424815</wp:posOffset>
            </wp:positionV>
            <wp:extent cx="6032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-159385</wp:posOffset>
            </wp:positionV>
            <wp:extent cx="603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Depreciation and amortization expense related to property and equipment for the years ended December 31, 2021, 2020, and 2019 was $1.4 million, $1.0 million, and $0.7 million, respectively.</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changes in the carrying value of capitalized internal-use software costs for the periods presented below are as follows (in thousands):</w:t>
      </w:r>
    </w:p>
    <w:p>
      <w:pPr>
        <w:sectPr>
          <w:pgSz w:w="11900" w:h="16838" w:orient="portrait"/>
          <w:cols w:equalWidth="0" w:num="1">
            <w:col w:w="11180"/>
          </w:cols>
          <w:pgMar w:left="320" w:top="47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wp:posOffset>
            </wp:positionV>
            <wp:extent cx="641223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Amortization of internal-use software costs</w:t>
      </w:r>
    </w:p>
    <w:p>
      <w:pPr>
        <w:ind w:left="580"/>
        <w:spacing w:after="0" w:line="234" w:lineRule="auto"/>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Capitalization of internal-use software costs</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Amortization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41223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as of December 31, 2021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04"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8890</wp:posOffset>
            </wp:positionV>
            <wp:extent cx="11315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96"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1,224</w:t>
      </w:r>
    </w:p>
    <w:p>
      <w:pPr>
        <w:ind w:left="2280"/>
        <w:spacing w:after="0"/>
        <w:rPr>
          <w:sz w:val="20"/>
          <w:szCs w:val="20"/>
          <w:color w:val="auto"/>
        </w:rPr>
      </w:pPr>
      <w:r>
        <w:rPr>
          <w:rFonts w:ascii="Arial" w:cs="Arial" w:eastAsia="Arial" w:hAnsi="Arial"/>
          <w:sz w:val="16"/>
          <w:szCs w:val="16"/>
          <w:color w:val="auto"/>
        </w:rPr>
        <w:t>(103 )</w:t>
      </w:r>
    </w:p>
    <w:p>
      <w:pPr>
        <w:spacing w:after="0" w:line="2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1,121</w:t>
      </w:r>
    </w:p>
    <w:p>
      <w:pPr>
        <w:ind w:left="2200"/>
        <w:spacing w:after="0" w:line="234" w:lineRule="auto"/>
        <w:rPr>
          <w:sz w:val="20"/>
          <w:szCs w:val="20"/>
          <w:color w:val="auto"/>
        </w:rPr>
      </w:pPr>
      <w:r>
        <w:rPr>
          <w:rFonts w:ascii="Arial" w:cs="Arial" w:eastAsia="Arial" w:hAnsi="Arial"/>
          <w:sz w:val="18"/>
          <w:szCs w:val="18"/>
          <w:color w:val="auto"/>
        </w:rPr>
        <w:t>2,072</w:t>
      </w:r>
    </w:p>
    <w:p>
      <w:pPr>
        <w:spacing w:after="0" w:line="1"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(585 )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-3175</wp:posOffset>
            </wp:positionV>
            <wp:extent cx="11315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60"/>
        <w:spacing w:after="0"/>
        <w:tabs>
          <w:tab w:leader="none" w:pos="2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As of December 31,</w:t>
      </w:r>
    </w:p>
    <w:p>
      <w:pPr>
        <w:spacing w:after="0" w:line="16"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-3175</wp:posOffset>
            </wp:positionV>
            <wp:extent cx="20574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40" w:space="720"/>
            <w:col w:w="3220"/>
          </w:cols>
          <w:pgMar w:left="320" w:top="476" w:right="399" w:bottom="1440" w:gutter="0" w:footer="0" w:header="0"/>
          <w:type w:val="continuous"/>
        </w:sectPr>
      </w:pPr>
    </w:p>
    <w:p>
      <w:pPr>
        <w:spacing w:after="0" w:line="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Accrued commission</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82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60" w:type="dxa"/>
            <w:vAlign w:val="bottom"/>
            <w:shd w:val="clear" w:color="auto" w:fill="CFF0FC"/>
          </w:tcPr>
          <w:p>
            <w:pPr>
              <w:spacing w:after="0"/>
              <w:rPr>
                <w:sz w:val="18"/>
                <w:szCs w:val="18"/>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Accrued payroll and employee related taxes</w:t>
            </w:r>
          </w:p>
        </w:tc>
        <w:tc>
          <w:tcPr>
            <w:tcW w:w="5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2,689</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1,123</w:t>
            </w:r>
          </w:p>
        </w:tc>
        <w:tc>
          <w:tcPr>
            <w:tcW w:w="60" w:type="dxa"/>
            <w:vAlign w:val="bottom"/>
          </w:tcPr>
          <w:p>
            <w:pPr>
              <w:spacing w:after="0"/>
              <w:rPr>
                <w:sz w:val="17"/>
                <w:szCs w:val="17"/>
                <w:color w:val="auto"/>
              </w:rPr>
            </w:pPr>
          </w:p>
        </w:tc>
      </w:tr>
      <w:tr>
        <w:trPr>
          <w:trHeight w:val="203"/>
        </w:trPr>
        <w:tc>
          <w:tcPr>
            <w:tcW w:w="6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sales tax</w:t>
            </w: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932</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w:t>
            </w:r>
          </w:p>
        </w:tc>
        <w:tc>
          <w:tcPr>
            <w:tcW w:w="60" w:type="dxa"/>
            <w:vAlign w:val="bottom"/>
            <w:shd w:val="clear" w:color="auto" w:fill="CFF0FC"/>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Liability from early exercised stock options</w:t>
            </w:r>
          </w:p>
        </w:tc>
        <w:tc>
          <w:tcPr>
            <w:tcW w:w="5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3,708</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894</w:t>
            </w:r>
          </w:p>
        </w:tc>
        <w:tc>
          <w:tcPr>
            <w:tcW w:w="60" w:type="dxa"/>
            <w:vAlign w:val="bottom"/>
          </w:tcPr>
          <w:p>
            <w:pPr>
              <w:spacing w:after="0"/>
              <w:rPr>
                <w:sz w:val="17"/>
                <w:szCs w:val="17"/>
                <w:color w:val="auto"/>
              </w:rPr>
            </w:pPr>
          </w:p>
        </w:tc>
      </w:tr>
      <w:tr>
        <w:trPr>
          <w:trHeight w:val="203"/>
        </w:trPr>
        <w:tc>
          <w:tcPr>
            <w:tcW w:w="6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ESPP withholding</w:t>
            </w: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981</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Other accrued liabilities</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4,918</w:t>
            </w: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2,564</w:t>
            </w:r>
          </w:p>
        </w:tc>
        <w:tc>
          <w:tcPr>
            <w:tcW w:w="60" w:type="dxa"/>
            <w:vAlign w:val="bottom"/>
          </w:tcPr>
          <w:p>
            <w:pPr>
              <w:spacing w:after="0"/>
              <w:rPr>
                <w:sz w:val="17"/>
                <w:szCs w:val="17"/>
                <w:color w:val="auto"/>
              </w:rPr>
            </w:pPr>
          </w:p>
        </w:tc>
      </w:tr>
      <w:tr>
        <w:trPr>
          <w:trHeight w:val="236"/>
        </w:trPr>
        <w:tc>
          <w:tcPr>
            <w:tcW w:w="68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accrued expenses</w:t>
            </w:r>
          </w:p>
        </w:tc>
        <w:tc>
          <w:tcPr>
            <w:tcW w:w="56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17,936</w:t>
            </w:r>
          </w:p>
        </w:tc>
        <w:tc>
          <w:tcPr>
            <w:tcW w:w="2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8,110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431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9" w:lineRule="exact"/>
        <w:rPr>
          <w:sz w:val="20"/>
          <w:szCs w:val="20"/>
          <w:color w:val="auto"/>
        </w:rPr>
      </w:pPr>
    </w:p>
    <w:p>
      <w:pPr>
        <w:ind w:right="7180" w:firstLine="8"/>
        <w:spacing w:after="0" w:line="362" w:lineRule="auto"/>
        <w:tabs>
          <w:tab w:leader="none" w:pos="509"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Intangible Assets, and Goodwill </w:t>
      </w:r>
      <w:r>
        <w:rPr>
          <w:rFonts w:ascii="Arial" w:cs="Arial" w:eastAsia="Arial" w:hAnsi="Arial"/>
          <w:sz w:val="18"/>
          <w:szCs w:val="18"/>
          <w:b w:val="1"/>
          <w:bCs w:val="1"/>
          <w:i w:val="1"/>
          <w:iCs w:val="1"/>
          <w:color w:val="auto"/>
        </w:rPr>
        <w:t>Acquisitions</w:t>
      </w:r>
    </w:p>
    <w:p>
      <w:pPr>
        <w:spacing w:after="0" w:line="1"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During the fiscal year ended December 31, 2020, the Company acquired certain assets from a privately-held company for $3.7 million in cash. The Company has accounted for this transaction as a business combination. In allocating the aggregate purchase price based on the estimated fair values, the Company recorded $2.7 million as a developed technology intangible asset to be amortized over an estimated useful life of three years. The excess of purchase consideration over the fair value of net assets acquired was recorded as goodwill in the amount of $1.0 million.</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type w:val="continuous"/>
        </w:sectPr>
      </w:pPr>
    </w:p>
    <w:bookmarkStart w:id="84" w:name="page85"/>
    <w:bookmarkEnd w:id="84"/>
    <w:p>
      <w:pPr>
        <w:ind w:firstLine="509"/>
        <w:spacing w:after="0" w:line="253" w:lineRule="auto"/>
        <w:rPr>
          <w:sz w:val="20"/>
          <w:szCs w:val="20"/>
          <w:color w:val="auto"/>
        </w:rPr>
      </w:pPr>
      <w:r>
        <w:rPr>
          <w:rFonts w:ascii="Arial" w:cs="Arial" w:eastAsia="Arial" w:hAnsi="Arial"/>
          <w:sz w:val="17"/>
          <w:szCs w:val="17"/>
          <w:color w:val="auto"/>
        </w:rPr>
        <w:t>During the year ended December 31, 2021, the Company completed an acquisition of a privately-held company for an aggregate of $9.5 million, consisting of $2.1 million of cash and $7.4 million of equity consideration through the issuance of 0.7 million shares of its common stock. The Company has accounted for this transaction as a business combination. In allocating the aggregate purchase price based on the estimated fair values, the Company recorded $3.8 million of cash, $2.85 million as a developed technology intangible asset, and $0.4 million as a customer related intangible asset, both of which are to be amortized over estimated useful lives of three years. The excess of purchase consideration over the fair value of net assets acquired was recorded as goodwill in the amount of $3.1 million after measurement period and working capital adjustments. As part of the acquisition, the Company also agreed to retention agreements with key employees in which 0.4 million shares of common stock are restricted and vest over a service period of four years. As of December 31, 2021, total unrecognized stock-based compensation expense related to these restricted shares was $3.6 million, which is expected to be recognized over the weighted average remaining vesting period of 3.3 years.</w:t>
      </w:r>
    </w:p>
    <w:p>
      <w:pPr>
        <w:spacing w:after="0" w:line="184"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 Company believes the goodwill balances associated with these acquisitions represent the synergies expected from expanded market opportunities when integrating the acquired developed technologies with the Company’s offerings as well as acquiring an assembled workforce. Related goodwill is deductible for income tax purposes.</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Aggregate acquisition-related costs associated with these business combinations were not material for all periods presented and were included in general and administrative expenses in the consolidated statements of operations. The results of operations of these business combinations have been included in the Company’s consolidated financial statements from the acquisition date. These business combinations did not have a material impact on the Company’s consolidated financial statements. Therefore, historical results of operations prior to the acquisition dates and pro forma results of operations have not been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Other Than Goodwill</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0" w:type="dxa"/>
            <w:vAlign w:val="bottom"/>
            <w:gridSpan w:val="6"/>
          </w:tcPr>
          <w:p>
            <w:pPr>
              <w:jc w:val="right"/>
              <w:ind w:right="777"/>
              <w:spacing w:after="0"/>
              <w:rPr>
                <w:sz w:val="20"/>
                <w:szCs w:val="20"/>
                <w:color w:val="auto"/>
              </w:rPr>
            </w:pPr>
            <w:r>
              <w:rPr>
                <w:rFonts w:ascii="Arial" w:cs="Arial" w:eastAsia="Arial" w:hAnsi="Arial"/>
                <w:sz w:val="18"/>
                <w:szCs w:val="18"/>
                <w:b w:val="1"/>
                <w:bCs w:val="1"/>
                <w:color w:val="auto"/>
              </w:rPr>
              <w:t>As of December 31, 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6"/>
          </w:tcPr>
          <w:p>
            <w:pPr>
              <w:jc w:val="right"/>
              <w:ind w:right="657"/>
              <w:spacing w:after="0"/>
              <w:rPr>
                <w:sz w:val="20"/>
                <w:szCs w:val="20"/>
                <w:color w:val="auto"/>
              </w:rPr>
            </w:pPr>
            <w:r>
              <w:rPr>
                <w:rFonts w:ascii="Arial" w:cs="Arial" w:eastAsia="Arial" w:hAnsi="Arial"/>
                <w:sz w:val="18"/>
                <w:szCs w:val="18"/>
                <w:b w:val="1"/>
                <w:bCs w:val="1"/>
                <w:color w:val="auto"/>
              </w:rPr>
              <w:t>As of December 31, 2020</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8"/>
              </w:rPr>
              <w:t>Gross Carrying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243"/>
              <w:spacing w:after="0"/>
              <w:rPr>
                <w:sz w:val="20"/>
                <w:szCs w:val="20"/>
                <w:color w:val="auto"/>
              </w:rPr>
            </w:pPr>
            <w:r>
              <w:rPr>
                <w:rFonts w:ascii="Arial" w:cs="Arial" w:eastAsia="Arial" w:hAnsi="Arial"/>
                <w:sz w:val="14"/>
                <w:szCs w:val="14"/>
                <w:b w:val="1"/>
                <w:bCs w:val="1"/>
                <w:color w:val="auto"/>
              </w:rPr>
              <w:t>Accumulated</w:t>
            </w:r>
          </w:p>
        </w:tc>
        <w:tc>
          <w:tcPr>
            <w:tcW w:w="10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3"/>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Developed technology</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5,550</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(2,303</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5"/>
              </w:rPr>
              <w:t>) $</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3,247</w:t>
            </w: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2,700</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(745</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85"/>
              </w:rPr>
              <w:t>) $</w:t>
            </w:r>
          </w:p>
        </w:tc>
        <w:tc>
          <w:tcPr>
            <w:tcW w:w="100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Customer related</w:t>
            </w:r>
          </w:p>
        </w:tc>
        <w:tc>
          <w:tcPr>
            <w:tcW w:w="6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63"/>
              <w:spacing w:after="0" w:line="202" w:lineRule="exact"/>
              <w:rPr>
                <w:sz w:val="20"/>
                <w:szCs w:val="20"/>
                <w:color w:val="auto"/>
              </w:rPr>
            </w:pPr>
            <w:r>
              <w:rPr>
                <w:rFonts w:ascii="Arial" w:cs="Arial" w:eastAsia="Arial" w:hAnsi="Arial"/>
                <w:sz w:val="18"/>
                <w:szCs w:val="18"/>
                <w:color w:val="auto"/>
              </w:rPr>
              <w:t>(93 )</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ind w:left="180"/>
              <w:spacing w:after="0" w:line="182" w:lineRule="exact"/>
              <w:rPr>
                <w:sz w:val="20"/>
                <w:szCs w:val="20"/>
                <w:color w:val="auto"/>
              </w:rPr>
            </w:pPr>
            <w:r>
              <w:rPr>
                <w:rFonts w:ascii="Arial" w:cs="Arial" w:eastAsia="Arial" w:hAnsi="Arial"/>
                <w:sz w:val="18"/>
                <w:szCs w:val="18"/>
                <w:color w:val="auto"/>
              </w:rPr>
              <w:t>Intangible assets, net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5,950</w:t>
            </w: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(2,396</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1"/>
                <w:szCs w:val="21"/>
                <w:color w:val="auto"/>
                <w:vertAlign w:val="subscript"/>
              </w:rPr>
              <w:t>$</w:t>
            </w:r>
          </w:p>
        </w:tc>
        <w:tc>
          <w:tcPr>
            <w:tcW w:w="10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2,700</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(745</w:t>
            </w:r>
          </w:p>
        </w:tc>
        <w:tc>
          <w:tcPr>
            <w:tcW w:w="20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85"/>
              </w:rPr>
              <w:t>) $</w:t>
            </w:r>
          </w:p>
        </w:tc>
        <w:tc>
          <w:tcPr>
            <w:tcW w:w="1000" w:type="dxa"/>
            <w:vAlign w:val="bottom"/>
            <w:tcBorders>
              <w:top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0"/>
        </w:trPr>
        <w:tc>
          <w:tcPr>
            <w:tcW w:w="22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-740410</wp:posOffset>
            </wp:positionV>
            <wp:extent cx="85725" cy="3340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-740410</wp:posOffset>
            </wp:positionV>
            <wp:extent cx="85725" cy="3340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-740410</wp:posOffset>
            </wp:positionV>
            <wp:extent cx="68580" cy="3340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-740410</wp:posOffset>
            </wp:positionV>
            <wp:extent cx="59690" cy="3340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334010"/>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-740410</wp:posOffset>
            </wp:positionV>
            <wp:extent cx="85725" cy="3340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6730365</wp:posOffset>
            </wp:positionH>
            <wp:positionV relativeFrom="paragraph">
              <wp:posOffset>-740410</wp:posOffset>
            </wp:positionV>
            <wp:extent cx="59690" cy="3340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33401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-24765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-7620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342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Amortization expense of intangible assets was $1.7 million, $0.7 million, and zero for the years ended December 31, 2021, 2020, and 2019, respectively.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future amortization expense is expected to be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760" w:type="dxa"/>
            <w:vAlign w:val="bottom"/>
            <w:shd w:val="clear" w:color="auto" w:fill="CFF0FC"/>
          </w:tcPr>
          <w:p>
            <w:pPr>
              <w:jc w:val="right"/>
              <w:ind w:right="2310"/>
              <w:spacing w:after="0" w:line="196" w:lineRule="exact"/>
              <w:rPr>
                <w:sz w:val="20"/>
                <w:szCs w:val="20"/>
                <w:color w:val="auto"/>
              </w:rPr>
            </w:pPr>
            <w:r>
              <w:rPr>
                <w:rFonts w:ascii="Arial" w:cs="Arial" w:eastAsia="Arial" w:hAnsi="Arial"/>
                <w:sz w:val="18"/>
                <w:szCs w:val="18"/>
                <w:color w:val="auto"/>
                <w:w w:val="84"/>
              </w:rPr>
              <w:t>2022</w:t>
            </w:r>
          </w:p>
        </w:tc>
        <w:tc>
          <w:tcPr>
            <w:tcW w:w="54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1,983</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760" w:type="dxa"/>
            <w:vAlign w:val="bottom"/>
          </w:tcPr>
          <w:p>
            <w:pPr>
              <w:jc w:val="right"/>
              <w:ind w:right="2310"/>
              <w:spacing w:after="0" w:line="202" w:lineRule="exact"/>
              <w:rPr>
                <w:sz w:val="20"/>
                <w:szCs w:val="20"/>
                <w:color w:val="auto"/>
              </w:rPr>
            </w:pPr>
            <w:r>
              <w:rPr>
                <w:rFonts w:ascii="Arial" w:cs="Arial" w:eastAsia="Arial" w:hAnsi="Arial"/>
                <w:sz w:val="18"/>
                <w:szCs w:val="18"/>
                <w:color w:val="auto"/>
                <w:w w:val="84"/>
              </w:rPr>
              <w:t>2023</w:t>
            </w:r>
          </w:p>
        </w:tc>
        <w:tc>
          <w:tcPr>
            <w:tcW w:w="5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1,239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760" w:type="dxa"/>
            <w:vAlign w:val="bottom"/>
            <w:shd w:val="clear" w:color="auto" w:fill="CFF0FC"/>
          </w:tcPr>
          <w:p>
            <w:pPr>
              <w:jc w:val="right"/>
              <w:ind w:right="2310"/>
              <w:spacing w:after="0" w:line="202" w:lineRule="exact"/>
              <w:rPr>
                <w:sz w:val="20"/>
                <w:szCs w:val="20"/>
                <w:color w:val="auto"/>
              </w:rPr>
            </w:pPr>
            <w:r>
              <w:rPr>
                <w:rFonts w:ascii="Arial" w:cs="Arial" w:eastAsia="Arial" w:hAnsi="Arial"/>
                <w:sz w:val="18"/>
                <w:szCs w:val="18"/>
                <w:color w:val="auto"/>
                <w:w w:val="84"/>
              </w:rPr>
              <w:t>2024</w:t>
            </w:r>
          </w:p>
        </w:tc>
        <w:tc>
          <w:tcPr>
            <w:tcW w:w="5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760" w:type="dxa"/>
            <w:vAlign w:val="bottom"/>
          </w:tcPr>
          <w:p>
            <w:pPr>
              <w:jc w:val="right"/>
              <w:ind w:right="2310"/>
              <w:spacing w:after="0" w:line="202" w:lineRule="exact"/>
              <w:rPr>
                <w:sz w:val="20"/>
                <w:szCs w:val="20"/>
                <w:color w:val="auto"/>
              </w:rPr>
            </w:pPr>
            <w:r>
              <w:rPr>
                <w:rFonts w:ascii="Arial" w:cs="Arial" w:eastAsia="Arial" w:hAnsi="Arial"/>
                <w:sz w:val="18"/>
                <w:szCs w:val="18"/>
                <w:color w:val="auto"/>
                <w:w w:val="84"/>
              </w:rPr>
              <w:t>2025</w:t>
            </w:r>
          </w:p>
        </w:tc>
        <w:tc>
          <w:tcPr>
            <w:tcW w:w="5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760" w:type="dxa"/>
            <w:vAlign w:val="bottom"/>
            <w:tcBorders>
              <w:bottom w:val="single" w:sz="8" w:color="CFF0FC"/>
            </w:tcBorders>
            <w:shd w:val="clear" w:color="auto" w:fill="CFF0FC"/>
          </w:tcPr>
          <w:p>
            <w:pPr>
              <w:jc w:val="right"/>
              <w:ind w:right="2310"/>
              <w:spacing w:after="0" w:line="202" w:lineRule="exact"/>
              <w:rPr>
                <w:sz w:val="20"/>
                <w:szCs w:val="20"/>
                <w:color w:val="auto"/>
              </w:rPr>
            </w:pPr>
            <w:r>
              <w:rPr>
                <w:rFonts w:ascii="Arial" w:cs="Arial" w:eastAsia="Arial" w:hAnsi="Arial"/>
                <w:sz w:val="18"/>
                <w:szCs w:val="18"/>
                <w:color w:val="auto"/>
                <w:w w:val="84"/>
              </w:rPr>
              <w:t>2026</w:t>
            </w:r>
          </w:p>
        </w:tc>
        <w:tc>
          <w:tcPr>
            <w:tcW w:w="54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760" w:type="dxa"/>
            <w:vAlign w:val="bottom"/>
          </w:tcPr>
          <w:p>
            <w:pPr>
              <w:jc w:val="right"/>
              <w:ind w:right="2110"/>
              <w:spacing w:after="0" w:line="182" w:lineRule="exact"/>
              <w:rPr>
                <w:sz w:val="20"/>
                <w:szCs w:val="20"/>
                <w:color w:val="auto"/>
              </w:rPr>
            </w:pPr>
            <w:r>
              <w:rPr>
                <w:rFonts w:ascii="Arial" w:cs="Arial" w:eastAsia="Arial" w:hAnsi="Arial"/>
                <w:sz w:val="18"/>
                <w:szCs w:val="18"/>
                <w:color w:val="auto"/>
              </w:rPr>
              <w:t>Total</w:t>
            </w:r>
          </w:p>
        </w:tc>
        <w:tc>
          <w:tcPr>
            <w:tcW w:w="578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3,554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420" w:type="dxa"/>
            <w:vAlign w:val="bottom"/>
            <w:vMerge w:val="restart"/>
          </w:tcPr>
          <w:p>
            <w:pPr>
              <w:jc w:val="right"/>
              <w:ind w:right="2950"/>
              <w:spacing w:after="0"/>
              <w:rPr>
                <w:sz w:val="20"/>
                <w:szCs w:val="20"/>
                <w:color w:val="auto"/>
              </w:rPr>
            </w:pPr>
            <w:r>
              <w:rPr>
                <w:rFonts w:ascii="Arial" w:cs="Arial" w:eastAsia="Arial" w:hAnsi="Arial"/>
                <w:sz w:val="18"/>
                <w:szCs w:val="18"/>
                <w:color w:val="auto"/>
              </w:rPr>
              <w:t>85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54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-725170</wp:posOffset>
            </wp:positionV>
            <wp:extent cx="431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5" w:name="page86"/>
    <w:bookmarkEnd w:id="85"/>
    <w:p>
      <w:pPr>
        <w:ind w:left="520" w:hanging="512"/>
        <w:spacing w:after="0"/>
        <w:tabs>
          <w:tab w:leader="none" w:pos="5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During the year ended December 31, 2021, the Company issued 6,246,111 shares of Series F redeemable convertible preferred stock.</w:t>
      </w:r>
    </w:p>
    <w:p>
      <w:pPr>
        <w:spacing w:after="0" w:line="223"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Upon the effectiveness of the Registration Statement in connection with the Direct Listing, all shares of the Company's redeemable convertible preferred stock converted to Class B common stock on a one-to-one basis. The table below summarizes the Company's redeemable convertible preferred stock immediately prior to conversion (in thousands, except share data):</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3"/>
              </w:rPr>
              <w:t>Shares issued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5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6"/>
              </w:rPr>
              <w:t>value,</w:t>
            </w:r>
          </w:p>
        </w:tc>
        <w:tc>
          <w:tcPr>
            <w:tcW w:w="160" w:type="dxa"/>
            <w:vAlign w:val="bottom"/>
          </w:tcPr>
          <w:p>
            <w:pPr>
              <w:spacing w:after="0"/>
              <w:rPr>
                <w:sz w:val="17"/>
                <w:szCs w:val="17"/>
                <w:color w:val="auto"/>
              </w:rPr>
            </w:pP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Liquidation</w:t>
            </w:r>
          </w:p>
        </w:tc>
        <w:tc>
          <w:tcPr>
            <w:tcW w:w="60" w:type="dxa"/>
            <w:vAlign w:val="bottom"/>
          </w:tcPr>
          <w:p>
            <w:pPr>
              <w:spacing w:after="0"/>
              <w:rPr>
                <w:sz w:val="17"/>
                <w:szCs w:val="17"/>
                <w:color w:val="auto"/>
              </w:rPr>
            </w:pPr>
          </w:p>
        </w:tc>
      </w:tr>
      <w:tr>
        <w:trPr>
          <w:trHeight w:val="221"/>
        </w:trPr>
        <w:tc>
          <w:tcPr>
            <w:tcW w:w="3940" w:type="dxa"/>
            <w:vAlign w:val="bottom"/>
          </w:tcPr>
          <w:p>
            <w:pPr>
              <w:spacing w:after="0"/>
              <w:rPr>
                <w:sz w:val="19"/>
                <w:szCs w:val="19"/>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authorized</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net of costs</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preference</w:t>
            </w:r>
          </w:p>
        </w:tc>
        <w:tc>
          <w:tcPr>
            <w:tcW w:w="60" w:type="dxa"/>
            <w:vAlign w:val="bottom"/>
          </w:tcPr>
          <w:p>
            <w:pPr>
              <w:spacing w:after="0"/>
              <w:rPr>
                <w:sz w:val="19"/>
                <w:szCs w:val="19"/>
                <w:color w:val="auto"/>
              </w:rPr>
            </w:pPr>
          </w:p>
        </w:tc>
      </w:tr>
      <w:tr>
        <w:trPr>
          <w:trHeight w:val="196"/>
        </w:trPr>
        <w:tc>
          <w:tcPr>
            <w:tcW w:w="394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 xml:space="preserve">Series A </w:t>
            </w:r>
            <w:r>
              <w:rPr>
                <w:rFonts w:ascii="Arial" w:cs="Arial" w:eastAsia="Arial" w:hAnsi="Arial"/>
                <w:sz w:val="22"/>
                <w:szCs w:val="22"/>
                <w:color w:val="auto"/>
                <w:vertAlign w:val="superscript"/>
              </w:rPr>
              <w:t>(1)</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24,504,272</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24,504,272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11,363</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15,166</w:t>
            </w:r>
          </w:p>
        </w:tc>
        <w:tc>
          <w:tcPr>
            <w:tcW w:w="6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14,334,638</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14,334,638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15,809</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15,900</w:t>
            </w:r>
          </w:p>
        </w:tc>
        <w:tc>
          <w:tcPr>
            <w:tcW w:w="60" w:type="dxa"/>
            <w:vAlign w:val="bottom"/>
          </w:tcPr>
          <w:p>
            <w:pPr>
              <w:spacing w:after="0"/>
              <w:rPr>
                <w:sz w:val="17"/>
                <w:szCs w:val="17"/>
                <w:color w:val="auto"/>
              </w:rPr>
            </w:pPr>
          </w:p>
        </w:tc>
      </w:tr>
      <w:tr>
        <w:trPr>
          <w:trHeight w:val="203"/>
        </w:trPr>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Series C</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8,351,370</w:t>
            </w: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8,351,370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31,344</w:t>
            </w: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31,420</w:t>
            </w:r>
          </w:p>
        </w:tc>
        <w:tc>
          <w:tcPr>
            <w:tcW w:w="6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9,313,611</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9,313,611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79,675</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79,800</w:t>
            </w:r>
          </w:p>
        </w:tc>
        <w:tc>
          <w:tcPr>
            <w:tcW w:w="60" w:type="dxa"/>
            <w:vAlign w:val="bottom"/>
          </w:tcPr>
          <w:p>
            <w:pPr>
              <w:spacing w:after="0"/>
              <w:rPr>
                <w:sz w:val="17"/>
                <w:szCs w:val="17"/>
                <w:color w:val="auto"/>
              </w:rPr>
            </w:pPr>
          </w:p>
        </w:tc>
      </w:tr>
      <w:tr>
        <w:trPr>
          <w:trHeight w:val="203"/>
        </w:trPr>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Series E</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5,213,607</w:t>
            </w: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5,213,607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49,620</w:t>
            </w: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49,789</w:t>
            </w:r>
          </w:p>
        </w:tc>
        <w:tc>
          <w:tcPr>
            <w:tcW w:w="6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Series F</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6,246,111</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6,246,111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199,802</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200,000</w:t>
            </w:r>
          </w:p>
        </w:tc>
        <w:tc>
          <w:tcPr>
            <w:tcW w:w="60" w:type="dxa"/>
            <w:vAlign w:val="bottom"/>
          </w:tcPr>
          <w:p>
            <w:pPr>
              <w:spacing w:after="0"/>
              <w:rPr>
                <w:sz w:val="17"/>
                <w:szCs w:val="17"/>
                <w:color w:val="auto"/>
              </w:rPr>
            </w:pPr>
          </w:p>
        </w:tc>
      </w:tr>
      <w:tr>
        <w:trPr>
          <w:trHeight w:val="236"/>
        </w:trPr>
        <w:tc>
          <w:tcPr>
            <w:tcW w:w="394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67,963,609</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67,963,609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387,613</w:t>
            </w:r>
          </w:p>
        </w:tc>
        <w:tc>
          <w:tcPr>
            <w:tcW w:w="1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392,074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0"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the conversion of convertible notes with underlying principal and accrued interest of $2.1 million into 8,341,090 shares of Series A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9512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there were no shares of redeemable convertible preferred stock issued and outstanding.</w:t>
      </w:r>
    </w:p>
    <w:p>
      <w:pPr>
        <w:spacing w:after="0" w:line="21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During the year ended December 31, 2020, the Company issued 23,342 shares of Series D redeemable convertible preferred stock and 5,213,607 shares of Series E redeemable convertible preferred stock.</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Redeemable convertible preferred stock consisted of the following as of December 31, 2020 (in thousands, except share data):</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Shares issued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14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0"/>
              </w:rPr>
              <w:t>value,</w:t>
            </w:r>
          </w:p>
        </w:tc>
        <w:tc>
          <w:tcPr>
            <w:tcW w:w="160" w:type="dxa"/>
            <w:vAlign w:val="bottom"/>
          </w:tcPr>
          <w:p>
            <w:pPr>
              <w:spacing w:after="0"/>
              <w:rPr>
                <w:sz w:val="17"/>
                <w:szCs w:val="17"/>
                <w:color w:val="auto"/>
              </w:rPr>
            </w:pP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Liquidation</w:t>
            </w:r>
          </w:p>
        </w:tc>
        <w:tc>
          <w:tcPr>
            <w:tcW w:w="60" w:type="dxa"/>
            <w:vAlign w:val="bottom"/>
          </w:tcPr>
          <w:p>
            <w:pPr>
              <w:spacing w:after="0"/>
              <w:rPr>
                <w:sz w:val="17"/>
                <w:szCs w:val="17"/>
                <w:color w:val="auto"/>
              </w:rPr>
            </w:pPr>
          </w:p>
        </w:tc>
      </w:tr>
      <w:tr>
        <w:trPr>
          <w:trHeight w:val="221"/>
        </w:trPr>
        <w:tc>
          <w:tcPr>
            <w:tcW w:w="4140" w:type="dxa"/>
            <w:vAlign w:val="bottom"/>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authorized</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net of costs</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preference</w:t>
            </w:r>
          </w:p>
        </w:tc>
        <w:tc>
          <w:tcPr>
            <w:tcW w:w="60" w:type="dxa"/>
            <w:vAlign w:val="bottom"/>
          </w:tcPr>
          <w:p>
            <w:pPr>
              <w:spacing w:after="0"/>
              <w:rPr>
                <w:sz w:val="19"/>
                <w:szCs w:val="19"/>
                <w:color w:val="auto"/>
              </w:rPr>
            </w:pPr>
          </w:p>
        </w:tc>
      </w:tr>
      <w:tr>
        <w:trPr>
          <w:trHeight w:val="196"/>
        </w:trPr>
        <w:tc>
          <w:tcPr>
            <w:tcW w:w="414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 xml:space="preserve">Series A </w:t>
            </w:r>
            <w:r>
              <w:rPr>
                <w:rFonts w:ascii="Arial" w:cs="Arial" w:eastAsia="Arial" w:hAnsi="Arial"/>
                <w:sz w:val="22"/>
                <w:szCs w:val="22"/>
                <w:color w:val="auto"/>
                <w:vertAlign w:val="superscript"/>
              </w:rPr>
              <w:t>(1)</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24,504,272</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24,504,272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11,363</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15,166</w:t>
            </w:r>
          </w:p>
        </w:tc>
        <w:tc>
          <w:tcPr>
            <w:tcW w:w="6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14,334,638</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14,334,638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15,809</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15,900</w:t>
            </w:r>
          </w:p>
        </w:tc>
        <w:tc>
          <w:tcPr>
            <w:tcW w:w="60" w:type="dxa"/>
            <w:vAlign w:val="bottom"/>
          </w:tcPr>
          <w:p>
            <w:pPr>
              <w:spacing w:after="0"/>
              <w:rPr>
                <w:sz w:val="17"/>
                <w:szCs w:val="17"/>
                <w:color w:val="auto"/>
              </w:rPr>
            </w:pPr>
          </w:p>
        </w:tc>
      </w:tr>
      <w:tr>
        <w:trPr>
          <w:trHeight w:val="203"/>
        </w:trPr>
        <w:tc>
          <w:tcPr>
            <w:tcW w:w="4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Series C</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8,351,370</w:t>
            </w: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8,351,370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31,344</w:t>
            </w: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31,420</w:t>
            </w:r>
          </w:p>
        </w:tc>
        <w:tc>
          <w:tcPr>
            <w:tcW w:w="6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9,313,611</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9,313,611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79,675</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79,800</w:t>
            </w:r>
          </w:p>
        </w:tc>
        <w:tc>
          <w:tcPr>
            <w:tcW w:w="60" w:type="dxa"/>
            <w:vAlign w:val="bottom"/>
          </w:tcPr>
          <w:p>
            <w:pPr>
              <w:spacing w:after="0"/>
              <w:rPr>
                <w:sz w:val="17"/>
                <w:szCs w:val="17"/>
                <w:color w:val="auto"/>
              </w:rPr>
            </w:pPr>
          </w:p>
        </w:tc>
      </w:tr>
      <w:tr>
        <w:trPr>
          <w:trHeight w:val="203"/>
        </w:trPr>
        <w:tc>
          <w:tcPr>
            <w:tcW w:w="4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Series E</w:t>
            </w: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5,235,708</w:t>
            </w:r>
          </w:p>
        </w:tc>
        <w:tc>
          <w:tcPr>
            <w:tcW w:w="2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5,213,607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49,620</w:t>
            </w:r>
          </w:p>
        </w:tc>
        <w:tc>
          <w:tcPr>
            <w:tcW w:w="1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49,789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61,739,599</w:t>
            </w:r>
          </w:p>
        </w:tc>
        <w:tc>
          <w:tcPr>
            <w:tcW w:w="1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61,717,498</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187,811</w:t>
            </w: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192,074</w:t>
            </w:r>
          </w:p>
        </w:tc>
        <w:tc>
          <w:tcPr>
            <w:tcW w:w="60" w:type="dxa"/>
            <w:vAlign w:val="bottom"/>
          </w:tcPr>
          <w:p>
            <w:pPr>
              <w:spacing w:after="0"/>
              <w:rPr>
                <w:sz w:val="17"/>
                <w:szCs w:val="17"/>
                <w:color w:val="auto"/>
              </w:rPr>
            </w:pPr>
          </w:p>
        </w:tc>
      </w:tr>
      <w:tr>
        <w:trPr>
          <w:trHeight w:val="20"/>
        </w:trPr>
        <w:tc>
          <w:tcPr>
            <w:tcW w:w="4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-159385</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-159385</wp:posOffset>
            </wp:positionV>
            <wp:extent cx="685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3429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23"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the conversion of convertible notes with underlying principal and accrued interest of $2.1 million into 8,341,090 shares of Series A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9512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Prior to the Company's Direct Listing, the rights, preferences, and privileges of the Company’s redeemable convertible preferred stockholders are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Dividends were payable on the preferred stock when, as, and if declared by the board of directors out of any assets at the time legally available. No dividend or distribution were to be paid on shares of common stock unless in such fiscal year there had been dividends paid, or amounts set aside for dividend payments in such fiscal year, at the rate per share per annum for each outstanding share of $0.0495, $0.0888, $0.3010, $0.6854, $0.7640 and $2.5616 per share of Series A preferred stock, Series B preferred stock, Series C preferred stock, Series D preferred stock, Series E preferred stock, and Series F preferred stock (together, the “Prior Preferred Stock”), respectively. Prior Preferred Stock dividends are non-cumulative. No dividends have been declared by the board of directors as of December 31, 2021 and 2020.</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Each share of Prior Preferred Stock was convertible, at the option of the holder thereof, at any time after the date of issuance of such share, into such number of fully paid and nonassessable shares of common stock as is determined by dividing the original issue price applicable to such share by the conversion price at the time in effect for such share conversion. The initial original issue price per share in effect immediately prior to the Direct Listing was $0.6189 for shares of Series A preferred stock, $1.1092 for shares of Series B preferred stock, $3.7623 for shares of Series C preferred stock, $8.5681 for shares of Series D preferred stock, $9.5498 for shares of Series E preferred stock, and $32.0199 for shares of Series F preferred stock, which was consistent with the conversion price of such shares immediately prior to the Direct Listing. Prior to conversion, the conversion price could also be adjusted for stock splits, stock dividends, reverse splits or combinations, and dilutive issuances consistent with the Company’s restated certificate of incorporation.</w:t>
      </w:r>
    </w:p>
    <w:p>
      <w:pPr>
        <w:spacing w:after="0" w:line="16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Each share of Prior Preferred Stock automatically converted into shares of common stock at the conversion price at the time in effect for such share immediately upon the earlier of:</w:t>
      </w:r>
    </w:p>
    <w:p>
      <w:pPr>
        <w:spacing w:after="0" w:line="63" w:lineRule="exact"/>
        <w:rPr>
          <w:sz w:val="20"/>
          <w:szCs w:val="20"/>
          <w:color w:val="auto"/>
        </w:rPr>
      </w:pPr>
    </w:p>
    <w:p>
      <w:pPr>
        <w:ind w:left="1020" w:right="60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specified by the vote or written consent of the holders of a majority of the then-outstanding shares of Preferred Stock voting together as a single class;</w:t>
      </w:r>
    </w:p>
    <w:p>
      <w:pPr>
        <w:spacing w:after="0" w:line="62" w:lineRule="exact"/>
        <w:rPr>
          <w:rFonts w:ascii="Arial" w:cs="Arial" w:eastAsia="Arial" w:hAnsi="Arial"/>
          <w:sz w:val="18"/>
          <w:szCs w:val="18"/>
          <w:color w:val="auto"/>
        </w:rPr>
      </w:pPr>
    </w:p>
    <w:p>
      <w:pPr>
        <w:ind w:left="1020" w:right="80" w:hanging="503"/>
        <w:spacing w:after="0" w:line="324"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Immediately upon the closing of the Company’s common stock in a firm commitment underwritten public offering pursuant to a registration statement on Form S-1 under the Securities Act of 1933, as amended, with aggregate proceeds in excess of $50 million; or</w:t>
      </w:r>
    </w:p>
    <w:p>
      <w:pPr>
        <w:spacing w:after="0" w:line="16" w:lineRule="exact"/>
        <w:rPr>
          <w:rFonts w:ascii="Arial" w:cs="Arial" w:eastAsia="Arial" w:hAnsi="Arial"/>
          <w:sz w:val="16"/>
          <w:szCs w:val="16"/>
          <w:color w:val="auto"/>
        </w:rPr>
      </w:pPr>
    </w:p>
    <w:p>
      <w:pPr>
        <w:ind w:left="1020" w:right="80" w:hanging="503"/>
        <w:spacing w:after="0" w:line="284"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Immediately upon the effectiveness of a registration statement under the Securities Act of 1933, as amended, that registered shares of capital stock of the Company, provided that all stockholders that are affiliates or beneficially own in excess of 10% of the Company’s capital stock are provided the right to include all or a portion of their shares on such registration statement on a pro rata basis with all other affiliates and 10% stockholders, subject to compliance with applicable securities laws (together with the second bullet above, a “QPO”).</w:t>
      </w:r>
    </w:p>
    <w:p>
      <w:pPr>
        <w:spacing w:after="0" w:line="15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Direct Listing qualified as a QPO and therefore all Prior Preferred Stock was converted into shares of the Company's class B common stock at the conversion prices listed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Each holder of preferred stock was entitled to the number of votes equal to the number of shares of common stock into which the shares of preferred stock held by such holder could be converted as of the record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04"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Upon any liquidation, dissolution, or winding up of the Company, either voluntary or involuntary, including a change in control, (a “Liquidation Event”) the holders of Prior Preferred Stock were entitled to receive, prior and in preference to any distribution of any of the assets of the Company to the holders of common stock, an amount equal to the greater of (i) the original issue price per share (as adjusted for stock splits changes, dividends, and combinations), plus declared but unpaid dividends of each holder of Prior Preferred Stock; or (ii) the amount of cash, securities, or other property to which such redeemable convertible preferred stockholders would be entitled to receive if such shares had been converted to common stock immediately prior to the Liquidation Event. If the assets of the Company were insufficient to make payment in full of these preferred stock liquidation preferences, then such assets would have been distributed among the holders of Preferred Stock at the time outstanding, ratably in proportion to the full amounts to which they would have otherwise be respectively entitled. After such Prior Preferred Stock liquidation preferences were paid in full, the remaining assets of the Company available for distribution to stockholders would have been distributed among the holders of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Each series of the convertible preferred stock was contingently redeemable upon certain change in control liquidation events such as a merger or sale of substantially all the assets of the Company. The convertible preferred stock was not mandatorily redeemable, but since a deemed liquidation event would constitute a redemption event outside of the Company’s control, all shares of redeemable convertible preferred stock were presented outside of permanent equity in mezzanine equity on the consolidated balance sheets.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7" w:name="page88"/>
    <w:bookmarkEnd w:id="87"/>
    <w:p>
      <w:pPr>
        <w:ind w:right="6300" w:firstLine="8"/>
        <w:spacing w:after="0" w:line="362" w:lineRule="auto"/>
        <w:tabs>
          <w:tab w:leader="none" w:pos="509"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(Deficit) and Equity Incentive Plans </w:t>
      </w:r>
      <w:r>
        <w:rPr>
          <w:rFonts w:ascii="Arial" w:cs="Arial" w:eastAsia="Arial" w:hAnsi="Arial"/>
          <w:sz w:val="18"/>
          <w:szCs w:val="18"/>
          <w:b w:val="1"/>
          <w:bCs w:val="1"/>
          <w:i w:val="1"/>
          <w:iCs w:val="1"/>
          <w:color w:val="auto"/>
        </w:rPr>
        <w:t>Preferred stock</w:t>
      </w:r>
    </w:p>
    <w:p>
      <w:pPr>
        <w:spacing w:after="0" w:line="1"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In connection with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4"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consolidated financial statements, unless otherwise noted. Holders of common stock are entitled to receive any dividends whenever funds are legally available and if declared by the board of directors.</w:t>
      </w:r>
    </w:p>
    <w:p>
      <w:pPr>
        <w:spacing w:after="0" w:line="1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ind w:left="520"/>
              <w:spacing w:after="0"/>
              <w:rPr>
                <w:sz w:val="20"/>
                <w:szCs w:val="20"/>
                <w:color w:val="auto"/>
              </w:rPr>
            </w:pPr>
            <w:r>
              <w:rPr>
                <w:rFonts w:ascii="Arial" w:cs="Arial" w:eastAsia="Arial" w:hAnsi="Arial"/>
                <w:sz w:val="18"/>
                <w:szCs w:val="18"/>
                <w:color w:val="auto"/>
                <w:w w:val="91"/>
              </w:rPr>
              <w:t>The Company has reserved shares of its common stock as follows:</w:t>
            </w: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4"/>
              </w:rPr>
              <w:t>As of</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5"/>
                <w:szCs w:val="15"/>
                <w:color w:val="auto"/>
              </w:rPr>
            </w:pPr>
          </w:p>
        </w:tc>
        <w:tc>
          <w:tcPr>
            <w:tcW w:w="15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December 31,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61,717,498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9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Non-plan stock options</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36,062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Combined stock plans:</w:t>
            </w:r>
          </w:p>
        </w:tc>
        <w:tc>
          <w:tcPr>
            <w:tcW w:w="1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Equity plan stock options outstanding</w:t>
            </w:r>
          </w:p>
        </w:tc>
        <w:tc>
          <w:tcPr>
            <w:tcW w:w="3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21,214,155</w:t>
            </w:r>
          </w:p>
        </w:tc>
        <w:tc>
          <w:tcPr>
            <w:tcW w:w="18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28,445,269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RSUs outstanding</w:t>
            </w:r>
          </w:p>
        </w:tc>
        <w:tc>
          <w:tcPr>
            <w:tcW w:w="3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1,716,614</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2,571,430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Shares available for future issuance</w:t>
            </w:r>
          </w:p>
        </w:tc>
        <w:tc>
          <w:tcPr>
            <w:tcW w:w="3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19,005,008</w:t>
            </w:r>
          </w:p>
        </w:tc>
        <w:tc>
          <w:tcPr>
            <w:tcW w:w="18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1,151,100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2021 Employee Stock Purchase Plan:</w:t>
            </w:r>
          </w:p>
        </w:tc>
        <w:tc>
          <w:tcPr>
            <w:tcW w:w="1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Shares available for future issuance</w:t>
            </w:r>
          </w:p>
        </w:tc>
        <w:tc>
          <w:tcPr>
            <w:tcW w:w="192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2,663,371</w:t>
            </w:r>
          </w:p>
        </w:tc>
        <w:tc>
          <w:tcPr>
            <w:tcW w:w="22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tcPr>
          <w:p>
            <w:pPr>
              <w:ind w:left="360"/>
              <w:spacing w:after="0" w:line="182" w:lineRule="exact"/>
              <w:rPr>
                <w:sz w:val="20"/>
                <w:szCs w:val="20"/>
                <w:color w:val="auto"/>
              </w:rPr>
            </w:pPr>
            <w:r>
              <w:rPr>
                <w:rFonts w:ascii="Arial" w:cs="Arial" w:eastAsia="Arial" w:hAnsi="Arial"/>
                <w:sz w:val="18"/>
                <w:szCs w:val="18"/>
                <w:color w:val="auto"/>
              </w:rPr>
              <w:t>Total reserved shares</w:t>
            </w:r>
          </w:p>
        </w:tc>
        <w:tc>
          <w:tcPr>
            <w:tcW w:w="34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44,599,148</w:t>
            </w:r>
          </w:p>
        </w:tc>
        <w:tc>
          <w:tcPr>
            <w:tcW w:w="1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93,928,359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920" w:type="dxa"/>
            <w:vAlign w:val="bottom"/>
            <w:vMerge w:val="restart"/>
          </w:tcPr>
          <w:p>
            <w:pPr>
              <w:jc w:val="right"/>
              <w:ind w:right="1530"/>
              <w:spacing w:after="0"/>
              <w:rPr>
                <w:sz w:val="20"/>
                <w:szCs w:val="20"/>
                <w:color w:val="auto"/>
              </w:rPr>
            </w:pPr>
            <w:r>
              <w:rPr>
                <w:rFonts w:ascii="Arial" w:cs="Arial" w:eastAsia="Arial" w:hAnsi="Arial"/>
                <w:sz w:val="18"/>
                <w:szCs w:val="18"/>
                <w:color w:val="auto"/>
              </w:rPr>
              <w:t>88</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-725170</wp:posOffset>
            </wp:positionV>
            <wp:extent cx="431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-725170</wp:posOffset>
            </wp:positionV>
            <wp:extent cx="3429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Option and Grant Plan</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Incentive Award Plan</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 total of 18,643,596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options granted under the 2021 Plan and 2014 Plan (the "combined stock plans") generally vest based on continued service over four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Options issued outside of the combined stock plans were immaterial and therefore not discussed further below.</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Option activity under the Company's combined stock plans is set forth below:</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w w:val="91"/>
              </w:rPr>
              <w:t>Weighted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7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Outstanding</w:t>
            </w:r>
          </w:p>
        </w:tc>
        <w:tc>
          <w:tcPr>
            <w:tcW w:w="1100" w:type="dxa"/>
            <w:vAlign w:val="bottom"/>
          </w:tcPr>
          <w:p>
            <w:pPr>
              <w:jc w:val="center"/>
              <w:ind w:left="290"/>
              <w:spacing w:after="0" w:line="202" w:lineRule="exact"/>
              <w:rPr>
                <w:sz w:val="20"/>
                <w:szCs w:val="20"/>
                <w:color w:val="auto"/>
              </w:rPr>
            </w:pPr>
            <w:r>
              <w:rPr>
                <w:rFonts w:ascii="Arial" w:cs="Arial" w:eastAsia="Arial" w:hAnsi="Arial"/>
                <w:sz w:val="18"/>
                <w:szCs w:val="18"/>
                <w:b w:val="1"/>
                <w:bCs w:val="1"/>
                <w:color w:val="auto"/>
                <w:w w:val="88"/>
              </w:rPr>
              <w:t>average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remaining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1"/>
              </w:rPr>
              <w:t>intrinsic</w:t>
            </w:r>
          </w:p>
        </w:tc>
        <w:tc>
          <w:tcPr>
            <w:tcW w:w="6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7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4"/>
              </w:rPr>
              <w:t>stock</w:t>
            </w:r>
          </w:p>
        </w:tc>
        <w:tc>
          <w:tcPr>
            <w:tcW w:w="110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w w:val="85"/>
              </w:rPr>
              <w:t>exercise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contractual</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6"/>
              </w:rPr>
              <w:t>value</w:t>
            </w:r>
          </w:p>
        </w:tc>
        <w:tc>
          <w:tcPr>
            <w:tcW w:w="60" w:type="dxa"/>
            <w:vAlign w:val="bottom"/>
          </w:tcPr>
          <w:p>
            <w:pPr>
              <w:spacing w:after="0"/>
              <w:rPr>
                <w:sz w:val="17"/>
                <w:szCs w:val="17"/>
                <w:color w:val="auto"/>
              </w:rPr>
            </w:pPr>
          </w:p>
        </w:tc>
      </w:tr>
      <w:tr>
        <w:trPr>
          <w:trHeight w:val="221"/>
        </w:trPr>
        <w:tc>
          <w:tcPr>
            <w:tcW w:w="366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1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price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19"/>
                <w:szCs w:val="19"/>
                <w:color w:val="auto"/>
              </w:rPr>
            </w:pPr>
          </w:p>
        </w:tc>
      </w:tr>
      <w:tr>
        <w:trPr>
          <w:trHeight w:val="196"/>
        </w:trPr>
        <w:tc>
          <w:tcPr>
            <w:tcW w:w="36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Balances as of December 31, 2020</w:t>
            </w: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28,445,269</w:t>
            </w:r>
          </w:p>
        </w:tc>
        <w:tc>
          <w:tcPr>
            <w:tcW w:w="2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2.56</w:t>
            </w:r>
          </w:p>
        </w:tc>
        <w:tc>
          <w:tcPr>
            <w:tcW w:w="1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8.50</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78,450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3660" w:type="dxa"/>
            <w:vAlign w:val="bottom"/>
          </w:tcPr>
          <w:p>
            <w:pPr>
              <w:spacing w:after="0" w:line="196" w:lineRule="exact"/>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4,721,590</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91"/>
              </w:rPr>
              <w:t>9.32</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(10,212,014 )</w:t>
            </w: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2.11</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Cancelled/forfeited</w:t>
            </w:r>
          </w:p>
        </w:tc>
        <w:tc>
          <w:tcPr>
            <w:tcW w:w="1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(1,740,690 )</w:t>
            </w:r>
          </w:p>
        </w:tc>
        <w:tc>
          <w:tcPr>
            <w:tcW w:w="1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3.55</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36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Balances as of December 31, 2021</w:t>
            </w:r>
            <w:r>
              <w:rPr>
                <w:rFonts w:ascii="Arial" w:cs="Arial" w:eastAsia="Arial" w:hAnsi="Arial"/>
                <w:sz w:val="21"/>
                <w:szCs w:val="21"/>
                <w:color w:val="auto"/>
                <w:vertAlign w:val="superscript"/>
              </w:rPr>
              <w:t>(1)</w:t>
            </w:r>
          </w:p>
        </w:tc>
        <w:tc>
          <w:tcPr>
            <w:tcW w:w="1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21,214,155</w:t>
            </w: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ind w:right="890"/>
              <w:spacing w:after="0" w:line="182" w:lineRule="exact"/>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1"/>
              </w:rPr>
              <w:t>4.15</w:t>
            </w:r>
          </w:p>
        </w:tc>
        <w:tc>
          <w:tcPr>
            <w:tcW w:w="16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8.12</w:t>
            </w:r>
          </w:p>
        </w:tc>
        <w:tc>
          <w:tcPr>
            <w:tcW w:w="3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1,035,039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3660" w:type="dxa"/>
            <w:vAlign w:val="bottom"/>
          </w:tcPr>
          <w:p>
            <w:pPr>
              <w:spacing w:after="0" w:line="183" w:lineRule="exact"/>
              <w:rPr>
                <w:sz w:val="20"/>
                <w:szCs w:val="20"/>
                <w:color w:val="auto"/>
              </w:rPr>
            </w:pPr>
            <w:r>
              <w:rPr>
                <w:rFonts w:ascii="Arial" w:cs="Arial" w:eastAsia="Arial" w:hAnsi="Arial"/>
                <w:sz w:val="16"/>
                <w:szCs w:val="16"/>
                <w:color w:val="auto"/>
              </w:rPr>
              <w:t>Exercisable as of December 31, 2021</w:t>
            </w:r>
            <w:r>
              <w:rPr>
                <w:rFonts w:ascii="Arial" w:cs="Arial" w:eastAsia="Arial" w:hAnsi="Arial"/>
                <w:sz w:val="21"/>
                <w:szCs w:val="21"/>
                <w:color w:val="auto"/>
                <w:vertAlign w:val="superscript"/>
              </w:rPr>
              <w:t>(2)</w:t>
            </w: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12,983,677</w:t>
            </w:r>
          </w:p>
        </w:tc>
        <w:tc>
          <w:tcPr>
            <w:tcW w:w="200" w:type="dxa"/>
            <w:vAlign w:val="bottom"/>
          </w:tcPr>
          <w:p>
            <w:pPr>
              <w:spacing w:after="0"/>
              <w:rPr>
                <w:sz w:val="15"/>
                <w:szCs w:val="15"/>
                <w:color w:val="auto"/>
              </w:rPr>
            </w:pPr>
          </w:p>
        </w:tc>
        <w:tc>
          <w:tcPr>
            <w:tcW w:w="1100" w:type="dxa"/>
            <w:vAlign w:val="bottom"/>
          </w:tcPr>
          <w:p>
            <w:pPr>
              <w:jc w:val="right"/>
              <w:ind w:right="890"/>
              <w:spacing w:after="0" w:line="182" w:lineRule="exact"/>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w w:val="91"/>
              </w:rPr>
              <w:t>2.71</w:t>
            </w:r>
          </w:p>
        </w:tc>
        <w:tc>
          <w:tcPr>
            <w:tcW w:w="16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7.60</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652,170</w:t>
            </w:r>
          </w:p>
        </w:tc>
        <w:tc>
          <w:tcPr>
            <w:tcW w:w="60" w:type="dxa"/>
            <w:vAlign w:val="bottom"/>
          </w:tcPr>
          <w:p>
            <w:pPr>
              <w:spacing w:after="0"/>
              <w:rPr>
                <w:sz w:val="15"/>
                <w:szCs w:val="15"/>
                <w:color w:val="auto"/>
              </w:rPr>
            </w:pPr>
          </w:p>
        </w:tc>
      </w:tr>
      <w:tr>
        <w:trPr>
          <w:trHeight w:val="20"/>
        </w:trPr>
        <w:tc>
          <w:tcPr>
            <w:tcW w:w="3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-708025</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-179070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-161925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8572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50" w:lineRule="exact"/>
        <w:rPr>
          <w:sz w:val="20"/>
          <w:szCs w:val="20"/>
          <w:color w:val="auto"/>
        </w:rPr>
      </w:pPr>
    </w:p>
    <w:p>
      <w:pPr>
        <w:ind w:left="380" w:right="80" w:hanging="372"/>
        <w:spacing w:after="0" w:line="250" w:lineRule="auto"/>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no forfeitures are estimated due to the Company's adoption of ASU No. 2016-09, all options are vested or expected to vest. As of December 31, 2021, no options were outstanding that were subject to a future performance condition</w:t>
      </w:r>
    </w:p>
    <w:p>
      <w:pPr>
        <w:ind w:left="380" w:hanging="372"/>
        <w:spacing w:after="0"/>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Exercisable shares include vested options as well as unvested shares that can be early exercised</w:t>
      </w:r>
    </w:p>
    <w:p>
      <w:pPr>
        <w:spacing w:after="0" w:line="20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During December 2020, the Company granted 1,756,545 stock options to two executives which contain both a service condition and a performance condition. Based on the terms of the options, the vesting commencement date is defined as the date in which a Form S-1 filed with the SEC becomes effective (a “QPO Event”). In conjunction with the Direct Listing, a QPO Event occurred and therefore the options began to vest 1/24th each month subsequent to September 21, 2021. During fiscal 2021, the Company recognized $3.0 million in expense related to these awards using the accelerated attribution method. The unrecognized stock-based compensation expense was $1.7 million and $4.7 million as of December 31, 2021 and 2020, respectively.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9" w:name="page90"/>
    <w:bookmarkEnd w:id="89"/>
    <w:p>
      <w:pPr>
        <w:jc w:val="both"/>
        <w:ind w:right="20" w:firstLine="509"/>
        <w:spacing w:after="0" w:line="248" w:lineRule="auto"/>
        <w:rPr>
          <w:sz w:val="20"/>
          <w:szCs w:val="20"/>
          <w:color w:val="auto"/>
        </w:rPr>
      </w:pPr>
      <w:r>
        <w:rPr>
          <w:rFonts w:ascii="Arial" w:cs="Arial" w:eastAsia="Arial" w:hAnsi="Arial"/>
          <w:sz w:val="18"/>
          <w:szCs w:val="18"/>
          <w:color w:val="auto"/>
        </w:rPr>
        <w:t>The aggregate intrinsic values of options are calculated as the difference between the exercise price of the options and the market price for shares of the Company’s common stock as of each period-end. The total intrinsic value of options exercised for the years ended December 31, 2021, 2020, and 2019 was $519.1 million, $15.0 million, and $1.5 million, respectively.</w:t>
      </w:r>
    </w:p>
    <w:p>
      <w:pPr>
        <w:spacing w:after="0" w:line="182"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Stock options granted during the years ended December 31, 2021, 2020, and 2019 had a weighted average grant date fair value of $6.02, $2.27, and $1.10 per share, respectively. With the exception of the performance options detailed above, the fair value is being expensed over the vesting period of the options on a straight-line basis as the services are being provided. The total fair value of shares vested during the years ended December 31, 2021, 2020, and 2019 was $9.7 million, $5.1 million, and $4.3 million, respectively. No tax benefits were realized from options during the periods.</w:t>
      </w:r>
    </w:p>
    <w:p>
      <w:pPr>
        <w:spacing w:after="0" w:line="155"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As of December 31, 2021, total unrecognized stock-based compensation expense related to the combined stock plans options was $41.9 million. This unrecognized expense as of December 31, 2021 is expected to be recognized over the weighted average remaining vesting period of 2.90 years. As of December 31, 2021, the Company had 504,500 shares of non-employee stock options outstanding under the combined stock plans.</w:t>
      </w:r>
    </w:p>
    <w:p>
      <w:pPr>
        <w:spacing w:after="0" w:line="14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fair value of each option granted to employees under the 2021 Plan is estimated on the grant date using the Black-Scholes pricing model. Based on the nature of the underlying options granted under the 2014 Plan, the fair value of each option granted to employees is estimated on the date of grant using the Monte Carlo simulation model.</w:t>
      </w:r>
    </w:p>
    <w:p>
      <w:pPr>
        <w:spacing w:after="0" w:line="182"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following range of assumptions and data inputs were used in the Black-Scholes option-pricing model to estimate the fair value of the options granted under the 2021 Plan:</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7"/>
                <w:szCs w:val="17"/>
                <w:color w:val="auto"/>
              </w:rPr>
            </w:pPr>
          </w:p>
        </w:tc>
      </w:tr>
      <w:tr>
        <w:trPr>
          <w:trHeight w:val="176"/>
        </w:trPr>
        <w:tc>
          <w:tcPr>
            <w:tcW w:w="8220" w:type="dxa"/>
            <w:vAlign w:val="bottom"/>
          </w:tcPr>
          <w:p>
            <w:pPr>
              <w:spacing w:after="0"/>
              <w:rPr>
                <w:sz w:val="15"/>
                <w:szCs w:val="15"/>
                <w:color w:val="auto"/>
              </w:rPr>
            </w:pP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5"/>
                <w:szCs w:val="15"/>
                <w:color w:val="auto"/>
              </w:rPr>
            </w:pPr>
          </w:p>
        </w:tc>
      </w:tr>
      <w:tr>
        <w:trPr>
          <w:trHeight w:val="216"/>
        </w:trPr>
        <w:tc>
          <w:tcPr>
            <w:tcW w:w="822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18"/>
                <w:szCs w:val="18"/>
                <w:color w:val="auto"/>
              </w:rPr>
            </w:pPr>
          </w:p>
        </w:tc>
      </w:tr>
      <w:tr>
        <w:trPr>
          <w:trHeight w:val="196"/>
        </w:trPr>
        <w:tc>
          <w:tcPr>
            <w:tcW w:w="8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Fair value of common stock</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$63.52</w:t>
            </w:r>
          </w:p>
        </w:tc>
        <w:tc>
          <w:tcPr>
            <w:tcW w:w="6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w:t>
            </w:r>
          </w:p>
        </w:tc>
        <w:tc>
          <w:tcPr>
            <w:tcW w:w="6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60" w:type="dxa"/>
            <w:vAlign w:val="bottom"/>
          </w:tcPr>
          <w:p>
            <w:pPr>
              <w:spacing w:after="0"/>
              <w:rPr>
                <w:sz w:val="17"/>
                <w:szCs w:val="17"/>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(years)</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6.25</w:t>
            </w:r>
          </w:p>
        </w:tc>
        <w:tc>
          <w:tcPr>
            <w:tcW w:w="6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following range of assumptions and data inputs were used in the Monte Carlo simulation model to estimate the fair value of the options under the 2014 Plan that were granted or modified during each respective period:</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r>
      <w:tr>
        <w:trPr>
          <w:trHeight w:val="175"/>
        </w:trPr>
        <w:tc>
          <w:tcPr>
            <w:tcW w:w="49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5"/>
                <w:szCs w:val="15"/>
                <w:color w:val="auto"/>
              </w:rPr>
            </w:pPr>
          </w:p>
        </w:tc>
      </w:tr>
      <w:tr>
        <w:trPr>
          <w:trHeight w:val="216"/>
        </w:trPr>
        <w:tc>
          <w:tcPr>
            <w:tcW w:w="490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r>
      <w:tr>
        <w:trPr>
          <w:trHeight w:val="196"/>
        </w:trPr>
        <w:tc>
          <w:tcPr>
            <w:tcW w:w="4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7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Fair value of common stock</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$7.48-$50.94</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$3.16-$5.32</w:t>
            </w: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$2.26-$3.24</w:t>
            </w:r>
          </w:p>
        </w:tc>
        <w:tc>
          <w:tcPr>
            <w:tcW w:w="6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 - 1.70%</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0.70% - 0.90%</w:t>
            </w: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1.48% - 2.39%</w:t>
            </w:r>
          </w:p>
        </w:tc>
        <w:tc>
          <w:tcPr>
            <w:tcW w:w="6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60.0% - 70.0%</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 - 75%</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Contractual term (years)</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7"/>
                <w:szCs w:val="17"/>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Determining Fair Value of Stock Options</w:t>
      </w:r>
    </w:p>
    <w:p>
      <w:pPr>
        <w:spacing w:after="0" w:line="10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fair value of each grant of stock option was determined by the Company using the methods as discussed above and the assumptions discussed below. The determination of each of these inputs is subjective and generally requires a level of judgment.</w:t>
      </w:r>
    </w:p>
    <w:p>
      <w:pPr>
        <w:spacing w:after="0" w:line="171"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expected stock price volatility assumption was determined by examining the historical volatilities of a group of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peers over a period equal to the expected life of the options, as we do not have sufficient trading history for our common stock.</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90" w:name="page91"/>
    <w:bookmarkEnd w:id="90"/>
    <w:p>
      <w:pPr>
        <w:ind w:firstLine="509"/>
        <w:spacing w:after="0" w:line="259" w:lineRule="auto"/>
        <w:rPr>
          <w:sz w:val="20"/>
          <w:szCs w:val="20"/>
          <w:color w:val="auto"/>
        </w:rPr>
      </w:pPr>
      <w:r>
        <w:rPr>
          <w:rFonts w:ascii="Arial" w:cs="Arial" w:eastAsia="Arial" w:hAnsi="Arial"/>
          <w:sz w:val="17"/>
          <w:szCs w:val="17"/>
          <w:i w:val="1"/>
          <w:iCs w:val="1"/>
          <w:color w:val="auto"/>
        </w:rPr>
        <w:t xml:space="preserve">Contractual term (Monte Carlo) </w:t>
      </w:r>
      <w:r>
        <w:rPr>
          <w:rFonts w:ascii="Arial" w:cs="Arial" w:eastAsia="Arial" w:hAnsi="Arial"/>
          <w:sz w:val="17"/>
          <w:szCs w:val="17"/>
          <w:color w:val="auto"/>
        </w:rPr>
        <w:t>– The contractual term of stock options is used to model the expected exercise behavior of the option holders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10-year exercise period. This method utilizes a Monte Carlo simulation based on historical exercise data as the options are not considered to be plain-vanilla where a simplified method is allowed as certain holders have up until option expiration to exercise regardless of employment status. The Monte Carlo simulation models expected exercise behavior utilizing an estimated stock price at which the holder of the option would choose to exercise an option prior to the end of the stated term. For this assumption, we utilized a value multiple on the strike price of 4.0 times.</w:t>
      </w:r>
    </w:p>
    <w:p>
      <w:pPr>
        <w:spacing w:after="0" w:line="17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i w:val="1"/>
          <w:iCs w:val="1"/>
          <w:color w:val="auto"/>
        </w:rPr>
        <w:t xml:space="preserve">Expected term (Black-Scholes) </w:t>
      </w:r>
      <w:r>
        <w:rPr>
          <w:rFonts w:ascii="Arial" w:cs="Arial" w:eastAsia="Arial" w:hAnsi="Arial"/>
          <w:sz w:val="18"/>
          <w:szCs w:val="18"/>
          <w:color w:val="auto"/>
        </w:rPr>
        <w:t>– Expected term represents the period that our stock-based awards are expected to be outstanding. The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are determined based on the vesting terms, exercise terms, and contractual lives of the options.</w:t>
      </w:r>
    </w:p>
    <w:p>
      <w:pPr>
        <w:spacing w:after="0" w:line="171"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expected dividend assumption was based on our history and expectation that it will not declare dividend payout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near future.</w:t>
      </w:r>
    </w:p>
    <w:p>
      <w:pPr>
        <w:spacing w:after="0" w:line="171"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contractual terms.</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 Prior to the Direct Listing, the fair value of our common stock was determined by our board of directors,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intended all options granted to be exercisable at a price per share not less than the per share fair value of common stock underlying those options on the date of grant. The valuations of our common stock were determined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The board of directors considered numerous objective and subjective factors to determine the fair value of our common stock at each meeting in which awards were approved. The factors considered included, but were not limited to:</w:t>
      </w:r>
    </w:p>
    <w:p>
      <w:pPr>
        <w:spacing w:after="0" w:line="81" w:lineRule="exact"/>
        <w:rPr>
          <w:sz w:val="20"/>
          <w:szCs w:val="20"/>
          <w:color w:val="auto"/>
        </w:rPr>
      </w:pPr>
    </w:p>
    <w:p>
      <w:pPr>
        <w:ind w:left="1580" w:hanging="554"/>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results of contemporaneous independent third-party valuations of our common stock;</w:t>
      </w:r>
    </w:p>
    <w:p>
      <w:pPr>
        <w:spacing w:after="0" w:line="103" w:lineRule="exact"/>
        <w:rPr>
          <w:rFonts w:ascii="Arial" w:cs="Arial" w:eastAsia="Arial" w:hAnsi="Arial"/>
          <w:sz w:val="18"/>
          <w:szCs w:val="18"/>
          <w:color w:val="auto"/>
        </w:rPr>
      </w:pPr>
    </w:p>
    <w:p>
      <w:pPr>
        <w:ind w:left="1580" w:hanging="554"/>
        <w:spacing w:after="0"/>
        <w:tabs>
          <w:tab w:leader="none" w:pos="1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prices, rights, preferences, and privileges of our redeemable convertible preferred stock relative to those of its common stock;</w:t>
      </w:r>
    </w:p>
    <w:p>
      <w:pPr>
        <w:spacing w:after="0" w:line="126" w:lineRule="exact"/>
        <w:rPr>
          <w:rFonts w:ascii="Arial" w:cs="Arial" w:eastAsia="Arial" w:hAnsi="Arial"/>
          <w:sz w:val="16"/>
          <w:szCs w:val="16"/>
          <w:color w:val="auto"/>
        </w:rPr>
      </w:pPr>
    </w:p>
    <w:p>
      <w:pPr>
        <w:ind w:left="1580" w:hanging="554"/>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03" w:lineRule="exact"/>
        <w:rPr>
          <w:rFonts w:ascii="Arial" w:cs="Arial" w:eastAsia="Arial" w:hAnsi="Arial"/>
          <w:sz w:val="18"/>
          <w:szCs w:val="18"/>
          <w:color w:val="auto"/>
        </w:rPr>
      </w:pPr>
    </w:p>
    <w:p>
      <w:pPr>
        <w:ind w:left="1580" w:hanging="554"/>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actual operating and financial results;</w:t>
      </w:r>
    </w:p>
    <w:p>
      <w:pPr>
        <w:spacing w:after="0" w:line="103" w:lineRule="exact"/>
        <w:rPr>
          <w:rFonts w:ascii="Arial" w:cs="Arial" w:eastAsia="Arial" w:hAnsi="Arial"/>
          <w:sz w:val="18"/>
          <w:szCs w:val="18"/>
          <w:color w:val="auto"/>
        </w:rPr>
      </w:pPr>
    </w:p>
    <w:p>
      <w:pPr>
        <w:ind w:left="1580" w:hanging="554"/>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03" w:lineRule="exact"/>
        <w:rPr>
          <w:rFonts w:ascii="Arial" w:cs="Arial" w:eastAsia="Arial" w:hAnsi="Arial"/>
          <w:sz w:val="18"/>
          <w:szCs w:val="18"/>
          <w:color w:val="auto"/>
        </w:rPr>
      </w:pPr>
    </w:p>
    <w:p>
      <w:pPr>
        <w:ind w:left="1540" w:right="60" w:hanging="514"/>
        <w:spacing w:after="0" w:line="261" w:lineRule="auto"/>
        <w:tabs>
          <w:tab w:leader="none" w:pos="15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direct listing, or sale of our Company, given prevailing market conditions; and</w:t>
      </w:r>
    </w:p>
    <w:p>
      <w:pPr>
        <w:spacing w:after="0" w:line="62" w:lineRule="exact"/>
        <w:rPr>
          <w:rFonts w:ascii="Arial" w:cs="Arial" w:eastAsia="Arial" w:hAnsi="Arial"/>
          <w:sz w:val="18"/>
          <w:szCs w:val="18"/>
          <w:color w:val="auto"/>
        </w:rPr>
      </w:pPr>
    </w:p>
    <w:p>
      <w:pPr>
        <w:ind w:left="1580" w:hanging="554"/>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precedent transactions involving our shares.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RSUs granted under the 2021 Plan generally vest based on continued service, typically over a four-year period. RSUs granted pursuant to the 2014 Plan vest according to a service condition as well as a performance condition, through a liquidity event, including (i) a change in control of the Company or</w:t>
      </w:r>
    </w:p>
    <w:p>
      <w:pPr>
        <w:spacing w:after="0" w:line="1" w:lineRule="exact"/>
        <w:rPr>
          <w:sz w:val="20"/>
          <w:szCs w:val="20"/>
          <w:color w:val="auto"/>
        </w:rPr>
      </w:pPr>
    </w:p>
    <w:p>
      <w:pPr>
        <w:jc w:val="both"/>
        <w:ind w:right="80" w:firstLine="8"/>
        <w:spacing w:after="0" w:line="239" w:lineRule="auto"/>
        <w:tabs>
          <w:tab w:leader="none" w:pos="2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initial public offering of the Company’s equity securities, following which the securities shall be publicly traded, which includes a direct listing. As a result of the Direct Listing, the performance condition for all RSUs granted pursuant to the 2014 Plan has been met. During 2021, the Company recorded $15.4 million in expense related to RSUs.</w:t>
      </w:r>
    </w:p>
    <w:p>
      <w:pPr>
        <w:spacing w:after="0" w:line="189"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No RSUs were granted during years ended December 31, 2020 and 2019. Additionally, no stock-based compensation expense was recognized during the years ended December 31, 2020 and 2019 as the Company evaluated the performance condition being met as not probable as of December 31, 2020 and 2019.</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1" w:name="page92"/>
    <w:bookmarkEnd w:id="91"/>
    <w:p>
      <w:pPr>
        <w:ind w:right="120" w:firstLine="509"/>
        <w:spacing w:after="0" w:line="248" w:lineRule="auto"/>
        <w:rPr>
          <w:sz w:val="20"/>
          <w:szCs w:val="20"/>
          <w:color w:val="auto"/>
        </w:rPr>
      </w:pPr>
      <w:r>
        <w:rPr>
          <w:rFonts w:ascii="Arial" w:cs="Arial" w:eastAsia="Arial" w:hAnsi="Arial"/>
          <w:sz w:val="18"/>
          <w:szCs w:val="18"/>
          <w:color w:val="auto"/>
        </w:rPr>
        <w:t>As of December 31, 2021, total unrecognized stock-based compensation expense related to RSUs was $55.3 million. This unrecognized expense as of December 31, 2021 is expected to be recognized over the weighted average remaining vesting period of 2.01 years. As of December 31, 2021, the Company had 226,563 shares of non-employee RSUs outstanding under the combined stock plans.</w:t>
      </w:r>
    </w:p>
    <w:p>
      <w:pPr>
        <w:sectPr>
          <w:pgSz w:w="11900" w:h="16838" w:orient="portrait"/>
          <w:cols w:equalWidth="0" w:num="1">
            <w:col w:w="11240"/>
          </w:cols>
          <w:pgMar w:left="320" w:top="544" w:right="339" w:bottom="1440" w:gutter="0" w:footer="0" w:header="0"/>
        </w:sectPr>
      </w:pP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RSU activity for the year ended December 31, 2021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wp:posOffset>
            </wp:positionV>
            <wp:extent cx="641223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Vested</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41223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as of December 31, 2021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Restricted stock</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-3175</wp:posOffset>
            </wp:positionV>
            <wp:extent cx="9601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7"/>
          <w:szCs w:val="17"/>
          <w:color w:val="auto"/>
        </w:rPr>
        <w:t>2,571,430</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1,788,011</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(2,617,993 )</w:t>
      </w:r>
    </w:p>
    <w:p>
      <w:pPr>
        <w:jc w:val="right"/>
        <w:spacing w:after="0"/>
        <w:rPr>
          <w:sz w:val="20"/>
          <w:szCs w:val="20"/>
          <w:color w:val="auto"/>
        </w:rPr>
      </w:pPr>
      <w:r>
        <w:rPr>
          <w:rFonts w:ascii="Arial" w:cs="Arial" w:eastAsia="Arial" w:hAnsi="Arial"/>
          <w:sz w:val="18"/>
          <w:szCs w:val="18"/>
          <w:color w:val="auto"/>
        </w:rPr>
        <w:t>(24,834 )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-3175</wp:posOffset>
            </wp:positionV>
            <wp:extent cx="9601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7"/>
          <w:szCs w:val="17"/>
          <w:color w:val="auto"/>
        </w:rPr>
        <w:t>1,716,614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right="680" w:hanging="106"/>
        <w:spacing w:after="0" w:line="254" w:lineRule="auto"/>
        <w:rPr>
          <w:sz w:val="20"/>
          <w:szCs w:val="20"/>
          <w:color w:val="auto"/>
        </w:rPr>
      </w:pPr>
      <w:r>
        <w:rPr>
          <w:rFonts w:ascii="Arial" w:cs="Arial" w:eastAsia="Arial" w:hAnsi="Arial"/>
          <w:sz w:val="16"/>
          <w:szCs w:val="16"/>
          <w:b w:val="1"/>
          <w:bCs w:val="1"/>
          <w:color w:val="auto"/>
        </w:rPr>
        <w:t>Weighted-average grant date 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9601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1180" w:hanging="1180"/>
        <w:spacing w:after="0"/>
        <w:tabs>
          <w:tab w:leader="none" w:pos="11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1.42</w:t>
      </w:r>
    </w:p>
    <w:p>
      <w:pPr>
        <w:spacing w:after="0" w:line="45"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37.82</w:t>
      </w:r>
    </w:p>
    <w:p>
      <w:pPr>
        <w:spacing w:after="0" w:line="30"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1.83</w:t>
      </w:r>
    </w:p>
    <w:p>
      <w:pPr>
        <w:spacing w:after="0" w:line="41"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22.66</w:t>
      </w:r>
    </w:p>
    <w:p>
      <w:pPr>
        <w:spacing w:after="0" w:line="56" w:lineRule="exact"/>
        <w:rPr>
          <w:sz w:val="20"/>
          <w:szCs w:val="20"/>
          <w:color w:val="auto"/>
        </w:rPr>
      </w:pPr>
    </w:p>
    <w:p>
      <w:pPr>
        <w:ind w:left="1080" w:hanging="1080"/>
        <w:spacing w:after="0"/>
        <w:tabs>
          <w:tab w:leader="none" w:pos="10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38.40</w:t>
      </w:r>
    </w:p>
    <w:p>
      <w:pPr>
        <w:spacing w:after="0" w:line="692" w:lineRule="exact"/>
        <w:rPr>
          <w:sz w:val="20"/>
          <w:szCs w:val="20"/>
          <w:color w:val="auto"/>
        </w:rPr>
      </w:pPr>
    </w:p>
    <w:p>
      <w:pPr>
        <w:sectPr>
          <w:pgSz w:w="11900" w:h="16838" w:orient="portrait"/>
          <w:cols w:equalWidth="0" w:num="3">
            <w:col w:w="6780" w:space="720"/>
            <w:col w:w="1440" w:space="180"/>
            <w:col w:w="2120"/>
          </w:cols>
          <w:pgMar w:left="320" w:top="544" w:right="339" w:bottom="1440" w:gutter="0" w:footer="0" w:header="0"/>
          <w:type w:val="continuous"/>
        </w:sectPr>
      </w:pPr>
    </w:p>
    <w:p>
      <w:pPr>
        <w:ind w:firstLine="509"/>
        <w:spacing w:after="0" w:line="270" w:lineRule="auto"/>
        <w:rPr>
          <w:sz w:val="20"/>
          <w:szCs w:val="20"/>
          <w:color w:val="auto"/>
        </w:rPr>
      </w:pPr>
      <w:r>
        <w:rPr>
          <w:rFonts w:ascii="Arial" w:cs="Arial" w:eastAsia="Arial" w:hAnsi="Arial"/>
          <w:sz w:val="16"/>
          <w:szCs w:val="16"/>
          <w:color w:val="auto"/>
        </w:rPr>
        <w:t>In August 2021, the Company’s board of directors adopted, and its stockholders approved, the ESPP, which became effective in connection with the Direct Listing. The ESPP authorizes the issuance of shares of common stock pursuant to purchase rights granted to employees. A total of 2,663,371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 month offering periods on each May 15th and November 15th (with two six-month purchase periods during each offering period). The initial offering period under the ESPP will be longer than 12 months, commencing on September 28, 2021 and ending on November 14, 2022, with the first purchase period commencing on September 28, 2021 and ending on May 14, 2022.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17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assumptions were used to calculate the fair value of shares to be granted under the ESPP during the period utilizing the Black-Scholes option-pricing model:</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r>
      <w:tr>
        <w:trPr>
          <w:trHeight w:val="175"/>
        </w:trPr>
        <w:tc>
          <w:tcPr>
            <w:tcW w:w="8220" w:type="dxa"/>
            <w:vAlign w:val="bottom"/>
          </w:tcPr>
          <w:p>
            <w:pPr>
              <w:spacing w:after="0"/>
              <w:rPr>
                <w:sz w:val="15"/>
                <w:szCs w:val="15"/>
                <w:color w:val="auto"/>
              </w:rPr>
            </w:pP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5"/>
                <w:szCs w:val="15"/>
                <w:color w:val="auto"/>
              </w:rPr>
            </w:pPr>
          </w:p>
        </w:tc>
      </w:tr>
      <w:tr>
        <w:trPr>
          <w:trHeight w:val="216"/>
        </w:trPr>
        <w:tc>
          <w:tcPr>
            <w:tcW w:w="822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18"/>
                <w:szCs w:val="18"/>
                <w:color w:val="auto"/>
              </w:rPr>
            </w:pPr>
          </w:p>
        </w:tc>
      </w:tr>
      <w:tr>
        <w:trPr>
          <w:trHeight w:val="196"/>
        </w:trPr>
        <w:tc>
          <w:tcPr>
            <w:tcW w:w="8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Fair value of common stock</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$66.07</w:t>
            </w:r>
          </w:p>
        </w:tc>
        <w:tc>
          <w:tcPr>
            <w:tcW w:w="6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0.10% - 0.20%</w:t>
            </w:r>
          </w:p>
        </w:tc>
        <w:tc>
          <w:tcPr>
            <w:tcW w:w="6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0" w:type="dxa"/>
            <w:vAlign w:val="bottom"/>
          </w:tcPr>
          <w:p>
            <w:pPr>
              <w:spacing w:after="0"/>
              <w:rPr>
                <w:sz w:val="17"/>
                <w:szCs w:val="17"/>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(years)</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0.46 - 0.97</w:t>
            </w:r>
          </w:p>
        </w:tc>
        <w:tc>
          <w:tcPr>
            <w:tcW w:w="6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expected term for the ESPP purchase rights is based on the duration of the offering period. Estimated volatility for ESPP purchase rights is based on the historical volatility of a group of industry peers as sufficient history is not available for our common stock. The risk-free interest rate is based on the U.S. Treasury yield curve in effect at the time the ESPP purchase right was granted at the beginning of the offering period. We have not declared, nor do we expect to declare dividends.</w:t>
      </w:r>
    </w:p>
    <w:p>
      <w:pPr>
        <w:spacing w:after="0" w:line="18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As of December 31, 2021, no shares have been purchased under the ESPP. During the year ended December 31, 2021, the Company recognized $0.6 million of stock-based compensation expense related to the ESPP and withheld $1.0 million in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92" w:name="page93"/>
    <w:bookmarkEnd w:id="92"/>
    <w:p>
      <w:pPr>
        <w:ind w:right="500"/>
        <w:spacing w:after="0" w:line="261" w:lineRule="auto"/>
        <w:rPr>
          <w:sz w:val="20"/>
          <w:szCs w:val="20"/>
          <w:color w:val="auto"/>
        </w:rPr>
      </w:pPr>
      <w:r>
        <w:rPr>
          <w:rFonts w:ascii="Arial" w:cs="Arial" w:eastAsia="Arial" w:hAnsi="Arial"/>
          <w:sz w:val="18"/>
          <w:szCs w:val="18"/>
          <w:color w:val="auto"/>
        </w:rPr>
        <w:t>contributions from employees. As of December 31, 2021, total unrecognized compensation costs related to the ESPP was $5.4 million, which will be amortized over a weighted average period of 0.87 years.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net of actual forfeitures is reflected in the consolidated statement of operations (in thousands):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Year Ended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7"/>
                <w:szCs w:val="17"/>
                <w:color w:val="auto"/>
              </w:rPr>
            </w:pP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5"/>
                <w:szCs w:val="15"/>
                <w:color w:val="auto"/>
              </w:rPr>
            </w:pPr>
          </w:p>
        </w:tc>
      </w:tr>
      <w:tr>
        <w:trPr>
          <w:trHeight w:val="216"/>
        </w:trPr>
        <w:tc>
          <w:tcPr>
            <w:tcW w:w="5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r>
      <w:tr>
        <w:trPr>
          <w:trHeight w:val="196"/>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1,951</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w:t>
            </w:r>
          </w:p>
        </w:tc>
        <w:tc>
          <w:tcPr>
            <w:tcW w:w="60" w:type="dxa"/>
            <w:vAlign w:val="bottom"/>
            <w:shd w:val="clear" w:color="auto" w:fill="CFF0FC"/>
          </w:tcPr>
          <w:p>
            <w:pPr>
              <w:spacing w:after="0"/>
              <w:rPr>
                <w:sz w:val="17"/>
                <w:szCs w:val="17"/>
                <w:color w:val="auto"/>
              </w:rPr>
            </w:pPr>
          </w:p>
        </w:tc>
      </w:tr>
      <w:tr>
        <w:trPr>
          <w:trHeight w:val="202"/>
        </w:trPr>
        <w:tc>
          <w:tcPr>
            <w:tcW w:w="57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13,613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1,419</w:t>
            </w:r>
          </w:p>
        </w:tc>
        <w:tc>
          <w:tcPr>
            <w:tcW w:w="60" w:type="dxa"/>
            <w:vAlign w:val="bottom"/>
          </w:tcPr>
          <w:p>
            <w:pPr>
              <w:spacing w:after="0"/>
              <w:rPr>
                <w:sz w:val="17"/>
                <w:szCs w:val="17"/>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7,871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6,512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4,429</w:t>
            </w:r>
          </w:p>
        </w:tc>
        <w:tc>
          <w:tcPr>
            <w:tcW w:w="60" w:type="dxa"/>
            <w:vAlign w:val="bottom"/>
            <w:shd w:val="clear" w:color="auto" w:fill="CFF0FC"/>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10,959</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1,128</w:t>
            </w:r>
          </w:p>
        </w:tc>
        <w:tc>
          <w:tcPr>
            <w:tcW w:w="60" w:type="dxa"/>
            <w:vAlign w:val="bottom"/>
          </w:tcPr>
          <w:p>
            <w:pPr>
              <w:spacing w:after="0"/>
              <w:rPr>
                <w:sz w:val="17"/>
                <w:szCs w:val="17"/>
                <w:color w:val="auto"/>
              </w:rPr>
            </w:pPr>
          </w:p>
        </w:tc>
      </w:tr>
      <w:tr>
        <w:trPr>
          <w:trHeight w:val="236"/>
        </w:trPr>
        <w:tc>
          <w:tcPr>
            <w:tcW w:w="57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34,394</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16,553</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7,334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both"/>
        <w:ind w:right="320" w:firstLine="509"/>
        <w:spacing w:after="0" w:line="248" w:lineRule="auto"/>
        <w:rPr>
          <w:sz w:val="20"/>
          <w:szCs w:val="20"/>
          <w:color w:val="auto"/>
        </w:rPr>
      </w:pPr>
      <w:r>
        <w:rPr>
          <w:rFonts w:ascii="Arial" w:cs="Arial" w:eastAsia="Arial" w:hAnsi="Arial"/>
          <w:sz w:val="18"/>
          <w:szCs w:val="18"/>
          <w:color w:val="auto"/>
        </w:rPr>
        <w:t>During 2021, 2020 and 2019, the Company facilitated secondary transactions with select executives in which common stock was sold above fair value. Therefore, the Company has recorded $1.1 million, $11.1 million, $2.2 million as compensation expense included in the above table in the years ended December 31, 2021, 2020, and 2019, respectively.</w:t>
      </w:r>
    </w:p>
    <w:p>
      <w:pPr>
        <w:spacing w:after="0" w:line="286"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Company has established a savings and retirement plan for employees that permits participants to make contributions by salary deductions pursuant to Section 401(k) of the Internal Revenue Code. The plan is available to all regular employees on the Company’s U.S. payroll. The Company does not currently match employees’ contributions.</w:t>
      </w:r>
    </w:p>
    <w:p>
      <w:pPr>
        <w:spacing w:after="0" w:line="286"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Pre-tax book loss has been recorded in the following jurisdictions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8"/>
          </w:tcPr>
          <w:p>
            <w:pPr>
              <w:ind w:left="840"/>
              <w:spacing w:after="0"/>
              <w:rPr>
                <w:sz w:val="20"/>
                <w:szCs w:val="20"/>
                <w:color w:val="auto"/>
              </w:rPr>
            </w:pPr>
            <w:r>
              <w:rPr>
                <w:rFonts w:ascii="Arial" w:cs="Arial" w:eastAsia="Arial" w:hAnsi="Arial"/>
                <w:sz w:val="18"/>
                <w:szCs w:val="18"/>
                <w:b w:val="1"/>
                <w:bCs w:val="1"/>
                <w:color w:val="auto"/>
                <w:w w:val="89"/>
              </w:rPr>
              <w:t>Year Ended 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(79,354</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(26,758</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(35,641</w:t>
            </w:r>
          </w:p>
        </w:tc>
        <w:tc>
          <w:tcPr>
            <w:tcW w:w="1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5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Worldwide pre-tax loss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(73,954</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(23,734</w:t>
            </w:r>
          </w:p>
        </w:tc>
        <w:tc>
          <w:tcPr>
            <w:tcW w:w="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(32,871</w:t>
            </w:r>
          </w:p>
        </w:tc>
        <w:tc>
          <w:tcPr>
            <w:tcW w:w="100" w:type="dxa"/>
            <w:vAlign w:val="bottom"/>
            <w:tcBorders>
              <w:bottom w:val="single" w:sz="8" w:color="CFF0FC"/>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6100" w:type="dxa"/>
            <w:vAlign w:val="bottom"/>
            <w:gridSpan w:val="2"/>
          </w:tcPr>
          <w:p>
            <w:pPr>
              <w:jc w:val="right"/>
              <w:ind w:right="310"/>
              <w:spacing w:after="0"/>
              <w:rPr>
                <w:sz w:val="20"/>
                <w:szCs w:val="20"/>
                <w:color w:val="auto"/>
              </w:rPr>
            </w:pPr>
            <w:r>
              <w:rPr>
                <w:rFonts w:ascii="Arial" w:cs="Arial" w:eastAsia="Arial" w:hAnsi="Arial"/>
                <w:sz w:val="18"/>
                <w:szCs w:val="18"/>
                <w:color w:val="auto"/>
              </w:rPr>
              <w:t>The provision for income taxes consists of the following (in thousands):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gridSpan w:val="9"/>
          </w:tcPr>
          <w:p>
            <w:pPr>
              <w:jc w:val="right"/>
              <w:ind w:right="90"/>
              <w:spacing w:after="0"/>
              <w:rPr>
                <w:sz w:val="20"/>
                <w:szCs w:val="20"/>
                <w:color w:val="auto"/>
              </w:rPr>
            </w:pPr>
            <w:r>
              <w:rPr>
                <w:rFonts w:ascii="Arial" w:cs="Arial" w:eastAsia="Arial" w:hAnsi="Arial"/>
                <w:sz w:val="18"/>
                <w:szCs w:val="18"/>
                <w:b w:val="1"/>
                <w:bCs w:val="1"/>
                <w:color w:val="auto"/>
                <w:w w:val="93"/>
              </w:rPr>
              <w:t>Year Ended 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583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353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156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520" w:type="dxa"/>
            <w:vAlign w:val="bottom"/>
            <w:tcBorders>
              <w:bottom w:val="single" w:sz="8" w:color="CFF0FC"/>
            </w:tcBorders>
            <w:shd w:val="clear" w:color="auto" w:fill="CFF0FC"/>
          </w:tcPr>
          <w:p>
            <w:pPr>
              <w:ind w:left="360"/>
              <w:spacing w:after="0" w:line="182" w:lineRule="exact"/>
              <w:rPr>
                <w:sz w:val="20"/>
                <w:szCs w:val="20"/>
                <w:color w:val="auto"/>
              </w:rPr>
            </w:pPr>
            <w:r>
              <w:rPr>
                <w:rFonts w:ascii="Arial" w:cs="Arial" w:eastAsia="Arial" w:hAnsi="Arial"/>
                <w:sz w:val="18"/>
                <w:szCs w:val="18"/>
                <w:color w:val="auto"/>
              </w:rPr>
              <w:t>Total Current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609</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365</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right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183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5520" w:type="dxa"/>
            <w:vAlign w:val="bottom"/>
          </w:tcPr>
          <w:p>
            <w:pPr>
              <w:spacing w:after="0" w:line="183" w:lineRule="exact"/>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(320 )</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(57 )</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5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797</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468</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520" w:type="dxa"/>
            <w:vAlign w:val="bottom"/>
          </w:tcPr>
          <w:p>
            <w:pPr>
              <w:ind w:left="360"/>
              <w:spacing w:after="0" w:line="182" w:lineRule="exact"/>
              <w:rPr>
                <w:sz w:val="20"/>
                <w:szCs w:val="20"/>
                <w:color w:val="auto"/>
              </w:rPr>
            </w:pPr>
            <w:r>
              <w:rPr>
                <w:rFonts w:ascii="Arial" w:cs="Arial" w:eastAsia="Arial" w:hAnsi="Arial"/>
                <w:sz w:val="18"/>
                <w:szCs w:val="18"/>
                <w:color w:val="auto"/>
              </w:rPr>
              <w:t>Total Provision</w:t>
            </w:r>
          </w:p>
        </w:tc>
        <w:tc>
          <w:tcPr>
            <w:tcW w:w="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1,029</w:t>
            </w:r>
          </w:p>
        </w:tc>
        <w:tc>
          <w:tcPr>
            <w:tcW w:w="160" w:type="dxa"/>
            <w:vAlign w:val="bottom"/>
          </w:tcPr>
          <w:p>
            <w:pPr>
              <w:spacing w:after="0"/>
              <w:rPr>
                <w:sz w:val="17"/>
                <w:szCs w:val="17"/>
                <w:color w:val="auto"/>
              </w:rPr>
            </w:pP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833</w:t>
            </w:r>
          </w:p>
        </w:tc>
        <w:tc>
          <w:tcPr>
            <w:tcW w:w="200" w:type="dxa"/>
            <w:vAlign w:val="bottom"/>
          </w:tcPr>
          <w:p>
            <w:pPr>
              <w:spacing w:after="0"/>
              <w:rPr>
                <w:sz w:val="17"/>
                <w:szCs w:val="17"/>
                <w:color w:val="auto"/>
              </w:rPr>
            </w:pPr>
          </w:p>
        </w:tc>
        <w:tc>
          <w:tcPr>
            <w:tcW w:w="3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663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5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-2493645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-2493645</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-2476500</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-2493645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-2476500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-1113790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-1096645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-1113790</wp:posOffset>
            </wp:positionV>
            <wp:extent cx="342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-1096645</wp:posOffset>
            </wp:positionV>
            <wp:extent cx="342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-1113790</wp:posOffset>
            </wp:positionV>
            <wp:extent cx="342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-1096645</wp:posOffset>
            </wp:positionV>
            <wp:extent cx="342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-570865</wp:posOffset>
            </wp:positionV>
            <wp:extent cx="685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-570865</wp:posOffset>
            </wp:positionV>
            <wp:extent cx="3429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-570865</wp:posOffset>
            </wp:positionV>
            <wp:extent cx="3429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3" w:name="page94"/>
    <w:bookmarkEnd w:id="93"/>
    <w:p>
      <w:pPr>
        <w:ind w:left="520"/>
        <w:spacing w:after="0"/>
        <w:rPr>
          <w:sz w:val="20"/>
          <w:szCs w:val="20"/>
          <w:color w:val="auto"/>
        </w:rPr>
      </w:pPr>
      <w:r>
        <w:rPr>
          <w:rFonts w:ascii="Arial" w:cs="Arial" w:eastAsia="Arial" w:hAnsi="Arial"/>
          <w:sz w:val="16"/>
          <w:szCs w:val="16"/>
          <w:color w:val="auto"/>
        </w:rPr>
        <w:t>The provision for income taxes differs from the amount computed by applying the federal income tax rate of 21% to pre-tax loss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from operations as a result of the following:</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3280" w:type="dxa"/>
            <w:vAlign w:val="bottom"/>
            <w:gridSpan w:val="5"/>
          </w:tcPr>
          <w:p>
            <w:pPr>
              <w:ind w:left="1120"/>
              <w:spacing w:after="0"/>
              <w:rPr>
                <w:sz w:val="20"/>
                <w:szCs w:val="20"/>
                <w:color w:val="auto"/>
              </w:rPr>
            </w:pPr>
            <w:r>
              <w:rPr>
                <w:rFonts w:ascii="Arial" w:cs="Arial" w:eastAsia="Arial" w:hAnsi="Arial"/>
                <w:sz w:val="18"/>
                <w:szCs w:val="18"/>
                <w:b w:val="1"/>
                <w:bCs w:val="1"/>
                <w:color w:val="auto"/>
                <w:w w:val="96"/>
              </w:rPr>
              <w:t>Year Ended December 31,</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80" w:type="dxa"/>
            <w:vAlign w:val="bottom"/>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Statutory federal income tax rate</w:t>
            </w:r>
          </w:p>
        </w:tc>
        <w:tc>
          <w:tcPr>
            <w:tcW w:w="15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21.00 %</w:t>
            </w:r>
          </w:p>
        </w:tc>
        <w:tc>
          <w:tcPr>
            <w:tcW w:w="14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21.00 %</w:t>
            </w:r>
          </w:p>
        </w:tc>
        <w:tc>
          <w:tcPr>
            <w:tcW w:w="280" w:type="dxa"/>
            <w:vAlign w:val="bottom"/>
            <w:shd w:val="clear" w:color="auto" w:fill="CFF0FC"/>
          </w:tcPr>
          <w:p>
            <w:pPr>
              <w:spacing w:after="0"/>
              <w:rPr>
                <w:sz w:val="19"/>
                <w:szCs w:val="19"/>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21.00 %</w:t>
            </w:r>
          </w:p>
        </w:tc>
        <w:tc>
          <w:tcPr>
            <w:tcW w:w="0" w:type="dxa"/>
            <w:vAlign w:val="bottom"/>
          </w:tcPr>
          <w:p>
            <w:pPr>
              <w:spacing w:after="0"/>
              <w:rPr>
                <w:sz w:val="1"/>
                <w:szCs w:val="1"/>
                <w:color w:val="auto"/>
              </w:rPr>
            </w:pPr>
          </w:p>
        </w:tc>
      </w:tr>
      <w:tr>
        <w:trPr>
          <w:trHeight w:val="148"/>
        </w:trPr>
        <w:tc>
          <w:tcPr>
            <w:tcW w:w="5680" w:type="dxa"/>
            <w:vAlign w:val="bottom"/>
            <w:shd w:val="clear" w:color="auto" w:fill="CFF0FC"/>
          </w:tcPr>
          <w:p>
            <w:pPr>
              <w:spacing w:after="0"/>
              <w:rPr>
                <w:sz w:val="12"/>
                <w:szCs w:val="12"/>
                <w:color w:val="auto"/>
              </w:rPr>
            </w:pPr>
          </w:p>
        </w:tc>
        <w:tc>
          <w:tcPr>
            <w:tcW w:w="1520" w:type="dxa"/>
            <w:vAlign w:val="bottom"/>
            <w:gridSpan w:val="2"/>
            <w:vMerge w:val="continue"/>
            <w:shd w:val="clear" w:color="auto" w:fill="CFF0FC"/>
          </w:tcPr>
          <w:p>
            <w:pPr>
              <w:spacing w:after="0"/>
              <w:rPr>
                <w:sz w:val="12"/>
                <w:szCs w:val="12"/>
                <w:color w:val="auto"/>
              </w:rPr>
            </w:pPr>
          </w:p>
        </w:tc>
        <w:tc>
          <w:tcPr>
            <w:tcW w:w="148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State income taxes, net of federal tax benefits</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Permanent differences</w:t>
            </w:r>
          </w:p>
        </w:tc>
        <w:tc>
          <w:tcPr>
            <w:tcW w:w="12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Tax credits</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14.53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Foreign rate differential</w:t>
            </w:r>
          </w:p>
        </w:tc>
        <w:tc>
          <w:tcPr>
            <w:tcW w:w="12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line="162" w:lineRule="exact"/>
              <w:rPr>
                <w:sz w:val="20"/>
                <w:szCs w:val="20"/>
                <w:color w:val="auto"/>
              </w:rPr>
            </w:pPr>
            <w:r>
              <w:rPr>
                <w:rFonts w:ascii="Arial" w:cs="Arial" w:eastAsia="Arial" w:hAnsi="Arial"/>
                <w:sz w:val="18"/>
                <w:szCs w:val="18"/>
                <w:color w:val="auto"/>
              </w:rPr>
              <w:t>Stock based compensation</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88.87</w:t>
            </w: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Other</w:t>
            </w:r>
          </w:p>
        </w:tc>
        <w:tc>
          <w:tcPr>
            <w:tcW w:w="12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line="162" w:lineRule="exact"/>
              <w:rPr>
                <w:sz w:val="20"/>
                <w:szCs w:val="20"/>
                <w:color w:val="auto"/>
              </w:rPr>
            </w:pPr>
            <w:r>
              <w:rPr>
                <w:rFonts w:ascii="Arial" w:cs="Arial" w:eastAsia="Arial" w:hAnsi="Arial"/>
                <w:sz w:val="18"/>
                <w:szCs w:val="18"/>
                <w:color w:val="auto"/>
              </w:rPr>
              <w:t>Valuation allowance</w:t>
            </w:r>
          </w:p>
        </w:tc>
        <w:tc>
          <w:tcPr>
            <w:tcW w:w="1260" w:type="dxa"/>
            <w:vAlign w:val="bottom"/>
          </w:tcPr>
          <w:p>
            <w:pPr>
              <w:jc w:val="right"/>
              <w:spacing w:after="0" w:line="16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Tax provision</w:t>
            </w:r>
          </w:p>
        </w:tc>
        <w:tc>
          <w:tcPr>
            <w:tcW w:w="12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56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 %</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3.51)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1625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1625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1714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1714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-25400</wp:posOffset>
            </wp:positionV>
            <wp:extent cx="1200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-8255</wp:posOffset>
            </wp:positionV>
            <wp:extent cx="1200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tax effects of temporary differences that give rise to significant portions of the Company’s deferred tax assets and liabilities as of December 31, 2021, 2020, and 2019 related to the following (in thousands):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NOL carryforwards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103,028</w:t>
            </w:r>
          </w:p>
        </w:tc>
        <w:tc>
          <w:tcPr>
            <w:tcW w:w="3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23,493</w:t>
            </w:r>
          </w:p>
        </w:tc>
        <w:tc>
          <w:tcPr>
            <w:tcW w:w="3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18,991</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Credit carryforwards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9,742</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5,199</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1,749</w:t>
            </w:r>
          </w:p>
        </w:tc>
        <w:tc>
          <w:tcPr>
            <w:tcW w:w="100" w:type="dxa"/>
            <w:vAlign w:val="bottom"/>
            <w:shd w:val="clear" w:color="auto" w:fill="CFF0FC"/>
          </w:tcPr>
          <w:p>
            <w:pPr>
              <w:spacing w:after="0"/>
              <w:rPr>
                <w:sz w:val="17"/>
                <w:szCs w:val="17"/>
                <w:color w:val="auto"/>
              </w:rPr>
            </w:pPr>
          </w:p>
        </w:tc>
      </w:tr>
      <w:tr>
        <w:trPr>
          <w:trHeight w:val="202"/>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3,456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1,061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965</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Accruals and reserves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533</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Fixed assets</w:t>
            </w:r>
          </w:p>
        </w:tc>
        <w:tc>
          <w:tcPr>
            <w:tcW w:w="280" w:type="dxa"/>
            <w:vAlign w:val="bottom"/>
          </w:tcPr>
          <w:p>
            <w:pPr>
              <w:spacing w:after="0"/>
              <w:rPr>
                <w:sz w:val="17"/>
                <w:szCs w:val="17"/>
                <w:color w:val="auto"/>
              </w:rPr>
            </w:pPr>
          </w:p>
        </w:tc>
        <w:tc>
          <w:tcPr>
            <w:tcW w:w="134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Intangibles</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tax assets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116,803</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30,357</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22,034</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17"/>
                <w:szCs w:val="17"/>
                <w:color w:val="auto"/>
              </w:rPr>
            </w:pPr>
          </w:p>
        </w:tc>
        <w:tc>
          <w:tcPr>
            <w:tcW w:w="13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(110,720 )</w:t>
            </w:r>
          </w:p>
        </w:tc>
        <w:tc>
          <w:tcPr>
            <w:tcW w:w="260" w:type="dxa"/>
            <w:vAlign w:val="bottom"/>
          </w:tcPr>
          <w:p>
            <w:pPr>
              <w:spacing w:after="0"/>
              <w:rPr>
                <w:sz w:val="17"/>
                <w:szCs w:val="17"/>
                <w:color w:val="auto"/>
              </w:rPr>
            </w:pPr>
          </w:p>
        </w:tc>
        <w:tc>
          <w:tcPr>
            <w:tcW w:w="126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(26,286 )</w:t>
            </w:r>
          </w:p>
        </w:tc>
        <w:tc>
          <w:tcPr>
            <w:tcW w:w="2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(19,504 )</w:t>
            </w: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Realizable deferred tax assets</w:t>
            </w: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6,083</w:t>
            </w:r>
          </w:p>
        </w:tc>
        <w:tc>
          <w:tcPr>
            <w:tcW w:w="3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4,071</w:t>
            </w:r>
          </w:p>
        </w:tc>
        <w:tc>
          <w:tcPr>
            <w:tcW w:w="3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commission costs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(6,881 )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(4,727 )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(3,006 )</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Internal use software</w:t>
            </w:r>
          </w:p>
        </w:tc>
        <w:tc>
          <w:tcPr>
            <w:tcW w:w="280" w:type="dxa"/>
            <w:vAlign w:val="bottom"/>
          </w:tcPr>
          <w:p>
            <w:pPr>
              <w:spacing w:after="0"/>
              <w:rPr>
                <w:sz w:val="17"/>
                <w:szCs w:val="17"/>
                <w:color w:val="auto"/>
              </w:rPr>
            </w:pPr>
          </w:p>
        </w:tc>
        <w:tc>
          <w:tcPr>
            <w:tcW w:w="13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(643 )</w:t>
            </w:r>
          </w:p>
        </w:tc>
        <w:tc>
          <w:tcPr>
            <w:tcW w:w="260" w:type="dxa"/>
            <w:vAlign w:val="bottom"/>
          </w:tcPr>
          <w:p>
            <w:pPr>
              <w:spacing w:after="0"/>
              <w:rPr>
                <w:sz w:val="17"/>
                <w:szCs w:val="17"/>
                <w:color w:val="auto"/>
              </w:rPr>
            </w:pPr>
          </w:p>
        </w:tc>
        <w:tc>
          <w:tcPr>
            <w:tcW w:w="126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(277 )</w:t>
            </w:r>
          </w:p>
        </w:tc>
        <w:tc>
          <w:tcPr>
            <w:tcW w:w="260" w:type="dxa"/>
            <w:vAlign w:val="bottom"/>
          </w:tcPr>
          <w:p>
            <w:pPr>
              <w:spacing w:after="0"/>
              <w:rPr>
                <w:sz w:val="17"/>
                <w:szCs w:val="17"/>
                <w:color w:val="auto"/>
              </w:rPr>
            </w:pPr>
          </w:p>
        </w:tc>
        <w:tc>
          <w:tcPr>
            <w:tcW w:w="10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Fixed assets</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1"/>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Intangibles</w:t>
            </w:r>
          </w:p>
        </w:tc>
        <w:tc>
          <w:tcPr>
            <w:tcW w:w="280" w:type="dxa"/>
            <w:vAlign w:val="bottom"/>
          </w:tcPr>
          <w:p>
            <w:pPr>
              <w:spacing w:after="0"/>
              <w:rPr>
                <w:sz w:val="17"/>
                <w:szCs w:val="17"/>
                <w:color w:val="auto"/>
              </w:rPr>
            </w:pPr>
          </w:p>
        </w:tc>
        <w:tc>
          <w:tcPr>
            <w:tcW w:w="13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(303 )</w:t>
            </w:r>
          </w:p>
        </w:tc>
        <w:tc>
          <w:tcPr>
            <w:tcW w:w="260" w:type="dxa"/>
            <w:vAlign w:val="bottom"/>
          </w:tcPr>
          <w:p>
            <w:pPr>
              <w:spacing w:after="0"/>
              <w:rPr>
                <w:sz w:val="17"/>
                <w:szCs w:val="17"/>
                <w:color w:val="auto"/>
              </w:rPr>
            </w:pPr>
          </w:p>
        </w:tc>
        <w:tc>
          <w:tcPr>
            <w:tcW w:w="126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(14 )</w:t>
            </w:r>
          </w:p>
        </w:tc>
        <w:tc>
          <w:tcPr>
            <w:tcW w:w="260" w:type="dxa"/>
            <w:vAlign w:val="bottom"/>
          </w:tcPr>
          <w:p>
            <w:pPr>
              <w:spacing w:after="0"/>
              <w:rPr>
                <w:sz w:val="17"/>
                <w:szCs w:val="17"/>
                <w:color w:val="auto"/>
              </w:rPr>
            </w:pPr>
          </w:p>
        </w:tc>
        <w:tc>
          <w:tcPr>
            <w:tcW w:w="10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r>
      <w:tr>
        <w:trPr>
          <w:trHeight w:val="20"/>
        </w:trPr>
        <w:tc>
          <w:tcPr>
            <w:tcW w:w="56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Gross deferred liabilities</w:t>
            </w:r>
          </w:p>
        </w:tc>
        <w:tc>
          <w:tcPr>
            <w:tcW w:w="280" w:type="dxa"/>
            <w:vAlign w:val="bottom"/>
          </w:tcPr>
          <w:p>
            <w:pPr>
              <w:spacing w:after="0"/>
              <w:rPr>
                <w:sz w:val="17"/>
                <w:szCs w:val="17"/>
                <w:color w:val="auto"/>
              </w:rPr>
            </w:pPr>
          </w:p>
        </w:tc>
        <w:tc>
          <w:tcPr>
            <w:tcW w:w="134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(7,828 )</w:t>
            </w:r>
          </w:p>
        </w:tc>
        <w:tc>
          <w:tcPr>
            <w:tcW w:w="260" w:type="dxa"/>
            <w:vAlign w:val="bottom"/>
          </w:tcPr>
          <w:p>
            <w:pPr>
              <w:spacing w:after="0"/>
              <w:rPr>
                <w:sz w:val="17"/>
                <w:szCs w:val="17"/>
                <w:color w:val="auto"/>
              </w:rPr>
            </w:pPr>
          </w:p>
        </w:tc>
        <w:tc>
          <w:tcPr>
            <w:tcW w:w="1260" w:type="dxa"/>
            <w:vAlign w:val="bottom"/>
            <w:gridSpan w:val="2"/>
          </w:tcPr>
          <w:p>
            <w:pPr>
              <w:jc w:val="right"/>
              <w:ind w:right="181"/>
              <w:spacing w:after="0" w:line="196" w:lineRule="exact"/>
              <w:rPr>
                <w:sz w:val="20"/>
                <w:szCs w:val="20"/>
                <w:color w:val="auto"/>
              </w:rPr>
            </w:pPr>
            <w:r>
              <w:rPr>
                <w:rFonts w:ascii="Arial" w:cs="Arial" w:eastAsia="Arial" w:hAnsi="Arial"/>
                <w:sz w:val="18"/>
                <w:szCs w:val="18"/>
                <w:color w:val="auto"/>
              </w:rPr>
              <w:t>(5,019 )</w:t>
            </w:r>
          </w:p>
        </w:tc>
        <w:tc>
          <w:tcPr>
            <w:tcW w:w="26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(3,010 )</w:t>
            </w:r>
          </w:p>
        </w:tc>
      </w:tr>
      <w:tr>
        <w:trPr>
          <w:trHeight w:val="236"/>
        </w:trPr>
        <w:tc>
          <w:tcPr>
            <w:tcW w:w="56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deferred tax assets (liabilities)</w:t>
            </w: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(1,745</w:t>
            </w:r>
          </w:p>
        </w:tc>
        <w:tc>
          <w:tcPr>
            <w:tcW w:w="340" w:type="dxa"/>
            <w:vAlign w:val="bottom"/>
            <w:tcBorders>
              <w:bottom w:val="single" w:sz="8" w:color="CFF0FC"/>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(948</w:t>
            </w:r>
          </w:p>
        </w:tc>
        <w:tc>
          <w:tcPr>
            <w:tcW w:w="320" w:type="dxa"/>
            <w:vAlign w:val="bottom"/>
            <w:tcBorders>
              <w:bottom w:val="single" w:sz="8" w:color="CFF0FC"/>
            </w:tcBorders>
            <w:shd w:val="clear" w:color="auto" w:fill="CFF0FC"/>
          </w:tcPr>
          <w:p>
            <w:pPr>
              <w:jc w:val="right"/>
              <w:ind w:right="181"/>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(480</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-296545</wp:posOffset>
            </wp:positionV>
            <wp:extent cx="685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-296545</wp:posOffset>
            </wp:positionV>
            <wp:extent cx="6032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-296545</wp:posOffset>
            </wp:positionV>
            <wp:extent cx="6032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Income taxes are accounted for under the asset-and-liability method. Deferred tax assets and liabilities are recognized for future tax consequences attributable to differences between the financial statement carrying amounts of existing assets and liabilities and their respective tax bases and operating loss and tax credit carryforward. Deferred tax assets and liabilities are measured using enacted tax rates expected to apply to the taxable income or loss in the future years in which those temporary differences are expected to be recovered or settled. The effect on the deferred tax assets and liabilities of a change in tax rates is recognized in income in the period that includes the enactment date. Valuation allowances are established for deferred tax assets to the extent it is more likely than not that the deferred tax assets may not be realizable.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4" w:name="page95"/>
    <w:bookmarkEnd w:id="94"/>
    <w:p>
      <w:pPr>
        <w:ind w:right="40" w:firstLine="509"/>
        <w:spacing w:after="0" w:line="284" w:lineRule="auto"/>
        <w:rPr>
          <w:sz w:val="20"/>
          <w:szCs w:val="20"/>
          <w:color w:val="auto"/>
        </w:rPr>
      </w:pPr>
      <w:r>
        <w:rPr>
          <w:rFonts w:ascii="Arial" w:cs="Arial" w:eastAsia="Arial" w:hAnsi="Arial"/>
          <w:sz w:val="16"/>
          <w:szCs w:val="16"/>
          <w:color w:val="auto"/>
        </w:rPr>
        <w:t>The Company evaluates uncertain tax positions taken or expected to be taken in the course of preparing its tax return to determine whether the tax positions are more likely than not of being sustained upon challenge by the applicable taxing authority. The Company recognizes the effect of income tax positions only if those positions are more likely than not of being sustained. Recognized income tax positions measured at the largest amount that is greater than 50% likely of being realized. Changes in recognition or remeasurement are reflected in the period in which the change in judgment occurs.</w:t>
      </w:r>
    </w:p>
    <w:p>
      <w:pPr>
        <w:spacing w:after="0" w:line="15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of all of the deferred tax assets will not be realized. The ultimate realization of deferred tax assets is dependent on the generation of future taxable income during the periods in which those temporary differences become deductible. Based on the levels of historical taxable income and projections for future taxable income over the period in which temporary differences are deductible, the Company has recorded a valuation allowance for substantially all of its deferred tax assets, except to the extent of deferred tax liabilities, as it is unable to conclude that it is more likely than not that the deferred tax assets in excess of deferred tax liabilities will be realizable.</w:t>
      </w:r>
    </w:p>
    <w:p>
      <w:pPr>
        <w:spacing w:after="0" w:line="189"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At December 31, 2021, the Company had approximately $415.8 million and $245.6 million of net operating loss carryforwards available to offset future federal and state taxable income, respectively. If realized, none of the net operating loss carryforwards will be recognized as a benefit through additional paid-in capital. If not realized, federal carryforward losses of $25.4 million will expire beginning in 2032 and $390.5 million of carryforward losses will carryforward indefinitely. State carryforwards will expire beginning 2030.</w:t>
      </w:r>
    </w:p>
    <w:p>
      <w:pPr>
        <w:spacing w:after="0" w:line="188"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At December 31, 2021, the Company had tax credit carryforwards of $5.4 million, net of reserves to offset future federal tax and $5.5 million of tax credit carryforwards, net of reserves to offset state income tax. The carryforwards will expire in various amounts for federal purposes beginning 2033. The California R&amp;D credits will not expire but the California competes tax credits will expire beginning 2026.</w:t>
      </w:r>
    </w:p>
    <w:p>
      <w:pPr>
        <w:spacing w:after="0" w:line="182"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Utilization of net operating loss carryforwards and credits may be subject to substantial annual limitation due to ownership change limitations provided by the Internal Revenue Code of 1986, as amended, and similar state provisions. The annual limitations may result in the expiration of the net operating losses before utilization.</w:t>
      </w:r>
    </w:p>
    <w:p>
      <w:pPr>
        <w:spacing w:after="0" w:line="18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As of December 31, 2021, the Company had unrecognized income tax benefits of $2.3 million. The increase in the Company’s unrecognized tax benefit was primarily attributable to current year credit activities. A reconciliation of the beginning and ending amount of unrealized tax benefit (excluding interest and penalties) is as follows (in thousands):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40" w:type="dxa"/>
            <w:vAlign w:val="bottom"/>
            <w:gridSpan w:val="5"/>
          </w:tcPr>
          <w:p>
            <w:pPr>
              <w:ind w:left="340"/>
              <w:spacing w:after="0"/>
              <w:rPr>
                <w:sz w:val="20"/>
                <w:szCs w:val="20"/>
                <w:color w:val="auto"/>
              </w:rPr>
            </w:pPr>
            <w:r>
              <w:rPr>
                <w:rFonts w:ascii="Arial" w:cs="Arial" w:eastAsia="Arial" w:hAnsi="Arial"/>
                <w:sz w:val="18"/>
                <w:szCs w:val="18"/>
                <w:b w:val="1"/>
                <w:bCs w:val="1"/>
                <w:color w:val="auto"/>
                <w:w w:val="89"/>
              </w:rPr>
              <w:t>Year Ended December 31,</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56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r>
      <w:tr>
        <w:trPr>
          <w:trHeight w:val="196"/>
        </w:trPr>
        <w:tc>
          <w:tcPr>
            <w:tcW w:w="5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860" w:type="dxa"/>
            <w:vAlign w:val="bottom"/>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1,226</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766</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230</w:t>
            </w:r>
          </w:p>
        </w:tc>
        <w:tc>
          <w:tcPr>
            <w:tcW w:w="60" w:type="dxa"/>
            <w:vAlign w:val="bottom"/>
            <w:shd w:val="clear" w:color="auto" w:fill="CFF0FC"/>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Increases related to tax positions taken during a prior year</w:t>
            </w:r>
          </w:p>
        </w:tc>
        <w:tc>
          <w:tcPr>
            <w:tcW w:w="8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88"/>
              </w:rPr>
              <w:t>1,027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60" w:type="dxa"/>
            <w:vAlign w:val="bottom"/>
          </w:tcPr>
          <w:p>
            <w:pPr>
              <w:spacing w:after="0"/>
              <w:rPr>
                <w:sz w:val="17"/>
                <w:szCs w:val="17"/>
                <w:color w:val="auto"/>
              </w:rPr>
            </w:pPr>
          </w:p>
        </w:tc>
      </w:tr>
      <w:tr>
        <w:trPr>
          <w:trHeight w:val="203"/>
        </w:trPr>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Decreases related to tax positions taken during a prior year</w:t>
            </w:r>
          </w:p>
        </w:tc>
        <w:tc>
          <w:tcPr>
            <w:tcW w:w="8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Increases related to tax positions taken during the current year</w:t>
            </w:r>
          </w:p>
        </w:tc>
        <w:tc>
          <w:tcPr>
            <w:tcW w:w="8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56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Ending balance</w:t>
            </w:r>
          </w:p>
        </w:tc>
        <w:tc>
          <w:tcPr>
            <w:tcW w:w="860" w:type="dxa"/>
            <w:vAlign w:val="bottom"/>
            <w:tcBorders>
              <w:top w:val="single" w:sz="8" w:color="auto"/>
              <w:bottom w:val="single" w:sz="8" w:color="auto"/>
            </w:tcBorders>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2,253</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1,226</w:t>
            </w:r>
          </w:p>
        </w:tc>
        <w:tc>
          <w:tcPr>
            <w:tcW w:w="3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766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431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431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431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total unrecognized tax benefit, if recognized, would not affect the Company’s effective tax rate as the tax benefit would increase the deferred tax asset, which is currently offset with a full valuation allowance. The Company does not anticipate that the amount of existing unrecognized tax benefit will significantly increase or decrease within the next 12 months. Accrued interest and penalties related to the unrecognized tax benefits are recorded in income tax expense. No interest, penalties, or tax benefits were recognized during the year ended December 31, 2021.</w:t>
      </w:r>
    </w:p>
    <w:p>
      <w:pPr>
        <w:spacing w:after="0" w:line="172" w:lineRule="exact"/>
        <w:rPr>
          <w:sz w:val="20"/>
          <w:szCs w:val="20"/>
          <w:color w:val="auto"/>
        </w:rPr>
      </w:pPr>
    </w:p>
    <w:p>
      <w:pPr>
        <w:jc w:val="both"/>
        <w:ind w:right="40" w:firstLine="509"/>
        <w:spacing w:after="0" w:line="270" w:lineRule="auto"/>
        <w:rPr>
          <w:sz w:val="20"/>
          <w:szCs w:val="20"/>
          <w:color w:val="auto"/>
        </w:rPr>
      </w:pPr>
      <w:r>
        <w:rPr>
          <w:rFonts w:ascii="Arial" w:cs="Arial" w:eastAsia="Arial" w:hAnsi="Arial"/>
          <w:sz w:val="17"/>
          <w:szCs w:val="17"/>
          <w:color w:val="auto"/>
        </w:rPr>
        <w:t>The Company files U.S. federal, Netherlands, United Kingdom, France, Singapore, Japan, Germany, and Canada income tax returns as well as state income tax returns for various state jurisdictions. Due to the Company’s net operating loss carryforwards in the United States, its income tax returns remain subject to federal and state tax authorities for all prior years. There are no tax years under examination by any jurisdiction at this time.</w:t>
      </w:r>
    </w:p>
    <w:p>
      <w:pPr>
        <w:spacing w:after="0" w:line="164" w:lineRule="exact"/>
        <w:rPr>
          <w:sz w:val="20"/>
          <w:szCs w:val="20"/>
          <w:color w:val="auto"/>
        </w:rPr>
      </w:pPr>
    </w:p>
    <w:p>
      <w:pPr>
        <w:jc w:val="both"/>
        <w:ind w:right="420" w:firstLine="509"/>
        <w:spacing w:after="0" w:line="248" w:lineRule="auto"/>
        <w:rPr>
          <w:sz w:val="20"/>
          <w:szCs w:val="20"/>
          <w:color w:val="auto"/>
        </w:rPr>
      </w:pPr>
      <w:r>
        <w:rPr>
          <w:rFonts w:ascii="Arial" w:cs="Arial" w:eastAsia="Arial" w:hAnsi="Arial"/>
          <w:sz w:val="18"/>
          <w:szCs w:val="18"/>
          <w:color w:val="auto"/>
        </w:rPr>
        <w:t>The Company provides for U.S. federal income taxes on the earnings of foreign subsidiaries unless they are considered permanently reinvested outside of the U.S. As of December 31, 2021, the Company’s management is asserting that it is their intent to indefinitely reinvest unremitted foreign earnings for all its foreign entities.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5" w:name="page96"/>
    <w:bookmarkEnd w:id="95"/>
    <w:p>
      <w:pPr>
        <w:ind w:right="40" w:firstLine="509"/>
        <w:spacing w:after="0" w:line="243" w:lineRule="auto"/>
        <w:rPr>
          <w:sz w:val="20"/>
          <w:szCs w:val="20"/>
          <w:color w:val="auto"/>
        </w:rPr>
      </w:pPr>
      <w:r>
        <w:rPr>
          <w:rFonts w:ascii="Arial" w:cs="Arial" w:eastAsia="Arial" w:hAnsi="Arial"/>
          <w:sz w:val="18"/>
          <w:szCs w:val="18"/>
          <w:color w:val="auto"/>
        </w:rPr>
        <w:t>On March 27, 2020, the Coronavirus Aid, Relief, and Economic Security Act (the "CARES Act') was enacted and signed into law. The CARES Act, among other things, includes provisions related to refundable payroll tax credits, deferment of employer side social security payments, net operating loss carryback periods and technical corrections to tax depreciation methods for qualified improvement property. The CARES Act is not expected to have a material impact to income taxes in the Company’s financial statements.</w:t>
      </w:r>
    </w:p>
    <w:p>
      <w:pPr>
        <w:spacing w:after="0" w:line="292" w:lineRule="exact"/>
        <w:rPr>
          <w:sz w:val="20"/>
          <w:szCs w:val="20"/>
          <w:color w:val="auto"/>
        </w:rPr>
      </w:pPr>
    </w:p>
    <w:p>
      <w:pPr>
        <w:ind w:right="8180" w:firstLine="8"/>
        <w:spacing w:after="0" w:line="370" w:lineRule="auto"/>
        <w:tabs>
          <w:tab w:leader="none" w:pos="509"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 May 2021, the Company entered into a new sublease agreement for its principal executive office located in San Francisco.</w:t>
      </w:r>
    </w:p>
    <w:p>
      <w:pPr>
        <w:spacing w:after="0" w:line="212" w:lineRule="exact"/>
        <w:rPr>
          <w:sz w:val="20"/>
          <w:szCs w:val="20"/>
          <w:color w:val="auto"/>
        </w:rPr>
      </w:pPr>
    </w:p>
    <w:p>
      <w:pPr>
        <w:ind w:right="820" w:firstLine="509"/>
        <w:spacing w:after="0" w:line="261" w:lineRule="auto"/>
        <w:rPr>
          <w:sz w:val="20"/>
          <w:szCs w:val="20"/>
          <w:color w:val="auto"/>
        </w:rPr>
      </w:pPr>
      <w:r>
        <w:rPr>
          <w:rFonts w:ascii="Arial" w:cs="Arial" w:eastAsia="Arial" w:hAnsi="Arial"/>
          <w:sz w:val="18"/>
          <w:szCs w:val="18"/>
          <w:color w:val="auto"/>
        </w:rPr>
        <w:t>Future minimum annual lease payments under the non-cancellable operating lease agreements as of December 31, 2021 are as follows (in thousands):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Pr>
          <w:p>
            <w:pPr>
              <w:jc w:val="right"/>
              <w:ind w:right="1030"/>
              <w:spacing w:after="0"/>
              <w:rPr>
                <w:sz w:val="20"/>
                <w:szCs w:val="20"/>
                <w:color w:val="auto"/>
              </w:rPr>
            </w:pPr>
            <w:r>
              <w:rPr>
                <w:rFonts w:ascii="Arial" w:cs="Arial" w:eastAsia="Arial" w:hAnsi="Arial"/>
                <w:sz w:val="18"/>
                <w:szCs w:val="18"/>
                <w:b w:val="1"/>
                <w:bCs w:val="1"/>
                <w:color w:val="auto"/>
              </w:rPr>
              <w:t>As of</w:t>
            </w:r>
          </w:p>
        </w:tc>
        <w:tc>
          <w:tcPr>
            <w:tcW w:w="60" w:type="dxa"/>
            <w:vAlign w:val="bottom"/>
          </w:tcPr>
          <w:p>
            <w:pPr>
              <w:spacing w:after="0"/>
              <w:rPr>
                <w:sz w:val="17"/>
                <w:szCs w:val="17"/>
                <w:color w:val="auto"/>
              </w:rPr>
            </w:pPr>
          </w:p>
        </w:tc>
      </w:tr>
      <w:tr>
        <w:trPr>
          <w:trHeight w:val="216"/>
        </w:trPr>
        <w:tc>
          <w:tcPr>
            <w:tcW w:w="7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December 31, 2021</w:t>
            </w:r>
          </w:p>
        </w:tc>
        <w:tc>
          <w:tcPr>
            <w:tcW w:w="60" w:type="dxa"/>
            <w:vAlign w:val="bottom"/>
          </w:tcPr>
          <w:p>
            <w:pPr>
              <w:spacing w:after="0"/>
              <w:rPr>
                <w:sz w:val="18"/>
                <w:szCs w:val="18"/>
                <w:color w:val="auto"/>
              </w:rPr>
            </w:pPr>
          </w:p>
        </w:tc>
      </w:tr>
      <w:tr>
        <w:trPr>
          <w:trHeight w:val="196"/>
        </w:trPr>
        <w:tc>
          <w:tcPr>
            <w:tcW w:w="7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Year ending December 31:</w:t>
            </w:r>
          </w:p>
        </w:tc>
        <w:tc>
          <w:tcPr>
            <w:tcW w:w="340" w:type="dxa"/>
            <w:vAlign w:val="bottom"/>
            <w:shd w:val="clear" w:color="auto" w:fill="CFF0FC"/>
          </w:tcPr>
          <w:p>
            <w:pPr>
              <w:spacing w:after="0"/>
              <w:rPr>
                <w:sz w:val="17"/>
                <w:szCs w:val="17"/>
                <w:color w:val="auto"/>
              </w:rPr>
            </w:pPr>
          </w:p>
        </w:tc>
        <w:tc>
          <w:tcPr>
            <w:tcW w:w="2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420" w:type="dxa"/>
            <w:vAlign w:val="bottom"/>
          </w:tcPr>
          <w:p>
            <w:pPr>
              <w:ind w:left="180"/>
              <w:spacing w:after="0" w:line="202" w:lineRule="exact"/>
              <w:rPr>
                <w:sz w:val="20"/>
                <w:szCs w:val="20"/>
                <w:color w:val="auto"/>
              </w:rPr>
            </w:pPr>
            <w:r>
              <w:rPr>
                <w:rFonts w:ascii="Arial" w:cs="Arial" w:eastAsia="Arial" w:hAnsi="Arial"/>
                <w:sz w:val="18"/>
                <w:szCs w:val="18"/>
                <w:color w:val="auto"/>
              </w:rPr>
              <w:t>2022</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2,767</w:t>
            </w:r>
          </w:p>
        </w:tc>
        <w:tc>
          <w:tcPr>
            <w:tcW w:w="60" w:type="dxa"/>
            <w:vAlign w:val="bottom"/>
          </w:tcPr>
          <w:p>
            <w:pPr>
              <w:spacing w:after="0"/>
              <w:rPr>
                <w:sz w:val="17"/>
                <w:szCs w:val="17"/>
                <w:color w:val="auto"/>
              </w:rPr>
            </w:pPr>
          </w:p>
        </w:tc>
      </w:tr>
      <w:tr>
        <w:trPr>
          <w:trHeight w:val="203"/>
        </w:trPr>
        <w:tc>
          <w:tcPr>
            <w:tcW w:w="7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2023</w:t>
            </w:r>
          </w:p>
        </w:tc>
        <w:tc>
          <w:tcPr>
            <w:tcW w:w="34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3,883</w:t>
            </w:r>
          </w:p>
        </w:tc>
        <w:tc>
          <w:tcPr>
            <w:tcW w:w="60" w:type="dxa"/>
            <w:vAlign w:val="bottom"/>
            <w:shd w:val="clear" w:color="auto" w:fill="CFF0FC"/>
          </w:tcPr>
          <w:p>
            <w:pPr>
              <w:spacing w:after="0"/>
              <w:rPr>
                <w:sz w:val="17"/>
                <w:szCs w:val="17"/>
                <w:color w:val="auto"/>
              </w:rPr>
            </w:pPr>
          </w:p>
        </w:tc>
      </w:tr>
      <w:tr>
        <w:trPr>
          <w:trHeight w:val="203"/>
        </w:trPr>
        <w:tc>
          <w:tcPr>
            <w:tcW w:w="7420" w:type="dxa"/>
            <w:vAlign w:val="bottom"/>
          </w:tcPr>
          <w:p>
            <w:pPr>
              <w:ind w:left="180"/>
              <w:spacing w:after="0" w:line="202" w:lineRule="exact"/>
              <w:rPr>
                <w:sz w:val="20"/>
                <w:szCs w:val="20"/>
                <w:color w:val="auto"/>
              </w:rPr>
            </w:pPr>
            <w:r>
              <w:rPr>
                <w:rFonts w:ascii="Arial" w:cs="Arial" w:eastAsia="Arial" w:hAnsi="Arial"/>
                <w:sz w:val="18"/>
                <w:szCs w:val="18"/>
                <w:color w:val="auto"/>
              </w:rPr>
              <w:t>2024</w:t>
            </w:r>
          </w:p>
        </w:tc>
        <w:tc>
          <w:tcPr>
            <w:tcW w:w="340" w:type="dxa"/>
            <w:vAlign w:val="bottom"/>
          </w:tcPr>
          <w:p>
            <w:pPr>
              <w:spacing w:after="0"/>
              <w:rPr>
                <w:sz w:val="17"/>
                <w:szCs w:val="17"/>
                <w:color w:val="auto"/>
              </w:rPr>
            </w:pP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3,988</w:t>
            </w:r>
          </w:p>
        </w:tc>
        <w:tc>
          <w:tcPr>
            <w:tcW w:w="60" w:type="dxa"/>
            <w:vAlign w:val="bottom"/>
          </w:tcPr>
          <w:p>
            <w:pPr>
              <w:spacing w:after="0"/>
              <w:rPr>
                <w:sz w:val="17"/>
                <w:szCs w:val="17"/>
                <w:color w:val="auto"/>
              </w:rPr>
            </w:pPr>
          </w:p>
        </w:tc>
      </w:tr>
      <w:tr>
        <w:trPr>
          <w:trHeight w:val="203"/>
        </w:trPr>
        <w:tc>
          <w:tcPr>
            <w:tcW w:w="7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2025</w:t>
            </w:r>
          </w:p>
        </w:tc>
        <w:tc>
          <w:tcPr>
            <w:tcW w:w="34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3,207</w:t>
            </w:r>
          </w:p>
        </w:tc>
        <w:tc>
          <w:tcPr>
            <w:tcW w:w="60" w:type="dxa"/>
            <w:vAlign w:val="bottom"/>
            <w:shd w:val="clear" w:color="auto" w:fill="CFF0FC"/>
          </w:tcPr>
          <w:p>
            <w:pPr>
              <w:spacing w:after="0"/>
              <w:rPr>
                <w:sz w:val="17"/>
                <w:szCs w:val="17"/>
                <w:color w:val="auto"/>
              </w:rPr>
            </w:pPr>
          </w:p>
        </w:tc>
      </w:tr>
      <w:tr>
        <w:trPr>
          <w:trHeight w:val="203"/>
        </w:trPr>
        <w:tc>
          <w:tcPr>
            <w:tcW w:w="7420" w:type="dxa"/>
            <w:vAlign w:val="bottom"/>
          </w:tcPr>
          <w:p>
            <w:pPr>
              <w:ind w:left="180"/>
              <w:spacing w:after="0" w:line="202" w:lineRule="exact"/>
              <w:rPr>
                <w:sz w:val="20"/>
                <w:szCs w:val="20"/>
                <w:color w:val="auto"/>
              </w:rPr>
            </w:pPr>
            <w:r>
              <w:rPr>
                <w:rFonts w:ascii="Arial" w:cs="Arial" w:eastAsia="Arial" w:hAnsi="Arial"/>
                <w:sz w:val="18"/>
                <w:szCs w:val="18"/>
                <w:color w:val="auto"/>
              </w:rPr>
              <w:t>2026 and thereafter</w:t>
            </w:r>
          </w:p>
        </w:tc>
        <w:tc>
          <w:tcPr>
            <w:tcW w:w="3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463</w:t>
            </w:r>
          </w:p>
        </w:tc>
        <w:tc>
          <w:tcPr>
            <w:tcW w:w="60" w:type="dxa"/>
            <w:vAlign w:val="bottom"/>
          </w:tcPr>
          <w:p>
            <w:pPr>
              <w:spacing w:after="0"/>
              <w:rPr>
                <w:sz w:val="17"/>
                <w:szCs w:val="17"/>
                <w:color w:val="auto"/>
              </w:rPr>
            </w:pPr>
          </w:p>
        </w:tc>
      </w:tr>
      <w:tr>
        <w:trPr>
          <w:trHeight w:val="236"/>
        </w:trPr>
        <w:tc>
          <w:tcPr>
            <w:tcW w:w="7420" w:type="dxa"/>
            <w:vAlign w:val="bottom"/>
            <w:tcBorders>
              <w:bottom w:val="single" w:sz="8" w:color="CFF0FC"/>
            </w:tcBorders>
            <w:shd w:val="clear" w:color="auto" w:fill="CFF0FC"/>
          </w:tcPr>
          <w:p>
            <w:pPr>
              <w:ind w:left="360"/>
              <w:spacing w:after="0" w:line="182" w:lineRule="exact"/>
              <w:rPr>
                <w:sz w:val="20"/>
                <w:szCs w:val="20"/>
                <w:color w:val="auto"/>
              </w:rPr>
            </w:pPr>
            <w:r>
              <w:rPr>
                <w:rFonts w:ascii="Arial" w:cs="Arial" w:eastAsia="Arial" w:hAnsi="Arial"/>
                <w:sz w:val="18"/>
                <w:szCs w:val="18"/>
                <w:color w:val="auto"/>
              </w:rPr>
              <w:t>Total minimum lease payments</w:t>
            </w: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14,308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Company recognizes minimum rental expenses on a straight-line basis over the term of the lease. Rent expense for the years ended December 31, 2021, 2020, and 2019 was $3.9 million, $4.2 million, and $4.0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04"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The Company is involved in various legal and regulatory matters arising from the normal course of business activities.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95"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Basic net loss per share attributable to the Company’s common stockholders is computed in conformity with the two-class method required for participating securities. Prior to the automatic conversion of all of its redeemable convertible preferred stock outstanding into Class B common stock concurrent with the Direct Listing, the Company considered all series of its redeemable convertible preferred stock to be participating securities as holders of such stock had the right to receive nonforfeitable dividends on a ratable basis in the event that a dividend was paid on common stock. Under the two-class method, the net loss attributable to common stockholders was not allocated to the redeemable convertible preferred stock as the preferred stockholders did not have a contractual obligation to share in the Company's losses.</w:t>
      </w:r>
    </w:p>
    <w:p>
      <w:pPr>
        <w:spacing w:after="0" w:line="189"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16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6" w:name="page97"/>
    <w:bookmarkEnd w:id="96"/>
    <w:p>
      <w:pPr>
        <w:ind w:left="520"/>
        <w:spacing w:after="0"/>
        <w:rPr>
          <w:sz w:val="20"/>
          <w:szCs w:val="20"/>
          <w:color w:val="auto"/>
        </w:rPr>
      </w:pPr>
      <w:r>
        <w:rPr>
          <w:rFonts w:ascii="Arial" w:cs="Arial" w:eastAsia="Arial" w:hAnsi="Arial"/>
          <w:sz w:val="16"/>
          <w:szCs w:val="16"/>
          <w:color w:val="auto"/>
        </w:rPr>
        <w:t>The following table presents the calculation of basic and diluted net loss per share (in thousands, except per share data):</w:t>
      </w:r>
    </w:p>
    <w:p>
      <w:pPr>
        <w:sectPr>
          <w:pgSz w:w="11900" w:h="16838" w:orient="portrait"/>
          <w:cols w:equalWidth="0" w:num="1">
            <w:col w:w="11080"/>
          </w:cols>
          <w:pgMar w:left="320" w:top="5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right="60"/>
        <w:spacing w:after="0" w:line="228" w:lineRule="auto"/>
        <w:rPr>
          <w:sz w:val="20"/>
          <w:szCs w:val="20"/>
          <w:color w:val="auto"/>
        </w:rPr>
      </w:pPr>
      <w:r>
        <w:rPr>
          <w:rFonts w:ascii="Arial" w:cs="Arial" w:eastAsia="Arial" w:hAnsi="Arial"/>
          <w:sz w:val="18"/>
          <w:szCs w:val="18"/>
          <w:color w:val="auto"/>
        </w:rPr>
        <w:t>Net loss attributable to Class A and Class B common stockholders</w:t>
      </w:r>
    </w:p>
    <w:p>
      <w:pPr>
        <w:spacing w:after="0" w:line="1" w:lineRule="exact"/>
        <w:rPr>
          <w:sz w:val="20"/>
          <w:szCs w:val="20"/>
          <w:color w:val="auto"/>
        </w:rPr>
      </w:pPr>
    </w:p>
    <w:p>
      <w:pPr>
        <w:ind w:left="580"/>
        <w:spacing w:after="0" w:line="213" w:lineRule="auto"/>
        <w:rPr>
          <w:sz w:val="20"/>
          <w:szCs w:val="20"/>
          <w:color w:val="auto"/>
        </w:rPr>
      </w:pPr>
      <w:r>
        <w:rPr>
          <w:rFonts w:ascii="Arial" w:cs="Arial" w:eastAsia="Arial" w:hAnsi="Arial"/>
          <w:sz w:val="18"/>
          <w:szCs w:val="18"/>
          <w:color w:val="auto"/>
        </w:rPr>
        <w:t>Weighted-average shares used in computing net loss per share attributable to Class A and Class B common stockholders, basic and diluted</w:t>
      </w:r>
    </w:p>
    <w:p>
      <w:pPr>
        <w:spacing w:after="0" w:line="2" w:lineRule="exact"/>
        <w:rPr>
          <w:sz w:val="20"/>
          <w:szCs w:val="20"/>
          <w:color w:val="auto"/>
        </w:rPr>
      </w:pPr>
    </w:p>
    <w:p>
      <w:pPr>
        <w:ind w:left="760" w:right="20"/>
        <w:spacing w:after="0" w:line="239" w:lineRule="auto"/>
        <w:rPr>
          <w:sz w:val="20"/>
          <w:szCs w:val="20"/>
          <w:color w:val="auto"/>
        </w:rPr>
      </w:pPr>
      <w:r>
        <w:rPr>
          <w:rFonts w:ascii="Arial" w:cs="Arial" w:eastAsia="Arial" w:hAnsi="Arial"/>
          <w:sz w:val="17"/>
          <w:szCs w:val="17"/>
          <w:color w:val="auto"/>
        </w:rPr>
        <w:t>Net loss per share attributable to Class A and Class B common stockholders, basic and diluted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7"/>
                <w:szCs w:val="17"/>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r>
      <w:tr>
        <w:trPr>
          <w:trHeight w:val="176"/>
        </w:trPr>
        <w:tc>
          <w:tcPr>
            <w:tcW w:w="240" w:type="dxa"/>
            <w:vAlign w:val="bottom"/>
          </w:tcPr>
          <w:p>
            <w:pPr>
              <w:spacing w:after="0"/>
              <w:rPr>
                <w:sz w:val="15"/>
                <w:szCs w:val="15"/>
                <w:color w:val="auto"/>
              </w:rPr>
            </w:pPr>
          </w:p>
        </w:tc>
        <w:tc>
          <w:tcPr>
            <w:tcW w:w="1880" w:type="dxa"/>
            <w:vAlign w:val="bottom"/>
            <w:gridSpan w:val="2"/>
          </w:tcPr>
          <w:p>
            <w:pPr>
              <w:jc w:val="center"/>
              <w:ind w:right="56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5"/>
                <w:szCs w:val="15"/>
                <w:color w:val="auto"/>
              </w:rPr>
            </w:pPr>
          </w:p>
        </w:tc>
        <w:tc>
          <w:tcPr>
            <w:tcW w:w="1760" w:type="dxa"/>
            <w:vAlign w:val="bottom"/>
            <w:gridSpan w:val="2"/>
          </w:tcPr>
          <w:p>
            <w:pPr>
              <w:jc w:val="center"/>
              <w:ind w:right="500"/>
              <w:spacing w:after="0" w:line="176" w:lineRule="exact"/>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5"/>
                <w:szCs w:val="15"/>
                <w:color w:val="auto"/>
              </w:rPr>
            </w:pPr>
          </w:p>
        </w:tc>
        <w:tc>
          <w:tcPr>
            <w:tcW w:w="162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December 31,</w:t>
            </w:r>
          </w:p>
        </w:tc>
      </w:tr>
      <w:tr>
        <w:trPr>
          <w:trHeight w:val="216"/>
        </w:trPr>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8"/>
                <w:szCs w:val="18"/>
                <w:color w:val="auto"/>
              </w:rPr>
            </w:pPr>
          </w:p>
        </w:tc>
      </w:tr>
      <w:tr>
        <w:trPr>
          <w:trHeight w:val="385"/>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(74,983 )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(24,567 )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(33,534 )</w:t>
            </w:r>
          </w:p>
        </w:tc>
      </w:tr>
      <w:tr>
        <w:trPr>
          <w:trHeight w:val="527"/>
        </w:trPr>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51,360</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24,322</w:t>
            </w:r>
          </w:p>
        </w:tc>
        <w:tc>
          <w:tcPr>
            <w:tcW w:w="80" w:type="dxa"/>
            <w:vAlign w:val="bottom"/>
          </w:tcPr>
          <w:p>
            <w:pPr>
              <w:spacing w:after="0"/>
              <w:rPr>
                <w:sz w:val="24"/>
                <w:szCs w:val="24"/>
                <w:color w:val="auto"/>
              </w:rPr>
            </w:pPr>
          </w:p>
        </w:tc>
      </w:tr>
      <w:tr>
        <w:trPr>
          <w:trHeight w:val="33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(1.46 )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(0.98 )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(1.38 )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-830580</wp:posOffset>
            </wp:positionV>
            <wp:extent cx="6412230" cy="2400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412230" cy="24003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-239395</wp:posOffset>
            </wp:positionV>
            <wp:extent cx="6412230" cy="2400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12230" cy="24003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4480" w:space="220"/>
            <w:col w:w="6380"/>
          </w:cols>
          <w:pgMar w:left="320" w:top="544" w:right="499" w:bottom="1440" w:gutter="0" w:footer="0" w:header="0"/>
          <w:type w:val="continuous"/>
        </w:sectPr>
      </w:pPr>
    </w:p>
    <w:p>
      <w:pPr>
        <w:spacing w:after="0" w:line="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potential common shares were excluded from the calculation of diluted net loss per share because their effect would have been anti-dilutive for the periods presented (in thousands):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60" w:type="dxa"/>
            <w:vAlign w:val="bottom"/>
          </w:tcPr>
          <w:p>
            <w:pPr>
              <w:spacing w:after="0"/>
              <w:rPr>
                <w:sz w:val="17"/>
                <w:szCs w:val="17"/>
                <w:color w:val="auto"/>
              </w:rPr>
            </w:pPr>
          </w:p>
        </w:tc>
      </w:tr>
      <w:tr>
        <w:trPr>
          <w:trHeight w:val="176"/>
        </w:trPr>
        <w:tc>
          <w:tcPr>
            <w:tcW w:w="414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5"/>
                <w:szCs w:val="15"/>
                <w:color w:val="auto"/>
              </w:rPr>
            </w:pPr>
          </w:p>
        </w:tc>
      </w:tr>
      <w:tr>
        <w:trPr>
          <w:trHeight w:val="216"/>
        </w:trPr>
        <w:tc>
          <w:tcPr>
            <w:tcW w:w="41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2020</w:t>
            </w:r>
          </w:p>
        </w:tc>
        <w:tc>
          <w:tcPr>
            <w:tcW w:w="20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61,718</w:t>
            </w:r>
          </w:p>
        </w:tc>
        <w:tc>
          <w:tcPr>
            <w:tcW w:w="200" w:type="dxa"/>
            <w:vAlign w:val="bottom"/>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56,481</w:t>
            </w:r>
          </w:p>
        </w:tc>
        <w:tc>
          <w:tcPr>
            <w:tcW w:w="6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r>
      <w:tr>
        <w:trPr>
          <w:trHeight w:val="203"/>
        </w:trPr>
        <w:tc>
          <w:tcPr>
            <w:tcW w:w="4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Non-plan stock options</w:t>
            </w: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6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Equity plan stock options outstanding</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21,214</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28,445</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21,294</w:t>
            </w:r>
          </w:p>
        </w:tc>
        <w:tc>
          <w:tcPr>
            <w:tcW w:w="60" w:type="dxa"/>
            <w:vAlign w:val="bottom"/>
          </w:tcPr>
          <w:p>
            <w:pPr>
              <w:spacing w:after="0"/>
              <w:rPr>
                <w:sz w:val="17"/>
                <w:szCs w:val="17"/>
                <w:color w:val="auto"/>
              </w:rPr>
            </w:pPr>
          </w:p>
        </w:tc>
      </w:tr>
      <w:tr>
        <w:trPr>
          <w:trHeight w:val="203"/>
        </w:trPr>
        <w:tc>
          <w:tcPr>
            <w:tcW w:w="4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plan stock options early exercised</w:t>
            </w: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799</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276</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6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RSUs outstanding</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1,717</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2,571</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2,571</w:t>
            </w:r>
          </w:p>
        </w:tc>
        <w:tc>
          <w:tcPr>
            <w:tcW w:w="60" w:type="dxa"/>
            <w:vAlign w:val="bottom"/>
          </w:tcPr>
          <w:p>
            <w:pPr>
              <w:spacing w:after="0"/>
              <w:rPr>
                <w:sz w:val="17"/>
                <w:szCs w:val="17"/>
                <w:color w:val="auto"/>
              </w:rPr>
            </w:pPr>
          </w:p>
        </w:tc>
      </w:tr>
      <w:tr>
        <w:trPr>
          <w:trHeight w:val="203"/>
        </w:trPr>
        <w:tc>
          <w:tcPr>
            <w:tcW w:w="4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shares</w:t>
            </w: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w:t>
            </w:r>
          </w:p>
        </w:tc>
        <w:tc>
          <w:tcPr>
            <w:tcW w:w="2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Shares issuable pursuant to the ESPP</w:t>
            </w: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w:t>
            </w:r>
          </w:p>
        </w:tc>
        <w:tc>
          <w:tcPr>
            <w:tcW w:w="240" w:type="dxa"/>
            <w:vAlign w:val="bottom"/>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41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24,290</w:t>
            </w:r>
          </w:p>
        </w:tc>
        <w:tc>
          <w:tcPr>
            <w:tcW w:w="24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93,053</w:t>
            </w:r>
          </w:p>
        </w:tc>
        <w:tc>
          <w:tcPr>
            <w:tcW w:w="20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80,525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-25400</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431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342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342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-8255</wp:posOffset>
            </wp:positionV>
            <wp:extent cx="342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13" w:lineRule="exact"/>
        <w:rPr>
          <w:sz w:val="20"/>
          <w:szCs w:val="20"/>
          <w:color w:val="auto"/>
        </w:rPr>
      </w:pPr>
    </w:p>
    <w:p>
      <w:pPr>
        <w:ind w:left="540" w:hanging="532"/>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8"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In January and February 2022, the Company issued 0.4 million RSUs to its employees with service-based vesting conditions. The service-based vesting condition for these awards is satisfied over four years. The grant date fair value of the RSUs issued in January and February 2022 was approximately $19.3 million.</w:t>
      </w:r>
    </w:p>
    <w:p>
      <w:pPr>
        <w:spacing w:after="0" w:line="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44" w:right="49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8"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98" w:name="page99"/>
    <w:bookmarkEnd w:id="98"/>
    <w:p>
      <w:pPr>
        <w:ind w:left="552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investors.amplitude.com.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74"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2022 Annual Meeting of Stockholders, which will be filed with the SEC no later than 120 days after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99" w:name="page100"/>
    <w:bookmarkEnd w:id="99"/>
    <w:p>
      <w:pPr>
        <w:jc w:val="center"/>
        <w:ind w:left="460"/>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financial statement are included in Part II, Item 8 of this Annual Report on Form 10-K:</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520" w:right="6500"/>
        <w:spacing w:after="0" w:line="360" w:lineRule="auto"/>
        <w:rPr>
          <w:rFonts w:ascii="Arial" w:cs="Arial" w:eastAsia="Arial" w:hAnsi="Arial"/>
          <w:sz w:val="18"/>
          <w:szCs w:val="18"/>
          <w:b w:val="1"/>
          <w:bCs w:val="1"/>
          <w:color w:val="auto"/>
        </w:rPr>
      </w:pPr>
      <w:r>
        <w:rPr>
          <w:rFonts w:ascii="Arial" w:cs="Arial" w:eastAsia="Arial" w:hAnsi="Arial"/>
          <w:sz w:val="18"/>
          <w:szCs w:val="18"/>
          <w:color w:val="auto"/>
        </w:rPr>
        <w:t>Report of Independent Registered Public Accounting Firm Consolidated Balance Sheets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Consolidated Statements of Operations</w:t>
      </w:r>
    </w:p>
    <w:p>
      <w:pPr>
        <w:spacing w:after="0" w:line="103" w:lineRule="exact"/>
        <w:rPr>
          <w:rFonts w:ascii="Arial" w:cs="Arial" w:eastAsia="Arial" w:hAnsi="Arial"/>
          <w:sz w:val="18"/>
          <w:szCs w:val="18"/>
          <w:b w:val="1"/>
          <w:bCs w:val="1"/>
          <w:color w:val="auto"/>
        </w:rPr>
      </w:pPr>
    </w:p>
    <w:p>
      <w:pPr>
        <w:ind w:left="520" w:right="3200"/>
        <w:spacing w:after="0" w:line="360" w:lineRule="auto"/>
        <w:rPr>
          <w:rFonts w:ascii="Arial" w:cs="Arial" w:eastAsia="Arial" w:hAnsi="Arial"/>
          <w:sz w:val="18"/>
          <w:szCs w:val="18"/>
          <w:b w:val="1"/>
          <w:bCs w:val="1"/>
          <w:color w:val="auto"/>
        </w:rPr>
      </w:pPr>
      <w:r>
        <w:rPr>
          <w:rFonts w:ascii="Arial" w:cs="Arial" w:eastAsia="Arial" w:hAnsi="Arial"/>
          <w:sz w:val="18"/>
          <w:szCs w:val="18"/>
          <w:color w:val="auto"/>
        </w:rPr>
        <w:t>Consolidated Statements of Redeemable Convertible Preferred Stock and Stockholders’ Equity (Deficit) Consolidated Statements of Cash Flows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Notes to Consolidated Financial Statements</w:t>
      </w: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herein.</w:t>
      </w:r>
    </w:p>
    <w:p>
      <w:pPr>
        <w:spacing w:after="0" w:line="369"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140" w:type="dxa"/>
            <w:vAlign w:val="bottom"/>
            <w:gridSpan w:val="23"/>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Form</w:t>
            </w:r>
          </w:p>
        </w:tc>
        <w:tc>
          <w:tcPr>
            <w:tcW w:w="1240" w:type="dxa"/>
            <w:vAlign w:val="bottom"/>
          </w:tcPr>
          <w:p>
            <w:pPr>
              <w:ind w:left="300"/>
              <w:spacing w:after="0"/>
              <w:rPr>
                <w:sz w:val="20"/>
                <w:szCs w:val="20"/>
                <w:color w:val="auto"/>
              </w:rPr>
            </w:pPr>
            <w:r>
              <w:rPr>
                <w:rFonts w:ascii="Arial" w:cs="Arial" w:eastAsia="Arial" w:hAnsi="Arial"/>
                <w:sz w:val="18"/>
                <w:szCs w:val="18"/>
                <w:b w:val="1"/>
                <w:bCs w:val="1"/>
                <w:color w:val="auto"/>
              </w:rPr>
              <w:t>File No.</w:t>
            </w:r>
          </w:p>
        </w:tc>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2200" w:type="dxa"/>
            <w:vAlign w:val="bottom"/>
          </w:tcPr>
          <w:p>
            <w:pPr>
              <w:ind w:left="220"/>
              <w:spacing w:after="0"/>
              <w:rPr>
                <w:sz w:val="20"/>
                <w:szCs w:val="20"/>
                <w:color w:val="auto"/>
              </w:rPr>
            </w:pPr>
            <w:r>
              <w:rPr>
                <w:rFonts w:ascii="Arial" w:cs="Arial" w:eastAsia="Arial" w:hAnsi="Arial"/>
                <w:sz w:val="18"/>
                <w:szCs w:val="18"/>
                <w:b w:val="1"/>
                <w:bCs w:val="1"/>
                <w:color w:val="auto"/>
              </w:rPr>
              <w:t>Filing Date  Filed</w:t>
            </w:r>
          </w:p>
        </w:tc>
        <w:tc>
          <w:tcPr>
            <w:tcW w:w="0" w:type="dxa"/>
            <w:vAlign w:val="bottom"/>
          </w:tcPr>
          <w:p>
            <w:pPr>
              <w:spacing w:after="0"/>
              <w:rPr>
                <w:sz w:val="1"/>
                <w:szCs w:val="1"/>
                <w:color w:val="auto"/>
              </w:rPr>
            </w:pPr>
          </w:p>
        </w:tc>
      </w:tr>
      <w:tr>
        <w:trPr>
          <w:trHeight w:val="234"/>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tcPr>
          <w:p>
            <w:pPr>
              <w:ind w:left="122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225"/>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5140" w:type="dxa"/>
            <w:vAlign w:val="bottom"/>
            <w:gridSpan w:val="23"/>
          </w:tcPr>
          <w:p>
            <w:pPr>
              <w:spacing w:after="0"/>
              <w:rPr>
                <w:rFonts w:ascii="Arial" w:cs="Arial" w:eastAsia="Arial" w:hAnsi="Arial"/>
                <w:sz w:val="18"/>
                <w:szCs w:val="18"/>
                <w:color w:val="0000FF"/>
              </w:rPr>
            </w:pPr>
            <w:hyperlink r:id="rId344">
              <w:r>
                <w:rPr>
                  <w:rFonts w:ascii="Arial" w:cs="Arial" w:eastAsia="Arial" w:hAnsi="Arial"/>
                  <w:sz w:val="18"/>
                  <w:szCs w:val="18"/>
                  <w:color w:val="0000FF"/>
                </w:rPr>
                <w:t>Restated Certificate of Incorporation of the Registrant.</w:t>
              </w:r>
            </w:hyperlink>
          </w:p>
        </w:tc>
        <w:tc>
          <w:tcPr>
            <w:tcW w:w="2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8-K</w:t>
            </w:r>
          </w:p>
        </w:tc>
        <w:tc>
          <w:tcPr>
            <w:tcW w:w="1240" w:type="dxa"/>
            <w:vAlign w:val="bottom"/>
          </w:tcPr>
          <w:p>
            <w:pPr>
              <w:ind w:left="300"/>
              <w:spacing w:after="0"/>
              <w:rPr>
                <w:sz w:val="20"/>
                <w:szCs w:val="20"/>
                <w:color w:val="auto"/>
              </w:rPr>
            </w:pPr>
            <w:r>
              <w:rPr>
                <w:rFonts w:ascii="Arial" w:cs="Arial" w:eastAsia="Arial" w:hAnsi="Arial"/>
                <w:sz w:val="18"/>
                <w:szCs w:val="18"/>
                <w:color w:val="auto"/>
              </w:rPr>
              <w:t>001-40817</w:t>
            </w:r>
          </w:p>
        </w:tc>
        <w:tc>
          <w:tcPr>
            <w:tcW w:w="860" w:type="dxa"/>
            <w:vAlign w:val="bottom"/>
          </w:tcPr>
          <w:p>
            <w:pPr>
              <w:ind w:left="60"/>
              <w:spacing w:after="0"/>
              <w:rPr>
                <w:sz w:val="20"/>
                <w:szCs w:val="20"/>
                <w:color w:val="auto"/>
              </w:rPr>
            </w:pPr>
            <w:r>
              <w:rPr>
                <w:rFonts w:ascii="Arial" w:cs="Arial" w:eastAsia="Arial" w:hAnsi="Arial"/>
                <w:sz w:val="18"/>
                <w:szCs w:val="18"/>
                <w:color w:val="auto"/>
              </w:rPr>
              <w:t>3.1</w:t>
            </w:r>
          </w:p>
        </w:tc>
        <w:tc>
          <w:tcPr>
            <w:tcW w:w="2200" w:type="dxa"/>
            <w:vAlign w:val="bottom"/>
          </w:tcPr>
          <w:p>
            <w:pPr>
              <w:ind w:left="220"/>
              <w:spacing w:after="0"/>
              <w:rPr>
                <w:sz w:val="20"/>
                <w:szCs w:val="20"/>
                <w:color w:val="auto"/>
              </w:rPr>
            </w:pPr>
            <w:r>
              <w:rPr>
                <w:rFonts w:ascii="Arial" w:cs="Arial" w:eastAsia="Arial" w:hAnsi="Arial"/>
                <w:sz w:val="18"/>
                <w:szCs w:val="18"/>
                <w:color w:val="auto"/>
              </w:rPr>
              <w:t>9/21/2021</w:t>
            </w: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35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r:id="rId345">
              <w:r>
                <w:rPr>
                  <w:rFonts w:ascii="Arial" w:cs="Arial" w:eastAsia="Arial" w:hAnsi="Arial"/>
                  <w:sz w:val="18"/>
                  <w:szCs w:val="18"/>
                  <w:color w:val="0000FF"/>
                  <w:w w:val="89"/>
                </w:rPr>
                <w:t>Amended and Restated Bylaws of the Registrant.</w:t>
              </w:r>
            </w:hyperlink>
          </w:p>
        </w:tc>
        <w:tc>
          <w:tcPr>
            <w:tcW w:w="20" w:type="dxa"/>
            <w:vAlign w:val="bottom"/>
            <w:tcBorders>
              <w:top w:val="single" w:sz="8" w:color="0000FF"/>
              <w:bottom w:val="single" w:sz="8" w:color="0000EE"/>
            </w:tcBorders>
          </w:tcPr>
          <w:p>
            <w:pPr>
              <w:spacing w:after="0"/>
              <w:rPr>
                <w:sz w:val="18"/>
                <w:szCs w:val="18"/>
                <w:color w:val="auto"/>
              </w:rPr>
            </w:pPr>
          </w:p>
        </w:tc>
        <w:tc>
          <w:tcPr>
            <w:tcW w:w="360" w:type="dxa"/>
            <w:vAlign w:val="bottom"/>
            <w:tcBorders>
              <w:top w:val="single" w:sz="8" w:color="0000FF"/>
            </w:tcBorders>
            <w:gridSpan w:val="2"/>
          </w:tcPr>
          <w:p>
            <w:pPr>
              <w:spacing w:after="0"/>
              <w:rPr>
                <w:sz w:val="18"/>
                <w:szCs w:val="18"/>
                <w:color w:val="auto"/>
              </w:rPr>
            </w:pPr>
          </w:p>
        </w:tc>
        <w:tc>
          <w:tcPr>
            <w:tcW w:w="1220" w:type="dxa"/>
            <w:vAlign w:val="bottom"/>
            <w:gridSpan w:val="8"/>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8-K</w:t>
            </w:r>
          </w:p>
        </w:tc>
        <w:tc>
          <w:tcPr>
            <w:tcW w:w="1240" w:type="dxa"/>
            <w:vAlign w:val="bottom"/>
          </w:tcPr>
          <w:p>
            <w:pPr>
              <w:ind w:left="300"/>
              <w:spacing w:after="0"/>
              <w:rPr>
                <w:sz w:val="20"/>
                <w:szCs w:val="20"/>
                <w:color w:val="auto"/>
              </w:rPr>
            </w:pPr>
            <w:r>
              <w:rPr>
                <w:rFonts w:ascii="Arial" w:cs="Arial" w:eastAsia="Arial" w:hAnsi="Arial"/>
                <w:sz w:val="18"/>
                <w:szCs w:val="18"/>
                <w:color w:val="auto"/>
              </w:rPr>
              <w:t>001-40817</w:t>
            </w:r>
          </w:p>
        </w:tc>
        <w:tc>
          <w:tcPr>
            <w:tcW w:w="860" w:type="dxa"/>
            <w:vAlign w:val="bottom"/>
          </w:tcPr>
          <w:p>
            <w:pPr>
              <w:ind w:left="60"/>
              <w:spacing w:after="0"/>
              <w:rPr>
                <w:sz w:val="20"/>
                <w:szCs w:val="20"/>
                <w:color w:val="auto"/>
              </w:rPr>
            </w:pPr>
            <w:r>
              <w:rPr>
                <w:rFonts w:ascii="Arial" w:cs="Arial" w:eastAsia="Arial" w:hAnsi="Arial"/>
                <w:sz w:val="18"/>
                <w:szCs w:val="18"/>
                <w:color w:val="auto"/>
              </w:rPr>
              <w:t>3.2</w:t>
            </w:r>
          </w:p>
        </w:tc>
        <w:tc>
          <w:tcPr>
            <w:tcW w:w="2200" w:type="dxa"/>
            <w:vAlign w:val="bottom"/>
          </w:tcPr>
          <w:p>
            <w:pPr>
              <w:ind w:left="220"/>
              <w:spacing w:after="0"/>
              <w:rPr>
                <w:sz w:val="20"/>
                <w:szCs w:val="20"/>
                <w:color w:val="auto"/>
              </w:rPr>
            </w:pPr>
            <w:r>
              <w:rPr>
                <w:rFonts w:ascii="Arial" w:cs="Arial" w:eastAsia="Arial" w:hAnsi="Arial"/>
                <w:sz w:val="18"/>
                <w:szCs w:val="18"/>
                <w:color w:val="auto"/>
              </w:rPr>
              <w:t>9/21/2021</w:t>
            </w: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5140" w:type="dxa"/>
            <w:vAlign w:val="bottom"/>
            <w:gridSpan w:val="23"/>
          </w:tcPr>
          <w:p>
            <w:pPr>
              <w:spacing w:after="0"/>
              <w:rPr>
                <w:rFonts w:ascii="Arial" w:cs="Arial" w:eastAsia="Arial" w:hAnsi="Arial"/>
                <w:sz w:val="18"/>
                <w:szCs w:val="18"/>
                <w:color w:val="0000FF"/>
                <w:w w:val="97"/>
              </w:rPr>
            </w:pPr>
            <w:hyperlink w:anchor="page104">
              <w:r>
                <w:rPr>
                  <w:rFonts w:ascii="Arial" w:cs="Arial" w:eastAsia="Arial" w:hAnsi="Arial"/>
                  <w:sz w:val="18"/>
                  <w:szCs w:val="18"/>
                  <w:color w:val="0000FF"/>
                  <w:w w:val="97"/>
                </w:rPr>
                <w:t>Description of Securities Registered Pursuant to Section 12 of the</w:t>
              </w:r>
            </w:hyperlink>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Pr>
          <w:p>
            <w:pPr>
              <w:ind w:left="16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2420" w:type="dxa"/>
            <w:vAlign w:val="bottom"/>
            <w:gridSpan w:val="11"/>
          </w:tcPr>
          <w:p>
            <w:pPr>
              <w:spacing w:after="0" w:line="156" w:lineRule="exact"/>
              <w:rPr>
                <w:rFonts w:ascii="Arial" w:cs="Arial" w:eastAsia="Arial" w:hAnsi="Arial"/>
                <w:sz w:val="18"/>
                <w:szCs w:val="18"/>
                <w:color w:val="0000FF"/>
                <w:highlight w:val="white"/>
                <w:w w:val="90"/>
              </w:rPr>
            </w:pPr>
            <w:hyperlink w:anchor="page104">
              <w:r>
                <w:rPr>
                  <w:rFonts w:ascii="Arial" w:cs="Arial" w:eastAsia="Arial" w:hAnsi="Arial"/>
                  <w:sz w:val="18"/>
                  <w:szCs w:val="18"/>
                  <w:color w:val="0000FF"/>
                  <w:highlight w:val="white"/>
                  <w:w w:val="90"/>
                </w:rPr>
                <w:t>Securities Exchange Act of 1934.</w:t>
              </w:r>
            </w:hyperlink>
          </w:p>
        </w:tc>
        <w:tc>
          <w:tcPr>
            <w:tcW w:w="1380" w:type="dxa"/>
            <w:vAlign w:val="bottom"/>
            <w:tcBorders>
              <w:top w:val="single" w:sz="8" w:color="0000FF"/>
            </w:tcBorders>
            <w:gridSpan w:val="3"/>
          </w:tcPr>
          <w:p>
            <w:pPr>
              <w:spacing w:after="0"/>
              <w:rPr>
                <w:sz w:val="13"/>
                <w:szCs w:val="13"/>
                <w:color w:val="auto"/>
              </w:rPr>
            </w:pPr>
          </w:p>
        </w:tc>
        <w:tc>
          <w:tcPr>
            <w:tcW w:w="680" w:type="dxa"/>
            <w:vAlign w:val="bottom"/>
            <w:tcBorders>
              <w:top w:val="single" w:sz="8" w:color="0000FF"/>
            </w:tcBorders>
            <w:gridSpan w:val="2"/>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S-1</w:t>
            </w:r>
          </w:p>
        </w:tc>
        <w:tc>
          <w:tcPr>
            <w:tcW w:w="1240" w:type="dxa"/>
            <w:vAlign w:val="bottom"/>
            <w:vMerge w:val="restart"/>
          </w:tcPr>
          <w:p>
            <w:pPr>
              <w:ind w:left="300"/>
              <w:spacing w:after="0"/>
              <w:rPr>
                <w:sz w:val="20"/>
                <w:szCs w:val="20"/>
                <w:color w:val="auto"/>
              </w:rPr>
            </w:pPr>
            <w:r>
              <w:rPr>
                <w:rFonts w:ascii="Arial" w:cs="Arial" w:eastAsia="Arial" w:hAnsi="Arial"/>
                <w:sz w:val="18"/>
                <w:szCs w:val="18"/>
                <w:color w:val="auto"/>
                <w:w w:val="95"/>
              </w:rPr>
              <w:t>333-259168</w:t>
            </w:r>
          </w:p>
        </w:tc>
        <w:tc>
          <w:tcPr>
            <w:tcW w:w="860" w:type="dxa"/>
            <w:vAlign w:val="bottom"/>
            <w:vMerge w:val="restart"/>
          </w:tcPr>
          <w:p>
            <w:pPr>
              <w:ind w:left="60"/>
              <w:spacing w:after="0"/>
              <w:rPr>
                <w:sz w:val="20"/>
                <w:szCs w:val="20"/>
                <w:color w:val="auto"/>
              </w:rPr>
            </w:pPr>
            <w:r>
              <w:rPr>
                <w:rFonts w:ascii="Arial" w:cs="Arial" w:eastAsia="Arial" w:hAnsi="Arial"/>
                <w:sz w:val="18"/>
                <w:szCs w:val="18"/>
                <w:color w:val="auto"/>
              </w:rPr>
              <w:t>4.2</w:t>
            </w:r>
          </w:p>
        </w:tc>
        <w:tc>
          <w:tcPr>
            <w:tcW w:w="2200" w:type="dxa"/>
            <w:vAlign w:val="bottom"/>
            <w:vMerge w:val="restart"/>
          </w:tcPr>
          <w:p>
            <w:pPr>
              <w:ind w:left="22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5140" w:type="dxa"/>
            <w:vAlign w:val="bottom"/>
            <w:tcBorders>
              <w:bottom w:val="single" w:sz="8" w:color="0000FF"/>
            </w:tcBorders>
            <w:gridSpan w:val="23"/>
          </w:tcPr>
          <w:p>
            <w:pPr>
              <w:spacing w:after="0" w:line="169" w:lineRule="exact"/>
              <w:rPr>
                <w:rFonts w:ascii="Arial" w:cs="Arial" w:eastAsia="Arial" w:hAnsi="Arial"/>
                <w:sz w:val="18"/>
                <w:szCs w:val="18"/>
                <w:color w:val="0000FF"/>
                <w:w w:val="91"/>
              </w:rPr>
            </w:pPr>
            <w:hyperlink r:id="rId346">
              <w:r>
                <w:rPr>
                  <w:rFonts w:ascii="Arial" w:cs="Arial" w:eastAsia="Arial" w:hAnsi="Arial"/>
                  <w:sz w:val="18"/>
                  <w:szCs w:val="18"/>
                  <w:color w:val="0000FF"/>
                  <w:w w:val="91"/>
                </w:rPr>
                <w:t>Specimen Stock Certificate evidencing the shares of Class A Common</w:t>
              </w:r>
            </w:hyperlink>
          </w:p>
        </w:tc>
        <w:tc>
          <w:tcPr>
            <w:tcW w:w="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140" w:type="dxa"/>
            <w:vAlign w:val="bottom"/>
            <w:gridSpan w:val="23"/>
          </w:tcPr>
          <w:p>
            <w:pPr>
              <w:spacing w:after="0" w:line="156" w:lineRule="exact"/>
              <w:rPr>
                <w:rFonts w:ascii="Arial" w:cs="Arial" w:eastAsia="Arial" w:hAnsi="Arial"/>
                <w:sz w:val="18"/>
                <w:szCs w:val="18"/>
                <w:color w:val="0000FF"/>
              </w:rPr>
            </w:pPr>
            <w:hyperlink r:id="rId346">
              <w:r>
                <w:rPr>
                  <w:rFonts w:ascii="Arial" w:cs="Arial" w:eastAsia="Arial" w:hAnsi="Arial"/>
                  <w:sz w:val="18"/>
                  <w:szCs w:val="18"/>
                  <w:color w:val="0000FF"/>
                </w:rPr>
                <w:t>Stock.</w:t>
              </w:r>
            </w:hyperlink>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4.3</w:t>
            </w:r>
          </w:p>
        </w:tc>
        <w:tc>
          <w:tcPr>
            <w:tcW w:w="5140" w:type="dxa"/>
            <w:vAlign w:val="bottom"/>
            <w:gridSpan w:val="23"/>
          </w:tcPr>
          <w:p>
            <w:pPr>
              <w:spacing w:after="0"/>
              <w:rPr>
                <w:rFonts w:ascii="Arial" w:cs="Arial" w:eastAsia="Arial" w:hAnsi="Arial"/>
                <w:sz w:val="18"/>
                <w:szCs w:val="18"/>
                <w:color w:val="0000FF"/>
                <w:w w:val="91"/>
              </w:rPr>
            </w:pPr>
            <w:hyperlink r:id="rId347">
              <w:r>
                <w:rPr>
                  <w:rFonts w:ascii="Arial" w:cs="Arial" w:eastAsia="Arial" w:hAnsi="Arial"/>
                  <w:sz w:val="18"/>
                  <w:szCs w:val="18"/>
                  <w:color w:val="0000FF"/>
                  <w:w w:val="91"/>
                </w:rPr>
                <w:t>Specimen Stock Certificate evidencing the shares of Class B Common</w:t>
              </w:r>
            </w:hyperlink>
          </w:p>
        </w:tc>
        <w:tc>
          <w:tcPr>
            <w:tcW w:w="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S-8</w:t>
            </w:r>
          </w:p>
        </w:tc>
        <w:tc>
          <w:tcPr>
            <w:tcW w:w="1240" w:type="dxa"/>
            <w:vAlign w:val="bottom"/>
          </w:tcPr>
          <w:p>
            <w:pPr>
              <w:ind w:left="300"/>
              <w:spacing w:after="0"/>
              <w:rPr>
                <w:sz w:val="20"/>
                <w:szCs w:val="20"/>
                <w:color w:val="auto"/>
              </w:rPr>
            </w:pPr>
            <w:r>
              <w:rPr>
                <w:rFonts w:ascii="Arial" w:cs="Arial" w:eastAsia="Arial" w:hAnsi="Arial"/>
                <w:sz w:val="18"/>
                <w:szCs w:val="18"/>
                <w:color w:val="auto"/>
                <w:w w:val="95"/>
              </w:rPr>
              <w:t>333-259698</w:t>
            </w:r>
          </w:p>
        </w:tc>
        <w:tc>
          <w:tcPr>
            <w:tcW w:w="860" w:type="dxa"/>
            <w:vAlign w:val="bottom"/>
          </w:tcPr>
          <w:p>
            <w:pPr>
              <w:ind w:left="60"/>
              <w:spacing w:after="0"/>
              <w:rPr>
                <w:sz w:val="20"/>
                <w:szCs w:val="20"/>
                <w:color w:val="auto"/>
              </w:rPr>
            </w:pPr>
            <w:r>
              <w:rPr>
                <w:rFonts w:ascii="Arial" w:cs="Arial" w:eastAsia="Arial" w:hAnsi="Arial"/>
                <w:sz w:val="18"/>
                <w:szCs w:val="18"/>
                <w:color w:val="auto"/>
              </w:rPr>
              <w:t>4.4</w:t>
            </w:r>
          </w:p>
        </w:tc>
        <w:tc>
          <w:tcPr>
            <w:tcW w:w="2200" w:type="dxa"/>
            <w:vAlign w:val="bottom"/>
          </w:tcPr>
          <w:p>
            <w:pPr>
              <w:ind w:left="220"/>
              <w:spacing w:after="0"/>
              <w:rPr>
                <w:sz w:val="20"/>
                <w:szCs w:val="20"/>
                <w:color w:val="auto"/>
              </w:rPr>
            </w:pPr>
            <w:r>
              <w:rPr>
                <w:rFonts w:ascii="Arial" w:cs="Arial" w:eastAsia="Arial" w:hAnsi="Arial"/>
                <w:sz w:val="18"/>
                <w:szCs w:val="18"/>
                <w:color w:val="auto"/>
              </w:rPr>
              <w:t>9/21/2021</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1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47">
              <w:r>
                <w:rPr>
                  <w:rFonts w:ascii="Arial" w:cs="Arial" w:eastAsia="Arial" w:hAnsi="Arial"/>
                  <w:sz w:val="18"/>
                  <w:szCs w:val="18"/>
                  <w:color w:val="0000FF"/>
                </w:rPr>
                <w:t>Stock.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4.4</w:t>
            </w:r>
          </w:p>
        </w:tc>
        <w:tc>
          <w:tcPr>
            <w:tcW w:w="5140" w:type="dxa"/>
            <w:vAlign w:val="bottom"/>
            <w:gridSpan w:val="23"/>
          </w:tcPr>
          <w:p>
            <w:pPr>
              <w:spacing w:after="0"/>
              <w:rPr>
                <w:rFonts w:ascii="Arial" w:cs="Arial" w:eastAsia="Arial" w:hAnsi="Arial"/>
                <w:sz w:val="18"/>
                <w:szCs w:val="18"/>
                <w:color w:val="0000FF"/>
                <w:w w:val="91"/>
              </w:rPr>
            </w:pPr>
            <w:hyperlink r:id="rId348">
              <w:r>
                <w:rPr>
                  <w:rFonts w:ascii="Arial" w:cs="Arial" w:eastAsia="Arial" w:hAnsi="Arial"/>
                  <w:sz w:val="18"/>
                  <w:szCs w:val="18"/>
                  <w:color w:val="0000FF"/>
                  <w:w w:val="91"/>
                </w:rPr>
                <w:t>Amended and Restated Investors’ Rights Agreement, dated as of May</w:t>
              </w:r>
            </w:hyperlink>
          </w:p>
        </w:tc>
        <w:tc>
          <w:tcPr>
            <w:tcW w:w="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S-1</w:t>
            </w:r>
          </w:p>
        </w:tc>
        <w:tc>
          <w:tcPr>
            <w:tcW w:w="1240" w:type="dxa"/>
            <w:vAlign w:val="bottom"/>
          </w:tcPr>
          <w:p>
            <w:pPr>
              <w:ind w:left="300"/>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4.3</w:t>
            </w:r>
          </w:p>
        </w:tc>
        <w:tc>
          <w:tcPr>
            <w:tcW w:w="2200" w:type="dxa"/>
            <w:vAlign w:val="bottom"/>
          </w:tcPr>
          <w:p>
            <w:pPr>
              <w:ind w:left="22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080" w:type="dxa"/>
            <w:vAlign w:val="bottom"/>
            <w:tcBorders>
              <w:top w:val="single" w:sz="8" w:color="0000FF"/>
            </w:tcBorders>
            <w:gridSpan w:val="21"/>
          </w:tcPr>
          <w:p>
            <w:pPr>
              <w:spacing w:after="0" w:line="156" w:lineRule="exact"/>
              <w:rPr>
                <w:rFonts w:ascii="Arial" w:cs="Arial" w:eastAsia="Arial" w:hAnsi="Arial"/>
                <w:sz w:val="18"/>
                <w:szCs w:val="18"/>
                <w:color w:val="0000FF"/>
                <w:w w:val="90"/>
              </w:rPr>
            </w:pPr>
            <w:hyperlink r:id="rId348">
              <w:r>
                <w:rPr>
                  <w:rFonts w:ascii="Arial" w:cs="Arial" w:eastAsia="Arial" w:hAnsi="Arial"/>
                  <w:sz w:val="18"/>
                  <w:szCs w:val="18"/>
                  <w:color w:val="0000FF"/>
                  <w:w w:val="90"/>
                </w:rPr>
                <w:t>28, 2021, as amended, by and among the Registrant and certain of its</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48">
              <w:r>
                <w:rPr>
                  <w:rFonts w:ascii="Arial" w:cs="Arial" w:eastAsia="Arial" w:hAnsi="Arial"/>
                  <w:sz w:val="18"/>
                  <w:szCs w:val="18"/>
                  <w:color w:val="0000FF"/>
                </w:rPr>
                <w:t>stockholders.</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4.5</w:t>
            </w:r>
          </w:p>
        </w:tc>
        <w:tc>
          <w:tcPr>
            <w:tcW w:w="5900" w:type="dxa"/>
            <w:vAlign w:val="bottom"/>
            <w:gridSpan w:val="25"/>
          </w:tcPr>
          <w:p>
            <w:pPr>
              <w:spacing w:after="0"/>
              <w:rPr>
                <w:rFonts w:ascii="Arial" w:cs="Arial" w:eastAsia="Arial" w:hAnsi="Arial"/>
                <w:sz w:val="18"/>
                <w:szCs w:val="18"/>
                <w:color w:val="0000FF"/>
                <w:w w:val="96"/>
              </w:rPr>
            </w:pPr>
            <w:hyperlink r:id="rId349">
              <w:r>
                <w:rPr>
                  <w:rFonts w:ascii="Arial" w:cs="Arial" w:eastAsia="Arial" w:hAnsi="Arial"/>
                  <w:sz w:val="18"/>
                  <w:szCs w:val="18"/>
                  <w:color w:val="0000FF"/>
                  <w:w w:val="96"/>
                </w:rPr>
                <w:t xml:space="preserve">Warrant to Purchase Common Stock, dated November 22, 2017, issued </w:t>
              </w:r>
            </w:hyperlink>
            <w:r>
              <w:rPr>
                <w:rFonts w:ascii="Arial" w:cs="Arial" w:eastAsia="Arial" w:hAnsi="Arial"/>
                <w:sz w:val="18"/>
                <w:szCs w:val="18"/>
                <w:color w:val="000000"/>
                <w:w w:val="96"/>
              </w:rPr>
              <w:t>S-1</w:t>
            </w:r>
          </w:p>
        </w:tc>
        <w:tc>
          <w:tcPr>
            <w:tcW w:w="1240" w:type="dxa"/>
            <w:vAlign w:val="bottom"/>
          </w:tcPr>
          <w:p>
            <w:pPr>
              <w:ind w:left="300"/>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4.4</w:t>
            </w:r>
          </w:p>
        </w:tc>
        <w:tc>
          <w:tcPr>
            <w:tcW w:w="2200" w:type="dxa"/>
            <w:vAlign w:val="bottom"/>
          </w:tcPr>
          <w:p>
            <w:pPr>
              <w:ind w:left="22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1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349">
              <w:r>
                <w:rPr>
                  <w:rFonts w:ascii="Arial" w:cs="Arial" w:eastAsia="Arial" w:hAnsi="Arial"/>
                  <w:sz w:val="18"/>
                  <w:szCs w:val="18"/>
                  <w:color w:val="0000FF"/>
                </w:rPr>
                <w:t>to Pacific Western Bank.</w:t>
              </w:r>
            </w:hyperlink>
          </w:p>
        </w:tc>
        <w:tc>
          <w:tcPr>
            <w:tcW w:w="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780" w:type="dxa"/>
            <w:vAlign w:val="bottom"/>
            <w:tcBorders>
              <w:top w:val="single" w:sz="8" w:color="0000FF"/>
            </w:tcBorders>
            <w:gridSpan w:val="6"/>
          </w:tcPr>
          <w:p>
            <w:pPr>
              <w:spacing w:after="0" w:line="169" w:lineRule="exact"/>
              <w:rPr>
                <w:rFonts w:ascii="Arial" w:cs="Arial" w:eastAsia="Arial" w:hAnsi="Arial"/>
                <w:sz w:val="18"/>
                <w:szCs w:val="18"/>
                <w:color w:val="0000FF"/>
                <w:w w:val="88"/>
              </w:rPr>
            </w:pPr>
            <w:hyperlink r:id="rId350">
              <w:r>
                <w:rPr>
                  <w:rFonts w:ascii="Arial" w:cs="Arial" w:eastAsia="Arial" w:hAnsi="Arial"/>
                  <w:sz w:val="18"/>
                  <w:szCs w:val="18"/>
                  <w:color w:val="0000FF"/>
                  <w:w w:val="88"/>
                </w:rPr>
                <w:t>Sublease, dated May 13,</w:t>
              </w:r>
            </w:hyperlink>
          </w:p>
        </w:tc>
        <w:tc>
          <w:tcPr>
            <w:tcW w:w="3360" w:type="dxa"/>
            <w:vAlign w:val="bottom"/>
            <w:gridSpan w:val="17"/>
          </w:tcPr>
          <w:p>
            <w:pPr>
              <w:ind w:left="20"/>
              <w:spacing w:after="0" w:line="169" w:lineRule="exact"/>
              <w:rPr>
                <w:rFonts w:ascii="Arial" w:cs="Arial" w:eastAsia="Arial" w:hAnsi="Arial"/>
                <w:sz w:val="18"/>
                <w:szCs w:val="18"/>
                <w:color w:val="0000FF"/>
              </w:rPr>
            </w:pPr>
            <w:hyperlink r:id="rId350">
              <w:r>
                <w:rPr>
                  <w:rFonts w:ascii="Arial" w:cs="Arial" w:eastAsia="Arial" w:hAnsi="Arial"/>
                  <w:sz w:val="18"/>
                  <w:szCs w:val="18"/>
                  <w:color w:val="0000FF"/>
                </w:rPr>
                <w:t>2021, by and between the Registrant and</w:t>
              </w:r>
            </w:hyperlink>
          </w:p>
        </w:tc>
        <w:tc>
          <w:tcPr>
            <w:tcW w:w="20" w:type="dxa"/>
            <w:vAlign w:val="bottom"/>
          </w:tcPr>
          <w:p>
            <w:pPr>
              <w:spacing w:after="0"/>
              <w:rPr>
                <w:sz w:val="14"/>
                <w:szCs w:val="14"/>
                <w:color w:val="auto"/>
              </w:rPr>
            </w:pPr>
          </w:p>
        </w:tc>
        <w:tc>
          <w:tcPr>
            <w:tcW w:w="740" w:type="dxa"/>
            <w:vAlign w:val="bottom"/>
          </w:tcPr>
          <w:p>
            <w:pPr>
              <w:ind w:left="20"/>
              <w:spacing w:after="0" w:line="169" w:lineRule="exact"/>
              <w:rPr>
                <w:sz w:val="20"/>
                <w:szCs w:val="20"/>
                <w:color w:val="auto"/>
              </w:rPr>
            </w:pPr>
            <w:r>
              <w:rPr>
                <w:rFonts w:ascii="Arial" w:cs="Arial" w:eastAsia="Arial" w:hAnsi="Arial"/>
                <w:sz w:val="18"/>
                <w:szCs w:val="18"/>
                <w:color w:val="auto"/>
              </w:rPr>
              <w:t>S-1</w:t>
            </w:r>
          </w:p>
        </w:tc>
        <w:tc>
          <w:tcPr>
            <w:tcW w:w="1240" w:type="dxa"/>
            <w:vAlign w:val="bottom"/>
          </w:tcPr>
          <w:p>
            <w:pPr>
              <w:ind w:left="300"/>
              <w:spacing w:after="0" w:line="169" w:lineRule="exact"/>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line="169" w:lineRule="exact"/>
              <w:rPr>
                <w:sz w:val="20"/>
                <w:szCs w:val="20"/>
                <w:color w:val="auto"/>
              </w:rPr>
            </w:pPr>
            <w:r>
              <w:rPr>
                <w:rFonts w:ascii="Arial" w:cs="Arial" w:eastAsia="Arial" w:hAnsi="Arial"/>
                <w:sz w:val="18"/>
                <w:szCs w:val="18"/>
                <w:color w:val="auto"/>
              </w:rPr>
              <w:t>10.1</w:t>
            </w:r>
          </w:p>
        </w:tc>
        <w:tc>
          <w:tcPr>
            <w:tcW w:w="2200" w:type="dxa"/>
            <w:vAlign w:val="bottom"/>
          </w:tcPr>
          <w:p>
            <w:pPr>
              <w:ind w:left="220"/>
              <w:spacing w:after="0" w:line="169" w:lineRule="exact"/>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350">
              <w:r>
                <w:rPr>
                  <w:rFonts w:ascii="Arial" w:cs="Arial" w:eastAsia="Arial" w:hAnsi="Arial"/>
                  <w:sz w:val="18"/>
                  <w:szCs w:val="18"/>
                  <w:color w:val="0000FF"/>
                  <w:w w:val="88"/>
                </w:rPr>
                <w:t>Postmates, LLC.</w:t>
              </w:r>
            </w:hyperlink>
          </w:p>
        </w:tc>
        <w:tc>
          <w:tcPr>
            <w:tcW w:w="20" w:type="dxa"/>
            <w:vAlign w:val="bottom"/>
            <w:tcBorders>
              <w:top w:val="single" w:sz="8" w:color="0000FF"/>
              <w:bottom w:val="single" w:sz="8" w:color="0000EE"/>
            </w:tcBorders>
          </w:tcPr>
          <w:p>
            <w:pPr>
              <w:spacing w:after="0"/>
              <w:rPr>
                <w:sz w:val="13"/>
                <w:szCs w:val="13"/>
                <w:color w:val="auto"/>
              </w:rPr>
            </w:pPr>
          </w:p>
        </w:tc>
        <w:tc>
          <w:tcPr>
            <w:tcW w:w="3580" w:type="dxa"/>
            <w:vAlign w:val="bottom"/>
            <w:tcBorders>
              <w:top w:val="single" w:sz="8" w:color="0000FF"/>
            </w:tcBorders>
            <w:gridSpan w:val="13"/>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10.2(a)#</w:t>
            </w:r>
          </w:p>
        </w:tc>
        <w:tc>
          <w:tcPr>
            <w:tcW w:w="5140" w:type="dxa"/>
            <w:vAlign w:val="bottom"/>
            <w:gridSpan w:val="23"/>
          </w:tcPr>
          <w:p>
            <w:pPr>
              <w:spacing w:after="0"/>
              <w:rPr>
                <w:rFonts w:ascii="Arial" w:cs="Arial" w:eastAsia="Arial" w:hAnsi="Arial"/>
                <w:sz w:val="18"/>
                <w:szCs w:val="18"/>
                <w:color w:val="0000FF"/>
              </w:rPr>
            </w:pPr>
            <w:hyperlink r:id="rId351">
              <w:r>
                <w:rPr>
                  <w:rFonts w:ascii="Arial" w:cs="Arial" w:eastAsia="Arial" w:hAnsi="Arial"/>
                  <w:sz w:val="18"/>
                  <w:szCs w:val="18"/>
                  <w:color w:val="0000FF"/>
                </w:rPr>
                <w:t>Amended and Restated 2014 Stock Option and Grant Plan, as</w:t>
              </w:r>
            </w:hyperlink>
          </w:p>
        </w:tc>
        <w:tc>
          <w:tcPr>
            <w:tcW w:w="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S-1</w:t>
            </w:r>
          </w:p>
        </w:tc>
        <w:tc>
          <w:tcPr>
            <w:tcW w:w="1240" w:type="dxa"/>
            <w:vAlign w:val="bottom"/>
          </w:tcPr>
          <w:p>
            <w:pPr>
              <w:ind w:left="300"/>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10.2(a)</w:t>
            </w:r>
          </w:p>
        </w:tc>
        <w:tc>
          <w:tcPr>
            <w:tcW w:w="2200" w:type="dxa"/>
            <w:vAlign w:val="bottom"/>
          </w:tcPr>
          <w:p>
            <w:pPr>
              <w:ind w:left="22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351">
              <w:r>
                <w:rPr>
                  <w:rFonts w:ascii="Arial" w:cs="Arial" w:eastAsia="Arial" w:hAnsi="Arial"/>
                  <w:sz w:val="18"/>
                  <w:szCs w:val="18"/>
                  <w:color w:val="0000FF"/>
                </w:rPr>
                <w:t>amended.</w:t>
              </w:r>
            </w:hyperlink>
          </w:p>
        </w:tc>
        <w:tc>
          <w:tcPr>
            <w:tcW w:w="440" w:type="dxa"/>
            <w:vAlign w:val="bottom"/>
            <w:gridSpan w:val="3"/>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10.2(b)#</w:t>
            </w:r>
          </w:p>
        </w:tc>
        <w:tc>
          <w:tcPr>
            <w:tcW w:w="5140" w:type="dxa"/>
            <w:vAlign w:val="bottom"/>
            <w:gridSpan w:val="23"/>
          </w:tcPr>
          <w:p>
            <w:pPr>
              <w:spacing w:after="0"/>
              <w:rPr>
                <w:rFonts w:ascii="Arial" w:cs="Arial" w:eastAsia="Arial" w:hAnsi="Arial"/>
                <w:sz w:val="18"/>
                <w:szCs w:val="18"/>
                <w:color w:val="0000FF"/>
                <w:w w:val="94"/>
              </w:rPr>
            </w:pPr>
            <w:hyperlink r:id="rId352">
              <w:r>
                <w:rPr>
                  <w:rFonts w:ascii="Arial" w:cs="Arial" w:eastAsia="Arial" w:hAnsi="Arial"/>
                  <w:sz w:val="18"/>
                  <w:szCs w:val="18"/>
                  <w:color w:val="0000FF"/>
                  <w:w w:val="94"/>
                </w:rPr>
                <w:t>Form Agreements under Amended and Restated 2014 Stock Option</w:t>
              </w:r>
            </w:hyperlink>
          </w:p>
        </w:tc>
        <w:tc>
          <w:tcPr>
            <w:tcW w:w="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S-1</w:t>
            </w:r>
          </w:p>
        </w:tc>
        <w:tc>
          <w:tcPr>
            <w:tcW w:w="1240" w:type="dxa"/>
            <w:vAlign w:val="bottom"/>
          </w:tcPr>
          <w:p>
            <w:pPr>
              <w:ind w:left="300"/>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10.2(b)</w:t>
            </w:r>
          </w:p>
        </w:tc>
        <w:tc>
          <w:tcPr>
            <w:tcW w:w="2200" w:type="dxa"/>
            <w:vAlign w:val="bottom"/>
          </w:tcPr>
          <w:p>
            <w:pPr>
              <w:ind w:left="22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6"/>
              </w:rPr>
            </w:pPr>
            <w:hyperlink r:id="rId352">
              <w:r>
                <w:rPr>
                  <w:rFonts w:ascii="Arial" w:cs="Arial" w:eastAsia="Arial" w:hAnsi="Arial"/>
                  <w:sz w:val="18"/>
                  <w:szCs w:val="18"/>
                  <w:color w:val="0000FF"/>
                  <w:w w:val="86"/>
                </w:rPr>
                <w:t>and Grant Plan, as amended.</w:t>
              </w:r>
            </w:hyperlink>
          </w:p>
        </w:tc>
        <w:tc>
          <w:tcPr>
            <w:tcW w:w="2860" w:type="dxa"/>
            <w:vAlign w:val="bottom"/>
            <w:tcBorders>
              <w:top w:val="single" w:sz="8" w:color="0000FF"/>
            </w:tcBorders>
            <w:gridSpan w:val="10"/>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10.3(a)#</w:t>
            </w:r>
          </w:p>
        </w:tc>
        <w:tc>
          <w:tcPr>
            <w:tcW w:w="2000" w:type="dxa"/>
            <w:vAlign w:val="bottom"/>
            <w:tcBorders>
              <w:bottom w:val="single" w:sz="8" w:color="0000FF"/>
            </w:tcBorders>
            <w:gridSpan w:val="7"/>
          </w:tcPr>
          <w:p>
            <w:pPr>
              <w:spacing w:after="0"/>
              <w:rPr>
                <w:rFonts w:ascii="Arial" w:cs="Arial" w:eastAsia="Arial" w:hAnsi="Arial"/>
                <w:sz w:val="18"/>
                <w:szCs w:val="18"/>
                <w:color w:val="0000FF"/>
                <w:w w:val="90"/>
              </w:rPr>
            </w:pPr>
            <w:hyperlink r:id="rId353">
              <w:r>
                <w:rPr>
                  <w:rFonts w:ascii="Arial" w:cs="Arial" w:eastAsia="Arial" w:hAnsi="Arial"/>
                  <w:sz w:val="18"/>
                  <w:szCs w:val="18"/>
                  <w:color w:val="0000FF"/>
                  <w:w w:val="90"/>
                </w:rPr>
                <w:t>2021 Incentive Award Plan.</w:t>
              </w:r>
            </w:hyperlink>
          </w:p>
        </w:tc>
        <w:tc>
          <w:tcPr>
            <w:tcW w:w="20" w:type="dxa"/>
            <w:vAlign w:val="bottom"/>
            <w:tcBorders>
              <w:bottom w:val="single" w:sz="8" w:color="0000EE"/>
            </w:tcBorders>
          </w:tcPr>
          <w:p>
            <w:pPr>
              <w:spacing w:after="0"/>
              <w:rPr>
                <w:sz w:val="22"/>
                <w:szCs w:val="22"/>
                <w:color w:val="auto"/>
              </w:rPr>
            </w:pPr>
          </w:p>
        </w:tc>
        <w:tc>
          <w:tcPr>
            <w:tcW w:w="3120" w:type="dxa"/>
            <w:vAlign w:val="bottom"/>
            <w:gridSpan w:val="15"/>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S-1</w:t>
            </w:r>
          </w:p>
        </w:tc>
        <w:tc>
          <w:tcPr>
            <w:tcW w:w="1240" w:type="dxa"/>
            <w:vAlign w:val="bottom"/>
          </w:tcPr>
          <w:p>
            <w:pPr>
              <w:ind w:left="300"/>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10.3(a)</w:t>
            </w:r>
          </w:p>
        </w:tc>
        <w:tc>
          <w:tcPr>
            <w:tcW w:w="2200" w:type="dxa"/>
            <w:vAlign w:val="bottom"/>
          </w:tcPr>
          <w:p>
            <w:pPr>
              <w:ind w:left="22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439"/>
        </w:trPr>
        <w:tc>
          <w:tcPr>
            <w:tcW w:w="1040" w:type="dxa"/>
            <w:vAlign w:val="bottom"/>
          </w:tcPr>
          <w:p>
            <w:pPr>
              <w:ind w:left="20"/>
              <w:spacing w:after="0"/>
              <w:rPr>
                <w:sz w:val="20"/>
                <w:szCs w:val="20"/>
                <w:color w:val="auto"/>
              </w:rPr>
            </w:pPr>
            <w:r>
              <w:rPr>
                <w:rFonts w:ascii="Arial" w:cs="Arial" w:eastAsia="Arial" w:hAnsi="Arial"/>
                <w:sz w:val="18"/>
                <w:szCs w:val="18"/>
                <w:color w:val="auto"/>
              </w:rPr>
              <w:t>10.3(b)#</w:t>
            </w:r>
          </w:p>
        </w:tc>
        <w:tc>
          <w:tcPr>
            <w:tcW w:w="3800" w:type="dxa"/>
            <w:vAlign w:val="bottom"/>
            <w:tcBorders>
              <w:bottom w:val="single" w:sz="8" w:color="0000FF"/>
            </w:tcBorders>
            <w:gridSpan w:val="14"/>
          </w:tcPr>
          <w:p>
            <w:pPr>
              <w:spacing w:after="0"/>
              <w:rPr>
                <w:rFonts w:ascii="Arial" w:cs="Arial" w:eastAsia="Arial" w:hAnsi="Arial"/>
                <w:sz w:val="18"/>
                <w:szCs w:val="18"/>
                <w:color w:val="0000FF"/>
                <w:w w:val="90"/>
              </w:rPr>
            </w:pPr>
            <w:hyperlink r:id="rId354">
              <w:r>
                <w:rPr>
                  <w:rFonts w:ascii="Arial" w:cs="Arial" w:eastAsia="Arial" w:hAnsi="Arial"/>
                  <w:sz w:val="18"/>
                  <w:szCs w:val="18"/>
                  <w:color w:val="0000FF"/>
                  <w:w w:val="90"/>
                </w:rPr>
                <w:t>Form Agreements under 2021 Incentive Award Plan.</w:t>
              </w:r>
            </w:hyperlink>
          </w:p>
        </w:tc>
        <w:tc>
          <w:tcPr>
            <w:tcW w:w="13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S-1</w:t>
            </w:r>
          </w:p>
        </w:tc>
        <w:tc>
          <w:tcPr>
            <w:tcW w:w="1240" w:type="dxa"/>
            <w:vAlign w:val="bottom"/>
          </w:tcPr>
          <w:p>
            <w:pPr>
              <w:ind w:left="300"/>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10.3(b)</w:t>
            </w:r>
          </w:p>
        </w:tc>
        <w:tc>
          <w:tcPr>
            <w:tcW w:w="2200" w:type="dxa"/>
            <w:vAlign w:val="bottom"/>
          </w:tcPr>
          <w:p>
            <w:pPr>
              <w:ind w:left="22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803"/>
        </w:trPr>
        <w:tc>
          <w:tcPr>
            <w:tcW w:w="1040" w:type="dxa"/>
            <w:vAlign w:val="bottom"/>
          </w:tcPr>
          <w:p>
            <w:pPr>
              <w:spacing w:after="0"/>
              <w:rPr>
                <w:sz w:val="24"/>
                <w:szCs w:val="24"/>
                <w:color w:val="auto"/>
              </w:rPr>
            </w:pPr>
          </w:p>
        </w:tc>
        <w:tc>
          <w:tcPr>
            <w:tcW w:w="4780" w:type="dxa"/>
            <w:vAlign w:val="bottom"/>
            <w:gridSpan w:val="17"/>
          </w:tcPr>
          <w:p>
            <w:pPr>
              <w:ind w:left="44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5160" w:type="dxa"/>
            <w:vAlign w:val="bottom"/>
            <w:gridSpan w:val="23"/>
          </w:tcPr>
          <w:p>
            <w:pPr>
              <w:spacing w:after="0"/>
              <w:rPr>
                <w:rFonts w:ascii="Arial" w:cs="Arial" w:eastAsia="Arial" w:hAnsi="Arial"/>
                <w:sz w:val="18"/>
                <w:szCs w:val="18"/>
                <w:color w:val="0000FF"/>
              </w:rPr>
            </w:pPr>
            <w:hyperlink r:id="rId357">
              <w:r>
                <w:rPr>
                  <w:rFonts w:ascii="Arial" w:cs="Arial" w:eastAsia="Arial" w:hAnsi="Arial"/>
                  <w:sz w:val="18"/>
                  <w:szCs w:val="18"/>
                  <w:color w:val="0000FF"/>
                </w:rPr>
                <w:t>2021 Employee Stock Purchase Plan.</w:t>
              </w:r>
            </w:hyperlink>
          </w:p>
        </w:tc>
        <w:tc>
          <w:tcPr>
            <w:tcW w:w="640" w:type="dxa"/>
            <w:vAlign w:val="bottom"/>
          </w:tcPr>
          <w:p>
            <w:pPr>
              <w:ind w:left="20"/>
              <w:spacing w:after="0"/>
              <w:rPr>
                <w:sz w:val="20"/>
                <w:szCs w:val="20"/>
                <w:color w:val="auto"/>
              </w:rPr>
            </w:pPr>
            <w:r>
              <w:rPr>
                <w:rFonts w:ascii="Arial" w:cs="Arial" w:eastAsia="Arial" w:hAnsi="Arial"/>
                <w:sz w:val="18"/>
                <w:szCs w:val="18"/>
                <w:color w:val="auto"/>
              </w:rPr>
              <w:t>S-1</w:t>
            </w:r>
          </w:p>
        </w:tc>
        <w:tc>
          <w:tcPr>
            <w:tcW w:w="1340" w:type="dxa"/>
            <w:vAlign w:val="bottom"/>
          </w:tcPr>
          <w:p>
            <w:pPr>
              <w:jc w:val="right"/>
              <w:spacing w:after="0"/>
              <w:rPr>
                <w:sz w:val="20"/>
                <w:szCs w:val="20"/>
                <w:color w:val="auto"/>
              </w:rPr>
            </w:pPr>
            <w:r>
              <w:rPr>
                <w:rFonts w:ascii="Arial" w:cs="Arial" w:eastAsia="Arial" w:hAnsi="Arial"/>
                <w:sz w:val="18"/>
                <w:szCs w:val="18"/>
                <w:color w:val="auto"/>
              </w:rPr>
              <w:t>333-259168</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900" w:type="dxa"/>
            <w:vAlign w:val="bottom"/>
          </w:tcPr>
          <w:p>
            <w:pPr>
              <w:ind w:left="36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5160" w:type="dxa"/>
            <w:vAlign w:val="bottom"/>
            <w:gridSpan w:val="23"/>
          </w:tcPr>
          <w:p>
            <w:pPr>
              <w:spacing w:after="0"/>
              <w:rPr>
                <w:rFonts w:ascii="Arial" w:cs="Arial" w:eastAsia="Arial" w:hAnsi="Arial"/>
                <w:sz w:val="18"/>
                <w:szCs w:val="18"/>
                <w:color w:val="0000FF"/>
                <w:w w:val="93"/>
              </w:rPr>
            </w:pPr>
            <w:hyperlink r:id="rId358">
              <w:r>
                <w:rPr>
                  <w:rFonts w:ascii="Arial" w:cs="Arial" w:eastAsia="Arial" w:hAnsi="Arial"/>
                  <w:sz w:val="18"/>
                  <w:szCs w:val="18"/>
                  <w:color w:val="0000FF"/>
                  <w:w w:val="93"/>
                </w:rPr>
                <w:t>Form of Indemnification Agreement between the Registrant and each</w:t>
              </w:r>
            </w:hyperlink>
          </w:p>
        </w:tc>
        <w:tc>
          <w:tcPr>
            <w:tcW w:w="640" w:type="dxa"/>
            <w:vAlign w:val="bottom"/>
          </w:tcPr>
          <w:p>
            <w:pPr>
              <w:ind w:left="20"/>
              <w:spacing w:after="0"/>
              <w:rPr>
                <w:sz w:val="20"/>
                <w:szCs w:val="20"/>
                <w:color w:val="auto"/>
              </w:rPr>
            </w:pPr>
            <w:r>
              <w:rPr>
                <w:rFonts w:ascii="Arial" w:cs="Arial" w:eastAsia="Arial" w:hAnsi="Arial"/>
                <w:sz w:val="18"/>
                <w:szCs w:val="18"/>
                <w:color w:val="auto"/>
              </w:rPr>
              <w:t>S-1</w:t>
            </w:r>
          </w:p>
        </w:tc>
        <w:tc>
          <w:tcPr>
            <w:tcW w:w="1340" w:type="dxa"/>
            <w:vAlign w:val="bottom"/>
          </w:tcPr>
          <w:p>
            <w:pPr>
              <w:jc w:val="right"/>
              <w:spacing w:after="0"/>
              <w:rPr>
                <w:sz w:val="20"/>
                <w:szCs w:val="20"/>
                <w:color w:val="auto"/>
              </w:rPr>
            </w:pPr>
            <w:r>
              <w:rPr>
                <w:rFonts w:ascii="Arial" w:cs="Arial" w:eastAsia="Arial" w:hAnsi="Arial"/>
                <w:sz w:val="18"/>
                <w:szCs w:val="18"/>
                <w:color w:val="auto"/>
              </w:rPr>
              <w:t>333-259168</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10.5</w:t>
            </w:r>
          </w:p>
        </w:tc>
        <w:tc>
          <w:tcPr>
            <w:tcW w:w="1900" w:type="dxa"/>
            <w:vAlign w:val="bottom"/>
          </w:tcPr>
          <w:p>
            <w:pPr>
              <w:ind w:left="36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358">
              <w:r>
                <w:rPr>
                  <w:rFonts w:ascii="Arial" w:cs="Arial" w:eastAsia="Arial" w:hAnsi="Arial"/>
                  <w:sz w:val="18"/>
                  <w:szCs w:val="18"/>
                  <w:color w:val="0000FF"/>
                  <w:w w:val="91"/>
                </w:rPr>
                <w:t>of its Directors and Executive Officers.</w:t>
              </w:r>
            </w:hyperlink>
          </w:p>
        </w:tc>
        <w:tc>
          <w:tcPr>
            <w:tcW w:w="20" w:type="dxa"/>
            <w:vAlign w:val="bottom"/>
            <w:tcBorders>
              <w:top w:val="single" w:sz="8" w:color="0000FF"/>
              <w:bottom w:val="single" w:sz="8" w:color="0000EE"/>
            </w:tcBorders>
          </w:tcPr>
          <w:p>
            <w:pPr>
              <w:spacing w:after="0"/>
              <w:rPr>
                <w:sz w:val="13"/>
                <w:szCs w:val="13"/>
                <w:color w:val="auto"/>
              </w:rPr>
            </w:pPr>
          </w:p>
        </w:tc>
        <w:tc>
          <w:tcPr>
            <w:tcW w:w="220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3540" w:type="dxa"/>
            <w:vAlign w:val="bottom"/>
            <w:tcBorders>
              <w:bottom w:val="single" w:sz="8" w:color="0000FF"/>
            </w:tcBorders>
            <w:gridSpan w:val="8"/>
          </w:tcPr>
          <w:p>
            <w:pPr>
              <w:spacing w:after="0"/>
              <w:rPr>
                <w:rFonts w:ascii="Arial" w:cs="Arial" w:eastAsia="Arial" w:hAnsi="Arial"/>
                <w:sz w:val="18"/>
                <w:szCs w:val="18"/>
                <w:color w:val="0000FF"/>
                <w:w w:val="90"/>
              </w:rPr>
            </w:pPr>
            <w:hyperlink r:id="rId359">
              <w:r>
                <w:rPr>
                  <w:rFonts w:ascii="Arial" w:cs="Arial" w:eastAsia="Arial" w:hAnsi="Arial"/>
                  <w:sz w:val="18"/>
                  <w:szCs w:val="18"/>
                  <w:color w:val="0000FF"/>
                  <w:w w:val="90"/>
                </w:rPr>
                <w:t>Non-Employee Director Compensation Program.</w:t>
              </w:r>
            </w:hyperlink>
          </w:p>
        </w:tc>
        <w:tc>
          <w:tcPr>
            <w:tcW w:w="20" w:type="dxa"/>
            <w:vAlign w:val="bottom"/>
            <w:tcBorders>
              <w:bottom w:val="single" w:sz="8" w:color="0000EE"/>
            </w:tcBorders>
          </w:tcPr>
          <w:p>
            <w:pPr>
              <w:spacing w:after="0"/>
              <w:rPr>
                <w:sz w:val="22"/>
                <w:szCs w:val="22"/>
                <w:color w:val="auto"/>
              </w:rPr>
            </w:pPr>
          </w:p>
        </w:tc>
        <w:tc>
          <w:tcPr>
            <w:tcW w:w="1600" w:type="dxa"/>
            <w:vAlign w:val="bottom"/>
            <w:gridSpan w:val="14"/>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S-1</w:t>
            </w:r>
          </w:p>
        </w:tc>
        <w:tc>
          <w:tcPr>
            <w:tcW w:w="1340" w:type="dxa"/>
            <w:vAlign w:val="bottom"/>
          </w:tcPr>
          <w:p>
            <w:pPr>
              <w:jc w:val="right"/>
              <w:spacing w:after="0"/>
              <w:rPr>
                <w:sz w:val="20"/>
                <w:szCs w:val="20"/>
                <w:color w:val="auto"/>
              </w:rPr>
            </w:pPr>
            <w:r>
              <w:rPr>
                <w:rFonts w:ascii="Arial" w:cs="Arial" w:eastAsia="Arial" w:hAnsi="Arial"/>
                <w:sz w:val="18"/>
                <w:szCs w:val="18"/>
                <w:color w:val="auto"/>
              </w:rPr>
              <w:t>333-259168</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10.6</w:t>
            </w:r>
          </w:p>
        </w:tc>
        <w:tc>
          <w:tcPr>
            <w:tcW w:w="1900" w:type="dxa"/>
            <w:vAlign w:val="bottom"/>
          </w:tcPr>
          <w:p>
            <w:pPr>
              <w:ind w:left="36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5160" w:type="dxa"/>
            <w:vAlign w:val="bottom"/>
            <w:gridSpan w:val="23"/>
          </w:tcPr>
          <w:p>
            <w:pPr>
              <w:spacing w:after="0"/>
              <w:rPr>
                <w:rFonts w:ascii="Arial" w:cs="Arial" w:eastAsia="Arial" w:hAnsi="Arial"/>
                <w:sz w:val="18"/>
                <w:szCs w:val="18"/>
                <w:color w:val="0000FF"/>
                <w:w w:val="96"/>
              </w:rPr>
            </w:pPr>
            <w:hyperlink r:id="rId360">
              <w:r>
                <w:rPr>
                  <w:rFonts w:ascii="Arial" w:cs="Arial" w:eastAsia="Arial" w:hAnsi="Arial"/>
                  <w:sz w:val="18"/>
                  <w:szCs w:val="18"/>
                  <w:color w:val="0000FF"/>
                  <w:w w:val="96"/>
                </w:rPr>
                <w:t>Form of Executive Employment Agreement between the Registrant</w:t>
              </w:r>
            </w:hyperlink>
          </w:p>
        </w:tc>
        <w:tc>
          <w:tcPr>
            <w:tcW w:w="640" w:type="dxa"/>
            <w:vAlign w:val="bottom"/>
          </w:tcPr>
          <w:p>
            <w:pPr>
              <w:ind w:left="20"/>
              <w:spacing w:after="0"/>
              <w:rPr>
                <w:sz w:val="20"/>
                <w:szCs w:val="20"/>
                <w:color w:val="auto"/>
              </w:rPr>
            </w:pPr>
            <w:r>
              <w:rPr>
                <w:rFonts w:ascii="Arial" w:cs="Arial" w:eastAsia="Arial" w:hAnsi="Arial"/>
                <w:sz w:val="18"/>
                <w:szCs w:val="18"/>
                <w:color w:val="auto"/>
              </w:rPr>
              <w:t>S-1</w:t>
            </w:r>
          </w:p>
        </w:tc>
        <w:tc>
          <w:tcPr>
            <w:tcW w:w="1340" w:type="dxa"/>
            <w:vAlign w:val="bottom"/>
          </w:tcPr>
          <w:p>
            <w:pPr>
              <w:jc w:val="right"/>
              <w:spacing w:after="0"/>
              <w:rPr>
                <w:sz w:val="20"/>
                <w:szCs w:val="20"/>
                <w:color w:val="auto"/>
              </w:rPr>
            </w:pPr>
            <w:r>
              <w:rPr>
                <w:rFonts w:ascii="Arial" w:cs="Arial" w:eastAsia="Arial" w:hAnsi="Arial"/>
                <w:sz w:val="18"/>
                <w:szCs w:val="18"/>
                <w:color w:val="auto"/>
              </w:rPr>
              <w:t>333-259168</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10.7</w:t>
            </w:r>
          </w:p>
        </w:tc>
        <w:tc>
          <w:tcPr>
            <w:tcW w:w="1900" w:type="dxa"/>
            <w:vAlign w:val="bottom"/>
          </w:tcPr>
          <w:p>
            <w:pPr>
              <w:ind w:left="36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49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360">
              <w:r>
                <w:rPr>
                  <w:rFonts w:ascii="Arial" w:cs="Arial" w:eastAsia="Arial" w:hAnsi="Arial"/>
                  <w:sz w:val="18"/>
                  <w:szCs w:val="18"/>
                  <w:color w:val="0000FF"/>
                </w:rPr>
                <w:t>and each of its Executive Officers.</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vMerge w:val="restart"/>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8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110">
              <w:r>
                <w:rPr>
                  <w:rFonts w:ascii="Arial" w:cs="Arial" w:eastAsia="Arial" w:hAnsi="Arial"/>
                  <w:sz w:val="18"/>
                  <w:szCs w:val="18"/>
                  <w:color w:val="0000FF"/>
                  <w:w w:val="89"/>
                </w:rPr>
                <w:t>Subsidiaries of Registrant</w:t>
              </w:r>
            </w:hyperlink>
          </w:p>
        </w:tc>
        <w:tc>
          <w:tcPr>
            <w:tcW w:w="20" w:type="dxa"/>
            <w:vAlign w:val="bottom"/>
            <w:tcBorders>
              <w:top w:val="single" w:sz="8" w:color="0000FF"/>
              <w:bottom w:val="single" w:sz="8" w:color="0000EE"/>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420" w:type="dxa"/>
            <w:vAlign w:val="bottom"/>
            <w:gridSpan w:val="6"/>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8"/>
                <w:szCs w:val="18"/>
                <w:color w:val="auto"/>
              </w:rPr>
              <w:t>23.1</w:t>
            </w:r>
          </w:p>
        </w:tc>
        <w:tc>
          <w:tcPr>
            <w:tcW w:w="1880" w:type="dxa"/>
            <w:vAlign w:val="bottom"/>
            <w:gridSpan w:val="3"/>
          </w:tcPr>
          <w:p>
            <w:pPr>
              <w:spacing w:after="0" w:line="169" w:lineRule="exact"/>
              <w:rPr>
                <w:rFonts w:ascii="Arial" w:cs="Arial" w:eastAsia="Arial" w:hAnsi="Arial"/>
                <w:sz w:val="18"/>
                <w:szCs w:val="18"/>
                <w:color w:val="0000FF"/>
                <w:w w:val="99"/>
              </w:rPr>
            </w:pPr>
            <w:hyperlink w:anchor="page111">
              <w:r>
                <w:rPr>
                  <w:rFonts w:ascii="Arial" w:cs="Arial" w:eastAsia="Arial" w:hAnsi="Arial"/>
                  <w:sz w:val="18"/>
                  <w:szCs w:val="18"/>
                  <w:color w:val="0000FF"/>
                  <w:w w:val="99"/>
                </w:rPr>
                <w:t>Consent of KPMG LLP,</w:t>
              </w:r>
            </w:hyperlink>
          </w:p>
        </w:tc>
        <w:tc>
          <w:tcPr>
            <w:tcW w:w="3280" w:type="dxa"/>
            <w:vAlign w:val="bottom"/>
            <w:gridSpan w:val="20"/>
          </w:tcPr>
          <w:p>
            <w:pPr>
              <w:spacing w:after="0" w:line="169" w:lineRule="exact"/>
              <w:rPr>
                <w:rFonts w:ascii="Arial" w:cs="Arial" w:eastAsia="Arial" w:hAnsi="Arial"/>
                <w:sz w:val="18"/>
                <w:szCs w:val="18"/>
                <w:color w:val="0000FF"/>
                <w:w w:val="88"/>
              </w:rPr>
            </w:pPr>
            <w:hyperlink w:anchor="page111">
              <w:r>
                <w:rPr>
                  <w:rFonts w:ascii="Arial" w:cs="Arial" w:eastAsia="Arial" w:hAnsi="Arial"/>
                  <w:sz w:val="18"/>
                  <w:szCs w:val="18"/>
                  <w:color w:val="0000FF"/>
                  <w:w w:val="88"/>
                </w:rPr>
                <w:t>independent registered public accounting firm.</w:t>
              </w:r>
            </w:hyperlink>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tcPr>
          <w:p>
            <w:pPr>
              <w:ind w:left="1780"/>
              <w:spacing w:after="0" w:line="169"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8"/>
                <w:szCs w:val="18"/>
                <w:color w:val="auto"/>
              </w:rPr>
              <w:t>24.1</w:t>
            </w:r>
          </w:p>
        </w:tc>
        <w:tc>
          <w:tcPr>
            <w:tcW w:w="514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Power of Attorney (included in signature page hereto)</w:t>
              </w:r>
            </w:hyperlink>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tcPr>
          <w:p>
            <w:pPr>
              <w:ind w:left="1780"/>
              <w:spacing w:after="0" w:line="169"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189" w:lineRule="exact"/>
              <w:rPr>
                <w:sz w:val="20"/>
                <w:szCs w:val="20"/>
                <w:color w:val="auto"/>
              </w:rPr>
            </w:pPr>
            <w:r>
              <w:rPr>
                <w:rFonts w:ascii="Arial" w:cs="Arial" w:eastAsia="Arial" w:hAnsi="Arial"/>
                <w:sz w:val="18"/>
                <w:szCs w:val="18"/>
                <w:color w:val="auto"/>
              </w:rPr>
              <w:t>31.1</w:t>
            </w: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EE"/>
            </w:tcBorders>
            <w:gridSpan w:val="9"/>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vMerge w:val="restart"/>
          </w:tcPr>
          <w:p>
            <w:pPr>
              <w:ind w:left="1780"/>
              <w:spacing w:after="0" w:line="189"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5160" w:type="dxa"/>
            <w:vAlign w:val="bottom"/>
            <w:gridSpan w:val="23"/>
          </w:tcPr>
          <w:p>
            <w:pPr>
              <w:spacing w:after="0" w:line="169" w:lineRule="exact"/>
              <w:rPr>
                <w:rFonts w:ascii="Arial" w:cs="Arial" w:eastAsia="Arial" w:hAnsi="Arial"/>
                <w:sz w:val="18"/>
                <w:szCs w:val="18"/>
                <w:color w:val="0000FF"/>
                <w:w w:val="98"/>
              </w:rPr>
            </w:pPr>
            <w:hyperlink w:anchor="page112">
              <w:r>
                <w:rPr>
                  <w:rFonts w:ascii="Arial" w:cs="Arial" w:eastAsia="Arial" w:hAnsi="Arial"/>
                  <w:sz w:val="18"/>
                  <w:szCs w:val="18"/>
                  <w:color w:val="0000FF"/>
                  <w:w w:val="98"/>
                </w:rPr>
                <w:t>Certification of Principal Executive Officer Pursuant to Rules 13a-</w:t>
              </w:r>
            </w:hyperlink>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4800" w:type="dxa"/>
            <w:vAlign w:val="bottom"/>
            <w:tcBorders>
              <w:bottom w:val="single" w:sz="8" w:color="0000FF"/>
            </w:tcBorders>
            <w:gridSpan w:val="14"/>
          </w:tcPr>
          <w:p>
            <w:pPr>
              <w:spacing w:after="0" w:line="156" w:lineRule="exact"/>
              <w:rPr>
                <w:rFonts w:ascii="Arial" w:cs="Arial" w:eastAsia="Arial" w:hAnsi="Arial"/>
                <w:sz w:val="18"/>
                <w:szCs w:val="18"/>
                <w:color w:val="0000FF"/>
                <w:w w:val="89"/>
              </w:rPr>
            </w:pPr>
            <w:hyperlink w:anchor="page112">
              <w:r>
                <w:rPr>
                  <w:rFonts w:ascii="Arial" w:cs="Arial" w:eastAsia="Arial" w:hAnsi="Arial"/>
                  <w:sz w:val="18"/>
                  <w:szCs w:val="18"/>
                  <w:color w:val="0000FF"/>
                  <w:w w:val="89"/>
                </w:rPr>
                <w:t>14(a) and 15d-14(a) under the Securities Exchange Act of 1934, as</w:t>
              </w:r>
            </w:hyperlink>
          </w:p>
        </w:tc>
        <w:tc>
          <w:tcPr>
            <w:tcW w:w="20" w:type="dxa"/>
            <w:vAlign w:val="bottom"/>
            <w:tcBorders>
              <w:bottom w:val="single" w:sz="8" w:color="0000FF"/>
            </w:tcBorders>
            <w:vMerge w:val="continue"/>
          </w:tcPr>
          <w:p>
            <w:pPr>
              <w:spacing w:after="0"/>
              <w:rPr>
                <w:sz w:val="13"/>
                <w:szCs w:val="13"/>
                <w:color w:val="auto"/>
              </w:rPr>
            </w:pPr>
          </w:p>
        </w:tc>
        <w:tc>
          <w:tcPr>
            <w:tcW w:w="40" w:type="dxa"/>
            <w:vAlign w:val="bottom"/>
            <w:tcBorders>
              <w:bottom w:val="single" w:sz="8" w:color="0000FF"/>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980" w:type="dxa"/>
            <w:vAlign w:val="bottom"/>
            <w:tcBorders>
              <w:bottom w:val="single" w:sz="8" w:color="0000FF"/>
            </w:tcBorders>
            <w:gridSpan w:val="18"/>
          </w:tcPr>
          <w:p>
            <w:pPr>
              <w:spacing w:after="0" w:line="156" w:lineRule="exact"/>
              <w:rPr>
                <w:rFonts w:ascii="Arial" w:cs="Arial" w:eastAsia="Arial" w:hAnsi="Arial"/>
                <w:sz w:val="18"/>
                <w:szCs w:val="18"/>
                <w:color w:val="0000FF"/>
                <w:w w:val="90"/>
              </w:rPr>
            </w:pPr>
            <w:hyperlink w:anchor="page112">
              <w:r>
                <w:rPr>
                  <w:rFonts w:ascii="Arial" w:cs="Arial" w:eastAsia="Arial" w:hAnsi="Arial"/>
                  <w:sz w:val="18"/>
                  <w:szCs w:val="18"/>
                  <w:color w:val="0000FF"/>
                  <w:w w:val="90"/>
                </w:rPr>
                <w:t>Adopted Pursuant to Section 302 of the Sarbanes-Oxley Act of 2002.</w:t>
              </w:r>
            </w:hyperlink>
          </w:p>
        </w:tc>
        <w:tc>
          <w:tcPr>
            <w:tcW w:w="20" w:type="dxa"/>
            <w:vAlign w:val="bottom"/>
            <w:tcBorders>
              <w:bottom w:val="single" w:sz="8" w:color="0000EE"/>
            </w:tcBorders>
          </w:tcPr>
          <w:p>
            <w:pPr>
              <w:spacing w:after="0"/>
              <w:rPr>
                <w:sz w:val="13"/>
                <w:szCs w:val="13"/>
                <w:color w:val="auto"/>
              </w:rPr>
            </w:pPr>
          </w:p>
        </w:tc>
        <w:tc>
          <w:tcPr>
            <w:tcW w:w="1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3"/>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5160" w:type="dxa"/>
            <w:vAlign w:val="bottom"/>
            <w:tcBorders>
              <w:bottom w:val="single" w:sz="8" w:color="0000FF"/>
            </w:tcBorders>
            <w:gridSpan w:val="23"/>
          </w:tcPr>
          <w:p>
            <w:pPr>
              <w:spacing w:after="0"/>
              <w:rPr>
                <w:rFonts w:ascii="Arial" w:cs="Arial" w:eastAsia="Arial" w:hAnsi="Arial"/>
                <w:sz w:val="18"/>
                <w:szCs w:val="18"/>
                <w:color w:val="0000FF"/>
                <w:w w:val="92"/>
              </w:rPr>
            </w:pPr>
            <w:hyperlink w:anchor="page113">
              <w:r>
                <w:rPr>
                  <w:rFonts w:ascii="Arial" w:cs="Arial" w:eastAsia="Arial" w:hAnsi="Arial"/>
                  <w:sz w:val="18"/>
                  <w:szCs w:val="18"/>
                  <w:color w:val="0000FF"/>
                  <w:w w:val="92"/>
                </w:rPr>
                <w:t>Certification of Principal Financial Officer Pursuant to Rules 13a-14(a)</w:t>
              </w:r>
            </w:hyperlink>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5160" w:type="dxa"/>
            <w:vAlign w:val="bottom"/>
            <w:gridSpan w:val="23"/>
          </w:tcPr>
          <w:p>
            <w:pPr>
              <w:spacing w:after="0" w:line="156" w:lineRule="exact"/>
              <w:rPr>
                <w:rFonts w:ascii="Arial" w:cs="Arial" w:eastAsia="Arial" w:hAnsi="Arial"/>
                <w:sz w:val="18"/>
                <w:szCs w:val="18"/>
                <w:color w:val="0000FF"/>
                <w:w w:val="91"/>
              </w:rPr>
            </w:pPr>
            <w:hyperlink w:anchor="page113">
              <w:r>
                <w:rPr>
                  <w:rFonts w:ascii="Arial" w:cs="Arial" w:eastAsia="Arial" w:hAnsi="Arial"/>
                  <w:sz w:val="18"/>
                  <w:szCs w:val="18"/>
                  <w:color w:val="0000FF"/>
                  <w:w w:val="91"/>
                </w:rPr>
                <w:t>and 15d-14(a) under the Securities Exchange Act of 1934, as Adopted</w:t>
              </w:r>
            </w:hyperlink>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w:anchor="page113">
              <w:r>
                <w:rPr>
                  <w:rFonts w:ascii="Arial" w:cs="Arial" w:eastAsia="Arial" w:hAnsi="Arial"/>
                  <w:sz w:val="18"/>
                  <w:szCs w:val="18"/>
                  <w:color w:val="0000FF"/>
                  <w:w w:val="90"/>
                </w:rPr>
                <w:t>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760" w:type="dxa"/>
            <w:vAlign w:val="bottom"/>
            <w:tcBorders>
              <w:top w:val="single" w:sz="8" w:color="0000FF"/>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3"/>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478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114">
              <w:r>
                <w:rPr>
                  <w:rFonts w:ascii="Arial" w:cs="Arial" w:eastAsia="Arial" w:hAnsi="Arial"/>
                  <w:sz w:val="18"/>
                  <w:szCs w:val="18"/>
                  <w:color w:val="0000FF"/>
                  <w:w w:val="92"/>
                </w:rPr>
                <w:t>Certification of Principal Executive Officer Pursuant to 18 U.S.C.</w:t>
              </w:r>
            </w:hyperlink>
          </w:p>
        </w:tc>
        <w:tc>
          <w:tcPr>
            <w:tcW w:w="3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160" w:type="dxa"/>
            <w:vAlign w:val="bottom"/>
            <w:gridSpan w:val="23"/>
          </w:tcPr>
          <w:p>
            <w:pPr>
              <w:spacing w:after="0" w:line="156" w:lineRule="exact"/>
              <w:rPr>
                <w:rFonts w:ascii="Arial" w:cs="Arial" w:eastAsia="Arial" w:hAnsi="Arial"/>
                <w:sz w:val="18"/>
                <w:szCs w:val="18"/>
                <w:color w:val="0000FF"/>
                <w:w w:val="94"/>
              </w:rPr>
            </w:pPr>
            <w:hyperlink w:anchor="page114">
              <w:r>
                <w:rPr>
                  <w:rFonts w:ascii="Arial" w:cs="Arial" w:eastAsia="Arial" w:hAnsi="Arial"/>
                  <w:sz w:val="18"/>
                  <w:szCs w:val="18"/>
                  <w:color w:val="0000FF"/>
                  <w:w w:val="94"/>
                </w:rPr>
                <w:t>Section 1350, as Adopted Pursuant to Section 906 of the Sarbanes-</w:t>
              </w:r>
            </w:hyperlink>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48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Oxley Act of 2002.</w:t>
              </w:r>
            </w:hyperlink>
          </w:p>
        </w:tc>
        <w:tc>
          <w:tcPr>
            <w:tcW w:w="34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3380" w:type="dxa"/>
            <w:vAlign w:val="bottom"/>
            <w:gridSpan w:val="1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5160" w:type="dxa"/>
            <w:vAlign w:val="bottom"/>
            <w:gridSpan w:val="23"/>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Certification of Principal Financial Officer Pursuant to 18 U.S.C.</w:t>
              </w:r>
            </w:hyperlink>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780" w:type="dxa"/>
            <w:vAlign w:val="bottom"/>
            <w:tcBorders>
              <w:top w:val="single" w:sz="8" w:color="0000FF"/>
            </w:tcBorders>
            <w:gridSpan w:val="13"/>
          </w:tcPr>
          <w:p>
            <w:pPr>
              <w:spacing w:after="0" w:line="156" w:lineRule="exact"/>
              <w:rPr>
                <w:rFonts w:ascii="Arial" w:cs="Arial" w:eastAsia="Arial" w:hAnsi="Arial"/>
                <w:sz w:val="18"/>
                <w:szCs w:val="18"/>
                <w:color w:val="0000FF"/>
                <w:w w:val="88"/>
              </w:rPr>
            </w:pPr>
            <w:hyperlink w:anchor="page115">
              <w:r>
                <w:rPr>
                  <w:rFonts w:ascii="Arial" w:cs="Arial" w:eastAsia="Arial" w:hAnsi="Arial"/>
                  <w:sz w:val="18"/>
                  <w:szCs w:val="18"/>
                  <w:color w:val="0000FF"/>
                  <w:w w:val="88"/>
                </w:rPr>
                <w:t>Section 1350, as Adopted Pursuant to Section 906 of the Sarbanes</w:t>
              </w:r>
            </w:hyperlink>
          </w:p>
        </w:tc>
        <w:tc>
          <w:tcPr>
            <w:tcW w:w="380" w:type="dxa"/>
            <w:vAlign w:val="bottom"/>
            <w:gridSpan w:val="10"/>
          </w:tcPr>
          <w:p>
            <w:pPr>
              <w:jc w:val="right"/>
              <w:ind w:right="340"/>
              <w:spacing w:after="0"/>
              <w:rPr>
                <w:rFonts w:ascii="Arial" w:cs="Arial" w:eastAsia="Arial" w:hAnsi="Arial"/>
                <w:sz w:val="8"/>
                <w:szCs w:val="8"/>
                <w:color w:val="0000FF"/>
                <w:w w:val="73"/>
              </w:rPr>
            </w:pPr>
            <w:hyperlink w:anchor="page115">
              <w:r>
                <w:rPr>
                  <w:rFonts w:ascii="Arial" w:cs="Arial" w:eastAsia="Arial" w:hAnsi="Arial"/>
                  <w:sz w:val="8"/>
                  <w:szCs w:val="8"/>
                  <w:color w:val="0000FF"/>
                  <w:w w:val="73"/>
                </w:rPr>
                <w:t>-</w:t>
              </w:r>
            </w:hyperlink>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48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15">
              <w:r>
                <w:rPr>
                  <w:rFonts w:ascii="Arial" w:cs="Arial" w:eastAsia="Arial" w:hAnsi="Arial"/>
                  <w:sz w:val="18"/>
                  <w:szCs w:val="18"/>
                  <w:color w:val="0000FF"/>
                </w:rPr>
                <w:t>Oxley Act of 2002.</w:t>
              </w:r>
            </w:hyperlink>
          </w:p>
        </w:tc>
        <w:tc>
          <w:tcPr>
            <w:tcW w:w="34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3760" w:type="dxa"/>
            <w:vAlign w:val="bottom"/>
            <w:gridSpan w:val="2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160" w:type="dxa"/>
            <w:vAlign w:val="bottom"/>
            <w:gridSpan w:val="23"/>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5160" w:type="dxa"/>
            <w:vAlign w:val="bottom"/>
            <w:gridSpan w:val="23"/>
          </w:tcPr>
          <w:p>
            <w:pPr>
              <w:spacing w:after="0" w:line="176" w:lineRule="exact"/>
              <w:rPr>
                <w:sz w:val="20"/>
                <w:szCs w:val="20"/>
                <w:color w:val="auto"/>
              </w:rPr>
            </w:pPr>
            <w:r>
              <w:rPr>
                <w:rFonts w:ascii="Arial" w:cs="Arial" w:eastAsia="Arial" w:hAnsi="Arial"/>
                <w:sz w:val="18"/>
                <w:szCs w:val="18"/>
                <w:color w:val="auto"/>
                <w:w w:val="92"/>
              </w:rPr>
              <w:t>appear in the Interactive Data File because XBRL tags are embedded</w:t>
            </w: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16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16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160" w:type="dxa"/>
            <w:vAlign w:val="bottom"/>
            <w:gridSpan w:val="23"/>
          </w:tcPr>
          <w:p>
            <w:pPr>
              <w:spacing w:after="0"/>
              <w:rPr>
                <w:sz w:val="20"/>
                <w:szCs w:val="20"/>
                <w:color w:val="auto"/>
              </w:rPr>
            </w:pPr>
            <w:r>
              <w:rPr>
                <w:rFonts w:ascii="Arial" w:cs="Arial" w:eastAsia="Arial" w:hAnsi="Arial"/>
                <w:sz w:val="18"/>
                <w:szCs w:val="18"/>
                <w:color w:val="auto"/>
                <w:w w:val="97"/>
              </w:rPr>
              <w:t>Inline XBRL Taxonomy Extension Calculation Linkbase 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16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458"/>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16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160" w:type="dxa"/>
            <w:vAlign w:val="bottom"/>
            <w:gridSpan w:val="23"/>
          </w:tcPr>
          <w:p>
            <w:pPr>
              <w:spacing w:after="0"/>
              <w:rPr>
                <w:sz w:val="20"/>
                <w:szCs w:val="20"/>
                <w:color w:val="auto"/>
              </w:rPr>
            </w:pPr>
            <w:r>
              <w:rPr>
                <w:rFonts w:ascii="Arial" w:cs="Arial" w:eastAsia="Arial" w:hAnsi="Arial"/>
                <w:sz w:val="18"/>
                <w:szCs w:val="18"/>
                <w:color w:val="auto"/>
                <w:w w:val="95"/>
              </w:rPr>
              <w:t>Inline XBRL Taxonomy Extension Presentation Linkbase 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5160" w:type="dxa"/>
            <w:vAlign w:val="bottom"/>
            <w:gridSpan w:val="23"/>
          </w:tcPr>
          <w:p>
            <w:pPr>
              <w:spacing w:after="0"/>
              <w:rPr>
                <w:sz w:val="20"/>
                <w:szCs w:val="20"/>
                <w:color w:val="auto"/>
              </w:rPr>
            </w:pPr>
            <w:r>
              <w:rPr>
                <w:rFonts w:ascii="Arial" w:cs="Arial" w:eastAsia="Arial" w:hAnsi="Arial"/>
                <w:sz w:val="18"/>
                <w:szCs w:val="18"/>
                <w:color w:val="auto"/>
                <w:w w:val="95"/>
              </w:rPr>
              <w:t>Cover Page Interactive Data File (embedded within the Inline XBRL</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16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3" w:lineRule="exact"/>
        <w:rPr>
          <w:sz w:val="20"/>
          <w:szCs w:val="20"/>
          <w:color w:val="auto"/>
        </w:rPr>
      </w:pPr>
    </w:p>
    <w:p>
      <w:pPr>
        <w:ind w:firstLine="8"/>
        <w:spacing w:after="0" w:line="248" w:lineRule="auto"/>
        <w:tabs>
          <w:tab w:leader="none" w:pos="108"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Annual Report on Form 10-K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jc w:val="center"/>
        <w:ind w:left="3560"/>
        <w:spacing w:after="0"/>
        <w:rPr>
          <w:sz w:val="20"/>
          <w:szCs w:val="20"/>
          <w:color w:val="auto"/>
        </w:rPr>
      </w:pPr>
      <w:r>
        <w:rPr>
          <w:rFonts w:ascii="Arial" w:cs="Arial" w:eastAsia="Arial" w:hAnsi="Arial"/>
          <w:sz w:val="18"/>
          <w:szCs w:val="18"/>
          <w:color w:val="auto"/>
        </w:rPr>
        <w:t>Amplitude, Inc.</w:t>
      </w:r>
    </w:p>
    <w:p>
      <w:pPr>
        <w:spacing w:after="0" w:line="212"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6350</wp:posOffset>
            </wp:positionV>
            <wp:extent cx="13544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9660"/>
        <w:spacing w:after="0" w:line="216" w:lineRule="auto"/>
        <w:rPr>
          <w:sz w:val="20"/>
          <w:szCs w:val="20"/>
          <w:color w:val="auto"/>
        </w:rPr>
      </w:pPr>
      <w:r>
        <w:rPr>
          <w:rFonts w:ascii="Arial" w:cs="Arial" w:eastAsia="Arial" w:hAnsi="Arial"/>
          <w:sz w:val="18"/>
          <w:szCs w:val="18"/>
          <w:color w:val="auto"/>
        </w:rPr>
        <w:t>Spenser Skates</w:t>
      </w:r>
    </w:p>
    <w:p>
      <w:pPr>
        <w:spacing w:after="0" w:line="1"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2022</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Spenser Skates, Hoang Vuong, and Elizabeth Fisher,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87"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02" w:name="page103"/>
    <w:bookmarkEnd w:id="102"/>
    <w:p>
      <w:pPr>
        <w:ind w:left="620"/>
        <w:spacing w:after="0"/>
        <w:tabs>
          <w:tab w:leader="none" w:pos="4960" w:val="left"/>
          <w:tab w:leader="none" w:pos="846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8890</wp:posOffset>
            </wp:positionV>
            <wp:extent cx="67722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9019"/>
          </w:cols>
          <w:pgMar w:left="1440" w:top="310" w:right="1440" w:bottom="1440" w:gutter="0" w:footer="0" w:header="0"/>
        </w:sectPr>
      </w:pP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20955</wp:posOffset>
            </wp:positionV>
            <wp:extent cx="22885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Spenser Skates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228854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Hoang Vuong</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Ninos Sarkis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22885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color w:val="auto"/>
        </w:rPr>
        <w:t>Ninos Sarkis</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Neeraj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7797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6350</wp:posOffset>
            </wp:positionV>
            <wp:extent cx="7797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color w:val="auto"/>
          <w:highlight w:val="white"/>
        </w:rPr>
        <w:t>Neeraj Agrawal</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Ron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22885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color w:val="auto"/>
          <w:highlight w:val="white"/>
        </w:rPr>
        <w:t>Ron Gill</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Pat 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22885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color w:val="auto"/>
          <w:highlight w:val="white"/>
        </w:rPr>
        <w:t>Pat Grady</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Curtis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22885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color w:val="auto"/>
          <w:highlight w:val="white"/>
        </w:rPr>
        <w:t>Curtis Liu</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Erica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84010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6350</wp:posOffset>
            </wp:positionV>
            <wp:extent cx="8401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color w:val="auto"/>
          <w:highlight w:val="white"/>
        </w:rPr>
        <w:t>Erica Schultz</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Elisa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228854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color w:val="auto"/>
          <w:highlight w:val="white"/>
        </w:rPr>
        <w:t>Elisa Steele</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Eric Vishria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228854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color w:val="auto"/>
          <w:highlight w:val="white"/>
        </w:rPr>
        <w:t>Eric Vishria</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/s/ James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20955</wp:posOffset>
            </wp:positionV>
            <wp:extent cx="7372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20955</wp:posOffset>
            </wp:positionV>
            <wp:extent cx="7372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highlight w:val="white"/>
        </w:rPr>
        <w:t>James Whitehurst</w:t>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/s/ Catherine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13335</wp:posOffset>
            </wp:positionV>
            <wp:extent cx="7715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13335</wp:posOffset>
            </wp:positionV>
            <wp:extent cx="7715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highlight w:val="white"/>
        </w:rPr>
        <w:t>Catherine Wong</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Chief Executive Officer and Chairperson</w:t>
      </w:r>
      <w:r>
        <w:rPr>
          <w:sz w:val="20"/>
          <w:szCs w:val="20"/>
          <w:color w:val="auto"/>
        </w:rPr>
        <w:tab/>
      </w:r>
      <w:r>
        <w:rPr>
          <w:rFonts w:ascii="Arial" w:cs="Arial" w:eastAsia="Arial" w:hAnsi="Arial"/>
          <w:sz w:val="16"/>
          <w:szCs w:val="16"/>
          <w:color w:val="auto"/>
        </w:rPr>
        <w:t>February 16, 2022</w:t>
      </w: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167"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Chief Financial Officer</w:t>
      </w:r>
      <w:r>
        <w:rPr>
          <w:sz w:val="20"/>
          <w:szCs w:val="20"/>
          <w:color w:val="auto"/>
        </w:rPr>
        <w:tab/>
      </w:r>
      <w:r>
        <w:rPr>
          <w:rFonts w:ascii="Arial" w:cs="Arial" w:eastAsia="Arial" w:hAnsi="Arial"/>
          <w:sz w:val="16"/>
          <w:szCs w:val="16"/>
          <w:color w:val="auto"/>
        </w:rPr>
        <w:t>February 16, 2022</w:t>
      </w: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167"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Chief Accounting Officer</w:t>
      </w:r>
      <w:r>
        <w:rPr>
          <w:sz w:val="20"/>
          <w:szCs w:val="20"/>
          <w:color w:val="auto"/>
        </w:rPr>
        <w:tab/>
      </w:r>
      <w:r>
        <w:rPr>
          <w:rFonts w:ascii="Arial" w:cs="Arial" w:eastAsia="Arial" w:hAnsi="Arial"/>
          <w:sz w:val="16"/>
          <w:szCs w:val="16"/>
          <w:color w:val="auto"/>
        </w:rPr>
        <w:t>February 16, 2022</w:t>
      </w:r>
    </w:p>
    <w:p>
      <w:pPr>
        <w:spacing w:after="0"/>
        <w:rPr>
          <w:sz w:val="20"/>
          <w:szCs w:val="20"/>
          <w:color w:val="auto"/>
        </w:rPr>
      </w:pPr>
      <w:r>
        <w:rPr>
          <w:rFonts w:ascii="Arial" w:cs="Arial" w:eastAsia="Arial" w:hAnsi="Arial"/>
          <w:sz w:val="18"/>
          <w:szCs w:val="18"/>
          <w:i w:val="1"/>
          <w:iCs w:val="1"/>
          <w:color w:val="auto"/>
        </w:rPr>
        <w:t>(Principal Accounting Officer)</w:t>
      </w:r>
    </w:p>
    <w:p>
      <w:pPr>
        <w:spacing w:after="0" w:line="169"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16, 2022</w:t>
      </w:r>
    </w:p>
    <w:p>
      <w:pPr>
        <w:spacing w:after="0" w:line="397"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16, 2022</w:t>
      </w:r>
    </w:p>
    <w:p>
      <w:pPr>
        <w:spacing w:after="0" w:line="397"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16, 2022</w:t>
      </w:r>
    </w:p>
    <w:p>
      <w:pPr>
        <w:spacing w:after="0" w:line="397"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16, 2022</w:t>
      </w:r>
    </w:p>
    <w:p>
      <w:pPr>
        <w:spacing w:after="0" w:line="397"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16, 2022</w:t>
      </w:r>
    </w:p>
    <w:p>
      <w:pPr>
        <w:spacing w:after="0" w:line="397"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16, 2022</w:t>
      </w:r>
    </w:p>
    <w:p>
      <w:pPr>
        <w:spacing w:after="0" w:line="397"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16, 2022</w:t>
      </w:r>
    </w:p>
    <w:p>
      <w:pPr>
        <w:spacing w:after="0" w:line="397"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16, 2022</w:t>
      </w:r>
    </w:p>
    <w:p>
      <w:pPr>
        <w:spacing w:after="0" w:line="397"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62230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400" w:space="720"/>
            <w:col w:w="5899"/>
          </w:cols>
          <w:pgMar w:left="1440" w:top="310" w:right="1440"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4.1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5"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Amplitude, Inc. (“we,” “our,” and “us”) has one class of securities registered under Section 12 of the Securities Exchange Act of 1934, as amended (the “Exchange Act”): our Class A common stock. The following description of our capital stock and provisions of our amended and restated certificate of incorporation, amended and restated bylaws, and amended and restated investors’ rights agreement, and the applicable provisions of the General Corporation Law of the State of Delaware (the “DGCL”) are summaries and are qualified by reference to our amended and restated certificate of incorporation, amended and restated bylaws, and amended and restated investors’ rights agreement, each of which has been publicly filed with the U.S. Securities and Exchange Commission, .and the applicable provisions of the DGCL.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w:t>
      </w:r>
    </w:p>
    <w:p>
      <w:pPr>
        <w:spacing w:after="0" w:line="171" w:lineRule="exact"/>
        <w:rPr>
          <w:sz w:val="20"/>
          <w:szCs w:val="20"/>
          <w:color w:val="auto"/>
        </w:rPr>
      </w:pPr>
    </w:p>
    <w:p>
      <w:pPr>
        <w:ind w:left="800" w:hanging="371"/>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600,000,000 shares of Class A common stock, par value $0.00001 per share;</w:t>
      </w:r>
    </w:p>
    <w:p>
      <w:pPr>
        <w:spacing w:after="0" w:line="184" w:lineRule="exact"/>
        <w:rPr>
          <w:rFonts w:ascii="Arial" w:cs="Arial" w:eastAsia="Arial" w:hAnsi="Arial"/>
          <w:sz w:val="18"/>
          <w:szCs w:val="18"/>
          <w:color w:val="auto"/>
        </w:rPr>
      </w:pPr>
    </w:p>
    <w:p>
      <w:pPr>
        <w:ind w:left="800" w:hanging="371"/>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600,000,000 shares of Class B common stock, par value $0.00001 per share; and</w:t>
      </w:r>
    </w:p>
    <w:p>
      <w:pPr>
        <w:spacing w:after="0" w:line="171" w:lineRule="exact"/>
        <w:rPr>
          <w:rFonts w:ascii="Arial" w:cs="Arial" w:eastAsia="Arial" w:hAnsi="Arial"/>
          <w:sz w:val="18"/>
          <w:szCs w:val="18"/>
          <w:color w:val="auto"/>
        </w:rPr>
      </w:pPr>
    </w:p>
    <w:p>
      <w:pPr>
        <w:ind w:left="800" w:hanging="371"/>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20,000,000 shares of undesignated preferred stock, par value $0.00001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have two classes of authorized common stock: Class A common stock and Class B common stock. Only our Class A common stock is registered under Section 12 of the Exchange Act, and trades on the Nasdaq Capital Market under the ticker symbol “AMPL.”</w:t>
      </w:r>
    </w:p>
    <w:p>
      <w:pPr>
        <w:spacing w:after="0" w:line="130" w:lineRule="exact"/>
        <w:rPr>
          <w:sz w:val="20"/>
          <w:szCs w:val="20"/>
          <w:color w:val="auto"/>
        </w:rPr>
      </w:pPr>
    </w:p>
    <w:p>
      <w:pPr>
        <w:ind w:right="820"/>
        <w:spacing w:after="0" w:line="446" w:lineRule="auto"/>
        <w:rPr>
          <w:sz w:val="20"/>
          <w:szCs w:val="20"/>
          <w:color w:val="auto"/>
        </w:rPr>
      </w:pPr>
      <w:r>
        <w:rPr>
          <w:rFonts w:ascii="Arial" w:cs="Arial" w:eastAsia="Arial" w:hAnsi="Arial"/>
          <w:sz w:val="18"/>
          <w:szCs w:val="18"/>
          <w:color w:val="auto"/>
        </w:rPr>
        <w:t xml:space="preserve">The rights of the holders of Class A common stock and Class B common stock are identical, except with respect to voting and conversion rights. </w:t>
      </w:r>
      <w:r>
        <w:rPr>
          <w:rFonts w:ascii="Arial" w:cs="Arial" w:eastAsia="Arial" w:hAnsi="Arial"/>
          <w:sz w:val="18"/>
          <w:szCs w:val="18"/>
          <w:b w:val="1"/>
          <w:bCs w:val="1"/>
          <w:i w:val="1"/>
          <w:iCs w:val="1"/>
          <w:color w:val="auto"/>
        </w:rPr>
        <w:t>Voting rights</w:t>
      </w:r>
    </w:p>
    <w:p>
      <w:pPr>
        <w:spacing w:after="0" w:line="262" w:lineRule="auto"/>
        <w:rPr>
          <w:sz w:val="20"/>
          <w:szCs w:val="20"/>
          <w:color w:val="auto"/>
        </w:rPr>
      </w:pPr>
      <w:r>
        <w:rPr>
          <w:rFonts w:ascii="Arial" w:cs="Arial" w:eastAsia="Arial" w:hAnsi="Arial"/>
          <w:sz w:val="17"/>
          <w:szCs w:val="17"/>
          <w:color w:val="auto"/>
        </w:rPr>
        <w:t>Shares of our Class A common stock are entitled to one vote per share and shares of our Class B common stock are entitled to five votes per share. The holders of our Class A common stock and the holders of our Class B common stock will generally vote together as a single class on all matters submitted to a vote of our stockholders, unless otherwise required by Delaware law or our restated certificate of incorporation. Delaware law could require either holders of our Class A common stock or holders of our Class B common stock to vote separately in the following circumstances:</w:t>
      </w:r>
    </w:p>
    <w:p>
      <w:pPr>
        <w:spacing w:after="0" w:line="132" w:lineRule="exact"/>
        <w:rPr>
          <w:sz w:val="20"/>
          <w:szCs w:val="20"/>
          <w:color w:val="auto"/>
        </w:rPr>
      </w:pPr>
    </w:p>
    <w:p>
      <w:pPr>
        <w:ind w:left="800" w:right="40" w:hanging="371"/>
        <w:spacing w:after="0" w:line="261"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were to seek to amend our restated certificate of incorporation to increase or decrease the par value of a class of our capital stock, then that class would be required to vote separately to approve the proposed amendment; and</w:t>
      </w:r>
    </w:p>
    <w:p>
      <w:pPr>
        <w:spacing w:after="0" w:line="130" w:lineRule="exact"/>
        <w:rPr>
          <w:rFonts w:ascii="Arial" w:cs="Arial" w:eastAsia="Arial" w:hAnsi="Arial"/>
          <w:sz w:val="18"/>
          <w:szCs w:val="18"/>
          <w:color w:val="auto"/>
        </w:rPr>
      </w:pPr>
    </w:p>
    <w:p>
      <w:pPr>
        <w:jc w:val="both"/>
        <w:ind w:left="800" w:right="80" w:hanging="371"/>
        <w:spacing w:after="0" w:line="24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were to seek to amend our restated certificate of incorporation in a manner that alters or changes the powers, preferences, or special rights of a class of our capital stock in a manner that would affect its holders adversely, then that class would be required to vote separately to approve the proposed amendment.</w:t>
      </w:r>
    </w:p>
    <w:p>
      <w:pPr>
        <w:spacing w:after="0" w:line="155"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election of directors by our stockholders shall be determined by a plurality of the votes cast and our stockholders are not entitled to cumulative voting for the election of directors. In addition, except as otherwise provided by our amended and restated certificate of incorporation, amended and restated</w:t>
      </w:r>
    </w:p>
    <w:p>
      <w:pPr>
        <w:ind w:right="560"/>
        <w:spacing w:after="0" w:line="255" w:lineRule="auto"/>
        <w:rPr>
          <w:sz w:val="20"/>
          <w:szCs w:val="20"/>
          <w:color w:val="auto"/>
        </w:rPr>
      </w:pPr>
      <w:r>
        <w:rPr>
          <w:rFonts w:ascii="Arial" w:cs="Arial" w:eastAsia="Arial" w:hAnsi="Arial"/>
          <w:sz w:val="18"/>
          <w:szCs w:val="18"/>
          <w:color w:val="auto"/>
        </w:rPr>
        <w:t>bylaws, the rules or regulations of the Nasdaq Stock Market LLC (“Nasdaq”), or applicable law or pursuant to any regulation applicable to us or our securities, other matters shall be generally decided by the affirmative vote of the holders of a majority in voting power of the votes cast (excluding abstentions and broker non-votes) on such matter.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Each outstanding share of our Class B common stock is convertible at any time at the option of the holder into one share of our Class A common stock. Each share of our Class B common stock will convert automatically into one share of our Class A common stock upon any transfer, whether or not for value, except for certain permitted transfers described in our restated certificate of incorporation. In addition, each share of our Class B common stock held by Curtis Liu, Spenser Skates, and Jeffrey Wang, whom we refer to as our founders (or any of such founder’s affiliates), will convert automatically into one share of our Class A common stock on the earlier of (i) the death or incapacity of such founder or (ii) the date that is six months following the date on which such founder is no longer an employee or director of our company (unless such founder has rejoined our company during such six-month period). Each outstanding share of our Class B common stock will also convert automatically into one share of our Class A common stock on the date that is six months following the date on which no founder is an employee or director of our company (unless a founder has rejoined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right="160"/>
        <w:spacing w:after="0" w:line="248" w:lineRule="auto"/>
        <w:rPr>
          <w:sz w:val="20"/>
          <w:szCs w:val="20"/>
          <w:color w:val="auto"/>
        </w:rPr>
      </w:pPr>
      <w:r>
        <w:rPr>
          <w:rFonts w:ascii="Arial" w:cs="Arial" w:eastAsia="Arial" w:hAnsi="Arial"/>
          <w:sz w:val="18"/>
          <w:szCs w:val="18"/>
          <w:color w:val="auto"/>
        </w:rPr>
        <w:t>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rights</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Any dividend or distribution paid or payable to the holders of shares of Class A common stock and Class B common stock shall be paid pro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rata, on an equal priority,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unless different treatment of the shares of each such class is approved by the affirmative vote of the holders of a majority of the outstanding shares of the applicable class of stock treated adversely, each voting separately as a class;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2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In the event of our liquidation, dissolution, or winding-up and upon the completion of the distributions required with respect to any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redeemable convertible preferred stock that may then be outstanding, our remaining assets legally available for distribution to stockholders shall be distributed on an equal priority, pro rata basis to the holders of Class A common stock and Class B common stock.</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 xml:space="preserve">Change of Control Transactions. </w:t>
      </w:r>
      <w:r>
        <w:rPr>
          <w:rFonts w:ascii="Arial" w:cs="Arial" w:eastAsia="Arial" w:hAnsi="Arial"/>
          <w:sz w:val="17"/>
          <w:szCs w:val="17"/>
          <w:color w:val="auto"/>
        </w:rPr>
        <w:t>In the event of certain mergers, consolidations, business combinations, or other similar transactions, shares of our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or Class B common stock will be treated equally, identically, and will share ratably, on a per share basis, in any consideration related to such transaction, unless different treatment of the shares of each class is approved by the affirmative vote of the holders of a majority of the outstanding shares of Class A common stock and by the affirmative vote of the holders of a majority of the outstanding shares of Class B common stock, each voting separately as a class. In the event that the holders of shares of Class A common stock or Class B common stock are granted rights to elect to receive one of two or more alternative forms of consideration in connection with such transaction, the foregoing will be satisfied if holders of shares of Class A common stock and the holders of Class B common stock are granted identical election rights.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7"/>
          <w:szCs w:val="17"/>
          <w:i w:val="1"/>
          <w:iCs w:val="1"/>
          <w:color w:val="auto"/>
        </w:rPr>
        <w:t>Subdivisions and Combinations</w:t>
      </w:r>
      <w:r>
        <w:rPr>
          <w:rFonts w:ascii="Arial" w:cs="Arial" w:eastAsia="Arial" w:hAnsi="Arial"/>
          <w:sz w:val="17"/>
          <w:szCs w:val="17"/>
          <w:color w:val="auto"/>
        </w:rPr>
        <w:t>. If we subdivide or combine in any manner outstanding shares of Class A common stock or Class B common stock, then</w:t>
      </w:r>
      <w:r>
        <w:rPr>
          <w:rFonts w:ascii="Arial" w:cs="Arial" w:eastAsia="Arial" w:hAnsi="Arial"/>
          <w:sz w:val="17"/>
          <w:szCs w:val="17"/>
          <w:i w:val="1"/>
          <w:iCs w:val="1"/>
          <w:color w:val="auto"/>
        </w:rPr>
        <w:t xml:space="preserve"> </w:t>
      </w:r>
      <w:r>
        <w:rPr>
          <w:rFonts w:ascii="Arial" w:cs="Arial" w:eastAsia="Arial" w:hAnsi="Arial"/>
          <w:sz w:val="17"/>
          <w:szCs w:val="17"/>
          <w:color w:val="auto"/>
        </w:rPr>
        <w:t>the outstanding shares of the other class will be subdivided or combined in the same proportion and manner, unless different treatment of the shares of each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Holders of shares of our common stock do not have preemptive, subscription, or redemption rights. There will be no redemption or sinking fund provisions applicable to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Class A common stock and Class B common stock are fully paid and non-assessable.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Under the terms of our restated certificate of incorporation, our board of directors is authorized to direct us to issue shares of preferred stock in one or more series without stockholder approval, unless required by law or by any stock exchange.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4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Class A and Class B common stock and may adversely affect the market price of the Class A common stock and the voting and other rights of the holders of Class A and Class B common stock. We have no current plans to issue any shares of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Amendment</w:t>
      </w:r>
    </w:p>
    <w:p>
      <w:pPr>
        <w:spacing w:after="0" w:line="18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Equity awards granted under our Amended and Restated 2014 Stock Option and Grant Plan (as amended, the “2014 Plan”) generally settled in shares of Class B common stock. Class B common stock automatically converts to Class A common stock upon transfer unless transferred to a permitted transferee. In connection the direct listing of our Class A common stock (our “Direct Listing”), our board of directors amended all awards outstanding under our 2014 Plan to settle into Class A common stock (the “Equity Award Amendment”). Holders of Class A common stock received as a result of the Equity Award Amendment will have the one-time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5" w:name="page106"/>
    <w:bookmarkEnd w:id="105"/>
    <w:p>
      <w:pPr>
        <w:ind w:right="240"/>
        <w:spacing w:after="0" w:line="294" w:lineRule="auto"/>
        <w:rPr>
          <w:sz w:val="20"/>
          <w:szCs w:val="20"/>
          <w:color w:val="auto"/>
        </w:rPr>
      </w:pPr>
      <w:r>
        <w:rPr>
          <w:rFonts w:ascii="Arial" w:cs="Arial" w:eastAsia="Arial" w:hAnsi="Arial"/>
          <w:sz w:val="16"/>
          <w:szCs w:val="16"/>
          <w:color w:val="auto"/>
        </w:rPr>
        <w:t>exchange such shares of Class A common stock for an equal number of shares of Class B common stock until such time as the Class A common stock is transferred. There are no pre-defined time period or other restrictions related to the holder’s right to exchange such shares of Class A common stock. Holders may only elect to exchange all, and not a portion, of such shares of Class A common stock. Such right will transfer to a permitted transferee.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8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DGCL or our certificate of incorporation or bylaws or as to which the DGCL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of 1933, as amended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8" w:lineRule="exact"/>
        <w:rPr>
          <w:sz w:val="20"/>
          <w:szCs w:val="20"/>
          <w:color w:val="auto"/>
        </w:rPr>
      </w:pPr>
    </w:p>
    <w:p>
      <w:pPr>
        <w:ind w:right="300" w:firstLine="8"/>
        <w:spacing w:after="0" w:line="254" w:lineRule="auto"/>
        <w:tabs>
          <w:tab w:leader="none" w:pos="30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person or entity purchasing or otherwise acquiring or holding any interest in our shares of capital stock will be deemed to have notice of and consented to these provisions; and (v) failure to enforce the foregoing provisions would cause us irreparable harm, and we will be entitled to equitable relief, including injunctive relief and specific performance, to enforce the foregoing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38"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Although our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8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Multi-Class Stock</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described above in “—Common Stock—Voting rights,” our restated certificate of incorporation provides for a multi-class common stock structure, pursuant to which holders of our Class B common stock, including our current investors, executives, and employees, have the ability to control the outcome of matters requiring stockholder approval, even if such holders own significantly less than a majority of the shares of the shares of our outstanding Class A common stock and Class B common stock, including the election of directors and significant corporate transactions, such as a merger or other sale of our company or its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and Special Meetings of Stockholders</w:t>
      </w:r>
    </w:p>
    <w:p>
      <w:pPr>
        <w:spacing w:after="0" w:line="171" w:lineRule="exact"/>
        <w:rPr>
          <w:sz w:val="20"/>
          <w:szCs w:val="20"/>
          <w:color w:val="auto"/>
        </w:rPr>
      </w:pPr>
    </w:p>
    <w:p>
      <w:pPr>
        <w:ind w:right="360"/>
        <w:spacing w:after="0" w:line="241" w:lineRule="auto"/>
        <w:rPr>
          <w:sz w:val="20"/>
          <w:szCs w:val="20"/>
          <w:color w:val="auto"/>
        </w:rPr>
      </w:pPr>
      <w:r>
        <w:rPr>
          <w:rFonts w:ascii="Arial" w:cs="Arial" w:eastAsia="Arial" w:hAnsi="Arial"/>
          <w:sz w:val="18"/>
          <w:szCs w:val="18"/>
          <w:color w:val="auto"/>
        </w:rPr>
        <w:t>Our restated certificate of incorporation provides that any action required or permitted to be taken by our stockholders must be effected at a duly called annual or special meeting of our stockholders and may not be effected by any consent in writing by our stockholders. Our restated certificate of incorporation further provides that special meetings of our stockholders may be called only by a majority of our board of directors, thus prohibiting a stockholder from calling a special meeting. These provisions might delay the ability of our stockholders to force consideration of a proposal or for stockholders to take any action, including the removal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8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line="294" w:lineRule="auto"/>
        <w:rPr>
          <w:sz w:val="20"/>
          <w:szCs w:val="20"/>
          <w:color w:val="auto"/>
        </w:rPr>
      </w:pPr>
      <w:r>
        <w:rPr>
          <w:rFonts w:ascii="Arial" w:cs="Arial" w:eastAsia="Arial" w:hAnsi="Arial"/>
          <w:sz w:val="16"/>
          <w:szCs w:val="16"/>
          <w:color w:val="auto"/>
        </w:rPr>
        <w:t>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board of directors is divided into three classes, divided as nearly as equal in number as possible.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our voting shares will be able to elect all of our directors. Our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Requirements for Amendments of our Restated Certificate of Incorporation and Amended and Restated Bylaws</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Certain amendments to our restated certificate of incorporation and our amended and restated bylaws require the approval of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power of our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authorized but unissued shares of our common stock and our preferred stock are available for future issuance without stockholder approval, subject to any limitations imposed by Nasdaq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8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We are subject to the provisions of Section 203 of the DGCL. This statute prevents certain Delaware corporations, under certain circumstances, from engaging in a “business combination” with an “interested stockholder.” In general, Section 203 defines an “interested stockholder” as an entity or person who, together with the person’s affiliates and associates, beneficially owns 15% or more of the outstanding voting stock of the corporation.</w:t>
      </w:r>
    </w:p>
    <w:p>
      <w:pPr>
        <w:spacing w:after="0" w:line="10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of the DGCL do not apply if:</w:t>
      </w:r>
    </w:p>
    <w:p>
      <w:pPr>
        <w:spacing w:after="0" w:line="130" w:lineRule="exact"/>
        <w:rPr>
          <w:sz w:val="20"/>
          <w:szCs w:val="20"/>
          <w:color w:val="auto"/>
        </w:rPr>
      </w:pPr>
    </w:p>
    <w:p>
      <w:pPr>
        <w:ind w:left="800" w:hanging="371"/>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business combination takes place more than three years after the interested stockholder became an “interested stockholder;”</w:t>
      </w:r>
    </w:p>
    <w:p>
      <w:pPr>
        <w:spacing w:after="0" w:line="184" w:lineRule="exact"/>
        <w:rPr>
          <w:rFonts w:ascii="Arial" w:cs="Arial" w:eastAsia="Arial" w:hAnsi="Arial"/>
          <w:sz w:val="18"/>
          <w:szCs w:val="18"/>
          <w:color w:val="auto"/>
        </w:rPr>
      </w:pPr>
    </w:p>
    <w:p>
      <w:pPr>
        <w:ind w:left="800" w:hanging="371"/>
        <w:spacing w:after="0"/>
        <w:tabs>
          <w:tab w:leader="none" w:pos="8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182" w:lineRule="exact"/>
        <w:rPr>
          <w:rFonts w:ascii="Arial" w:cs="Arial" w:eastAsia="Arial" w:hAnsi="Arial"/>
          <w:sz w:val="17"/>
          <w:szCs w:val="17"/>
          <w:color w:val="auto"/>
        </w:rPr>
      </w:pPr>
    </w:p>
    <w:p>
      <w:pPr>
        <w:ind w:left="800" w:right="120" w:hanging="371"/>
        <w:spacing w:after="0" w:line="261"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our voting stock outstanding, other than statutorily excluded shares of common stock; or</w:t>
      </w:r>
    </w:p>
    <w:p>
      <w:pPr>
        <w:spacing w:after="0" w:line="130" w:lineRule="exact"/>
        <w:rPr>
          <w:rFonts w:ascii="Arial" w:cs="Arial" w:eastAsia="Arial" w:hAnsi="Arial"/>
          <w:sz w:val="18"/>
          <w:szCs w:val="18"/>
          <w:color w:val="auto"/>
        </w:rPr>
      </w:pPr>
    </w:p>
    <w:p>
      <w:pPr>
        <w:ind w:left="800" w:right="260" w:hanging="371"/>
        <w:spacing w:after="0" w:line="24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Indemnification</w:t>
      </w:r>
    </w:p>
    <w:p>
      <w:pPr>
        <w:spacing w:after="0" w:line="175"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Our restated certificate of incorporation provides that our directors will not be personally liable to us or our stockholders for monetary damages for any breach of fiduciary duty as a director, except to the extent such exemption from liability or limitation is not permitted under the DGCL, as may be amended. The DGCL provides that the certificate of incorporation may not eliminate or limit the liability of a director:</w:t>
      </w:r>
    </w:p>
    <w:p>
      <w:pPr>
        <w:spacing w:after="0" w:line="123" w:lineRule="exact"/>
        <w:rPr>
          <w:sz w:val="20"/>
          <w:szCs w:val="20"/>
          <w:color w:val="auto"/>
        </w:rPr>
      </w:pPr>
    </w:p>
    <w:p>
      <w:pPr>
        <w:ind w:left="800" w:hanging="371"/>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ind w:left="800" w:hanging="371"/>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71" w:lineRule="exact"/>
        <w:rPr>
          <w:rFonts w:ascii="Arial" w:cs="Arial" w:eastAsia="Arial" w:hAnsi="Arial"/>
          <w:sz w:val="18"/>
          <w:szCs w:val="18"/>
          <w:color w:val="auto"/>
        </w:rPr>
      </w:pPr>
    </w:p>
    <w:p>
      <w:pPr>
        <w:ind w:left="800" w:hanging="371"/>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pursuant to Section 174 of the DGCL; or</w:t>
      </w:r>
    </w:p>
    <w:p>
      <w:pPr>
        <w:spacing w:after="0" w:line="184" w:lineRule="exact"/>
        <w:rPr>
          <w:rFonts w:ascii="Arial" w:cs="Arial" w:eastAsia="Arial" w:hAnsi="Arial"/>
          <w:sz w:val="18"/>
          <w:szCs w:val="18"/>
          <w:color w:val="auto"/>
        </w:rPr>
      </w:pPr>
    </w:p>
    <w:p>
      <w:pPr>
        <w:ind w:left="800" w:hanging="371"/>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amended and restated bylaws provide that we must indemnify our directors and officers to the fullest extent permitted by law. We are also expressly authorized to advance certain expenses (including attorneys’ fees) to our directors and officers and carry directors’ and officers’ insurance providing indemnification for our directors and officers for some liabilities. We believe that these indemnification provisions and insurance are useful to attract and retain qualified directors and executive officers. In addition, we have entered into separate indemnification agreements with each of our directors and executive officers.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capital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w:t>
      </w:r>
    </w:p>
    <w:p>
      <w:pPr>
        <w:spacing w:after="0" w:line="1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registration rights set forth in the amended and restated investors’ rights agreement will terminate (i) on September 21, 2026 or (ii) with respect to any particular stockholder, the earliest of when such stockholder is able to sell all of its shares pursuant to Rule 144(b)(1)(i) of the Securities Act or holds 1% or less of our outstanding Class A common stock, which includes shares of Class B common stock convertible into Class A common stock, and is able to sell all of its registrable shares pursuant to Rule 144 of the Securities Act during any three month period. We will pay the registration expenses (other than underwriting discounts and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8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Certain holders of our Class A common stock and Class B common stock are entitled to certain demand registration rights. At any time beginning six months after the effectiveness of the registration statement related to our Direct Listing, holders of at least 50% of these shares of registrable securities can request that we register the offer and sale of their shares. We are obligated to effect only one such registration. Such request for registration must cover securities the anticipated aggregate offering price of which is at least $15.0 million. We will not be required to effect a demand registration during the period beginning 60 days prior to our good faith estimate of the date of the filing of, and ending on a date 180 days following the effectiveness of, a registration statement relating to the public offering of our Class A common stock. If we determine that it would be seriously detrimental to us and our stockholders to effect such a demand registration, we have the right to defer such registration, not more than once in any 12-month period, for a period of up to 90 days.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certain holders of our Class A common stock and Class B common stock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demand registration, (ii) a registration relating solely to the sale of securities of participants in our stock plan, (iii) a registration relating to a corporate reorganization or transaction under Rule 145 of the Securities Act, (iv) a registration on any registration form that does not include substantially the same information as would be required to be included in a registration statement covering the sale of such shares, or (v) a registration in which the only shares being registered are shares issuable upon conversion of debt securities that are also being registered, the holders of such shares are entitled to notice of the registration and have the right, subject to certain limitations, to include their shares in the registration.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7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Certain holders of our Class A common stock and Class B common stock are entitled to certain Form S-3 registration rights. The holders of at least 30% of these shares then outstanding may make a request that we register the offer and sale of their shares on a registration statement on Form S-3, if we are eligible to file a registration statement on Form S-3 and so long as the request covers securities the anticipated aggregate public offering price of which is at least $10.0 million, net of any underwriters’ discounts, or commissions.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once in any 12-month period, for a period of up to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transfer agent and registrar for our Class A common stock and Class B common stock is American Stock Transfer &amp; Trust Company, LLC. The transfer agent and registrar’s address is 6201 15th Avenue, Brooklyn, New York 11219, and its telephone number is (718) 921-8124.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Capital Market under the symbol “AMPL.”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580" w:type="dxa"/>
            <w:vAlign w:val="bottom"/>
            <w:gridSpan w:val="3"/>
          </w:tcPr>
          <w:p>
            <w:pPr>
              <w:ind w:left="840"/>
              <w:spacing w:after="0"/>
              <w:rPr>
                <w:sz w:val="20"/>
                <w:szCs w:val="20"/>
                <w:color w:val="auto"/>
              </w:rPr>
            </w:pPr>
            <w:r>
              <w:rPr>
                <w:rFonts w:ascii="Arial" w:cs="Arial" w:eastAsia="Arial" w:hAnsi="Arial"/>
                <w:sz w:val="18"/>
                <w:szCs w:val="18"/>
                <w:b w:val="1"/>
                <w:bCs w:val="1"/>
                <w:color w:val="auto"/>
              </w:rPr>
              <w:t>Subsidiaries of the Registrant</w:t>
            </w:r>
          </w:p>
        </w:tc>
        <w:tc>
          <w:tcPr>
            <w:tcW w:w="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Entity</w:t>
            </w:r>
          </w:p>
        </w:tc>
        <w:tc>
          <w:tcPr>
            <w:tcW w:w="2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Jurisdiction of Incorporation</w:t>
            </w:r>
          </w:p>
        </w:tc>
        <w:tc>
          <w:tcPr>
            <w:tcW w:w="2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line="168" w:lineRule="exact"/>
              <w:rPr>
                <w:sz w:val="20"/>
                <w:szCs w:val="20"/>
                <w:color w:val="auto"/>
              </w:rPr>
            </w:pPr>
            <w:r>
              <w:rPr>
                <w:rFonts w:ascii="Arial" w:cs="Arial" w:eastAsia="Arial" w:hAnsi="Arial"/>
                <w:sz w:val="18"/>
                <w:szCs w:val="18"/>
                <w:color w:val="auto"/>
              </w:rPr>
              <w:t>Amplitude Holding B.V.</w:t>
            </w: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60" w:type="dxa"/>
            <w:vAlign w:val="bottom"/>
          </w:tcPr>
          <w:p>
            <w:pPr>
              <w:spacing w:after="0" w:line="168" w:lineRule="exact"/>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Amplitude Analytics B.V.</w:t>
            </w: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Amplitude Analytics SAS</w:t>
            </w: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France</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Amplitude Analytics Pte. Ltd.</w:t>
            </w: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Amplitude Analytics Ltd.</w:t>
            </w: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Amplitude Analytics GK</w:t>
            </w: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Japan</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Amplitude Analytics GmBH</w:t>
            </w: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Amplitude Canada Limited</w:t>
            </w: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Canada</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Amplitude Analytics Australia Pty Ltd</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20"/>
                <w:szCs w:val="20"/>
                <w:color w:val="auto"/>
              </w:rPr>
            </w:pPr>
          </w:p>
        </w:tc>
      </w:tr>
      <w:tr>
        <w:trPr>
          <w:trHeight w:val="304"/>
        </w:trPr>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rPr>
          <w:sz w:val="20"/>
          <w:szCs w:val="20"/>
          <w:color w:val="auto"/>
        </w:rPr>
      </w:pPr>
      <w:r>
        <w:rPr>
          <w:rFonts w:ascii="Arial" w:cs="Arial" w:eastAsia="Arial" w:hAnsi="Arial"/>
          <w:sz w:val="18"/>
          <w:szCs w:val="18"/>
          <w:color w:val="auto"/>
        </w:rPr>
        <w:t>Amplitude, Inc.:</w:t>
      </w:r>
    </w:p>
    <w:p>
      <w:pPr>
        <w:spacing w:after="0" w:line="26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consent to the incorporation by reference in the registration statement (No. 333-259698) on Form S-8 of our report dated February 16, 2022, with respect to the consolidated financial statements of Amplitude,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San Francisco,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EXECUTIVE OFFICER PURSUANT TO RULES 13a-14(a) AND 15d -14(a)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Spenser Skates, certify that:</w:t>
      </w:r>
    </w:p>
    <w:p>
      <w:pPr>
        <w:spacing w:after="0" w:line="212"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Amplitude,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60" w:hanging="512"/>
        <w:spacing w:after="0" w:line="261"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16, 2022</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Spenser Skates</w:t>
            </w:r>
          </w:p>
        </w:tc>
      </w:tr>
      <w:tr>
        <w:trPr>
          <w:trHeight w:val="151"/>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1"/>
              </w:rPr>
              <w:t>Spenser Skates</w:t>
            </w:r>
          </w:p>
        </w:tc>
      </w:tr>
      <w:tr>
        <w:trPr>
          <w:trHeight w:val="180"/>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0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FINANCIAL OFFICER PURSUANT TO RULES 13a-14(a) AND 15d -14(a)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Hoang Vuong, certify that:</w:t>
      </w:r>
    </w:p>
    <w:p>
      <w:pPr>
        <w:spacing w:after="0" w:line="212"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Amplitude,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60" w:hanging="512"/>
        <w:spacing w:after="0" w:line="261"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16, 2022</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Hoang Vuong</w:t>
            </w:r>
          </w:p>
        </w:tc>
      </w:tr>
      <w:tr>
        <w:trPr>
          <w:trHeight w:val="151"/>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Hoang Vuong</w:t>
            </w:r>
          </w:p>
        </w:tc>
      </w:tr>
      <w:tr>
        <w:trPr>
          <w:trHeight w:val="180"/>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50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1"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In connection with the Annual Report on Form 10-K of Amplitude, Inc. (the “Company”) on Form 10-K for the period ended December 31, 2021, as filed with the Securities and Exchange Commission on the date hereof (the “Report”), I certify, pursuant to 18 U.S.C. § 1350, as adopted pursuant to § 906 of the Sarbanes-Oxley Act of 2002, as amended, that:</w:t>
      </w:r>
    </w:p>
    <w:p>
      <w:pPr>
        <w:spacing w:after="0" w:line="182" w:lineRule="exact"/>
        <w:rPr>
          <w:sz w:val="20"/>
          <w:szCs w:val="20"/>
          <w:color w:val="auto"/>
        </w:rPr>
      </w:pPr>
    </w:p>
    <w:p>
      <w:pPr>
        <w:ind w:left="1020" w:hanging="503"/>
        <w:spacing w:after="0"/>
        <w:tabs>
          <w:tab w:leader="none" w:pos="10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3" w:lineRule="exact"/>
        <w:rPr>
          <w:rFonts w:ascii="Arial" w:cs="Arial" w:eastAsia="Arial" w:hAnsi="Arial"/>
          <w:sz w:val="17"/>
          <w:szCs w:val="17"/>
          <w:color w:val="auto"/>
        </w:rPr>
      </w:pPr>
    </w:p>
    <w:p>
      <w:pPr>
        <w:ind w:left="1020" w:right="560" w:hanging="503"/>
        <w:spacing w:after="0" w:line="261"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16, 2022</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Spenser Skates</w:t>
            </w:r>
          </w:p>
        </w:tc>
      </w:tr>
      <w:tr>
        <w:trPr>
          <w:trHeight w:val="151"/>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1"/>
              </w:rPr>
              <w:t>Spenser Skates</w:t>
            </w:r>
          </w:p>
        </w:tc>
      </w:tr>
      <w:tr>
        <w:trPr>
          <w:trHeight w:val="180"/>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0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connection with the Annual Report on Form 10-K of Amplitude, Inc. (the “Company”) on Form 10-K for the period ended December 31, 2021 as filed with the Securities and Exchange Commission on the date hereof (the “Report”), I certify, pursuant to 18 U.S.C. § 1350, as adopted pursuant to § 906 of the Sarbanes-Oxley Act of 2002, as amended, that:</w:t>
      </w:r>
    </w:p>
    <w:p>
      <w:pPr>
        <w:spacing w:after="0" w:line="182" w:lineRule="exact"/>
        <w:rPr>
          <w:sz w:val="20"/>
          <w:szCs w:val="20"/>
          <w:color w:val="auto"/>
        </w:rPr>
      </w:pPr>
    </w:p>
    <w:p>
      <w:pPr>
        <w:ind w:left="1020" w:hanging="503"/>
        <w:spacing w:after="0"/>
        <w:tabs>
          <w:tab w:leader="none" w:pos="10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3" w:lineRule="exact"/>
        <w:rPr>
          <w:rFonts w:ascii="Arial" w:cs="Arial" w:eastAsia="Arial" w:hAnsi="Arial"/>
          <w:sz w:val="17"/>
          <w:szCs w:val="17"/>
          <w:color w:val="auto"/>
        </w:rPr>
      </w:pPr>
    </w:p>
    <w:p>
      <w:pPr>
        <w:ind w:left="1020" w:right="560" w:hanging="503"/>
        <w:spacing w:after="0" w:line="261"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16, 2022</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Hoang Vuong</w:t>
            </w:r>
          </w:p>
        </w:tc>
      </w:tr>
      <w:tr>
        <w:trPr>
          <w:trHeight w:val="151"/>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Hoang Vuong</w:t>
            </w:r>
          </w:p>
        </w:tc>
      </w:tr>
      <w:tr>
        <w:trPr>
          <w:trHeight w:val="180"/>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50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5" w:name="page116"/>
    <w:bookmarkEnd w:id="1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lowerRoman"/>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lowerRoman"/>
      <w:start w:val="1"/>
    </w:lvl>
  </w:abstractNum>
  <w:abstractNum w:abstractNumId="47">
    <w:nsid w:val="2F305DEF"/>
    <w:multiLevelType w:val="hybridMultilevel"/>
    <w:lvl w:ilvl="0">
      <w:lvlJc w:val="left"/>
      <w:lvlText w:val="(%1)"/>
      <w:numFmt w:val="lowerRoman"/>
      <w:start w:val="2"/>
    </w:lvl>
  </w:abstractNum>
  <w:abstractNum w:abstractNumId="48">
    <w:nsid w:val="25A70BF7"/>
    <w:multiLevelType w:val="hybridMultilevel"/>
    <w:lvl w:ilvl="0">
      <w:lvlJc w:val="left"/>
      <w:lvlText w:val="(%1)"/>
      <w:numFmt w:val="lowerRoman"/>
      <w:start w:val="3"/>
    </w:lvl>
  </w:abstractNum>
  <w:abstractNum w:abstractNumId="49">
    <w:nsid w:val="1DBABF00"/>
    <w:multiLevelType w:val="hybridMultilevel"/>
    <w:lvl w:ilvl="0">
      <w:lvlJc w:val="left"/>
      <w:lvlText w:val="(%1)"/>
      <w:numFmt w:val="lowerRoman"/>
      <w:start w:val="4"/>
    </w:lvl>
  </w:abstractNum>
  <w:abstractNum w:abstractNumId="50">
    <w:nsid w:val="4AD084E9"/>
    <w:multiLevelType w:val="hybridMultilevel"/>
    <w:lvl w:ilvl="0">
      <w:lvlJc w:val="left"/>
      <w:lvlText w:val="(%1)"/>
      <w:numFmt w:val="lowerRoman"/>
      <w:start w:val="5"/>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1)"/>
      <w:numFmt w:val="decimal"/>
      <w:start w:val="2"/>
    </w:lvl>
  </w:abstractNum>
  <w:abstractNum w:abstractNumId="53">
    <w:nsid w:val="5DB70AE5"/>
    <w:multiLevelType w:val="hybridMultilevel"/>
    <w:lvl w:ilvl="0">
      <w:lvlJc w:val="left"/>
      <w:lvlText w:val="(%1)"/>
      <w:numFmt w:val="decimal"/>
      <w:start w:val="3"/>
    </w:lvl>
  </w:abstractNum>
  <w:abstractNum w:abstractNumId="54">
    <w:nsid w:val="100F8FCA"/>
    <w:multiLevelType w:val="hybridMultilevel"/>
    <w:lvl w:ilvl="0">
      <w:lvlJc w:val="left"/>
      <w:lvlText w:val="(%1)"/>
      <w:numFmt w:val="decimal"/>
      <w:start w:val="4"/>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5"/>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1)"/>
      <w:numFmt w:val="lowerRoman"/>
      <w:start w:val="1"/>
    </w:lvl>
  </w:abstractNum>
  <w:abstractNum w:abstractNumId="61">
    <w:nsid w:val="42C296BD"/>
    <w:multiLevelType w:val="hybridMultilevel"/>
    <w:lvl w:ilvl="0">
      <w:lvlJc w:val="left"/>
      <w:lvlText w:val="(%1)"/>
      <w:numFmt w:val="lowerRoman"/>
      <w:start w:val="2"/>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decimal"/>
      <w:start w:val="6"/>
    </w:lvl>
  </w:abstractNum>
  <w:abstractNum w:abstractNumId="65">
    <w:nsid w:val="5DC79EA8"/>
    <w:multiLevelType w:val="hybridMultilevel"/>
    <w:lvl w:ilvl="0">
      <w:lvlJc w:val="left"/>
      <w:lvlText w:val="(%1)"/>
      <w:numFmt w:val="decimal"/>
      <w:start w:val="7"/>
    </w:lvl>
  </w:abstractNum>
  <w:abstractNum w:abstractNumId="66">
    <w:nsid w:val="540A471C"/>
    <w:multiLevelType w:val="hybridMultilevel"/>
    <w:lvl w:ilvl="0">
      <w:lvlJc w:val="left"/>
      <w:lvlText w:val="(%1)"/>
      <w:numFmt w:val="decimal"/>
      <w:start w:val="8"/>
    </w:lvl>
  </w:abstractNum>
  <w:abstractNum w:abstractNumId="67">
    <w:nsid w:val="7BD3EE7B"/>
    <w:multiLevelType w:val="hybridMultilevel"/>
    <w:lvl w:ilvl="0">
      <w:lvlJc w:val="left"/>
      <w:lvlText w:val="(%1)"/>
      <w:numFmt w:val="decimal"/>
      <w:start w:val="9"/>
    </w:lvl>
  </w:abstractNum>
  <w:abstractNum w:abstractNumId="68">
    <w:nsid w:val="51D9C564"/>
    <w:multiLevelType w:val="hybridMultilevel"/>
    <w:lvl w:ilvl="0">
      <w:lvlJc w:val="left"/>
      <w:lvlText w:val="(%1)"/>
      <w:numFmt w:val="decimal"/>
      <w:start w:val="10"/>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3"/>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lowerRoman"/>
      <w:start w:val="4"/>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44" Type="http://schemas.openxmlformats.org/officeDocument/2006/relationships/hyperlink" Target="https://www.sec.gov/Archives/edgar/data/1866692/000119312521278308/d93786dex31.htm" TargetMode="External"/><Relationship Id="rId345" Type="http://schemas.openxmlformats.org/officeDocument/2006/relationships/hyperlink" Target="https://www.sec.gov/Archives/edgar/data/1866692/000119312521278308/d93786dex32.htm" TargetMode="External"/><Relationship Id="rId346" Type="http://schemas.openxmlformats.org/officeDocument/2006/relationships/hyperlink" Target="https://www.sec.gov/Archives/edgar/data/1866692/000119312521260696/d143868dex42.htm" TargetMode="External"/><Relationship Id="rId347" Type="http://schemas.openxmlformats.org/officeDocument/2006/relationships/hyperlink" Target="https://www.sec.gov/Archives/edgar/data/1866692/000119312521278407/d114916dex44.htm" TargetMode="External"/><Relationship Id="rId348" Type="http://schemas.openxmlformats.org/officeDocument/2006/relationships/hyperlink" Target="https://www.sec.gov/Archives/edgar/data/1866692/000119312521260696/d143868dex43.htm" TargetMode="External"/><Relationship Id="rId349" Type="http://schemas.openxmlformats.org/officeDocument/2006/relationships/hyperlink" Target="https://www.sec.gov/Archives/edgar/data/1866692/000119312521260696/d143868dex44.htm" TargetMode="External"/><Relationship Id="rId350" Type="http://schemas.openxmlformats.org/officeDocument/2006/relationships/hyperlink" Target="https://www.sec.gov/Archives/edgar/data/1866692/000119312521260696/d143868dex101.htm" TargetMode="External"/><Relationship Id="rId351" Type="http://schemas.openxmlformats.org/officeDocument/2006/relationships/hyperlink" Target="https://www.sec.gov/Archives/edgar/data/1866692/000119312521260696/d143868dex102a.htm" TargetMode="External"/><Relationship Id="rId352" Type="http://schemas.openxmlformats.org/officeDocument/2006/relationships/hyperlink" Target="https://www.sec.gov/Archives/edgar/data/1866692/000119312521260696/d143868dex102b.htm" TargetMode="External"/><Relationship Id="rId353" Type="http://schemas.openxmlformats.org/officeDocument/2006/relationships/hyperlink" Target="https://www.sec.gov/Archives/edgar/data/1866692/000119312521260696/d143868dex103a.htm" TargetMode="External"/><Relationship Id="rId354" Type="http://schemas.openxmlformats.org/officeDocument/2006/relationships/hyperlink" Target="https://www.sec.gov/Archives/edgar/data/1866692/000119312521260696/d143868dex103b.htm" TargetMode="External"/><Relationship Id="rId357" Type="http://schemas.openxmlformats.org/officeDocument/2006/relationships/hyperlink" Target="https://www.sec.gov/Archives/edgar/data/1866692/000119312521260696/d143868dex104.htm" TargetMode="External"/><Relationship Id="rId358" Type="http://schemas.openxmlformats.org/officeDocument/2006/relationships/hyperlink" Target="https://www.sec.gov/Archives/edgar/data/1866692/000119312521260696/d143868dex105.htm" TargetMode="External"/><Relationship Id="rId359" Type="http://schemas.openxmlformats.org/officeDocument/2006/relationships/hyperlink" Target="https://www.sec.gov/Archives/edgar/data/1866692/000119312521260696/d143868dex106.htm" TargetMode="External"/><Relationship Id="rId360" Type="http://schemas.openxmlformats.org/officeDocument/2006/relationships/hyperlink" Target="https://www.sec.gov/Archives/edgar/data/1866692/000119312521260696/d143868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2022-02-17T05:19:44Z</dcterms:created>
  <dcterms:modified xsi:type="dcterms:W3CDTF">2022-02-17T05:19:44Z</dcterms:modified>
</cp:coreProperties>
</file>