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60" w:right="1580" w:hanging="3639"/>
        <w:spacing w:after="0" w:line="344"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25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420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001-40817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AMPLITUDE,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1760" w:type="dxa"/>
        <w:tblCellMar>
          <w:top w:w="0" w:type="dxa"/>
          <w:left w:w="0" w:type="dxa"/>
          <w:bottom w:w="0" w:type="dxa"/>
          <w:right w:w="0" w:type="dxa"/>
        </w:tblCellMar>
      </w:tblPr>
      <w:tr>
        <w:trPr>
          <w:trHeight w:val="218"/>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45-3937349</w:t>
            </w:r>
          </w:p>
        </w:tc>
      </w:tr>
      <w:tr>
        <w:trPr>
          <w:trHeight w:val="135"/>
        </w:trPr>
        <w:tc>
          <w:tcPr>
            <w:tcW w:w="4140" w:type="dxa"/>
            <w:vAlign w:val="bottom"/>
          </w:tcPr>
          <w:p>
            <w:pPr>
              <w:jc w:val="center"/>
              <w:ind w:right="196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6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4140" w:type="dxa"/>
            <w:vAlign w:val="bottom"/>
          </w:tcPr>
          <w:p>
            <w:pPr>
              <w:jc w:val="center"/>
              <w:ind w:right="1964"/>
              <w:spacing w:after="0" w:line="133"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020" w:type="dxa"/>
            <w:vAlign w:val="bottom"/>
          </w:tcPr>
          <w:p>
            <w:pPr>
              <w:jc w:val="center"/>
              <w:ind w:left="196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w w:val="99"/>
              </w:rPr>
              <w:t>201 Third Street, Suite 200</w:t>
            </w:r>
          </w:p>
        </w:tc>
        <w:tc>
          <w:tcPr>
            <w:tcW w:w="3020" w:type="dxa"/>
            <w:vAlign w:val="bottom"/>
          </w:tcPr>
          <w:p>
            <w:pPr>
              <w:spacing w:after="0"/>
              <w:rPr>
                <w:sz w:val="18"/>
                <w:szCs w:val="18"/>
                <w:color w:val="auto"/>
              </w:rPr>
            </w:pPr>
          </w:p>
        </w:tc>
      </w:tr>
      <w:tr>
        <w:trPr>
          <w:trHeight w:val="218"/>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8"/>
                <w:szCs w:val="18"/>
                <w:b w:val="1"/>
                <w:bCs w:val="1"/>
                <w:color w:val="auto"/>
              </w:rPr>
              <w:t>San Francisco, California</w:t>
            </w:r>
          </w:p>
        </w:tc>
        <w:tc>
          <w:tcPr>
            <w:tcW w:w="302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94103</w:t>
            </w:r>
          </w:p>
        </w:tc>
      </w:tr>
      <w:tr>
        <w:trPr>
          <w:trHeight w:val="166"/>
        </w:trPr>
        <w:tc>
          <w:tcPr>
            <w:tcW w:w="4140" w:type="dxa"/>
            <w:vAlign w:val="bottom"/>
          </w:tcPr>
          <w:p>
            <w:pPr>
              <w:jc w:val="center"/>
              <w:ind w:right="1964"/>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231-2353</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200660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$0.00001 par value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AMPL</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 w:leader="none" w:pos="88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3" w:lineRule="exact"/>
        <w:rPr>
          <w:sz w:val="24"/>
          <w:szCs w:val="24"/>
          <w:color w:val="auto"/>
        </w:rPr>
      </w:pPr>
    </w:p>
    <w:p>
      <w:pPr>
        <w:ind w:right="60" w:firstLine="599"/>
        <w:spacing w:after="0" w:line="298" w:lineRule="auto"/>
        <w:rPr>
          <w:sz w:val="20"/>
          <w:szCs w:val="20"/>
          <w:color w:val="auto"/>
        </w:rPr>
      </w:pPr>
      <w:r>
        <w:rPr>
          <w:rFonts w:ascii="Times New Roman" w:cs="Times New Roman" w:eastAsia="Times New Roman" w:hAnsi="Times New Roman"/>
          <w:sz w:val="16"/>
          <w:szCs w:val="16"/>
          <w:color w:val="auto"/>
        </w:rPr>
        <w:t>As of November 3, 2025, there were 103,610,139 shares of the registrant's Class A common stock and 30,076,035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40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561"/>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5520" w:type="dxa"/>
            <w:vAlign w:val="bottom"/>
            <w:gridSpan w:val="15"/>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8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Digital Analytics Platform and upsell and cross-sell additional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including our ability to grow and maintain our channel partners, and our ability to promote our brand;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crises and other global events, such as the war in Ukraine and the conflicts in the Middle East, on our business and the global economy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growth by incorporating artificial intelligence and machine learning solutions into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being a public company.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Quarterly Report on Form 10-Q.</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72" w:lineRule="exact"/>
        <w:rPr>
          <w:sz w:val="20"/>
          <w:szCs w:val="20"/>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been growing rapidly over the last several years, which makes it difficult to forecast our future results of operations and increases the risk of your investment.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As our costs increase, we may not be able to generate sufficient revenue to achieve and sustain profitability.</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right="60" w:hanging="503"/>
        <w:spacing w:after="0" w:line="312"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31" w:lineRule="exact"/>
        <w:rPr>
          <w:rFonts w:ascii="Times New Roman" w:cs="Times New Roman" w:eastAsia="Times New Roman" w:hAnsi="Times New Roman"/>
          <w:sz w:val="17"/>
          <w:szCs w:val="17"/>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focus on sales to larger organizations and may become more dependent on those relationships, which may increase the variability of our sales cycle and our results of operations.</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over the term of our customer contracts. Consequently, downturns or upturns in new sales may not be immediately reflected in our results of operations and may be difficult to discern.</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for SaaS applications develops more slowly than we expect or declines, our business would be materially adversely affected.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protect our business or provide us with a competitive advantage, which could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 regulation, including import, export control, economic sanctions, and trade sanctions, and anti-corruption laws and regulations, which may expose us to liability and increase our costs.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has been, and in the future, may be, volatile, and could decline significantly and rapidly.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have the ability to influence the outcome of director elections and other matters requiring stockholder approval.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Pr>
          <w:p>
            <w:pPr>
              <w:spacing w:after="0"/>
              <w:rPr>
                <w:sz w:val="18"/>
                <w:szCs w:val="18"/>
                <w:color w:val="auto"/>
              </w:rPr>
            </w:pPr>
          </w:p>
        </w:tc>
      </w:tr>
      <w:tr>
        <w:trPr>
          <w:trHeight w:val="19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82,217</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171,678</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current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Marketable securities, current</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106,983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69,419</w:t>
            </w:r>
          </w:p>
        </w:tc>
        <w:tc>
          <w:tcPr>
            <w:tcW w:w="120" w:type="dxa"/>
            <w:vAlign w:val="bottom"/>
            <w:shd w:val="clear" w:color="auto" w:fill="CFF0FC"/>
          </w:tcPr>
          <w:p>
            <w:pPr>
              <w:spacing w:after="0"/>
              <w:rPr>
                <w:sz w:val="17"/>
                <w:szCs w:val="17"/>
                <w:color w:val="auto"/>
              </w:rPr>
            </w:pPr>
          </w:p>
        </w:tc>
      </w:tr>
      <w:tr>
        <w:trPr>
          <w:trHeight w:val="189"/>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$1,439</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and $1,417 as of September 30, 2025 and December 31, 2024, respectively</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26,346</w:t>
            </w:r>
          </w:p>
        </w:tc>
        <w:tc>
          <w:tcPr>
            <w:tcW w:w="120" w:type="dxa"/>
            <w:vAlign w:val="bottom"/>
          </w:tcPr>
          <w:p>
            <w:pPr>
              <w:spacing w:after="0"/>
              <w:rPr>
                <w:sz w:val="18"/>
                <w:szCs w:val="18"/>
                <w:color w:val="auto"/>
              </w:rPr>
            </w:pPr>
          </w:p>
        </w:tc>
      </w:tr>
      <w:tr>
        <w:trPr>
          <w:trHeight w:val="205"/>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23,641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20,353</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commissions, current</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14,954</w:t>
            </w:r>
          </w:p>
        </w:tc>
        <w:tc>
          <w:tcPr>
            <w:tcW w:w="120" w:type="dxa"/>
            <w:vAlign w:val="bottom"/>
          </w:tcPr>
          <w:p>
            <w:pPr>
              <w:spacing w:after="0"/>
              <w:rPr>
                <w:sz w:val="17"/>
                <w:szCs w:val="17"/>
                <w:color w:val="auto"/>
              </w:rPr>
            </w:pPr>
          </w:p>
        </w:tc>
      </w:tr>
      <w:tr>
        <w:trPr>
          <w:trHeight w:val="19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265,777</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303,631</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 noncurrent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57,242</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17,786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16,333</w:t>
            </w:r>
          </w:p>
        </w:tc>
        <w:tc>
          <w:tcPr>
            <w:tcW w:w="120" w:type="dxa"/>
            <w:vAlign w:val="bottom"/>
            <w:shd w:val="clear" w:color="auto" w:fill="CFF0FC"/>
          </w:tcPr>
          <w:p>
            <w:pPr>
              <w:spacing w:after="0"/>
              <w:rPr>
                <w:sz w:val="17"/>
                <w:szCs w:val="17"/>
                <w:color w:val="auto"/>
              </w:rPr>
            </w:pPr>
          </w:p>
        </w:tc>
      </w:tr>
      <w:tr>
        <w:trPr>
          <w:trHeight w:val="202"/>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25,181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24,370</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commissions, noncurrent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27,697</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6,988</w:t>
            </w:r>
          </w:p>
        </w:tc>
        <w:tc>
          <w:tcPr>
            <w:tcW w:w="120" w:type="dxa"/>
            <w:vAlign w:val="bottom"/>
          </w:tcPr>
          <w:p>
            <w:pPr>
              <w:spacing w:after="0"/>
              <w:rPr>
                <w:sz w:val="17"/>
                <w:szCs w:val="17"/>
                <w:color w:val="auto"/>
              </w:rPr>
            </w:pPr>
          </w:p>
        </w:tc>
      </w:tr>
      <w:tr>
        <w:trPr>
          <w:trHeight w:val="23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438,124</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445,911</w:t>
            </w:r>
          </w:p>
        </w:tc>
        <w:tc>
          <w:tcPr>
            <w:tcW w:w="120" w:type="dxa"/>
            <w:vAlign w:val="bottom"/>
            <w:shd w:val="clear" w:color="auto" w:fill="CFF0FC"/>
          </w:tcPr>
          <w:p>
            <w:pPr>
              <w:spacing w:after="0"/>
              <w:rPr>
                <w:sz w:val="20"/>
                <w:szCs w:val="20"/>
                <w:color w:val="auto"/>
              </w:rPr>
            </w:pPr>
          </w:p>
        </w:tc>
      </w:tr>
      <w:tr>
        <w:trPr>
          <w:trHeight w:val="183"/>
        </w:trPr>
        <w:tc>
          <w:tcPr>
            <w:tcW w:w="7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33,729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33,851</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109,671</w:t>
            </w:r>
          </w:p>
        </w:tc>
        <w:tc>
          <w:tcPr>
            <w:tcW w:w="120" w:type="dxa"/>
            <w:vAlign w:val="bottom"/>
          </w:tcPr>
          <w:p>
            <w:pPr>
              <w:spacing w:after="0"/>
              <w:rPr>
                <w:sz w:val="17"/>
                <w:szCs w:val="17"/>
                <w:color w:val="auto"/>
              </w:rPr>
            </w:pPr>
          </w:p>
        </w:tc>
      </w:tr>
      <w:tr>
        <w:trPr>
          <w:trHeight w:val="196"/>
        </w:trPr>
        <w:tc>
          <w:tcPr>
            <w:tcW w:w="77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170,791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144,513</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20" w:type="dxa"/>
            <w:vAlign w:val="bottom"/>
          </w:tcPr>
          <w:p>
            <w:pPr>
              <w:spacing w:after="0"/>
              <w:rPr>
                <w:sz w:val="17"/>
                <w:szCs w:val="17"/>
                <w:color w:val="auto"/>
              </w:rPr>
            </w:pPr>
          </w:p>
        </w:tc>
      </w:tr>
      <w:tr>
        <w:trPr>
          <w:trHeight w:val="202"/>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149,355</w:t>
            </w:r>
          </w:p>
        </w:tc>
        <w:tc>
          <w:tcPr>
            <w:tcW w:w="120" w:type="dxa"/>
            <w:vAlign w:val="bottom"/>
          </w:tcPr>
          <w:p>
            <w:pPr>
              <w:spacing w:after="0"/>
              <w:rPr>
                <w:sz w:val="17"/>
                <w:szCs w:val="17"/>
                <w:color w:val="auto"/>
              </w:rPr>
            </w:pP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Preferred stock, $0.00001 par value per share; 20,000 shares authorized</w:t>
            </w:r>
          </w:p>
        </w:tc>
        <w:tc>
          <w:tcPr>
            <w:tcW w:w="1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as of September 30, 2025 and December 31, 2024; zero shares issued and</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outstanding as of September 30, 2025 and December 31, 2024</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A common stock, $0.00001 par value per share; 600,000 shares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authorized as of September 30, 2025 and December 31, 2024;</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103,629 and 96,095 shares issued and outstanding as of</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7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September 30, 2025 and December 31, 2024, respectively</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r>
      <w:tr>
        <w:trPr>
          <w:trHeight w:val="192"/>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Class B common stock, $0.00001 par value per share; 600,000</w:t>
            </w:r>
          </w:p>
        </w:tc>
        <w:tc>
          <w:tcPr>
            <w:tcW w:w="1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authorized as of September 30, 2025 and December 31, 2024;</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30,076 and 33,093 shares issued and outstanding as of</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September 30, 2025 and December 31, 2024, respectively</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754,398</w:t>
            </w:r>
          </w:p>
        </w:tc>
        <w:tc>
          <w:tcPr>
            <w:tcW w:w="12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17"/>
                <w:szCs w:val="17"/>
                <w:color w:val="auto"/>
              </w:rPr>
            </w:pP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(528,734)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(457,849)</w:t>
            </w:r>
          </w:p>
        </w:tc>
      </w:tr>
      <w:tr>
        <w:trPr>
          <w:trHeight w:val="196"/>
        </w:trPr>
        <w:tc>
          <w:tcPr>
            <w:tcW w:w="77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262,228</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296,556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438,124</w:t>
            </w:r>
          </w:p>
        </w:tc>
        <w:tc>
          <w:tcPr>
            <w:tcW w:w="16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445,911</w:t>
            </w:r>
          </w:p>
        </w:tc>
        <w:tc>
          <w:tcPr>
            <w:tcW w:w="12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-3565525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-3548380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-3565525</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-3548380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-2502535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-2502535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-161925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20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20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6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251,788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57,118</w:t>
            </w:r>
          </w:p>
        </w:tc>
        <w:tc>
          <w:tcPr>
            <w:tcW w:w="120" w:type="dxa"/>
            <w:vAlign w:val="bottom"/>
          </w:tcPr>
          <w:p>
            <w:pPr>
              <w:spacing w:after="0"/>
              <w:rPr>
                <w:sz w:val="18"/>
                <w:szCs w:val="18"/>
                <w:color w:val="auto"/>
              </w:rPr>
            </w:pPr>
          </w:p>
        </w:tc>
      </w:tr>
      <w:tr>
        <w:trPr>
          <w:trHeight w:val="209"/>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185,697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12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76,486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262,640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235,901</w:t>
            </w:r>
          </w:p>
        </w:tc>
        <w:tc>
          <w:tcPr>
            <w:tcW w:w="120" w:type="dxa"/>
            <w:vAlign w:val="bottom"/>
          </w:tcPr>
          <w:p>
            <w:pPr>
              <w:spacing w:after="0"/>
              <w:rPr>
                <w:sz w:val="18"/>
                <w:szCs w:val="18"/>
                <w:color w:val="auto"/>
              </w:rPr>
            </w:pPr>
          </w:p>
        </w:tc>
      </w:tr>
      <w:tr>
        <w:trPr>
          <w:trHeight w:val="210"/>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(23,060)</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(16,112)</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(68,626)</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(60,356)</w:t>
            </w:r>
          </w:p>
        </w:tc>
      </w:tr>
      <w:tr>
        <w:trPr>
          <w:trHeight w:val="216"/>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(23,986)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(70,885)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(61,729)</w:t>
            </w:r>
          </w:p>
        </w:tc>
      </w:tr>
      <w:tr>
        <w:trPr>
          <w:trHeight w:val="20"/>
        </w:trPr>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w:t>
            </w: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(0.50)</w:t>
            </w:r>
          </w:p>
        </w:tc>
      </w:tr>
      <w:tr>
        <w:trPr>
          <w:trHeight w:val="20"/>
        </w:trPr>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8"/>
        </w:trPr>
        <w:tc>
          <w:tcPr>
            <w:tcW w:w="61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34"/>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Class A and Class B common stockholders:</w:t>
            </w: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132,997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124,324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131,364</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122,601</w:t>
            </w:r>
          </w:p>
        </w:tc>
        <w:tc>
          <w:tcPr>
            <w:tcW w:w="12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unrealized gains on marketable securities</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6120" w:type="dxa"/>
            <w:vAlign w:val="bottom"/>
            <w:shd w:val="clear" w:color="auto" w:fill="CFF0FC"/>
          </w:tcPr>
          <w:p>
            <w:pPr>
              <w:ind w:left="26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74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(23,804)</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(16,807)</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(70,363)</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(61,548)</w:t>
            </w: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-2639695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-2639695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-2639695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-2639695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-2082165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-2082165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-2082165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-2082165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-1790700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-1790700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-1508125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-1508125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-1508125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19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Class A and Class B 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Accumulated 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3300" w:type="dxa"/>
            <w:vAlign w:val="bottom"/>
          </w:tcPr>
          <w:p>
            <w:pPr>
              <w:spacing w:after="0"/>
              <w:rPr>
                <w:sz w:val="11"/>
                <w:szCs w:val="11"/>
                <w:color w:val="auto"/>
              </w:rPr>
            </w:pPr>
          </w:p>
        </w:tc>
        <w:tc>
          <w:tcPr>
            <w:tcW w:w="94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 (loss)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5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129,188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32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754,398</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w:t>
            </w:r>
          </w:p>
        </w:tc>
        <w:tc>
          <w:tcPr>
            <w:tcW w:w="3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(457,849)</w:t>
            </w:r>
          </w:p>
        </w:tc>
        <w:tc>
          <w:tcPr>
            <w:tcW w:w="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296,556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21,355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1,529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3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3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units</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(670)</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(8,069)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(8,069)</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(22,231)</w:t>
            </w:r>
          </w:p>
        </w:tc>
        <w:tc>
          <w:tcPr>
            <w:tcW w:w="100" w:type="dxa"/>
            <w:vAlign w:val="bottom"/>
          </w:tcPr>
          <w:p>
            <w:pPr>
              <w:spacing w:after="0"/>
              <w:rPr>
                <w:sz w:val="11"/>
                <w:szCs w:val="11"/>
                <w:color w:val="auto"/>
              </w:rPr>
            </w:pPr>
          </w:p>
        </w:tc>
        <w:tc>
          <w:tcPr>
            <w:tcW w:w="13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(22,231)</w:t>
            </w:r>
          </w:p>
        </w:tc>
        <w:tc>
          <w:tcPr>
            <w:tcW w:w="0" w:type="dxa"/>
            <w:vAlign w:val="bottom"/>
          </w:tcPr>
          <w:p>
            <w:pPr>
              <w:spacing w:after="0"/>
              <w:rPr>
                <w:sz w:val="1"/>
                <w:szCs w:val="1"/>
                <w:color w:val="auto"/>
              </w:rPr>
            </w:pPr>
          </w:p>
        </w:tc>
      </w:tr>
      <w:tr>
        <w:trPr>
          <w:trHeight w:val="135"/>
        </w:trPr>
        <w:tc>
          <w:tcPr>
            <w:tcW w:w="33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320</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2025</w:t>
            </w:r>
          </w:p>
        </w:tc>
        <w:tc>
          <w:tcPr>
            <w:tcW w:w="9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130,857</w:t>
            </w:r>
          </w:p>
        </w:tc>
        <w:tc>
          <w:tcPr>
            <w:tcW w:w="2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w:t>
            </w:r>
          </w:p>
        </w:tc>
        <w:tc>
          <w:tcPr>
            <w:tcW w:w="3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769,213</w:t>
            </w:r>
          </w:p>
        </w:tc>
        <w:tc>
          <w:tcPr>
            <w:tcW w:w="140" w:type="dxa"/>
            <w:vAlign w:val="bottom"/>
          </w:tcPr>
          <w:p>
            <w:pPr>
              <w:spacing w:after="0"/>
              <w:rPr>
                <w:sz w:val="11"/>
                <w:szCs w:val="11"/>
                <w:color w:val="auto"/>
              </w:rPr>
            </w:pPr>
          </w:p>
        </w:tc>
        <w:tc>
          <w:tcPr>
            <w:tcW w:w="1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326</w:t>
            </w:r>
          </w:p>
        </w:tc>
        <w:tc>
          <w:tcPr>
            <w:tcW w:w="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(480,080)</w:t>
            </w:r>
          </w:p>
        </w:tc>
        <w:tc>
          <w:tcPr>
            <w:tcW w:w="2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289,460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gridSpan w:val="2"/>
            <w:shd w:val="clear" w:color="auto" w:fill="CFF0FC"/>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25,633</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0" w:type="dxa"/>
            <w:vAlign w:val="bottom"/>
            <w:gridSpan w:val="2"/>
            <w:shd w:val="clear" w:color="auto" w:fill="CFF0FC"/>
          </w:tcPr>
          <w:p>
            <w:pPr>
              <w:jc w:val="right"/>
              <w:ind w:right="2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2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25,633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3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3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9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units</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(879)</w:t>
            </w: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(10,677)</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(10,677)</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11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(204)</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(2,537)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3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(2,537)</w:t>
            </w:r>
          </w:p>
        </w:tc>
        <w:tc>
          <w:tcPr>
            <w:tcW w:w="0" w:type="dxa"/>
            <w:vAlign w:val="bottom"/>
          </w:tcPr>
          <w:p>
            <w:pPr>
              <w:spacing w:after="0"/>
              <w:rPr>
                <w:sz w:val="1"/>
                <w:szCs w:val="1"/>
                <w:color w:val="auto"/>
              </w:rPr>
            </w:pPr>
          </w:p>
        </w:tc>
      </w:tr>
      <w:tr>
        <w:trPr>
          <w:trHeight w:val="135"/>
        </w:trPr>
        <w:tc>
          <w:tcPr>
            <w:tcW w:w="3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(24,668)</w:t>
            </w:r>
          </w:p>
        </w:tc>
        <w:tc>
          <w:tcPr>
            <w:tcW w:w="10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(24,668)</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3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2025</w:t>
            </w:r>
          </w:p>
        </w:tc>
        <w:tc>
          <w:tcPr>
            <w:tcW w:w="9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132,478</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w:t>
            </w:r>
          </w:p>
        </w:tc>
        <w:tc>
          <w:tcPr>
            <w:tcW w:w="320" w:type="dxa"/>
            <w:vAlign w:val="bottom"/>
            <w:tcBorders>
              <w:bottom w:val="single" w:sz="8" w:color="CFF0FC"/>
            </w:tcBorders>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783,905</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346</w:t>
            </w:r>
          </w:p>
        </w:tc>
        <w:tc>
          <w:tcPr>
            <w:tcW w:w="320" w:type="dxa"/>
            <w:vAlign w:val="bottom"/>
            <w:tcBorders>
              <w:bottom w:val="single" w:sz="8" w:color="CFF0FC"/>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(504,748)</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279,504</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0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16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26,169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26,169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561</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1,875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in connection with an acquisition</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2,298</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3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units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(932)</w:t>
            </w: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(10,676)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(10,676)</w:t>
            </w:r>
          </w:p>
        </w:tc>
        <w:tc>
          <w:tcPr>
            <w:tcW w:w="0" w:type="dxa"/>
            <w:vAlign w:val="bottom"/>
          </w:tcPr>
          <w:p>
            <w:pPr>
              <w:spacing w:after="0"/>
              <w:rPr>
                <w:sz w:val="1"/>
                <w:szCs w:val="1"/>
                <w:color w:val="auto"/>
              </w:rPr>
            </w:pPr>
          </w:p>
        </w:tc>
      </w:tr>
      <w:tr>
        <w:trPr>
          <w:trHeight w:val="135"/>
        </w:trPr>
        <w:tc>
          <w:tcPr>
            <w:tcW w:w="3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116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(1,056)</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(11,745)</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(11,745)</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1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(23,986)</w:t>
            </w:r>
          </w:p>
        </w:tc>
        <w:tc>
          <w:tcPr>
            <w:tcW w:w="100" w:type="dxa"/>
            <w:vAlign w:val="bottom"/>
          </w:tcPr>
          <w:p>
            <w:pPr>
              <w:spacing w:after="0"/>
              <w:rPr>
                <w:sz w:val="11"/>
                <w:szCs w:val="11"/>
                <w:color w:val="auto"/>
              </w:rPr>
            </w:pPr>
          </w:p>
        </w:tc>
        <w:tc>
          <w:tcPr>
            <w:tcW w:w="13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(23,986)</w:t>
            </w:r>
          </w:p>
        </w:tc>
        <w:tc>
          <w:tcPr>
            <w:tcW w:w="0" w:type="dxa"/>
            <w:vAlign w:val="bottom"/>
          </w:tcPr>
          <w:p>
            <w:pPr>
              <w:spacing w:after="0"/>
              <w:rPr>
                <w:sz w:val="1"/>
                <w:szCs w:val="1"/>
                <w:color w:val="auto"/>
              </w:rPr>
            </w:pPr>
          </w:p>
        </w:tc>
      </w:tr>
      <w:tr>
        <w:trPr>
          <w:trHeight w:val="135"/>
        </w:trPr>
        <w:tc>
          <w:tcPr>
            <w:tcW w:w="33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September 30, 2025</w:t>
            </w:r>
          </w:p>
        </w:tc>
        <w:tc>
          <w:tcPr>
            <w:tcW w:w="9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133,705</w:t>
            </w:r>
          </w:p>
        </w:tc>
        <w:tc>
          <w:tcPr>
            <w:tcW w:w="2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w:t>
            </w:r>
          </w:p>
        </w:tc>
        <w:tc>
          <w:tcPr>
            <w:tcW w:w="32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790,433</w:t>
            </w:r>
          </w:p>
        </w:tc>
        <w:tc>
          <w:tcPr>
            <w:tcW w:w="140" w:type="dxa"/>
            <w:vAlign w:val="bottom"/>
          </w:tcPr>
          <w:p>
            <w:pPr>
              <w:spacing w:after="0"/>
              <w:rPr>
                <w:sz w:val="11"/>
                <w:szCs w:val="11"/>
                <w:color w:val="auto"/>
              </w:rPr>
            </w:pPr>
          </w:p>
        </w:tc>
        <w:tc>
          <w:tcPr>
            <w:tcW w:w="18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528</w:t>
            </w:r>
          </w:p>
        </w:tc>
        <w:tc>
          <w:tcPr>
            <w:tcW w:w="3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(528,734)</w:t>
            </w:r>
          </w:p>
        </w:tc>
        <w:tc>
          <w:tcPr>
            <w:tcW w:w="2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262,228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-1988185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-1988185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-1988185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-1988185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-1988185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-916940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-899160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-916940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-899160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-916940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-899160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-916940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-899160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-916940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-899160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-119380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-119380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-119380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-119380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-119380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188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A and Class B common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8"/>
        </w:trPr>
        <w:tc>
          <w:tcPr>
            <w:tcW w:w="3360" w:type="dxa"/>
            <w:vAlign w:val="bottom"/>
          </w:tcPr>
          <w:p>
            <w:pPr>
              <w:spacing w:after="0"/>
              <w:rPr>
                <w:sz w:val="12"/>
                <w:szCs w:val="12"/>
                <w:color w:val="auto"/>
              </w:rPr>
            </w:pPr>
          </w:p>
        </w:tc>
        <w:tc>
          <w:tcPr>
            <w:tcW w:w="1080" w:type="dxa"/>
            <w:vAlign w:val="bottom"/>
            <w:tcBorders>
              <w:bottom w:val="single" w:sz="8" w:color="auto"/>
            </w:tcBorders>
            <w:gridSpan w:val="3"/>
          </w:tcPr>
          <w:p>
            <w:pPr>
              <w:jc w:val="center"/>
              <w:ind w:left="7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2"/>
                <w:szCs w:val="12"/>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29"/>
        </w:trPr>
        <w:tc>
          <w:tcPr>
            <w:tcW w:w="3360" w:type="dxa"/>
            <w:vAlign w:val="bottom"/>
          </w:tcPr>
          <w:p>
            <w:pPr>
              <w:spacing w:after="0"/>
              <w:rPr>
                <w:sz w:val="11"/>
                <w:szCs w:val="11"/>
                <w:color w:val="auto"/>
              </w:rPr>
            </w:pPr>
          </w:p>
        </w:tc>
        <w:tc>
          <w:tcPr>
            <w:tcW w:w="820" w:type="dxa"/>
            <w:vAlign w:val="bottom"/>
            <w:tcBorders>
              <w:bottom w:val="single" w:sz="8" w:color="auto"/>
            </w:tcBorders>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tcPr>
          <w:p>
            <w:pPr>
              <w:jc w:val="right"/>
              <w:ind w:right="37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100" w:type="dxa"/>
            <w:vAlign w:val="bottom"/>
          </w:tcPr>
          <w:p>
            <w:pPr>
              <w:spacing w:after="0"/>
              <w:rPr>
                <w:sz w:val="11"/>
                <w:szCs w:val="11"/>
                <w:color w:val="auto"/>
              </w:rPr>
            </w:pPr>
          </w:p>
        </w:tc>
      </w:tr>
      <w:tr>
        <w:trPr>
          <w:trHeight w:val="128"/>
        </w:trPr>
        <w:tc>
          <w:tcPr>
            <w:tcW w:w="3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120,010</w:t>
            </w: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658,463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(181)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(363,530)</w:t>
            </w:r>
          </w:p>
        </w:tc>
        <w:tc>
          <w:tcPr>
            <w:tcW w:w="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294,753</w:t>
            </w:r>
          </w:p>
        </w:tc>
        <w:tc>
          <w:tcPr>
            <w:tcW w:w="100" w:type="dxa"/>
            <w:vAlign w:val="bottom"/>
            <w:shd w:val="clear" w:color="auto" w:fill="CFF0FC"/>
          </w:tcPr>
          <w:p>
            <w:pPr>
              <w:spacing w:after="0"/>
              <w:rPr>
                <w:sz w:val="11"/>
                <w:szCs w:val="11"/>
                <w:color w:val="auto"/>
              </w:rPr>
            </w:pP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21,765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21,765</w:t>
            </w:r>
          </w:p>
        </w:tc>
        <w:tc>
          <w:tcPr>
            <w:tcW w:w="100" w:type="dxa"/>
            <w:vAlign w:val="bottom"/>
          </w:tcPr>
          <w:p>
            <w:pPr>
              <w:spacing w:after="0"/>
              <w:rPr>
                <w:sz w:val="11"/>
                <w:szCs w:val="11"/>
                <w:color w:val="auto"/>
              </w:rPr>
            </w:pP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699</w:t>
            </w: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1,794</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1,794</w:t>
            </w:r>
          </w:p>
        </w:tc>
        <w:tc>
          <w:tcPr>
            <w:tcW w:w="100" w:type="dxa"/>
            <w:vAlign w:val="bottom"/>
            <w:shd w:val="clear" w:color="auto" w:fill="CFF0FC"/>
          </w:tcPr>
          <w:p>
            <w:pPr>
              <w:spacing w:after="0"/>
              <w:rPr>
                <w:sz w:val="11"/>
                <w:szCs w:val="11"/>
                <w:color w:val="auto"/>
              </w:rPr>
            </w:pP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108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1"/>
                <w:szCs w:val="11"/>
                <w:color w:val="auto"/>
              </w:rPr>
            </w:pP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1,442</w:t>
            </w: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3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units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(7,729)</w:t>
            </w:r>
          </w:p>
        </w:tc>
        <w:tc>
          <w:tcPr>
            <w:tcW w:w="12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(7,729)</w:t>
            </w: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3"/>
            <w:shd w:val="clear" w:color="auto" w:fill="CFF0FC"/>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(21,460)</w:t>
            </w:r>
          </w:p>
        </w:tc>
        <w:tc>
          <w:tcPr>
            <w:tcW w:w="12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(21,460)</w:t>
            </w: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1"/>
                <w:szCs w:val="11"/>
                <w:color w:val="auto"/>
              </w:rPr>
            </w:pPr>
          </w:p>
        </w:tc>
      </w:tr>
      <w:tr>
        <w:trPr>
          <w:trHeight w:val="168"/>
        </w:trPr>
        <w:tc>
          <w:tcPr>
            <w:tcW w:w="33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March 31, 2024</w:t>
            </w:r>
          </w:p>
        </w:tc>
        <w:tc>
          <w:tcPr>
            <w:tcW w:w="8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121,609</w:t>
            </w:r>
          </w:p>
        </w:tc>
        <w:tc>
          <w:tcPr>
            <w:tcW w:w="2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tcBorders>
              <w:bottom w:val="single" w:sz="8" w:color="CFF0FC"/>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674,313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(114)</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(384,990)</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289,210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5"/>
        </w:trPr>
        <w:tc>
          <w:tcPr>
            <w:tcW w:w="33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3"/>
          </w:tcPr>
          <w:p>
            <w:pPr>
              <w:jc w:val="right"/>
              <w:ind w:right="2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24,421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4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24,421</w:t>
            </w:r>
          </w:p>
        </w:tc>
        <w:tc>
          <w:tcPr>
            <w:tcW w:w="100" w:type="dxa"/>
            <w:vAlign w:val="bottom"/>
          </w:tcPr>
          <w:p>
            <w:pPr>
              <w:spacing w:after="0"/>
              <w:rPr>
                <w:sz w:val="10"/>
                <w:szCs w:val="10"/>
                <w:color w:val="auto"/>
              </w:rPr>
            </w:pP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503</w:t>
            </w: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1,463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1,463</w:t>
            </w:r>
          </w:p>
        </w:tc>
        <w:tc>
          <w:tcPr>
            <w:tcW w:w="100" w:type="dxa"/>
            <w:vAlign w:val="bottom"/>
            <w:shd w:val="clear" w:color="auto" w:fill="CFF0FC"/>
          </w:tcPr>
          <w:p>
            <w:pPr>
              <w:spacing w:after="0"/>
              <w:rPr>
                <w:sz w:val="11"/>
                <w:szCs w:val="11"/>
                <w:color w:val="auto"/>
              </w:rPr>
            </w:pP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256</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2,030</w:t>
            </w:r>
          </w:p>
        </w:tc>
        <w:tc>
          <w:tcPr>
            <w:tcW w:w="100" w:type="dxa"/>
            <w:vAlign w:val="bottom"/>
          </w:tcPr>
          <w:p>
            <w:pPr>
              <w:spacing w:after="0"/>
              <w:rPr>
                <w:sz w:val="11"/>
                <w:szCs w:val="11"/>
                <w:color w:val="auto"/>
              </w:rPr>
            </w:pP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1,847</w:t>
            </w: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3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units</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(680)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(6,449)</w:t>
            </w:r>
          </w:p>
        </w:tc>
        <w:tc>
          <w:tcPr>
            <w:tcW w:w="12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(6,449)</w:t>
            </w: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3"/>
            <w:shd w:val="clear" w:color="auto" w:fill="CFF0FC"/>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(23,415)</w:t>
            </w:r>
          </w:p>
        </w:tc>
        <w:tc>
          <w:tcPr>
            <w:tcW w:w="12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(23,415)</w:t>
            </w: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1"/>
                <w:szCs w:val="11"/>
                <w:color w:val="auto"/>
              </w:rPr>
            </w:pPr>
          </w:p>
        </w:tc>
      </w:tr>
      <w:tr>
        <w:trPr>
          <w:trHeight w:val="168"/>
        </w:trPr>
        <w:tc>
          <w:tcPr>
            <w:tcW w:w="33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at June 30, 2024</w:t>
            </w:r>
          </w:p>
        </w:tc>
        <w:tc>
          <w:tcPr>
            <w:tcW w:w="8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123,535</w:t>
            </w:r>
          </w:p>
        </w:tc>
        <w:tc>
          <w:tcPr>
            <w:tcW w:w="24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tcBorders>
              <w:bottom w:val="single" w:sz="8" w:color="CFF0FC"/>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695,778</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(47)</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(408,405)</w:t>
            </w: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287,327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16"/>
        </w:trPr>
        <w:tc>
          <w:tcPr>
            <w:tcW w:w="336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gridSpan w:val="3"/>
          </w:tcPr>
          <w:p>
            <w:pPr>
              <w:jc w:val="right"/>
              <w:ind w:right="2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22,792</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40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2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22,792</w:t>
            </w:r>
          </w:p>
        </w:tc>
        <w:tc>
          <w:tcPr>
            <w:tcW w:w="100" w:type="dxa"/>
            <w:vAlign w:val="bottom"/>
          </w:tcPr>
          <w:p>
            <w:pPr>
              <w:spacing w:after="0"/>
              <w:rPr>
                <w:sz w:val="10"/>
                <w:szCs w:val="10"/>
                <w:color w:val="auto"/>
              </w:rPr>
            </w:pP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830</w:t>
            </w: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2,346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40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2,346</w:t>
            </w:r>
          </w:p>
        </w:tc>
        <w:tc>
          <w:tcPr>
            <w:tcW w:w="100" w:type="dxa"/>
            <w:vAlign w:val="bottom"/>
            <w:shd w:val="clear" w:color="auto" w:fill="CFF0FC"/>
          </w:tcPr>
          <w:p>
            <w:pPr>
              <w:spacing w:after="0"/>
              <w:rPr>
                <w:sz w:val="11"/>
                <w:szCs w:val="11"/>
                <w:color w:val="auto"/>
              </w:rPr>
            </w:pP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units</w:t>
            </w: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3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33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Tax withholding on net share settlement of restricted stock</w:t>
            </w:r>
          </w:p>
        </w:tc>
        <w:tc>
          <w:tcPr>
            <w:tcW w:w="8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units</w:t>
            </w: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(663)</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(5,631)</w:t>
            </w:r>
          </w:p>
        </w:tc>
        <w:tc>
          <w:tcPr>
            <w:tcW w:w="12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(5,631)</w:t>
            </w: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80" w:type="dxa"/>
            <w:vAlign w:val="bottom"/>
            <w:gridSpan w:val="3"/>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4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(16,854)</w:t>
            </w:r>
          </w:p>
        </w:tc>
        <w:tc>
          <w:tcPr>
            <w:tcW w:w="120" w:type="dxa"/>
            <w:vAlign w:val="bottom"/>
          </w:tcPr>
          <w:p>
            <w:pPr>
              <w:spacing w:after="0"/>
              <w:rPr>
                <w:sz w:val="11"/>
                <w:szCs w:val="11"/>
                <w:color w:val="auto"/>
              </w:rPr>
            </w:pPr>
          </w:p>
        </w:tc>
        <w:tc>
          <w:tcPr>
            <w:tcW w:w="13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(16,854)</w:t>
            </w:r>
          </w:p>
        </w:tc>
      </w:tr>
      <w:tr>
        <w:trPr>
          <w:trHeight w:val="135"/>
        </w:trPr>
        <w:tc>
          <w:tcPr>
            <w:tcW w:w="33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336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at September 30, 2024</w:t>
            </w:r>
          </w:p>
        </w:tc>
        <w:tc>
          <w:tcPr>
            <w:tcW w:w="8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125,432</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715,285</w:t>
            </w:r>
          </w:p>
        </w:tc>
        <w:tc>
          <w:tcPr>
            <w:tcW w:w="22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(425,259)</w:t>
            </w:r>
          </w:p>
        </w:tc>
        <w:tc>
          <w:tcPr>
            <w:tcW w:w="20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290,027</w:t>
            </w:r>
          </w:p>
        </w:tc>
        <w:tc>
          <w:tcPr>
            <w:tcW w:w="100" w:type="dxa"/>
            <w:vAlign w:val="bottom"/>
          </w:tcPr>
          <w:p>
            <w:pPr>
              <w:spacing w:after="0"/>
              <w:rPr>
                <w:sz w:val="11"/>
                <w:szCs w:val="11"/>
                <w:color w:val="auto"/>
              </w:rPr>
            </w:pPr>
          </w:p>
        </w:tc>
      </w:tr>
      <w:tr>
        <w:trPr>
          <w:trHeight w:val="20"/>
        </w:trPr>
        <w:tc>
          <w:tcPr>
            <w:tcW w:w="3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-1550670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-1534160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-1550670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-1534160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-1550670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-1534160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-1550670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-1534160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-1550670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-1534160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-745490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-728345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-745490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-728345</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-745490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-728345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-745490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-728345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-745490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-728345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-119380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-119380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-119380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-119380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-119380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7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(70,885)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(61,729)</w:t>
            </w: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80" w:type="dxa"/>
            <w:vAlign w:val="bottom"/>
          </w:tcPr>
          <w:p>
            <w:pPr>
              <w:spacing w:after="0"/>
              <w:rPr>
                <w:sz w:val="18"/>
                <w:szCs w:val="18"/>
                <w:color w:val="auto"/>
              </w:rPr>
            </w:pPr>
          </w:p>
        </w:tc>
      </w:tr>
      <w:tr>
        <w:trPr>
          <w:trHeight w:val="216"/>
        </w:trPr>
        <w:tc>
          <w:tcPr>
            <w:tcW w:w="7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64,914</w:t>
            </w:r>
          </w:p>
        </w:tc>
        <w:tc>
          <w:tcPr>
            <w:tcW w:w="280" w:type="dxa"/>
            <w:vAlign w:val="bottom"/>
            <w:shd w:val="clear" w:color="auto" w:fill="CFF0FC"/>
          </w:tcPr>
          <w:p>
            <w:pPr>
              <w:spacing w:after="0"/>
              <w:rPr>
                <w:sz w:val="18"/>
                <w:szCs w:val="18"/>
                <w:color w:val="auto"/>
              </w:rPr>
            </w:pPr>
          </w:p>
        </w:tc>
      </w:tr>
      <w:tr>
        <w:trPr>
          <w:trHeight w:val="216"/>
        </w:trPr>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80" w:type="dxa"/>
            <w:vAlign w:val="bottom"/>
            <w:shd w:val="clear" w:color="auto" w:fill="CFF0FC"/>
          </w:tcPr>
          <w:p>
            <w:pPr>
              <w:spacing w:after="0"/>
              <w:rPr>
                <w:sz w:val="18"/>
                <w:szCs w:val="18"/>
                <w:color w:val="auto"/>
              </w:rPr>
            </w:pPr>
          </w:p>
        </w:tc>
      </w:tr>
      <w:tr>
        <w:trPr>
          <w:trHeight w:val="216"/>
        </w:trPr>
        <w:tc>
          <w:tcPr>
            <w:tcW w:w="7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(8,533)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(7,235)</w:t>
            </w:r>
          </w:p>
        </w:tc>
      </w:tr>
      <w:tr>
        <w:trPr>
          <w:trHeight w:val="216"/>
        </w:trPr>
        <w:tc>
          <w:tcPr>
            <w:tcW w:w="7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Deferred commissions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(6,986)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(2,217)</w:t>
            </w:r>
          </w:p>
        </w:tc>
      </w:tr>
      <w:tr>
        <w:trPr>
          <w:trHeight w:val="216"/>
        </w:trPr>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noncurrent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(3,631)</w:t>
            </w:r>
          </w:p>
        </w:tc>
      </w:tr>
      <w:tr>
        <w:trPr>
          <w:trHeight w:val="216"/>
        </w:trPr>
        <w:tc>
          <w:tcPr>
            <w:tcW w:w="7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280" w:type="dxa"/>
            <w:vAlign w:val="bottom"/>
          </w:tcPr>
          <w:p>
            <w:pPr>
              <w:spacing w:after="0"/>
              <w:rPr>
                <w:sz w:val="18"/>
                <w:szCs w:val="18"/>
                <w:color w:val="auto"/>
              </w:rPr>
            </w:pPr>
          </w:p>
        </w:tc>
      </w:tr>
      <w:tr>
        <w:trPr>
          <w:trHeight w:val="216"/>
        </w:trPr>
        <w:tc>
          <w:tcPr>
            <w:tcW w:w="7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280" w:type="dxa"/>
            <w:vAlign w:val="bottom"/>
            <w:shd w:val="clear" w:color="auto" w:fill="CFF0FC"/>
          </w:tcPr>
          <w:p>
            <w:pPr>
              <w:spacing w:after="0"/>
              <w:rPr>
                <w:sz w:val="18"/>
                <w:szCs w:val="18"/>
                <w:color w:val="auto"/>
              </w:rPr>
            </w:pPr>
          </w:p>
        </w:tc>
      </w:tr>
      <w:tr>
        <w:trPr>
          <w:trHeight w:val="216"/>
        </w:trPr>
        <w:tc>
          <w:tcPr>
            <w:tcW w:w="7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(3,719)</w:t>
            </w:r>
          </w:p>
        </w:tc>
      </w:tr>
      <w:tr>
        <w:trPr>
          <w:trHeight w:val="209"/>
        </w:trPr>
        <w:tc>
          <w:tcPr>
            <w:tcW w:w="70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received from maturities of marketable securities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91,250</w:t>
            </w:r>
          </w:p>
        </w:tc>
        <w:tc>
          <w:tcPr>
            <w:tcW w:w="28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(18,352)</w:t>
            </w: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(4,170)</w:t>
            </w: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09"/>
        </w:trPr>
        <w:tc>
          <w:tcPr>
            <w:tcW w:w="7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67,749</w:t>
            </w:r>
          </w:p>
        </w:tc>
        <w:tc>
          <w:tcPr>
            <w:tcW w:w="280" w:type="dxa"/>
            <w:vAlign w:val="bottom"/>
          </w:tcPr>
          <w:p>
            <w:pPr>
              <w:spacing w:after="0"/>
              <w:rPr>
                <w:sz w:val="18"/>
                <w:szCs w:val="18"/>
                <w:color w:val="auto"/>
              </w:rPr>
            </w:pPr>
          </w:p>
        </w:tc>
      </w:tr>
      <w:tr>
        <w:trPr>
          <w:trHeight w:val="21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(used in) financing activities:</w:t>
            </w:r>
          </w:p>
        </w:tc>
        <w:tc>
          <w:tcPr>
            <w:tcW w:w="6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280" w:type="dxa"/>
            <w:vAlign w:val="bottom"/>
          </w:tcPr>
          <w:p>
            <w:pPr>
              <w:spacing w:after="0"/>
              <w:rPr>
                <w:sz w:val="18"/>
                <w:szCs w:val="18"/>
                <w:color w:val="auto"/>
              </w:rPr>
            </w:pPr>
          </w:p>
        </w:tc>
      </w:tr>
      <w:tr>
        <w:trPr>
          <w:trHeight w:val="198"/>
        </w:trPr>
        <w:tc>
          <w:tcPr>
            <w:tcW w:w="70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Cash received for tax withholding obligations on equity</w:t>
            </w: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34"/>
        </w:trPr>
        <w:tc>
          <w:tcPr>
            <w:tcW w:w="7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award settlements</w:t>
            </w: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280" w:type="dxa"/>
            <w:vAlign w:val="bottom"/>
            <w:shd w:val="clear" w:color="auto" w:fill="CFF0FC"/>
          </w:tcPr>
          <w:p>
            <w:pPr>
              <w:spacing w:after="0"/>
              <w:rPr>
                <w:sz w:val="20"/>
                <w:szCs w:val="20"/>
                <w:color w:val="auto"/>
              </w:rPr>
            </w:pPr>
          </w:p>
        </w:tc>
      </w:tr>
      <w:tr>
        <w:trPr>
          <w:trHeight w:val="21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tax withholding obligations on equity award settlements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(23,959)</w:t>
            </w: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(14,282)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4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10"/>
        </w:trPr>
        <w:tc>
          <w:tcPr>
            <w:tcW w:w="70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(14,133)</w:t>
            </w:r>
          </w:p>
        </w:tc>
      </w:tr>
      <w:tr>
        <w:trPr>
          <w:trHeight w:val="191"/>
        </w:trPr>
        <w:tc>
          <w:tcPr>
            <w:tcW w:w="7040" w:type="dxa"/>
            <w:vAlign w:val="bottom"/>
            <w:shd w:val="clear" w:color="auto" w:fill="CFF0FC"/>
          </w:tcPr>
          <w:p>
            <w:pPr>
              <w:ind w:left="560"/>
              <w:spacing w:after="0" w:line="191"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64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r>
      <w:tr>
        <w:trPr>
          <w:trHeight w:val="234"/>
        </w:trPr>
        <w:tc>
          <w:tcPr>
            <w:tcW w:w="704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restricted cash</w:t>
            </w: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(89,451)</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68,966</w:t>
            </w:r>
          </w:p>
        </w:tc>
        <w:tc>
          <w:tcPr>
            <w:tcW w:w="280" w:type="dxa"/>
            <w:vAlign w:val="bottom"/>
            <w:shd w:val="clear" w:color="auto" w:fill="CFF0FC"/>
          </w:tcPr>
          <w:p>
            <w:pPr>
              <w:spacing w:after="0"/>
              <w:rPr>
                <w:sz w:val="20"/>
                <w:szCs w:val="20"/>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249,360</w:t>
            </w:r>
          </w:p>
        </w:tc>
        <w:tc>
          <w:tcPr>
            <w:tcW w:w="280" w:type="dxa"/>
            <w:vAlign w:val="bottom"/>
          </w:tcPr>
          <w:p>
            <w:pPr>
              <w:spacing w:after="0"/>
              <w:rPr>
                <w:sz w:val="18"/>
                <w:szCs w:val="18"/>
                <w:color w:val="auto"/>
              </w:rPr>
            </w:pPr>
          </w:p>
        </w:tc>
      </w:tr>
      <w:tr>
        <w:trPr>
          <w:trHeight w:val="250"/>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83,108</w:t>
            </w:r>
          </w:p>
        </w:tc>
        <w:tc>
          <w:tcPr>
            <w:tcW w:w="1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318,326</w:t>
            </w:r>
          </w:p>
        </w:tc>
        <w:tc>
          <w:tcPr>
            <w:tcW w:w="280" w:type="dxa"/>
            <w:vAlign w:val="bottom"/>
            <w:shd w:val="clear" w:color="auto" w:fill="CFF0FC"/>
          </w:tcPr>
          <w:p>
            <w:pPr>
              <w:spacing w:after="0"/>
              <w:rPr>
                <w:sz w:val="21"/>
                <w:szCs w:val="21"/>
                <w:color w:val="auto"/>
              </w:rPr>
            </w:pPr>
          </w:p>
        </w:tc>
      </w:tr>
      <w:tr>
        <w:trPr>
          <w:trHeight w:val="196"/>
        </w:trPr>
        <w:tc>
          <w:tcPr>
            <w:tcW w:w="70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6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shd w:val="clear" w:color="auto" w:fill="CFF0FC"/>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capitalized as internal-use software costs</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2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-3093720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-3093720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-2262505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-2262505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-1285240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-1285240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-574040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-556895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-574040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-556895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Business and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Amplitude, Inc. (the “Company”) was incorporated in the state of Delaware in 2011 and is headquartered in San Francisco, California. The Company provides a Digital Analytics Platform that helps businesses understand how people are using their digital products so they can improve the digital experience provided by those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software segment provides a Digital Analytics Platform to customers using a SaaS model. The Company derives revenue primarily in the United States and manages the business activities on a consolidated basis. The accounting policies of the software segment are the same as those described in the summary of significant accounting policies.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who, in the Company’s case, is the Chief Executive Officer (“CEO”), assesses performance for the software segment and decides how to allocate resources based on functional expenses exclusive of stock-based compensation and amortization of acquired intangible assets as well as related tax impacts of these items. The CEO uses these functional expense captions and consolidated net loss to evaluate income generated or losses incurred from the software segment, and utilizes the metric in deciding operating decisions, including, but not limited to, investing in research and development, product developments, personnel, and other expenses. The measure of segment assets is reported on the balance sheet as total consolidated assets.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operating segment information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4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4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88,564</w:t>
            </w:r>
          </w:p>
        </w:tc>
        <w:tc>
          <w:tcPr>
            <w:tcW w:w="26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22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75,217</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251,788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21,293</w:t>
            </w:r>
          </w:p>
        </w:tc>
        <w:tc>
          <w:tcPr>
            <w:tcW w:w="26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37,961</w:t>
            </w:r>
          </w:p>
        </w:tc>
        <w:tc>
          <w:tcPr>
            <w:tcW w:w="26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32,288</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segment expenses</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26,218</w:t>
            </w:r>
          </w:p>
        </w:tc>
        <w:tc>
          <w:tcPr>
            <w:tcW w:w="26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21,580</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73,918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(2,590)</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(3,901)</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(23,986)</w:t>
            </w:r>
          </w:p>
        </w:tc>
        <w:tc>
          <w:tcPr>
            <w:tcW w:w="360" w:type="dxa"/>
            <w:vAlign w:val="bottom"/>
          </w:tcPr>
          <w:p>
            <w:pPr>
              <w:jc w:val="right"/>
              <w:ind w:right="22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(16,854)</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(70,885)</w:t>
            </w: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(61,729)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   Amounts exclude other segment expenses as follows: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4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taxes</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25,744</w:t>
            </w:r>
          </w:p>
        </w:tc>
        <w:tc>
          <w:tcPr>
            <w:tcW w:w="26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267"/>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22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72,828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segment expenses</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26,218</w:t>
            </w:r>
          </w:p>
        </w:tc>
        <w:tc>
          <w:tcPr>
            <w:tcW w:w="260" w:type="dxa"/>
            <w:vAlign w:val="bottom"/>
            <w:tcBorders>
              <w:right w:val="single" w:sz="8" w:color="CFF0FC"/>
            </w:tcBorders>
            <w:shd w:val="clear" w:color="auto" w:fill="CFF0FC"/>
          </w:tcPr>
          <w:p>
            <w:pPr>
              <w:spacing w:after="0"/>
              <w:rPr>
                <w:sz w:val="19"/>
                <w:szCs w:val="19"/>
                <w:color w:val="auto"/>
              </w:rPr>
            </w:pPr>
          </w:p>
        </w:tc>
        <w:tc>
          <w:tcPr>
            <w:tcW w:w="360" w:type="dxa"/>
            <w:vAlign w:val="bottom"/>
            <w:shd w:val="clear" w:color="auto" w:fill="CFF0FC"/>
          </w:tcPr>
          <w:p>
            <w:pPr>
              <w:jc w:val="right"/>
              <w:ind w:right="267"/>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21,580</w:t>
            </w: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-1327785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-1327785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-1327785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U.S. generally accepted accounting principles (“U.S. GAAP” or “GAAP”) and include the accounts of Amplitude, Inc. and its wholly owned subsidiaries. All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right="340"/>
        <w:spacing w:after="0" w:line="282" w:lineRule="auto"/>
        <w:rPr>
          <w:sz w:val="20"/>
          <w:szCs w:val="20"/>
          <w:color w:val="auto"/>
        </w:rPr>
      </w:pPr>
      <w:r>
        <w:rPr>
          <w:rFonts w:ascii="Times New Roman" w:cs="Times New Roman" w:eastAsia="Times New Roman" w:hAnsi="Times New Roman"/>
          <w:sz w:val="18"/>
          <w:szCs w:val="18"/>
          <w:color w:val="auto"/>
        </w:rPr>
        <w:t>intercompany balances and transactions have been eliminated in consolidation. The reporting currency of the Company is the United States dollar. The functional currency of the Company’s foreign subsidiaries is also the United States dollar.</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2024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spacing w:after="0" w:line="18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included in the Company’s Annual Report on Form 10-K for the year ended December 31, 2024 (the “2024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72"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period of benefit for deferred commissions;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long-lived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 and intangible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measurement, and valuation of deferred tax assets and income tax uncertainties;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borrowing rates used for operating leases.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 and Significant Customers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No customer accounted for 10% or more of total revenue for the three and nine months ended September 30, 2025 and 2024. As of September 30, 2025 and December 31, 2024, no customer represented 10% or more of accounts receivable.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2024 Form 10-K. There have been no significant changes to these policies that have had a material impact on the Company’s condensed consolidated financial statements and related notes for the three and nine months ended September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which requires that an entity, on an annual basis, disclose additional income tax information, primarily related to the rate reconciliation and income taxes paid. The amendment in the ASU is intended to enhance the transparency and decision usefulness of income tax disclosures. The amendments in this ASU are effective for annual periods beginning after December 15, 2024. The Company is currently evaluating the impact of the new standard on its consolidated financial statements which is expected to result in enhanced disclosures.</w:t>
      </w:r>
    </w:p>
    <w:p>
      <w:pPr>
        <w:spacing w:after="0" w:line="75"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Targeted Improvements to the Accounting for Internal-Use Software. The ASU is intended to modernize the internal-use software guidance by eliminating accounting consideration of software project development stages and enhancing the guidance around the probable-to-complete threshold. ASU 2025-06 is effective for annual and interim periods beginning after December 15, 2027, with early adoption permitted. The Company is currently evaluating the impact of adopting ASU 2025-06.</w:t>
      </w:r>
    </w:p>
    <w:p>
      <w:pPr>
        <w:spacing w:after="0" w:line="28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in the nine months ended September 30, 2025 that was included in deferred revenue as of December 31, 2024 was $106.0 million.</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unrecognized transaction price related to remaining performance obligations was $391.9 million and $308.6 million, respectively. The Company’s remaining performance obligations as of September 30, 2025 and December 31, 2024 are expected to be recognized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257,677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12 months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134,215</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85,315</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391,892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disaggregation of revenue by geographic areas, as determined based on the address of the Company's customers for the three and nine months ended September 30, 2025 and 2024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16"/>
        </w:trPr>
        <w:tc>
          <w:tcPr>
            <w:tcW w:w="34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3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54,411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45,176</w:t>
            </w:r>
          </w:p>
        </w:tc>
        <w:tc>
          <w:tcPr>
            <w:tcW w:w="5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154,015</w:t>
            </w:r>
          </w:p>
        </w:tc>
        <w:tc>
          <w:tcPr>
            <w:tcW w:w="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132,730</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88,411</w:t>
            </w:r>
          </w:p>
        </w:tc>
        <w:tc>
          <w:tcPr>
            <w:tcW w:w="100" w:type="dxa"/>
            <w:vAlign w:val="bottom"/>
          </w:tcPr>
          <w:p>
            <w:pPr>
              <w:spacing w:after="0"/>
              <w:rPr>
                <w:sz w:val="18"/>
                <w:szCs w:val="18"/>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75,217</w:t>
            </w:r>
          </w:p>
        </w:tc>
        <w:tc>
          <w:tcPr>
            <w:tcW w:w="5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251,788</w:t>
            </w:r>
          </w:p>
        </w:tc>
        <w:tc>
          <w:tcPr>
            <w:tcW w:w="4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100" w:type="dxa"/>
            <w:vAlign w:val="bottom"/>
            <w:shd w:val="clear" w:color="auto" w:fill="CFF0FC"/>
          </w:tcPr>
          <w:p>
            <w:pPr>
              <w:spacing w:after="0"/>
              <w:rPr>
                <w:sz w:val="19"/>
                <w:szCs w:val="19"/>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Commissions paid upon the initial acquisition of a contract are deferred and then amortized on a straight-line basis over a period of benefit, determined to be five years. Commissions paid for subsequent renewals are amortized over the renewal term. The following table represents a roll forward of the Company’s deferred commissions for the three and nine months ended September 30, 2025 and 2024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4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38,258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38,386</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commissions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(4,516)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(12,559)</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(10,438)</w:t>
            </w:r>
          </w:p>
        </w:tc>
      </w:tr>
      <w:tr>
        <w:trPr>
          <w:trHeight w:val="210"/>
        </w:trPr>
        <w:tc>
          <w:tcPr>
            <w:tcW w:w="4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4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49,637</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49,637</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100" w:type="dxa"/>
            <w:vAlign w:val="bottom"/>
            <w:tcBorders>
              <w:top w:val="single" w:sz="8" w:color="CFF0FC"/>
            </w:tcBorders>
          </w:tcPr>
          <w:p>
            <w:pPr>
              <w:spacing w:after="0"/>
              <w:rPr>
                <w:sz w:val="18"/>
                <w:szCs w:val="18"/>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commissions, current portion</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commissions, net of current portion</w:t>
            </w:r>
          </w:p>
        </w:tc>
        <w:tc>
          <w:tcPr>
            <w:tcW w:w="1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00" w:type="dxa"/>
            <w:vAlign w:val="bottom"/>
          </w:tcPr>
          <w:p>
            <w:pPr>
              <w:spacing w:after="0"/>
              <w:rPr>
                <w:sz w:val="18"/>
                <w:szCs w:val="18"/>
                <w:color w:val="auto"/>
              </w:rPr>
            </w:pPr>
          </w:p>
        </w:tc>
      </w:tr>
      <w:tr>
        <w:trPr>
          <w:trHeight w:val="25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commissions</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49,637</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40,604</w:t>
            </w:r>
          </w:p>
        </w:tc>
        <w:tc>
          <w:tcPr>
            <w:tcW w:w="100" w:type="dxa"/>
            <w:vAlign w:val="bottom"/>
            <w:shd w:val="clear" w:color="auto" w:fill="CFF0FC"/>
          </w:tcPr>
          <w:p>
            <w:pPr>
              <w:spacing w:after="0"/>
              <w:rPr>
                <w:sz w:val="21"/>
                <w:szCs w:val="21"/>
                <w:color w:val="auto"/>
              </w:rPr>
            </w:pPr>
          </w:p>
        </w:tc>
      </w:tr>
      <w:tr>
        <w:trPr>
          <w:trHeight w:val="520"/>
        </w:trPr>
        <w:tc>
          <w:tcPr>
            <w:tcW w:w="440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-1439545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-1439545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-1439545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-864870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-847725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-864870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-847725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-864870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-847725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show the Company’s financial statement details as of September 30, 2025 and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Company's cash, cash equivalents, and restricted cash at each period end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82,217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 current</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hosting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prepaid expense and other current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7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7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9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hosting</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 and bonus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employee related taxes</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tax</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Employee Stock Purchase Plan withholding</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refunds and credits</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Non-income tax liabilities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-4962525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-4945380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-5108575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-4962525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-4945380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-5108575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-3394075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-3376930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-3376930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-1010920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4" w:name="page15"/>
    <w:bookmarkEnd w:id="14"/>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3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financial assets measured at fair value, the respective fair value and classification by level of input within the fair value hierarchy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60,276</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and agency securities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and agency securities</w:t>
            </w:r>
          </w:p>
        </w:tc>
        <w:tc>
          <w:tcPr>
            <w:tcW w:w="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184,605</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244,881</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-25400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Unrealized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137,374</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4"/>
                <w:szCs w:val="24"/>
                <w:b w:val="1"/>
                <w:bCs w:val="1"/>
                <w:color w:val="auto"/>
                <w:vertAlign w:val="superscript"/>
              </w:rPr>
              <w:t>(1)</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and agency securities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governmental and agency securities</w:t>
            </w:r>
          </w:p>
        </w:tc>
        <w:tc>
          <w:tcPr>
            <w:tcW w:w="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126,655</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276,855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49" w:lineRule="exact"/>
        <w:rPr>
          <w:sz w:val="20"/>
          <w:szCs w:val="20"/>
          <w:color w:val="auto"/>
        </w:rPr>
      </w:pPr>
    </w:p>
    <w:p>
      <w:pPr>
        <w:ind w:left="380" w:right="200" w:hanging="372"/>
        <w:spacing w:after="0" w:line="26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in the Company’s condensed consolidated balance sheets as of September 30, 2025 and December 31, 2024, in addition to cash of $21.9 million and $21.5 million, respectively.</w:t>
      </w:r>
    </w:p>
    <w:p>
      <w:pPr>
        <w:spacing w:after="0" w:line="16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available-for-sale securities as of September 30, 2025, by remaining contractual maturities,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w:t>
            </w:r>
          </w:p>
        </w:tc>
      </w:tr>
      <w:tr>
        <w:trPr>
          <w:trHeight w:val="238"/>
        </w:trPr>
        <w:tc>
          <w:tcPr>
            <w:tcW w:w="46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106,983</w:t>
            </w: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in greater than one year</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78,150</w:t>
            </w:r>
          </w:p>
        </w:tc>
        <w:tc>
          <w:tcPr>
            <w:tcW w:w="100" w:type="dxa"/>
            <w:vAlign w:val="bottom"/>
          </w:tcPr>
          <w:p>
            <w:pPr>
              <w:spacing w:after="0"/>
              <w:rPr>
                <w:sz w:val="18"/>
                <w:szCs w:val="18"/>
                <w:color w:val="auto"/>
              </w:rPr>
            </w:pPr>
          </w:p>
        </w:tc>
      </w:tr>
      <w:tr>
        <w:trPr>
          <w:trHeight w:val="250"/>
        </w:trPr>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7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185,133</w:t>
            </w:r>
          </w:p>
        </w:tc>
      </w:tr>
      <w:tr>
        <w:trPr>
          <w:trHeight w:val="561"/>
        </w:trPr>
        <w:tc>
          <w:tcPr>
            <w:tcW w:w="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78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Acquisitions and Intangible Assets</w:t>
            </w:r>
          </w:p>
        </w:tc>
        <w:tc>
          <w:tcPr>
            <w:tcW w:w="1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June 25, 2025, the Company acquired certain assets from Inari, a privately-held company for $0.5 million in cash. This includes holdbacks that will be paid on the 12-month anniversary of the closing date. The Company has accounted for this transaction as an asset acquisition. In allocating the aggregate purchase price based on the estimated fair values, the Company recorded $0.5 million as a developed technology intangible asset to be amortized over an estimated useful life of three years.</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July 3, 2025, the Company completed the acquisition of Kraftful, Inc. (“Kraftful”) by acquiring all of its outstanding capital stock for a total consideration of $3.8 million (net of cash acquired of $0.2 million). The total consisted of $2.9 million in cash, net of holdback and $0.9 million of equity consideration through the issuance of 71,157 shares of its common stock and restricted stock units. In connection with the Acquisition, the Company agreed to grant certain equity awards to key employees of Kraftful, representing an aggregate of 284,625 shares of common stock and restricted stock units with a total grant date fair value of $3.6 million to be recognized as compensation expense. The holdback amount of $0.2 million will be paid on the 12-month anniversary of the Acquisition Date. The transaction was accounted for as a business combination. With the acquisition of Kraftful, we intend to integrate Kraftful's Voice of Customer Technology to unite quantitative user behavioral data and qualitative user feedback into Amplitude.</w:t>
      </w:r>
    </w:p>
    <w:p>
      <w:pPr>
        <w:spacing w:after="0" w:line="8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purchase price to the fair value of the assets acquired and liabilities assumed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purchase price</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3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Other Than Goodwill</w:t>
            </w:r>
          </w:p>
        </w:tc>
        <w:tc>
          <w:tcPr>
            <w:tcW w:w="20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8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(6,455)</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(7,697)</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-170815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$0.5 million and $1.1 million for the three and nine months ended September 30, 2025, respectively, and $0.1 million and $0.5 million for the three and nine months ended September 30, 2024, respectively.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of September 30, 2025, future amortization expense is expected to be as follows (in thousands):</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8"/>
                <w:szCs w:val="18"/>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8"/>
                <w:szCs w:val="18"/>
                <w:color w:val="auto"/>
              </w:rPr>
            </w:pPr>
          </w:p>
        </w:tc>
      </w:tr>
      <w:tr>
        <w:trPr>
          <w:trHeight w:val="216"/>
        </w:trPr>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8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r>
      <w:tr>
        <w:trPr>
          <w:trHeight w:val="249"/>
        </w:trPr>
        <w:tc>
          <w:tcPr>
            <w:tcW w:w="92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61"/>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8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 Equity and Equity Incentive Plans</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ectPr>
          <w:pgSz w:w="11900" w:h="16838" w:orient="portrait"/>
          <w:cols w:equalWidth="0" w:num="1">
            <w:col w:w="11240"/>
          </w:cols>
          <w:pgMar w:left="320" w:top="1201" w:right="339" w:bottom="1440" w:gutter="0" w:footer="0" w:header="0"/>
        </w:sectPr>
      </w:pP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reserved shares of its common stock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Stock Option and Grant Plan and 2021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Equity plan 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RSUs outstanding</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4260"/>
        <w:spacing w:after="0"/>
        <w:rPr>
          <w:sz w:val="20"/>
          <w:szCs w:val="20"/>
          <w:color w:val="auto"/>
        </w:rPr>
      </w:pPr>
      <w:r>
        <w:rPr>
          <w:rFonts w:ascii="Times New Roman" w:cs="Times New Roman" w:eastAsia="Times New Roman" w:hAnsi="Times New Roman"/>
          <w:sz w:val="17"/>
          <w:szCs w:val="17"/>
          <w:color w:val="auto"/>
        </w:rPr>
        <w:t>2021 Employee Stock Purchase Plan:</w:t>
      </w:r>
    </w:p>
    <w:p>
      <w:pPr>
        <w:spacing w:after="0" w:line="21" w:lineRule="exact"/>
        <w:rPr>
          <w:sz w:val="20"/>
          <w:szCs w:val="20"/>
          <w:color w:val="auto"/>
        </w:rPr>
      </w:pPr>
    </w:p>
    <w:p>
      <w:pPr>
        <w:jc w:val="right"/>
        <w:ind w:right="4260"/>
        <w:spacing w:after="0"/>
        <w:rPr>
          <w:sz w:val="20"/>
          <w:szCs w:val="20"/>
          <w:color w:val="auto"/>
        </w:rPr>
      </w:pPr>
      <w:r>
        <w:rPr>
          <w:rFonts w:ascii="Times New Roman" w:cs="Times New Roman" w:eastAsia="Times New Roman" w:hAnsi="Times New Roman"/>
          <w:sz w:val="18"/>
          <w:szCs w:val="18"/>
          <w:color w:val="auto"/>
        </w:rPr>
        <w:t>Shares available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reserved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5715</wp:posOffset>
            </wp:positionV>
            <wp:extent cx="11741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10,244,242</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16,094,798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18,239,418</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5,894,332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11741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50,472,790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5715</wp:posOffset>
            </wp:positionV>
            <wp:extent cx="10883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0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11,501,725</w:t>
      </w:r>
    </w:p>
    <w:p>
      <w:pPr>
        <w:spacing w:after="0" w:line="2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13,519,769</w:t>
      </w:r>
    </w:p>
    <w:p>
      <w:pPr>
        <w:spacing w:after="0" w:line="9"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18,310,859</w:t>
      </w:r>
    </w:p>
    <w:p>
      <w:pPr>
        <w:spacing w:after="0" w:line="20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4,810,524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17145</wp:posOffset>
            </wp:positionV>
            <wp:extent cx="10883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7"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48,142,877</w:t>
      </w:r>
    </w:p>
    <w:p>
      <w:pPr>
        <w:spacing w:after="0" w:line="235" w:lineRule="exact"/>
        <w:rPr>
          <w:sz w:val="20"/>
          <w:szCs w:val="20"/>
          <w:color w:val="auto"/>
        </w:rPr>
      </w:pPr>
    </w:p>
    <w:p>
      <w:pPr>
        <w:sectPr>
          <w:pgSz w:w="11900" w:h="16838" w:orient="portrait"/>
          <w:cols w:equalWidth="0" w:num="3">
            <w:col w:w="6960" w:space="720"/>
            <w:col w:w="1500" w:space="540"/>
            <w:col w:w="1520"/>
          </w:cols>
          <w:pgMar w:left="320" w:top="1201" w:right="339" w:bottom="1440" w:gutter="0" w:footer="0" w:header="0"/>
          <w:type w:val="continuous"/>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Stock Option and Grant Plan</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Incentive Award Plan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September 30, 2025, a total of 18,239,418 shares of the Company's Class A common stock have been reserved for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2014 Plan and the 2021 Plan (collectively, the “combined stock plans”) generally vest based on continued service over four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Option activity under the combined stock plans for the nine months ended September 30, 2025 is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stock</w:t>
            </w: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2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December 31,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11,501,725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4.41</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70,628</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(1,243,549)</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20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Balances as of September 30, 2025</w:t>
            </w:r>
            <w:r>
              <w:rPr>
                <w:rFonts w:ascii="Times New Roman" w:cs="Times New Roman" w:eastAsia="Times New Roman" w:hAnsi="Times New Roman"/>
                <w:sz w:val="24"/>
                <w:szCs w:val="24"/>
                <w:color w:val="auto"/>
                <w:vertAlign w:val="superscript"/>
              </w:rPr>
              <w:t>(1)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10,244,242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4.55</w:t>
            </w:r>
          </w:p>
        </w:tc>
        <w:tc>
          <w:tcPr>
            <w:tcW w:w="14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63,156</w:t>
            </w:r>
          </w:p>
        </w:tc>
      </w:tr>
      <w:tr>
        <w:trPr>
          <w:trHeight w:val="197"/>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September 30, 2025</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9,996,742</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14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64,125</w:t>
            </w:r>
          </w:p>
        </w:tc>
      </w:tr>
      <w:tr>
        <w:trPr>
          <w:trHeight w:val="20"/>
        </w:trPr>
        <w:tc>
          <w:tcPr>
            <w:tcW w:w="5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-187960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ind w:left="380" w:right="60" w:hanging="372"/>
        <w:spacing w:after="0" w:line="26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 forfeitures are estimated due to the Company’s adoption of ASU No. 2016-09, all options are vested or expected to vest. As of September 30, 2025, no options were outstanding that were subject to a future performance condition.</w:t>
      </w:r>
    </w:p>
    <w:p>
      <w:pPr>
        <w:spacing w:after="0" w:line="16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values of options are calculated as the difference between the exercise price of the options and the market price for shares of the Company’s Class A common stock as of each period-end. The total intrinsic value of options exercised for the nine months ended September 30, 2025 and 2024 was $9.3 million and $12.6 million, respectively.</w:t>
      </w:r>
    </w:p>
    <w:p>
      <w:pPr>
        <w:spacing w:after="0" w:line="17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No stock options were granted in the nine months ended September 30, 2025 and 2024. No tax benefits were realized from options during the periods.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 w:name="page19"/>
    <w:bookmarkEnd w:id="18"/>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2025, total unrecognized stock-based compensation expense related to options outstanding under the combined stock plans was $1.9 million. This unrecognized expense as of September 30, 2025 is expected to be recognized over the weighted average remaining vesting period of 1.74 years. As of September 30, 2025, the Company had 279,500 shares of non-employee stock options outstanding under the combined stock plans.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fair value of each option granted to employees under the 2021 Plan is estimated on the grant date using the Black-Scholes pricing model.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RSUs granted under the 2021 Plan generally vest based on continued service. During the three and nine months ended September 30, 2025, the Company recorded $25.2 million and $70.6 million in stock-based compensation related to RSUs, respectively. During the three and nine months ended September 30, 2024, the Company recorded $21.2 million and $63.5 million in stock-based compensation related to RSUs, respectively.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total fair value of RSUs vested during the nine months ended September 30, 2025 and 2024 was $76.6 million and $52.7 million, respectively. As of September 30, 2025, total unrecognized stock-based compensation expense related to RSUs was $158.5 million. This unrecognized expense as of September 30, 2025 is expected to be recognized over the weighted average remaining vesting period of 2.04 years. As of September 30, 2025, the Company had 142,722 shares of non-employee RSUs outstanding under the combined stock plans.</w:t>
      </w:r>
    </w:p>
    <w:p>
      <w:pPr>
        <w:sectPr>
          <w:pgSz w:w="11900" w:h="16838" w:orient="portrait"/>
          <w:cols w:equalWidth="0" w:num="1">
            <w:col w:w="11240"/>
          </w:cols>
          <w:pgMar w:left="320" w:top="1201" w:right="339" w:bottom="1440" w:gutter="0" w:footer="0" w:header="0"/>
        </w:sectPr>
      </w:pP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RSU activity during the nine months ended September 30, 2025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September 30, 2025</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1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19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 per share</w:t>
            </w:r>
          </w:p>
        </w:tc>
      </w:tr>
      <w:tr>
        <w:trPr>
          <w:trHeight w:val="191"/>
        </w:trPr>
        <w:tc>
          <w:tcPr>
            <w:tcW w:w="1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13,519,769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11.02</w:t>
            </w:r>
          </w:p>
        </w:tc>
        <w:tc>
          <w:tcPr>
            <w:tcW w:w="20" w:type="dxa"/>
            <w:vAlign w:val="bottom"/>
          </w:tcPr>
          <w:p>
            <w:pPr>
              <w:spacing w:after="0"/>
              <w:rPr>
                <w:sz w:val="16"/>
                <w:szCs w:val="16"/>
                <w:color w:val="auto"/>
              </w:rPr>
            </w:pPr>
          </w:p>
        </w:tc>
      </w:tr>
      <w:tr>
        <w:trPr>
          <w:trHeight w:val="216"/>
        </w:trPr>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11,209,061</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1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(6,450,165)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11.51</w:t>
            </w:r>
          </w:p>
        </w:tc>
      </w:tr>
      <w:tr>
        <w:trPr>
          <w:trHeight w:val="234"/>
        </w:trPr>
        <w:tc>
          <w:tcPr>
            <w:tcW w:w="19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(2,183,867)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w:t>
            </w:r>
          </w:p>
        </w:tc>
      </w:tr>
      <w:tr>
        <w:trPr>
          <w:trHeight w:val="209"/>
        </w:trPr>
        <w:tc>
          <w:tcPr>
            <w:tcW w:w="1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16,094,798</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10.25</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56" w:lineRule="exact"/>
        <w:rPr>
          <w:sz w:val="20"/>
          <w:szCs w:val="20"/>
          <w:color w:val="auto"/>
        </w:rPr>
      </w:pPr>
    </w:p>
    <w:p>
      <w:pPr>
        <w:sectPr>
          <w:pgSz w:w="11900" w:h="16838" w:orient="portrait"/>
          <w:cols w:equalWidth="0" w:num="2">
            <w:col w:w="6700" w:space="720"/>
            <w:col w:w="3820"/>
          </w:cols>
          <w:pgMar w:left="320" w:top="1201" w:right="339" w:bottom="1440" w:gutter="0" w:footer="0" w:header="0"/>
          <w:type w:val="continuous"/>
        </w:sect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August 2021, the Company’s board of directors adopted, and its stockholders approved, the 2021 Employee Stock Purchase Plan (the “ESPP”), which became effective in connection with the Direct Listing. The ESPP authorizes the issuance of shares of Class A common stock pursuant to purchase rights granted to employees. As of September 30, 2025, a total of 5,894,332 shares of the Company’s Class A common stock have been reserved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2025, 1.5 million shares have been purchased under the ESPP. During the nine months ended September 30, 2025 and 2024, we issued 208,076 and 255,694 shares under the ESPP, respectively, in settlement of $1.7 million and $2.0 million of liabilities, respectively.</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$0.5 million and $1.3 million, respectively, of stock-based compensation expense related to the ESPP in each period. During the three and nine months ended September 30, 2024, the Company recognized $0.4 million and $1.2 million, respectively, of stock-based compensation expense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9" w:name="page20"/>
    <w:bookmarkEnd w:id="19"/>
    <w:p>
      <w:pPr>
        <w:ind w:right="240"/>
        <w:spacing w:after="0" w:line="282" w:lineRule="auto"/>
        <w:rPr>
          <w:sz w:val="20"/>
          <w:szCs w:val="20"/>
          <w:color w:val="auto"/>
        </w:rPr>
      </w:pPr>
      <w:r>
        <w:rPr>
          <w:rFonts w:ascii="Times New Roman" w:cs="Times New Roman" w:eastAsia="Times New Roman" w:hAnsi="Times New Roman"/>
          <w:sz w:val="18"/>
          <w:szCs w:val="18"/>
          <w:color w:val="auto"/>
        </w:rPr>
        <w:t>related to the ESPP in each period. As of September 30, 2025, total unrecognized compensation cost related to the ESPP was $1.2 million, which will be amortized over a weighted average period of 0.61 years.</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net of actual forfeitures is reflected in the condensed consolidated statements of operations and comprehensive loss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16"/>
        </w:trPr>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4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24,105</w:t>
            </w:r>
          </w:p>
        </w:tc>
        <w:tc>
          <w:tcPr>
            <w:tcW w:w="10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10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18"/>
                <w:szCs w:val="18"/>
                <w:color w:val="auto"/>
              </w:rPr>
            </w:pPr>
          </w:p>
        </w:tc>
      </w:tr>
      <w:tr>
        <w:trPr>
          <w:trHeight w:val="229"/>
        </w:trPr>
        <w:tc>
          <w:tcPr>
            <w:tcW w:w="4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64,914</w:t>
            </w:r>
          </w:p>
        </w:tc>
        <w:tc>
          <w:tcPr>
            <w:tcW w:w="100" w:type="dxa"/>
            <w:vAlign w:val="bottom"/>
            <w:shd w:val="clear" w:color="auto" w:fill="CFF0FC"/>
          </w:tcPr>
          <w:p>
            <w:pPr>
              <w:spacing w:after="0"/>
              <w:rPr>
                <w:sz w:val="19"/>
                <w:szCs w:val="19"/>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On May 6, 2025, the Board approved a share repurchase program (the “Repurchase Program”), under which the Company is authorized to repurchase up to $50.0 million of the Company’s Class A common stock. Under the Repurchase Program, the Company may repurchase shares of the Company’s outstanding Class A common stock from time to time, in such amounts as management deems appropriate, through a variety of methods, which may include open market purchases, privately negotiated transactions, block trades, accelerated share repurchase transactions, purchases through 10b5-1 trading plans, or by any combination of such methods. The timing and amount of any repurchases pursuant to the Repurchase Program will be determined based on market conditions, share price and other factors. The Repurchase Program does not have an expiration date, does not require the Company to repurchase any specific number of shares of its Class A common stock, and may be modified, suspended or terminated at any time without notice.</w:t>
      </w:r>
    </w:p>
    <w:p>
      <w:pPr>
        <w:spacing w:after="0" w:line="6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repurchased 1,055,565 shares of common stock for an aggregate amount of $11.7 million, including broker commission fees. Shares repurchased by the Company are immediately retired and returned to the status of authorized and unissued. The cost paid to repurchase shares in excess of the par value is recorded to additional paid-in capital on the Company’s condensed consolidated balance sheet. As of September 30, 2025, a total of $38.3 million remains available for future repurchases under the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Share Repurchases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May 2025, the Company repurchased and retired 203,921 shares of its Class A common stock for an aggregate purchase price of $2.5 million. The repurchase was conducted through a privately negotiated transaction under the Company’s contractual right of first refusal granted in connection with a prior acquisition and was not part of the Company’s authorized Repurchase Program.</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Shares repurchased by the Company are immediately retired and returned to the status of authorized and unissued. The cost paid to repurchase shares in excess of the par value is recorded to additional paid-in capital on the Company’s consolidated balance sheet.</w:t>
      </w:r>
    </w:p>
    <w:p>
      <w:pPr>
        <w:spacing w:after="0" w:line="26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had an effective tax rate of (4.0)% and (3.3)% for the three and nine months ended September 30, 2025, respectively, and (4.6)% and (2.3)% for the three and nine months ended September 30, 2024, respectively. The Company continues to incur U.S. operating losses and has minimal profits in its foreign jurisdictions.</w:t>
      </w:r>
    </w:p>
    <w:p>
      <w:pPr>
        <w:spacing w:after="0" w:line="176"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evaluated all available evidence, both positive and negative, including historical levels of income, along with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180"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On July 4, 2025, the One Big Beautiful Bill Act (“the OBBBA”) was signed into law. The OBBBA introduces multiple tax law and other legislative changes, which may be subject to further clarification and the issuance of interpretive guidance. The new legislation did not have a material impact on the Company’s consolidated financial statements. The Company will continue to monitor developments on additional guidance and legislative changes.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cash flow information related to operating leases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16"/>
        </w:trPr>
        <w:tc>
          <w:tcPr>
            <w:tcW w:w="7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7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shd w:val="clear" w:color="auto" w:fill="CFF0FC"/>
          </w:tcPr>
          <w:p>
            <w:pPr>
              <w:spacing w:after="0"/>
              <w:rPr>
                <w:sz w:val="18"/>
                <w:szCs w:val="18"/>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31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non-cancellable operating leases with initial lease terms in excess of one year included in the Company’s lease liabilities as of September 30, 2025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Remainder of 2025</w:t>
            </w:r>
          </w:p>
        </w:tc>
        <w:tc>
          <w:tcPr>
            <w:tcW w:w="36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6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2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2,046</w:t>
            </w:r>
          </w:p>
        </w:tc>
      </w:tr>
      <w:tr>
        <w:trPr>
          <w:trHeight w:val="216"/>
        </w:trPr>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1,223</w:t>
            </w:r>
          </w:p>
        </w:tc>
      </w:tr>
      <w:tr>
        <w:trPr>
          <w:trHeight w:val="216"/>
        </w:trPr>
        <w:tc>
          <w:tcPr>
            <w:tcW w:w="61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2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2029 and thereafter</w:t>
            </w:r>
          </w:p>
        </w:tc>
        <w:tc>
          <w:tcPr>
            <w:tcW w:w="25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6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362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3,941</w:t>
            </w:r>
          </w:p>
        </w:tc>
      </w:tr>
      <w:tr>
        <w:trPr>
          <w:trHeight w:val="216"/>
        </w:trPr>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6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1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2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3,785</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March 2025, the Company entered into a new lease agreement for its principal executive office located in San Francisco, with a total commitment of $8.7 million. The lease will commence in November 2025 with an expiration date in fiscal year 2029. The Company will recognize the related right-of-use assets and liabilities, which have not yet been determined, at the respective lease commencement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February 14, 2024, a putative securities class action captioned Chicago &amp; Vicinity Laborers’ District Council Pension Fund v. Amplitude, Inc., et al., Case No. 3:24-cv-00898 (the “Securities Class Action”) was filed in the United States District Court for the Northern District of California, naming the Company, its Chief Executive Officer, and its former Chief Financial Officer as defendants. The lawsuit is purportedly brought on behalf of all those who purchased or acquired the Company’s common stock between September 21, 2021 and February 16, 2022. The complaint alleges claims under Sections 10(b) and 20(a) of the Securities Exchange Act of 1934, as amended, based on allegedly false or misleading statements related to the Company’s business and financial outlook. The lawsuit seeks unspecified damages and other relief. The defendants filed a motion to dismiss the complaint on July 12, 2024, which was granted with leave to amend on October 2, 2024. The plaintiffs filed an amended complaint on October 23, 2024. The defendants filed a motion to dismiss the amended complaint on November 13, 2024, and, on January 13, 2025, the court dismissed the amended complaint with prejudice and entered judgment in favor of the defendants.</w:t>
      </w:r>
    </w:p>
    <w:p>
      <w:pPr>
        <w:spacing w:after="0" w:line="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On June 10, 2024, a shareholder derivative complaint captioned Hawkins v. Spenser Skates, et al., Case No. 3:24-cv-03460 (the “Derivative Action”) was filed in the United States District Court for the Northern District of California, naming the Company’s Chief Executive Officer, its former Chief Financial Officer, and the current and former members of the Company’s board of directors as defendants. The complaint, purportedly brought on behalf of the Company, alleges claims for breach of fiduciary duty, unjust enrichment, waste of corporate assets, abuse of control, gross mismanagement, and contribution for alleged wrongdoing by the Company’s directors and officers from September 21, 2021 through February 16, 2022. The complaint seeks unspecified damages and other relief. The Derivative Action was stayed pending a resolution of any motions to dismiss the Securities Class Action. Following the dismissal of the Securities Class Action on January 13, 2025, the Derivative Action was dismissed without prejudice on February 21, 2025.</w:t>
      </w:r>
    </w:p>
    <w:p>
      <w:pPr>
        <w:spacing w:after="0" w:line="8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On August 8, 2024, a putative privacy class action captioned Atkins v. Amplitude, Inc., Case No. 3:24-cv-04913 was filed in the United States District Court for the Northern District of California, naming the Company as a defendant. The lawsuit is purportedly brought on behalf of all individuals who downloaded and used an application on their mobile device that embedded the Company’s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ind w:right="20"/>
        <w:spacing w:after="0" w:line="256" w:lineRule="auto"/>
        <w:rPr>
          <w:sz w:val="20"/>
          <w:szCs w:val="20"/>
          <w:color w:val="auto"/>
        </w:rPr>
      </w:pPr>
      <w:r>
        <w:rPr>
          <w:rFonts w:ascii="Times New Roman" w:cs="Times New Roman" w:eastAsia="Times New Roman" w:hAnsi="Times New Roman"/>
          <w:sz w:val="18"/>
          <w:szCs w:val="18"/>
          <w:color w:val="auto"/>
        </w:rPr>
        <w:t>Software Development Kit (“SDK”) and did not publicly disclose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The plaintiffs filed an amended complaint on November 15, 2024. The Company filed a motion to dismiss the amended complaint on January 7, 2025, and a motion to compel arbitration on April 8, 2025. On September 2, 2025, the court granted the Company's motion to compel arbitration and denied the Company's motion to dismiss as moot. On September 30, 2025, the plaintiffs filed a motion seeking to appeal the court's decision. That motion remains pending and the Company filed its response on October 22, 2025.</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18, 2024, an individual privacy action captioned Shah v. Amplitude, Inc., Case No. 2:24-cv-08155-MEMF-JPR was filed in the United States District Court for the Central District of California, naming the Company as a defendant. The lawsuit is brought by an individual who alleges to have used an application on his mobile device that embedded the SDK without explicitly identifying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On December 4, 2024, the court stayed the case pending final resolution of Atkins v. Amplitude, Inc., Case No. 3:24-cv-04913 (N.D. Cal.).</w:t>
      </w:r>
    </w:p>
    <w:p>
      <w:pPr>
        <w:spacing w:after="0" w:line="7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October 7, 2024, a putative privacy class action captioned Willey v. Amplitude, Inc., Case No. 1:24-cv-07577 was filed in the United States District Court for the Southern District of New York. The lawsuit was purportedly brought on behalf of all persons who accessed the Oscar Health website or application in Pennsylvania and entered information in response to prompts in the “Find a Plan” function. The complaint alleged that the Company’s services operate on the Oscar Health website and application to intercept information submitted by users for a health insurance quote. The complaint asserted a claim under Pennsylvania’s Wiretapping and Electronic Surveillance Act. The complaint sought unspecified damages and other relief. On December 5, 2024, the plaintiff voluntarily dismissed the case and re-filed in the Superior Court of the State of California. The Company removed the case to the United States District Court for the Northern District of California on December 16, 2024. On January 27, 2025, the plaintiff voluntarily dismissed the case.</w:t>
      </w:r>
    </w:p>
    <w:p>
      <w:pPr>
        <w:spacing w:after="0" w:line="8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to the matters discussed above, 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92"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88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Class A and Class B common</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(23,986)</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(16,854)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(70,885)</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(61,729)</w:t>
            </w:r>
          </w:p>
        </w:tc>
        <w:tc>
          <w:tcPr>
            <w:tcW w:w="0" w:type="dxa"/>
            <w:vAlign w:val="bottom"/>
          </w:tcPr>
          <w:p>
            <w:pPr>
              <w:spacing w:after="0"/>
              <w:rPr>
                <w:sz w:val="1"/>
                <w:szCs w:val="1"/>
                <w:color w:val="auto"/>
              </w:rPr>
            </w:pPr>
          </w:p>
        </w:tc>
      </w:tr>
      <w:tr>
        <w:trPr>
          <w:trHeight w:val="198"/>
        </w:trPr>
        <w:tc>
          <w:tcPr>
            <w:tcW w:w="4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 share attributable to Class A and Class B</w:t>
            </w:r>
          </w:p>
        </w:tc>
        <w:tc>
          <w:tcPr>
            <w:tcW w:w="2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132,997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124,324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9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Class A and Class B</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420" w:type="dxa"/>
            <w:vAlign w:val="bottom"/>
            <w:vMerge w:val="restart"/>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vMerge w:val="restart"/>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(0.54)</w:t>
            </w:r>
          </w:p>
        </w:tc>
        <w:tc>
          <w:tcPr>
            <w:tcW w:w="560" w:type="dxa"/>
            <w:vAlign w:val="bottom"/>
            <w:gridSpan w:val="2"/>
            <w:vMerge w:val="restart"/>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4"/>
        </w:trPr>
        <w:tc>
          <w:tcPr>
            <w:tcW w:w="4920" w:type="dxa"/>
            <w:vAlign w:val="bottom"/>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common stockholders, basic and diluted</w:t>
            </w:r>
          </w:p>
        </w:tc>
        <w:tc>
          <w:tcPr>
            <w:tcW w:w="280" w:type="dxa"/>
            <w:vAlign w:val="bottom"/>
            <w:vMerge w:val="continue"/>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420" w:type="dxa"/>
            <w:vAlign w:val="bottom"/>
            <w:vMerge w:val="continue"/>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300" w:type="dxa"/>
            <w:vAlign w:val="bottom"/>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560" w:type="dxa"/>
            <w:vAlign w:val="bottom"/>
            <w:gridSpan w:val="2"/>
            <w:vMerge w:val="continue"/>
            <w:shd w:val="clear" w:color="auto" w:fill="CFF0FC"/>
          </w:tcPr>
          <w:p>
            <w:pPr>
              <w:spacing w:after="0"/>
              <w:rPr>
                <w:sz w:val="20"/>
                <w:szCs w:val="20"/>
                <w:color w:val="auto"/>
              </w:rPr>
            </w:pPr>
          </w:p>
        </w:tc>
        <w:tc>
          <w:tcPr>
            <w:tcW w:w="106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20"/>
        </w:trPr>
        <w:tc>
          <w:tcPr>
            <w:tcW w:w="49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-864870</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-847725</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-864870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-847725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-864870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-847725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 shares of common stock were excluded from the calculation of diluted net loss per share because their effect would have been anti-dilutive for the periods presented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vMerge w:val="restart"/>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26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plan stock options outstanding</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outstanding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16,095</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2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696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9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-864870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-848360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p>
      <w:pPr>
        <w:ind w:left="540" w:hanging="532"/>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October 2025, the Company issued RSUs representing 488,452 shares of its Class A common stock to its employees with service-based vesting conditions. The service-based vesting condition for these awards are satisfied over three years. The grant date fair value of the RSUs issued in October 2025 was approximately $4.9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Command AI Holdback Release</w:t>
      </w:r>
    </w:p>
    <w:p>
      <w:pPr>
        <w:spacing w:after="0" w:line="121" w:lineRule="exact"/>
        <w:rPr>
          <w:sz w:val="20"/>
          <w:szCs w:val="20"/>
          <w:color w:val="auto"/>
        </w:rPr>
      </w:pPr>
    </w:p>
    <w:p>
      <w:pPr>
        <w:jc w:val="both"/>
        <w:ind w:right="160" w:firstLine="509"/>
        <w:spacing w:after="0" w:line="312" w:lineRule="auto"/>
        <w:rPr>
          <w:sz w:val="20"/>
          <w:szCs w:val="20"/>
          <w:color w:val="auto"/>
        </w:rPr>
      </w:pPr>
      <w:r>
        <w:rPr>
          <w:rFonts w:ascii="Times New Roman" w:cs="Times New Roman" w:eastAsia="Times New Roman" w:hAnsi="Times New Roman"/>
          <w:sz w:val="17"/>
          <w:szCs w:val="17"/>
          <w:color w:val="auto"/>
        </w:rPr>
        <w:t>On October 15, 2025, the one-year anniversary of the Command AI acquisition, pursuant to the merger agreement, the Company released a $1.1 million holdback payment and 298,252 holdback shares of Class A common stock valued at $2.6 million, based on the closing price of $8.70 per share.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October 23, 2025, the Company exercised its right of first refusal and repurchased 105,620 shares of Class A common stock from a Command AI founder for a total purchase price of $1.0 million. The repurchased shares were immediately retired upon completion of the transaction.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2024 (the “2024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85"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report to “Amplitude,” the “Company,” “we,” “our,” “us,” or similar terms refer to Amplitude, Inc. and its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Amplitude is the leading Digital Analytics Platform that helps businesses access trusted data, understand their customers, and optimize their product and digital experiences. Our integrated and AI-powered platform enables teams to improve the metrics they care about most: acquisition, monetization, retention, and revenue growth. We work with more than 4,500 paying customers of various sizes and stages of digital maturity, across many industries, including the teams behind some of the most beloved digital products in the world. We have experienced steady growth in recent years, with approximately 800 employees in seven global offices.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 the core of our Digital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have also re-architected Amplitude to be AI-led from the ground up. This transformation integrates AI across our platform to deliver intelligent insights, automate complex workflows, and enable adaptive experiences for our customers. With built-in AI agents and infrastructure—not bolted-on features—Amplitude helps teams reduce guesswork and drive durable business growth.</w:t>
      </w:r>
    </w:p>
    <w:p>
      <w:pPr>
        <w:spacing w:after="0" w:line="75" w:lineRule="exact"/>
        <w:rPr>
          <w:sz w:val="20"/>
          <w:szCs w:val="20"/>
          <w:color w:val="auto"/>
        </w:rPr>
      </w:pPr>
    </w:p>
    <w:p>
      <w:pPr>
        <w:ind w:right="280" w:firstLine="554"/>
        <w:spacing w:after="0" w:line="282" w:lineRule="auto"/>
        <w:rPr>
          <w:sz w:val="20"/>
          <w:szCs w:val="20"/>
          <w:color w:val="auto"/>
        </w:rPr>
      </w:pPr>
      <w:r>
        <w:rPr>
          <w:rFonts w:ascii="Times New Roman" w:cs="Times New Roman" w:eastAsia="Times New Roman" w:hAnsi="Times New Roman"/>
          <w:sz w:val="18"/>
          <w:szCs w:val="18"/>
          <w:color w:val="auto"/>
        </w:rPr>
        <w:t>Ranked #1 in multiple categories by Forrester and G2, Amplitude offers a comprehensive and easy-to-use platform, which includes Product and Marketing Analytics, Session Replay, Feature and Web Experimentation, Activation, and Guides and Surveys.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Digital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annual recurring revenue (“ARR”). As of September 30, 2025 and 2024, we had 653 and 567 customers, respectively, that each represented greater than $100,000 in ARR, representing a 15% increase year-over-year. We believe our relationship with some of the world’s most beloved product-led companies has resulted in increased brand credibility and access to many attractive growth opportunities. As of September 30, 2025 and 2024, our dollar-based net retention rate for the trailing 12 months ("TTM") was 102% and 97%, respectively, for paying customers. Additionally, our ending dollar-based net retention rate for paying customers as of September 30, 2025 and 2024, was 104% and 98%,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Platform</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improve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 w:name="page26"/>
    <w:bookmarkEnd w:id="25"/>
    <w:p>
      <w:pPr>
        <w:spacing w:after="0" w:line="219" w:lineRule="exact"/>
        <w:rPr>
          <w:sz w:val="20"/>
          <w:szCs w:val="20"/>
          <w:color w:val="auto"/>
        </w:rPr>
      </w:pPr>
      <w:r>
        <w:rPr>
          <w:rFonts w:ascii="Times New Roman" w:cs="Times New Roman" w:eastAsia="Times New Roman" w:hAnsi="Times New Roman"/>
          <w:sz w:val="18"/>
          <w:szCs w:val="18"/>
          <w:color w:val="auto"/>
        </w:rPr>
        <w:t>expand our platform capabilities. In October 2024, we acquired CommandAI to provide intuitive AI-powered user assistance to make complex software easier to adopt and navigate. In June 2025, we completed an asset acquisition of Inari to accelerate our AI roadmap, leveraging their team’s deep expertise in applied AI. In July 2025, we completed a talent acquisition of June.io, a startup focused on empowering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product teams, to contribute to our next generation of AI-driven analytics experiences. In July 2025, we completed the acquisition of Kraftful, integrating Kraftful's Voice of Customer Technology to unite quantitative user behavioral data and qualitative user feedback into Amplitude. Going forward, we may pursue both strategic partnerships and acquisitions that we believe will be complementary to our business, accelerate customer acquisition, increase usage of our platform, and/or expand our platform offerings in our core markets.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for Growth</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investment for growth encompasses multiple critical areas, including product expansion, our sales force, sales support, partner ecosystem, and our international presence. We continue to evolve our technology and platform to ensure that we are best serving our customers’ needs. For example, in June 2025, we introduced Amplitude AI Agents, which turn Amplitude into a team of specialized experts that work 24/7 to analyze user behavior, run experiments, and optimize digital experiences. In May 2025, we rolled out a suite of new marketing capabilities that give visibility into the entire customer journey, enabling marketers to increase conversion, improve ROI, and target audiences more precisely. In February 2025, following our acquisition of Command AI, we rolled out Guides and Surveys to help organizations improve onboarding and user engagement. These product launches build on a record year for product innovation in 2024, including the launches of self-serve Web Experimentation for marketers, a radically simplified platform experience with Amplitude Made Easy, a warehouse-native experience with Snowflake, and Session Replay to visualize the user journey.</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the evolution of our technology and platform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and AI talent will continue to be critical to our long-term success. As we continue to invest in our platform, we expect our research and development expenses, including those capitalized for internal-use software, to increase in dollar amount over time. Over the longer term, we believe these expenses as a percentage of revenue will decrease, though these expenses as a percentage of revenue could increase in the short term.</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increase in dollar amount over time. Over the longer term, we believe these expenses as a percentage of revenue will decrease, though these expenses as a percentage of revenue could increase in the short term.</w:t>
      </w:r>
    </w:p>
    <w:p>
      <w:pPr>
        <w:spacing w:after="0" w:line="75"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Finally, we see opportunities to expand offices and headcount internationally to better serve targeted international markets where we believe we have a significant opportunity to accelerate existing traction and success. For the three and nine months ended September 30, 2025, 39% of our revenue was generated outside the United States. As we seek to expand our business globally, we may be adversely affected by global economic and political instability. For example, as a result of the Russia-Ukraine War and related sanctions, we have terminated certain relationships with customers in Russia. Some of the businesses of our customers in the impacted regions have also experienced disruptions that have affected their ability to pay for our services. See “Risk Factors–Risks Related to Our Business and Industry–Our operations are international in scope, and we plan further geographical expansion, creating a variety of operational challenges.”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5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YoY Growth</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w w:val="87"/>
              </w:rPr>
              <w:t>(dollar</w:t>
            </w:r>
          </w:p>
        </w:tc>
        <w:tc>
          <w:tcPr>
            <w:tcW w:w="17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rPr>
              <w:t>values in millions)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Annual Recurring Revenue (ARR)</w:t>
            </w:r>
          </w:p>
        </w:tc>
        <w:tc>
          <w:tcPr>
            <w:tcW w:w="1040" w:type="dxa"/>
            <w:vAlign w:val="bottom"/>
            <w:shd w:val="clear" w:color="auto" w:fill="CFF0FC"/>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347</w:t>
            </w:r>
          </w:p>
        </w:tc>
        <w:tc>
          <w:tcPr>
            <w:tcW w:w="146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298</w:t>
            </w: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Dollar-Based Net Retention Rate (TTM)</w:t>
            </w:r>
          </w:p>
        </w:tc>
        <w:tc>
          <w:tcPr>
            <w:tcW w:w="1040" w:type="dxa"/>
            <w:vAlign w:val="bottom"/>
          </w:tcPr>
          <w:p>
            <w:pPr>
              <w:spacing w:after="0"/>
              <w:rPr>
                <w:sz w:val="19"/>
                <w:szCs w:val="19"/>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Paying Customers with ARR of $100,000 or greater</w:t>
            </w:r>
          </w:p>
        </w:tc>
        <w:tc>
          <w:tcPr>
            <w:tcW w:w="10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567</w:t>
            </w: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540"/>
        </w:trPr>
        <w:tc>
          <w:tcPr>
            <w:tcW w:w="5360" w:type="dxa"/>
            <w:vAlign w:val="bottom"/>
          </w:tcPr>
          <w:p>
            <w:pPr>
              <w:spacing w:after="0"/>
              <w:rPr>
                <w:sz w:val="24"/>
                <w:szCs w:val="24"/>
                <w:color w:val="auto"/>
              </w:rPr>
            </w:pPr>
          </w:p>
        </w:tc>
        <w:tc>
          <w:tcPr>
            <w:tcW w:w="104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26</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define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is an operating metric that can be impacted by contract start and end dates and renewal rates. ARR is also not intended to be a forecast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average of the trailing 12-month dollar-based net retention rates, to arrive at the dollar-based net retention rate (“NRR (TTM)”).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Paying Customers with ARR of $100,000 or greater</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define Paying Customers with ARR of $100,000 or greater as those Paying Customers on one or more paid subscriptions that have $100,000 or more in ARR.</w:t>
      </w:r>
    </w:p>
    <w:p>
      <w:pPr>
        <w:spacing w:after="0" w:line="54"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We believe our ability to grow the number of paying customers on our platform, particularly those spending $100,000 or more a year,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4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r>
      <w:tr>
        <w:trPr>
          <w:trHeight w:val="223"/>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56,473</w:t>
            </w:r>
          </w:p>
        </w:tc>
        <w:tc>
          <w:tcPr>
            <w:tcW w:w="2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185,697</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164,023</w:t>
            </w:r>
          </w:p>
        </w:tc>
        <w:tc>
          <w:tcPr>
            <w:tcW w:w="220" w:type="dxa"/>
            <w:vAlign w:val="bottom"/>
            <w:shd w:val="clear" w:color="auto" w:fill="CFF0FC"/>
          </w:tcPr>
          <w:p>
            <w:pPr>
              <w:spacing w:after="0"/>
              <w:rPr>
                <w:sz w:val="19"/>
                <w:szCs w:val="19"/>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67,271</w:t>
            </w:r>
          </w:p>
        </w:tc>
        <w:tc>
          <w:tcPr>
            <w:tcW w:w="280" w:type="dxa"/>
            <w:vAlign w:val="bottom"/>
          </w:tcPr>
          <w:p>
            <w:pPr>
              <w:spacing w:after="0"/>
              <w:rPr>
                <w:sz w:val="20"/>
                <w:szCs w:val="20"/>
                <w:color w:val="auto"/>
              </w:rPr>
            </w:pPr>
          </w:p>
        </w:tc>
        <w:tc>
          <w:tcPr>
            <w:tcW w:w="10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58,032</w:t>
            </w:r>
          </w:p>
        </w:tc>
        <w:tc>
          <w:tcPr>
            <w:tcW w:w="2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190,584</w:t>
            </w:r>
          </w:p>
        </w:tc>
        <w:tc>
          <w:tcPr>
            <w:tcW w:w="3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168,936</w:t>
            </w:r>
          </w:p>
        </w:tc>
        <w:tc>
          <w:tcPr>
            <w:tcW w:w="220" w:type="dxa"/>
            <w:vAlign w:val="bottom"/>
          </w:tcPr>
          <w:p>
            <w:pPr>
              <w:spacing w:after="0"/>
              <w:rPr>
                <w:sz w:val="20"/>
                <w:szCs w:val="20"/>
                <w:color w:val="auto"/>
              </w:rPr>
            </w:pPr>
          </w:p>
        </w:tc>
      </w:tr>
      <w:tr>
        <w:trPr>
          <w:trHeight w:val="225"/>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2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r>
      <w:tr>
        <w:trPr>
          <w:trHeight w:val="225"/>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(25,650)</w:t>
            </w:r>
          </w:p>
        </w:tc>
        <w:tc>
          <w:tcPr>
            <w:tcW w:w="10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(20,013)</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(76,943)</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(71,878)</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tcPr>
          <w:p>
            <w:pPr>
              <w:spacing w:after="0"/>
              <w:rPr>
                <w:sz w:val="20"/>
                <w:szCs w:val="20"/>
                <w:color w:val="auto"/>
              </w:rPr>
            </w:pPr>
          </w:p>
        </w:tc>
        <w:tc>
          <w:tcPr>
            <w:tcW w:w="10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(4,243)</w:t>
            </w:r>
          </w:p>
        </w:tc>
      </w:tr>
      <w:tr>
        <w:trPr>
          <w:trHeight w:val="225"/>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Margin</w:t>
            </w: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 (Loss) from Operations Margin</w:t>
            </w:r>
          </w:p>
        </w:tc>
        <w:tc>
          <w:tcPr>
            <w:tcW w:w="2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2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3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220" w:type="dxa"/>
            <w:vAlign w:val="bottom"/>
            <w:shd w:val="clear" w:color="auto" w:fill="CFF0FC"/>
          </w:tcPr>
          <w:p>
            <w:pPr>
              <w:spacing w:after="0"/>
              <w:rPr>
                <w:sz w:val="19"/>
                <w:szCs w:val="19"/>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80" w:type="dxa"/>
            <w:vAlign w:val="bottom"/>
          </w:tcPr>
          <w:p>
            <w:pPr>
              <w:spacing w:after="0"/>
              <w:rPr>
                <w:sz w:val="20"/>
                <w:szCs w:val="20"/>
                <w:color w:val="auto"/>
              </w:rPr>
            </w:pPr>
          </w:p>
        </w:tc>
        <w:tc>
          <w:tcPr>
            <w:tcW w:w="10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8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3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220" w:type="dxa"/>
            <w:vAlign w:val="bottom"/>
          </w:tcPr>
          <w:p>
            <w:pPr>
              <w:spacing w:after="0"/>
              <w:rPr>
                <w:sz w:val="20"/>
                <w:szCs w:val="20"/>
                <w:color w:val="auto"/>
              </w:rPr>
            </w:pPr>
          </w:p>
        </w:tc>
      </w:tr>
      <w:tr>
        <w:trPr>
          <w:trHeight w:val="225"/>
        </w:trPr>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98"/>
        </w:trPr>
        <w:tc>
          <w:tcPr>
            <w:tcW w:w="43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34"/>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28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bl>
    <w:p>
      <w:pPr>
        <w:spacing w:after="0" w:line="29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Non-GAAP Gross Profit, Non-GAAP Gross Margin, Non-GAAP Income (Loss) from Operations, and Non-GAAP Income (Loss) from Operations Margin</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spacing w:after="0" w:line="176"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w:t>
      </w:r>
    </w:p>
    <w:p>
      <w:pPr>
        <w:spacing w:after="0" w:line="1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8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right="620"/>
        <w:spacing w:after="0" w:line="282" w:lineRule="auto"/>
        <w:rPr>
          <w:sz w:val="20"/>
          <w:szCs w:val="20"/>
          <w:color w:val="auto"/>
        </w:rPr>
      </w:pPr>
      <w:r>
        <w:rPr>
          <w:rFonts w:ascii="Times New Roman" w:cs="Times New Roman" w:eastAsia="Times New Roman" w:hAnsi="Times New Roman"/>
          <w:sz w:val="18"/>
          <w:szCs w:val="18"/>
          <w:color w:val="auto"/>
        </w:rPr>
        <w:t>and investors, even if negative, about the amount of cash used in our operations other than that used for investments in property and equipment and capitalized internal-use software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and Reconciliations of Non-GAAP Financial Measures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U.S. GAAP financial measure to each of these non-GAAP financial measures.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Gross Margin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7"/>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23"/>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56,473</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185,697</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164,023</w:t>
            </w:r>
          </w:p>
        </w:tc>
        <w:tc>
          <w:tcPr>
            <w:tcW w:w="180" w:type="dxa"/>
            <w:vAlign w:val="bottom"/>
            <w:shd w:val="clear" w:color="auto" w:fill="CFF0FC"/>
          </w:tcPr>
          <w:p>
            <w:pPr>
              <w:spacing w:after="0"/>
              <w:rPr>
                <w:sz w:val="19"/>
                <w:szCs w:val="19"/>
                <w:color w:val="auto"/>
              </w:rPr>
            </w:pPr>
          </w:p>
        </w:tc>
      </w:tr>
      <w:tr>
        <w:trPr>
          <w:trHeight w:val="230"/>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line="229"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80" w:type="dxa"/>
            <w:vAlign w:val="bottom"/>
            <w:shd w:val="clear" w:color="auto" w:fill="CFF0FC"/>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r>
      <w:tr>
        <w:trPr>
          <w:trHeight w:val="22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Gross Profit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67,271</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58,032</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190,584</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168,936</w:t>
            </w:r>
          </w:p>
        </w:tc>
        <w:tc>
          <w:tcPr>
            <w:tcW w:w="180" w:type="dxa"/>
            <w:vAlign w:val="bottom"/>
            <w:shd w:val="clear" w:color="auto" w:fill="CFF0FC"/>
          </w:tcPr>
          <w:p>
            <w:pPr>
              <w:spacing w:after="0"/>
              <w:rPr>
                <w:sz w:val="19"/>
                <w:szCs w:val="19"/>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Margin</w:t>
            </w:r>
          </w:p>
        </w:tc>
        <w:tc>
          <w:tcPr>
            <w:tcW w:w="3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bl>
    <w:p>
      <w:pPr>
        <w:spacing w:after="0" w:line="121"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expense-related charges include employer payroll tax-related expenses on employee stock transactions.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Income (Loss) From Operations and Income (Loss) From Operations Margin</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7"/>
        </w:trPr>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r>
      <w:tr>
        <w:trPr>
          <w:trHeight w:val="223"/>
        </w:trPr>
        <w:tc>
          <w:tcPr>
            <w:tcW w:w="4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2"/>
              </w:rPr>
              <w:t>except</w:t>
            </w:r>
          </w:p>
        </w:tc>
        <w:tc>
          <w:tcPr>
            <w:tcW w:w="130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(25,650)</w:t>
            </w:r>
          </w:p>
        </w:tc>
        <w:tc>
          <w:tcPr>
            <w:tcW w:w="10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(20,013)</w:t>
            </w: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(76,943)</w:t>
            </w: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(71,878)</w:t>
            </w:r>
          </w:p>
        </w:tc>
      </w:tr>
      <w:tr>
        <w:trPr>
          <w:trHeight w:val="178"/>
        </w:trPr>
        <w:tc>
          <w:tcPr>
            <w:tcW w:w="4380" w:type="dxa"/>
            <w:vAlign w:val="bottom"/>
          </w:tcPr>
          <w:p>
            <w:pPr>
              <w:ind w:left="460"/>
              <w:spacing w:after="0" w:line="177" w:lineRule="exact"/>
              <w:rPr>
                <w:sz w:val="20"/>
                <w:szCs w:val="20"/>
                <w:color w:val="auto"/>
              </w:rPr>
            </w:pPr>
            <w:r>
              <w:rPr>
                <w:rFonts w:ascii="Times New Roman" w:cs="Times New Roman" w:eastAsia="Times New Roman" w:hAnsi="Times New Roman"/>
                <w:sz w:val="18"/>
                <w:szCs w:val="18"/>
                <w:color w:val="auto"/>
              </w:rPr>
              <w:t>Add: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81"/>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21,536</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67,172</w:t>
            </w:r>
          </w:p>
        </w:tc>
        <w:tc>
          <w:tcPr>
            <w:tcW w:w="240" w:type="dxa"/>
            <w:vAlign w:val="bottom"/>
          </w:tcPr>
          <w:p>
            <w:pPr>
              <w:spacing w:after="0"/>
              <w:rPr>
                <w:sz w:val="24"/>
                <w:szCs w:val="24"/>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 amortization</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40" w:type="dxa"/>
            <w:vAlign w:val="bottom"/>
          </w:tcPr>
          <w:p>
            <w:pPr>
              <w:spacing w:after="0"/>
              <w:rPr>
                <w:sz w:val="18"/>
                <w:szCs w:val="18"/>
                <w:color w:val="auto"/>
              </w:rPr>
            </w:pPr>
          </w:p>
        </w:tc>
      </w:tr>
      <w:tr>
        <w:trPr>
          <w:trHeight w:val="223"/>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(3,025)</w:t>
            </w:r>
          </w:p>
        </w:tc>
        <w:tc>
          <w:tcPr>
            <w:tcW w:w="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(4,243)</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 (Loss) from Operations Margin</w:t>
            </w:r>
          </w:p>
        </w:tc>
        <w:tc>
          <w:tcPr>
            <w:tcW w:w="28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705485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101"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expense-related charges include employer payroll tax-related expenses on employee stock transactions.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7"/>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8"/>
                <w:szCs w:val="18"/>
                <w:color w:val="auto"/>
              </w:rPr>
            </w:pPr>
          </w:p>
        </w:tc>
      </w:tr>
      <w:tr>
        <w:trPr>
          <w:trHeight w:val="223"/>
        </w:trPr>
        <w:tc>
          <w:tcPr>
            <w:tcW w:w="4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60" w:type="dxa"/>
            <w:vAlign w:val="bottom"/>
            <w:gridSpan w:val="7"/>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(21,831)</w:t>
            </w:r>
          </w:p>
        </w:tc>
        <w:tc>
          <w:tcPr>
            <w:tcW w:w="11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(66,826)</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67,749</w:t>
            </w:r>
          </w:p>
        </w:tc>
        <w:tc>
          <w:tcPr>
            <w:tcW w:w="180" w:type="dxa"/>
            <w:vAlign w:val="bottom"/>
            <w:shd w:val="clear" w:color="auto" w:fill="CFF0FC"/>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(20,562)</w:t>
            </w:r>
          </w:p>
        </w:tc>
        <w:tc>
          <w:tcPr>
            <w:tcW w:w="11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(39,614)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(14,133)</w:t>
            </w: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180" w:type="dxa"/>
            <w:vAlign w:val="bottom"/>
            <w:shd w:val="clear" w:color="auto" w:fill="CFF0FC"/>
          </w:tcPr>
          <w:p>
            <w:pPr>
              <w:spacing w:after="0"/>
              <w:rPr>
                <w:sz w:val="19"/>
                <w:szCs w:val="19"/>
                <w:color w:val="auto"/>
              </w:rPr>
            </w:pPr>
          </w:p>
        </w:tc>
      </w:tr>
      <w:tr>
        <w:trPr>
          <w:trHeight w:val="229"/>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(1,436)</w:t>
            </w: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of internal-use software costs</w:t>
            </w: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(3,259)</w:t>
            </w:r>
          </w:p>
        </w:tc>
        <w:tc>
          <w:tcPr>
            <w:tcW w:w="4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(4,170)</w:t>
            </w:r>
          </w:p>
        </w:tc>
      </w:tr>
      <w:tr>
        <w:trPr>
          <w:trHeight w:val="20"/>
        </w:trPr>
        <w:tc>
          <w:tcPr>
            <w:tcW w:w="4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80" w:type="dxa"/>
            <w:vAlign w:val="bottom"/>
            <w:shd w:val="clear" w:color="auto" w:fill="CFF0FC"/>
          </w:tcPr>
          <w:p>
            <w:pPr>
              <w:spacing w:after="0"/>
              <w:rPr>
                <w:sz w:val="19"/>
                <w:szCs w:val="19"/>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Margin</w:t>
            </w:r>
          </w:p>
        </w:tc>
        <w:tc>
          <w:tcPr>
            <w:tcW w:w="3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 though the gross margin percentage may fluctuate from quarter to quarter due to potential reinvestments into the business. The extent and timing of such investments may vary.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and related expenses. These expenses also include third-party services and consulting expenses, software subscriptions, hosting expenses for research and development activities, product design costs prior to the application development stage,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80"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We continue to make strategic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also incurred certain expenses as part of operating as a publicly-traded company, including professional fees and other expenses. As a public company, we expect to continue to incur costs associated with accounting, compliance, insurance, and investor relations which could fluctuate from period to period.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on our cash, cash equivalents, and marketable securities holdings and foreign currency transaction gains and losses.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Provision for (benefit from) income taxes consists primarily of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where the statutory tax rates are different from the federal statutory tax rate. We expect to maintain this full valuation allowance in U.S. jurisdictions for the foreseeable future as it is not more likely than not the deferred tax assets will be realized based on our history of losses.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The period-to-period comparison of financial results is not necessarily indicative of financial results to be achieved in future periods.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88,564</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75,217</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251,788</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57,118</w:t>
            </w:r>
          </w:p>
        </w:tc>
        <w:tc>
          <w:tcPr>
            <w:tcW w:w="120" w:type="dxa"/>
            <w:vAlign w:val="bottom"/>
          </w:tcPr>
          <w:p>
            <w:pPr>
              <w:spacing w:after="0"/>
              <w:rPr>
                <w:sz w:val="18"/>
                <w:szCs w:val="18"/>
                <w:color w:val="auto"/>
              </w:rPr>
            </w:pPr>
          </w:p>
        </w:tc>
      </w:tr>
      <w:tr>
        <w:trPr>
          <w:trHeight w:val="209"/>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56,473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185,697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164,023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120" w:type="dxa"/>
            <w:vAlign w:val="bottom"/>
            <w:shd w:val="clear" w:color="auto" w:fill="CFF0FC"/>
          </w:tcPr>
          <w:p>
            <w:pPr>
              <w:spacing w:after="0"/>
              <w:rPr>
                <w:sz w:val="18"/>
                <w:szCs w:val="18"/>
                <w:color w:val="auto"/>
              </w:rPr>
            </w:pPr>
          </w:p>
        </w:tc>
      </w:tr>
      <w:tr>
        <w:trPr>
          <w:trHeight w:val="216"/>
        </w:trPr>
        <w:tc>
          <w:tcPr>
            <w:tcW w:w="46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4"/>
                <w:szCs w:val="24"/>
                <w:color w:val="auto"/>
                <w:vertAlign w:val="superscript"/>
              </w:rPr>
              <w:t>(1)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120" w:type="dxa"/>
            <w:vAlign w:val="bottom"/>
          </w:tcPr>
          <w:p>
            <w:pPr>
              <w:spacing w:after="0"/>
              <w:rPr>
                <w:sz w:val="18"/>
                <w:szCs w:val="18"/>
                <w:color w:val="auto"/>
              </w:rPr>
            </w:pPr>
          </w:p>
        </w:tc>
      </w:tr>
      <w:tr>
        <w:trPr>
          <w:trHeight w:val="216"/>
        </w:trPr>
        <w:tc>
          <w:tcPr>
            <w:tcW w:w="4620" w:type="dxa"/>
            <w:vAlign w:val="bottom"/>
            <w:tcBorders>
              <w:bottom w:val="single" w:sz="8" w:color="CFF0FC"/>
            </w:tcBorders>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235,901</w:t>
            </w:r>
          </w:p>
        </w:tc>
        <w:tc>
          <w:tcPr>
            <w:tcW w:w="120" w:type="dxa"/>
            <w:vAlign w:val="bottom"/>
          </w:tcPr>
          <w:p>
            <w:pPr>
              <w:spacing w:after="0"/>
              <w:rPr>
                <w:sz w:val="18"/>
                <w:szCs w:val="18"/>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(25,650)</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(20,013)</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(76,943)</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(71,878)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120" w:type="dxa"/>
            <w:vAlign w:val="bottom"/>
          </w:tcPr>
          <w:p>
            <w:pPr>
              <w:spacing w:after="0"/>
              <w:rPr>
                <w:sz w:val="18"/>
                <w:szCs w:val="18"/>
                <w:color w:val="auto"/>
              </w:rPr>
            </w:pPr>
          </w:p>
        </w:tc>
      </w:tr>
      <w:tr>
        <w:trPr>
          <w:trHeight w:val="209"/>
        </w:trPr>
        <w:tc>
          <w:tcPr>
            <w:tcW w:w="4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(23,060)</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(16,112)</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(68,626)</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(60,356)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Pr>
          <w:p>
            <w:pPr>
              <w:spacing w:after="0"/>
              <w:rPr>
                <w:sz w:val="18"/>
                <w:szCs w:val="18"/>
                <w:color w:val="auto"/>
              </w:rPr>
            </w:pP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(23,986)</w:t>
            </w:r>
          </w:p>
        </w:tc>
        <w:tc>
          <w:tcPr>
            <w:tcW w:w="11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(16,854)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(70,885)</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-1414145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-1414145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-1414145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-1414145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-856615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-856615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-856615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stock-based compensation expense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23"/>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3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20" w:type="dxa"/>
            <w:vAlign w:val="bottom"/>
            <w:shd w:val="clear" w:color="auto" w:fill="CFF0FC"/>
          </w:tcPr>
          <w:p>
            <w:pPr>
              <w:spacing w:after="0"/>
              <w:rPr>
                <w:sz w:val="19"/>
                <w:szCs w:val="19"/>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6,994</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24,105</w:t>
            </w:r>
          </w:p>
        </w:tc>
        <w:tc>
          <w:tcPr>
            <w:tcW w:w="120" w:type="dxa"/>
            <w:vAlign w:val="bottom"/>
          </w:tcPr>
          <w:p>
            <w:pPr>
              <w:spacing w:after="0"/>
              <w:rPr>
                <w:sz w:val="19"/>
                <w:szCs w:val="19"/>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27,593</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23,851</w:t>
            </w:r>
          </w:p>
        </w:tc>
        <w:tc>
          <w:tcPr>
            <w:tcW w:w="120" w:type="dxa"/>
            <w:vAlign w:val="bottom"/>
            <w:shd w:val="clear" w:color="auto" w:fill="CFF0FC"/>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2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20" w:type="dxa"/>
            <w:vAlign w:val="bottom"/>
          </w:tcPr>
          <w:p>
            <w:pPr>
              <w:spacing w:after="0"/>
              <w:rPr>
                <w:sz w:val="18"/>
                <w:szCs w:val="18"/>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25,116</w:t>
            </w:r>
          </w:p>
        </w:tc>
        <w:tc>
          <w:tcPr>
            <w:tcW w:w="130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21,112</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70,218</w:t>
            </w:r>
          </w:p>
        </w:tc>
        <w:tc>
          <w:tcPr>
            <w:tcW w:w="7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64,914</w:t>
            </w:r>
          </w:p>
        </w:tc>
        <w:tc>
          <w:tcPr>
            <w:tcW w:w="120" w:type="dxa"/>
            <w:vAlign w:val="bottom"/>
            <w:shd w:val="clear" w:color="auto" w:fill="CFF0FC"/>
          </w:tcPr>
          <w:p>
            <w:pPr>
              <w:spacing w:after="0"/>
              <w:rPr>
                <w:sz w:val="18"/>
                <w:szCs w:val="18"/>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our condensed consolidated statements of operations and comprehensive loss data, for each of the periods presented, as a percentage of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3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46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10"/>
        </w:trPr>
        <w:tc>
          <w:tcPr>
            <w:tcW w:w="4620" w:type="dxa"/>
            <w:vAlign w:val="bottom"/>
          </w:tcPr>
          <w:p>
            <w:pPr>
              <w:spacing w:after="0"/>
              <w:rPr>
                <w:sz w:val="18"/>
                <w:szCs w:val="18"/>
                <w:color w:val="auto"/>
              </w:rPr>
            </w:pPr>
          </w:p>
        </w:tc>
        <w:tc>
          <w:tcPr>
            <w:tcW w:w="104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100%</w:t>
            </w:r>
          </w:p>
        </w:tc>
        <w:tc>
          <w:tcPr>
            <w:tcW w:w="232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w w:val="99"/>
              </w:rPr>
              <w:t>100%</w:t>
            </w:r>
          </w:p>
        </w:tc>
        <w:tc>
          <w:tcPr>
            <w:tcW w:w="1140" w:type="dxa"/>
            <w:vAlign w:val="bottom"/>
            <w:gridSpan w:val="2"/>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color w:val="auto"/>
                <w:w w:val="99"/>
              </w:rPr>
              <w:t>100%</w:t>
            </w:r>
          </w:p>
        </w:tc>
        <w:tc>
          <w:tcPr>
            <w:tcW w:w="2120" w:type="dxa"/>
            <w:vAlign w:val="bottom"/>
            <w:gridSpan w:val="3"/>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6"/>
              </w:rPr>
              <w:t>26%</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rPr>
              <w:t>74%</w:t>
            </w:r>
          </w:p>
        </w:tc>
        <w:tc>
          <w:tcPr>
            <w:tcW w:w="232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6"/>
              </w:rPr>
              <w:t>74%</w:t>
            </w:r>
          </w:p>
        </w:tc>
        <w:tc>
          <w:tcPr>
            <w:tcW w:w="2120" w:type="dxa"/>
            <w:vAlign w:val="bottom"/>
            <w:gridSpan w:val="3"/>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30"/>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rPr>
              <w:t>30%</w:t>
            </w:r>
          </w:p>
        </w:tc>
        <w:tc>
          <w:tcPr>
            <w:tcW w:w="232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6"/>
              </w:rPr>
              <w:t>29%</w:t>
            </w:r>
          </w:p>
        </w:tc>
        <w:tc>
          <w:tcPr>
            <w:tcW w:w="2120" w:type="dxa"/>
            <w:vAlign w:val="bottom"/>
            <w:gridSpan w:val="3"/>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55%</w:t>
            </w:r>
          </w:p>
        </w:tc>
        <w:tc>
          <w:tcPr>
            <w:tcW w:w="23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54%</w:t>
            </w:r>
          </w:p>
        </w:tc>
        <w:tc>
          <w:tcPr>
            <w:tcW w:w="11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6"/>
              </w:rPr>
              <w:t>55%</w:t>
            </w:r>
          </w:p>
        </w:tc>
        <w:tc>
          <w:tcPr>
            <w:tcW w:w="21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46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rPr>
              <w:t>18%</w:t>
            </w:r>
          </w:p>
        </w:tc>
        <w:tc>
          <w:tcPr>
            <w:tcW w:w="4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center"/>
              <w:ind w:left="370"/>
              <w:spacing w:after="0"/>
              <w:rPr>
                <w:sz w:val="20"/>
                <w:szCs w:val="20"/>
                <w:color w:val="auto"/>
              </w:rPr>
            </w:pPr>
            <w:r>
              <w:rPr>
                <w:rFonts w:ascii="Times New Roman" w:cs="Times New Roman" w:eastAsia="Times New Roman" w:hAnsi="Times New Roman"/>
                <w:sz w:val="18"/>
                <w:szCs w:val="18"/>
                <w:color w:val="auto"/>
                <w:w w:val="96"/>
              </w:rPr>
              <w:t>19%</w:t>
            </w:r>
          </w:p>
        </w:tc>
        <w:tc>
          <w:tcPr>
            <w:tcW w:w="4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9"/>
              </w:rPr>
              <w:t>103%</w:t>
            </w:r>
          </w:p>
        </w:tc>
        <w:tc>
          <w:tcPr>
            <w:tcW w:w="4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104%</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r>
      <w:tr>
        <w:trPr>
          <w:trHeight w:val="223"/>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rPr>
              <w:t>(29)%</w:t>
            </w:r>
          </w:p>
        </w:tc>
        <w:tc>
          <w:tcPr>
            <w:tcW w:w="232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rPr>
              <w:t>(27)%</w:t>
            </w:r>
          </w:p>
        </w:tc>
        <w:tc>
          <w:tcPr>
            <w:tcW w:w="1140" w:type="dxa"/>
            <w:vAlign w:val="bottom"/>
            <w:gridSpan w:val="2"/>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w w:val="97"/>
              </w:rPr>
              <w:t>(31)%</w:t>
            </w:r>
          </w:p>
        </w:tc>
        <w:tc>
          <w:tcPr>
            <w:tcW w:w="2120" w:type="dxa"/>
            <w:vAlign w:val="bottom"/>
            <w:gridSpan w:val="3"/>
            <w:shd w:val="clear" w:color="auto" w:fill="CFF0FC"/>
          </w:tcPr>
          <w:p>
            <w:pPr>
              <w:jc w:val="center"/>
              <w:ind w:left="530"/>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3%</w:t>
            </w:r>
          </w:p>
        </w:tc>
        <w:tc>
          <w:tcPr>
            <w:tcW w:w="23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5%</w:t>
            </w:r>
          </w:p>
        </w:tc>
        <w:tc>
          <w:tcPr>
            <w:tcW w:w="11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w:t>
            </w:r>
          </w:p>
        </w:tc>
        <w:tc>
          <w:tcPr>
            <w:tcW w:w="21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-1048385</wp:posOffset>
            </wp:positionV>
            <wp:extent cx="946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-1048385</wp:posOffset>
            </wp:positionV>
            <wp:extent cx="939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-1048385</wp:posOffset>
            </wp:positionV>
            <wp:extent cx="939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-456565</wp:posOffset>
            </wp:positionV>
            <wp:extent cx="946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-456565</wp:posOffset>
            </wp:positionV>
            <wp:extent cx="939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-456565</wp:posOffset>
            </wp:positionV>
            <wp:extent cx="93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-2540</wp:posOffset>
            </wp:positionV>
            <wp:extent cx="42005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p>
      <w:pPr>
        <w:spacing w:after="0" w:line="4" w:lineRule="exact"/>
        <w:rPr>
          <w:sz w:val="20"/>
          <w:szCs w:val="20"/>
          <w:color w:val="auto"/>
        </w:rPr>
      </w:pPr>
    </w:p>
    <w:p>
      <w:pPr>
        <w:ind w:right="240" w:firstLine="270"/>
        <w:spacing w:after="0" w:line="261" w:lineRule="auto"/>
        <w:rPr>
          <w:sz w:val="20"/>
          <w:szCs w:val="20"/>
          <w:color w:val="auto"/>
        </w:rPr>
      </w:pPr>
      <w:r>
        <w:rPr>
          <w:rFonts w:ascii="Times New Roman" w:cs="Times New Roman" w:eastAsia="Times New Roman" w:hAnsi="Times New Roman"/>
          <w:sz w:val="18"/>
          <w:szCs w:val="18"/>
          <w:color w:val="auto"/>
        </w:rPr>
        <w:t>Loss before provision for (benefit from) income taxes Provision for (benefit from) income taxes</w:t>
      </w: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(26)%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1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11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1%</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1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(27)%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-436245</wp:posOffset>
            </wp:positionV>
            <wp:extent cx="7132320"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-144780</wp:posOffset>
            </wp:positionV>
            <wp:extent cx="7132320"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00" w:space="720"/>
            <w:col w:w="6120"/>
          </w:cols>
          <w:pgMar w:left="320" w:top="1305"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2" w:name="page33"/>
    <w:bookmarkEnd w:id="32"/>
    <w:p>
      <w:pPr>
        <w:ind w:left="300" w:hanging="292"/>
        <w:spacing w:after="0"/>
        <w:tabs>
          <w:tab w:leader="none" w:pos="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p>
      <w:pPr>
        <w:spacing w:after="0" w:line="312" w:lineRule="exact"/>
        <w:rPr>
          <w:sz w:val="20"/>
          <w:szCs w:val="20"/>
          <w:color w:val="auto"/>
        </w:rPr>
      </w:pPr>
    </w:p>
    <w:p>
      <w:pPr>
        <w:ind w:right="3700"/>
        <w:spacing w:after="0" w:line="4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Three Months Ended September 30, 2025 to Three Months Ended September 30, 2024 </w:t>
      </w:r>
      <w:r>
        <w:rPr>
          <w:rFonts w:ascii="Times New Roman" w:cs="Times New Roman" w:eastAsia="Times New Roman" w:hAnsi="Times New Roman"/>
          <w:sz w:val="18"/>
          <w:szCs w:val="18"/>
          <w:i w:val="1"/>
          <w:iCs w:val="1"/>
          <w:color w:val="auto"/>
        </w:rPr>
        <w:t>Revenue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680" w:type="dxa"/>
            <w:vAlign w:val="bottom"/>
            <w:gridSpan w:val="5"/>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w w:val="70"/>
              </w:rPr>
              <w:t>except</w:t>
            </w:r>
          </w:p>
        </w:tc>
        <w:tc>
          <w:tcPr>
            <w:tcW w:w="136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88,564</w:t>
            </w:r>
          </w:p>
        </w:tc>
        <w:tc>
          <w:tcPr>
            <w:tcW w:w="120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75,217</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13,347</w:t>
            </w:r>
          </w:p>
        </w:tc>
        <w:tc>
          <w:tcPr>
            <w:tcW w:w="15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$13.3 million, or 18%, for the three months ended September 30, 2025 compared to the three months ended September 30, 2024. The increase was primarily driven by growth in our paying customer base, partially offset by partial and full churn among existing customers which was lower than our expansion of existing customers as reflected by our NRR (TTM) of 102% as of September 30, 2025.</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7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6"/>
              </w:rPr>
              <w:t>23%</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increased $4.3 million, or 23%, during the three months ended September 30, 2025 compared to the three months ended September 30, 2024. The increase was primarily driven by a $2.2 million increase in third-party hosting costs as we increased capacity to support paying customer usage and growth of our paying customer base, a $1.2 million increase in personnel and subcontractor-related expenses, including higher allocated overhead costs, and a $1.1 million increase in amortization of capitalized internal-use software development costs.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20" w:type="dxa"/>
            <w:vAlign w:val="bottom"/>
          </w:tcPr>
          <w:p>
            <w:pPr>
              <w:spacing w:after="0"/>
              <w:rPr>
                <w:sz w:val="24"/>
                <w:szCs w:val="24"/>
                <w:color w:val="auto"/>
              </w:rPr>
            </w:pPr>
          </w:p>
        </w:tc>
        <w:tc>
          <w:tcPr>
            <w:tcW w:w="26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5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w w:val="70"/>
              </w:rPr>
              <w:t>except</w:t>
            </w:r>
          </w:p>
        </w:tc>
        <w:tc>
          <w:tcPr>
            <w:tcW w:w="136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26,612</w:t>
            </w:r>
          </w:p>
        </w:tc>
        <w:tc>
          <w:tcPr>
            <w:tcW w:w="132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19,037</w:t>
            </w:r>
          </w:p>
        </w:tc>
        <w:tc>
          <w:tcPr>
            <w:tcW w:w="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7,575</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48,306</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40,863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7,443</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16,222</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16,586</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(364)</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91,140</w:t>
            </w:r>
          </w:p>
        </w:tc>
        <w:tc>
          <w:tcPr>
            <w:tcW w:w="13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76,486</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14,654</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-153670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-153670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$7.6 million, or 40%, during the three months ended September 30, 2025 compared to the three months ended September 30, 2024. The increase was primarily driven by a $4.4 million increase in personnel-related expenses, a $2.3 million increase in stock-based compensation expenses and related payroll taxes, and a $0.5 million decrease in capitalized personnel costs associated with internally developed software projects.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$7.4 million, or 18%, during the three months ended September 30, 2025 compared to the three months ended September 30, 2024. The increase was primarily driven by a $4.4 million increase in personnel-related expenses, a $1.7 million increase in stock-based compensation expenses and related payroll taxes, a $0.7 million increase in sales event expenses, and a $0.5 million increase in variable compensation tied to changes in our compensation plans.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$0.4 million, or (2)%, during the three months ended September 30, 2025 compared to the three months ended September 30, 2024. The decrease was primarily driven by a $0.6 million decrease in legal expenses and a $0.6 million decrease in personnel-related expenses, offset by a $0.5 million increase in consulting fees and a $0.4 million increase in stock-based compensation expenses and related payroll taxes.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20" w:type="dxa"/>
            <w:vAlign w:val="bottom"/>
          </w:tcPr>
          <w:p>
            <w:pPr>
              <w:spacing w:after="0"/>
              <w:rPr>
                <w:sz w:val="24"/>
                <w:szCs w:val="24"/>
                <w:color w:val="auto"/>
              </w:rPr>
            </w:pPr>
          </w:p>
        </w:tc>
        <w:tc>
          <w:tcPr>
            <w:tcW w:w="272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w w:val="70"/>
              </w:rPr>
              <w:t>except</w:t>
            </w:r>
          </w:p>
        </w:tc>
        <w:tc>
          <w:tcPr>
            <w:tcW w:w="136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2,590</w:t>
            </w:r>
          </w:p>
        </w:tc>
        <w:tc>
          <w:tcPr>
            <w:tcW w:w="124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3,901</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(1,311)</w:t>
            </w:r>
          </w:p>
        </w:tc>
        <w:tc>
          <w:tcPr>
            <w:tcW w:w="150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$1.3 million, or (34)%, during the three months ended September 30, 2025 compared to the three months ended September 30, 2024. The decrease was primarily due to lower interest income of $1.0 million driven by a lower combined yield on investments and cash equivalents in the three months ended September 30, 2025.</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20" w:type="dxa"/>
            <w:vAlign w:val="bottom"/>
          </w:tcPr>
          <w:p>
            <w:pPr>
              <w:spacing w:after="0"/>
              <w:rPr>
                <w:sz w:val="24"/>
                <w:szCs w:val="24"/>
                <w:color w:val="auto"/>
              </w:rPr>
            </w:pPr>
          </w:p>
        </w:tc>
        <w:tc>
          <w:tcPr>
            <w:tcW w:w="280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w w:val="70"/>
              </w:rPr>
              <w:t>except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2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926</w:t>
            </w:r>
          </w:p>
        </w:tc>
        <w:tc>
          <w:tcPr>
            <w:tcW w:w="1320" w:type="dxa"/>
            <w:vAlign w:val="bottom"/>
            <w:gridSpan w:val="2"/>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742</w:t>
            </w:r>
          </w:p>
        </w:tc>
        <w:tc>
          <w:tcPr>
            <w:tcW w:w="122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184</w:t>
            </w:r>
          </w:p>
        </w:tc>
        <w:tc>
          <w:tcPr>
            <w:tcW w:w="150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increased $0.2 million, or 25%, during the three months ended September 30, 2025 compared to the three months ended September 30, 2024, primarily due to increased foreign taxes during the three months ended September 30, 2025.</w:t>
      </w:r>
    </w:p>
    <w:p>
      <w:pPr>
        <w:spacing w:after="0" w:line="266" w:lineRule="exact"/>
        <w:rPr>
          <w:sz w:val="20"/>
          <w:szCs w:val="20"/>
          <w:color w:val="auto"/>
        </w:rPr>
      </w:pPr>
    </w:p>
    <w:p>
      <w:pPr>
        <w:ind w:right="3860"/>
        <w:spacing w:after="0" w:line="41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Nine Months Ended September 30, 2025 to Nine Months Ended September 30, 2024 </w:t>
      </w:r>
      <w:r>
        <w:rPr>
          <w:rFonts w:ascii="Times New Roman" w:cs="Times New Roman" w:eastAsia="Times New Roman" w:hAnsi="Times New Roman"/>
          <w:sz w:val="18"/>
          <w:szCs w:val="18"/>
          <w:i w:val="1"/>
          <w:iCs w:val="1"/>
          <w:color w:val="auto"/>
        </w:rPr>
        <w:t>Revenue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w w:val="70"/>
              </w:rPr>
              <w:t>except</w:t>
            </w: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251,788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221,141</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30,647</w:t>
            </w:r>
          </w:p>
        </w:tc>
        <w:tc>
          <w:tcPr>
            <w:tcW w:w="176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Revenue increased $30.6 million, or 14%, during the nine months ended September 30, 2025 compared to the nine months ended September 30, 2024. The increase in revenue was primarily due to growth of our paying customer base, partially offset by partial and full churn among existing customers which was lower than our expansion of existing customers as reflected by our NRR (TTM) of 102% as of September 30, 2025.</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6"/>
        </w:trPr>
        <w:tc>
          <w:tcPr>
            <w:tcW w:w="4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Revenue and Gross Margin</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260" w:type="dxa"/>
            <w:vAlign w:val="bottom"/>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66,091</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57,118</w:t>
            </w:r>
          </w:p>
        </w:tc>
        <w:tc>
          <w:tcPr>
            <w:tcW w:w="2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72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Cost of revenue increased $9.0 million, or 16%, during the nine months ended September 30, 2025 compared to the nine months ended September 30, 2024. The increase was primarily driven by a $4.1 million increase in third-party hosting costs as we increased capacity to support paying customer usage and growth of our paying customer base and a $2.6 million increase in amortization of capitalized internal-use software development costs. The increase was also attributable to an increase of $2.6 million in personnel and subcontractor-related expenses, including higher allocated overhead costs.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20" w:type="dxa"/>
            <w:vAlign w:val="bottom"/>
            <w:tcBorders>
              <w:bottom w:val="single" w:sz="8" w:color="auto"/>
            </w:tcBorders>
          </w:tcPr>
          <w:p>
            <w:pPr>
              <w:spacing w:after="0"/>
              <w:rPr>
                <w:sz w:val="20"/>
                <w:szCs w:val="2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0"/>
                <w:szCs w:val="20"/>
                <w:color w:val="auto"/>
              </w:rPr>
            </w:pPr>
          </w:p>
        </w:tc>
        <w:tc>
          <w:tcPr>
            <w:tcW w:w="15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w w:val="70"/>
              </w:rPr>
              <w:t>except</w:t>
            </w:r>
          </w:p>
        </w:tc>
        <w:tc>
          <w:tcPr>
            <w:tcW w:w="136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74,239</w:t>
            </w:r>
          </w:p>
        </w:tc>
        <w:tc>
          <w:tcPr>
            <w:tcW w:w="126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63,135</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76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6"/>
              </w:rPr>
              <w:t>18%</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139,407</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w:t>
            </w:r>
          </w:p>
        </w:tc>
        <w:tc>
          <w:tcPr>
            <w:tcW w:w="17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48,994</w:t>
            </w:r>
          </w:p>
        </w:tc>
        <w:tc>
          <w:tcPr>
            <w:tcW w:w="2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46,942</w:t>
            </w: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760" w:type="dxa"/>
            <w:vAlign w:val="bottom"/>
            <w:tcBorders>
              <w:bottom w:val="single" w:sz="8" w:color="CFF0FC"/>
            </w:tcBorders>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262,640</w:t>
            </w:r>
          </w:p>
        </w:tc>
        <w:tc>
          <w:tcPr>
            <w:tcW w:w="126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235,901</w:t>
            </w:r>
          </w:p>
        </w:tc>
        <w:tc>
          <w:tcPr>
            <w:tcW w:w="6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26,739</w:t>
            </w:r>
          </w:p>
        </w:tc>
        <w:tc>
          <w:tcPr>
            <w:tcW w:w="17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-153670</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-153670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685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$11.1 million, or 18%, during the nine months ended September 30, 2025 compared to the nine months ended September 30, 2024. The increase was primarily driven by an $8.3 million increase in personnel-related expenses, a $1.4 million increase in stock-based compensation expenses and related payroll taxes, a $0.5 million decrease in capitalized personnel costs associated with internally developed software, a $0.4 million increase in hosting expenses, and a $0.2 million increase in consulting fees.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$13.6 million, or 11%, during the nine months ended September 30, 2025 compared to the nine months ended September 30, 2024. The increase was primarily driven by a $10.3 million increase in personnel-related expenses, a $3.8 million increase in stock-based compensation expenses and related payroll taxes, and a $1.0 million increase in sales event expenses. These increases were partially offset by a $1.1 million decrease in variable compensation tied to changes in our compensation plans and a $0.5 million decrease in marketing expenses.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$2.1 million, or 4%, during the nine months ended September 30, 2025 compared to the nine months ended September 30, 2024. The increase was primarily driven by a $2.0 million increase in consulting fees and a $0.9 million increase in stock-based compensation expenses and related payroll taxes. These increases were partially offset by a $0.7 million decrease in legal expenses and a $0.5 million decrease in corporate expenses.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vMerge w:val="restart"/>
          </w:tcPr>
          <w:p>
            <w:pPr>
              <w:spacing w:after="0"/>
              <w:rPr>
                <w:sz w:val="20"/>
                <w:szCs w:val="2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except percentages)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4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32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19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(3,205)</w:t>
            </w:r>
          </w:p>
        </w:tc>
        <w:tc>
          <w:tcPr>
            <w:tcW w:w="148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$3.2 million, or (28)%, during the nine months ended September 30, 2025 compared to the nine months ended September 30, 2024. The decrease was primarily due to lower interest income of $2.8 million driven by a lower combined yield on investments and cash equivalents in the nine months ended September 30, 2025.</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620" w:type="dxa"/>
            <w:vAlign w:val="bottom"/>
          </w:tcPr>
          <w:p>
            <w:pPr>
              <w:spacing w:after="0"/>
              <w:rPr>
                <w:sz w:val="24"/>
                <w:szCs w:val="24"/>
                <w:color w:val="auto"/>
              </w:rPr>
            </w:pPr>
          </w:p>
        </w:tc>
        <w:tc>
          <w:tcPr>
            <w:tcW w:w="2720" w:type="dxa"/>
            <w:vAlign w:val="bottom"/>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0"/>
                <w:szCs w:val="2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w w:val="70"/>
              </w:rPr>
              <w:t>except</w:t>
            </w:r>
          </w:p>
        </w:tc>
        <w:tc>
          <w:tcPr>
            <w:tcW w:w="136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i w:val="1"/>
                <w:iCs w:val="1"/>
                <w:color w:val="auto"/>
              </w:rPr>
              <w:t>percentages)</w:t>
            </w:r>
          </w:p>
        </w:tc>
        <w:tc>
          <w:tcPr>
            <w:tcW w:w="26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36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76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Provision for income taxes increased $0.9 million, or 65%, during the nine months ended September 30, 2025 compared to the nine months ended September 30, 2024, primarily due to increased foreign taxes during the nine months ended September 30,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$528.7 million as of September 30, 2025. We generated positive cash flows from operating activities for the nine months ended September 30, 2025 and have generated positive cash flows from operating activities during the years ended December 31, 2024 and 2023.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September 30, 2025, our principal sources of liquidity were cash and cash equivalents of $82.2 million and restricted cash of $0.9 million. We also had $185.1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September 30, 2025, we had $131.5 million of deferred revenue, all of which was recorded as a current liability. This deferred revenue will be recognized as revenue when or as the related performance obligations are met.</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The following table shows a summary of our cash flows for the periods presented:</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6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c>
          <w:tcPr>
            <w:tcW w:w="12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i w:val="1"/>
                <w:iCs w:val="1"/>
                <w:color w:val="auto"/>
              </w:rPr>
              <w:t>thousands)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16,989</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15,350</w:t>
            </w: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(66,826)</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67,749</w:t>
            </w:r>
          </w:p>
        </w:tc>
      </w:tr>
      <w:tr>
        <w:trPr>
          <w:trHeight w:val="23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(39,614)</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(14,133)</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paying customers. Our primary uses of cash from operating activities are for personnel and related expenses, marketing expenses, and third-party hosting-related and software expenses. For the current period we have generated positive cash flows from operating activities.</w:t>
      </w:r>
    </w:p>
    <w:p>
      <w:pPr>
        <w:spacing w:after="0" w:line="68"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Net cash provided by operating activities of $17.0 million for the nine months ended September 30, 2025 reflects our net loss of $70.9 million, adjusted by non-cash items such as stock-based compensation expense of $70.2 million, depreciation and amortization of $7.1 million, non-cash operating lease costs of $3.3 million, and other non-cash expenses of $1.1 million, as well as net cash used in changes in our operating assets and liabilities of $6.0 million. The net cash provided by changes in operating assets and liabilities primarily consisted of collections outpacing revenue recognized as evidenced through the net increase in cash of $13.3 million from changes in accounts receivable and deferred revenue and a net increase in accrued expenses and accounts payable of $7.5 million. These changes were primarily offset by changes in prepaid expenses and other current and noncurrent assets of $3.7 million, $7.0 million additional payments related to deferred commissions, and a change in operating lease liabilities of $4.1 million during the period.</w:t>
      </w:r>
    </w:p>
    <w:p>
      <w:pPr>
        <w:spacing w:after="0" w:line="6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of $15.3 million for the nine months ended September 30, 2024 reflects our net loss of $61.7 million, adjusted by non-cash items such as stock-based compensation expense of $64.9 million, depreciation and amortization of $4.1 million, and non-cash operating lease costs of $2.9 million as well as net cash provided by changes in our operating assets and liabilities of $5.1 million. The net cash provided by changes in operating assets and liabilities primarily consisted of collections outpacing revenue recognized as evidenced through the net increase in cash of $11.6 million from changes in accounts receivable and deferred revenue. These changes were primarily offset by $2.2 million driven by additional payments related to deferred commissions during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Net cash used in investing activities of $66.8 million for the nine months ended September 30, 2025 consisted of $100.3 million of purchases of marketable securities, $3.3 million of capitalized internal-use software development costs, $3.1 million in cash paid for an acquisition, and $1.4 million in purchases of property and equipment. These decreases were partially offset by $41.3 million of cash received from the maturities of marketable securities.</w:t>
      </w:r>
    </w:p>
    <w:p>
      <w:pPr>
        <w:spacing w:after="0" w:line="5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$67.7 million for the nine months ended September 30, 2024 consisted of $91.3 million of cash received from the maturities of marketable securities, offset by $18.4 million of purchases of marketable securities, $4.2 million in capitalized internal-use software development costs, and $1.0 million in purchases of property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$39.6 million for the nine months ended September 30, 2025 consisted of $29.3 million in net tax remittance on equity awards related to the vesting of RSU awards under a withhold-to-cover method and $14.3 million in repurchases of common stock. These decreases were partially offset by $4.0 million in proceeds from the exercise of stock options.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of $14.1 million for the nine months ended September 30, 2024 consisted of $19.7 million in net tax remittance on equity awards related to the vesting of RSU awards under a withhold-to-cover method, partially offset by $5.6 million in proceeds from the exercise of stock options.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Remaining performance obligations (“RPO”) as of September 30, 2025 and 2024, including the expected timing of recognition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6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09"/>
        </w:trPr>
        <w:tc>
          <w:tcPr>
            <w:tcW w:w="4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w:t>
            </w:r>
          </w:p>
        </w:tc>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thousands, except percentages)</w:t>
            </w:r>
          </w:p>
        </w:tc>
        <w:tc>
          <w:tcPr>
            <w:tcW w:w="146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or equal to 12 months</w:t>
            </w:r>
          </w:p>
        </w:tc>
        <w:tc>
          <w:tcPr>
            <w:tcW w:w="2220" w:type="dxa"/>
            <w:vAlign w:val="bottom"/>
            <w:gridSpan w:val="2"/>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257,677</w:t>
            </w:r>
          </w:p>
        </w:tc>
        <w:tc>
          <w:tcPr>
            <w:tcW w:w="1520" w:type="dxa"/>
            <w:vAlign w:val="bottom"/>
            <w:tcBorders>
              <w:left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211,084</w:t>
            </w: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6"/>
              </w:rPr>
              <w:t>22%</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Greater than 12 months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134,215</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75,525</w:t>
            </w:r>
          </w:p>
        </w:tc>
        <w:tc>
          <w:tcPr>
            <w:tcW w:w="26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78%</w:t>
            </w:r>
          </w:p>
        </w:tc>
      </w:tr>
      <w:tr>
        <w:trPr>
          <w:trHeight w:val="20"/>
        </w:trPr>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remaining performance obligations</w:t>
            </w:r>
          </w:p>
        </w:tc>
        <w:tc>
          <w:tcPr>
            <w:tcW w:w="1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391,892</w:t>
            </w:r>
          </w:p>
        </w:tc>
        <w:tc>
          <w:tcPr>
            <w:tcW w:w="1520" w:type="dxa"/>
            <w:vAlign w:val="bottom"/>
            <w:tcBorders>
              <w:left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286,609</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6"/>
              </w:rPr>
              <w:t>37%</w:t>
            </w:r>
          </w:p>
        </w:tc>
      </w:tr>
      <w:tr>
        <w:trPr>
          <w:trHeight w:val="20"/>
        </w:trPr>
        <w:tc>
          <w:tcPr>
            <w:tcW w:w="42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left w:val="single" w:sz="8" w:color="CFF0FC"/>
            </w:tcBorders>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April 2025, the Company entered into a new private pricing addendum with Amazon Web Services (“AWS”) for cloud computing infrastructure, which replaced the Company's prior agreement with AWS and terminated the remaining commitments under the prior agreement. Under the terms of the agreement, the Company has a minimum purchase commitment of $326.3 million in AWS services through March 2031. As of September 30, 2025, the Company had utilized $25.1 million of this commitment.</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there were no additional material changes in our contractual obligations and other commitments outside of those disclosed in the 2024 Form 10-K, other than an increase in our lease commitments. See Note 9 to our condensed consolidated financial statements included in Part I, Item 1 of this Quarterly Report on Form 10-Q for further information on our commitments and contingencies.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nine months ended September 30, 2025 as compared to those disclosed in Part II, Item 7. Management’s Discussion and Analysis of Financial Condition and Results of Operations of the 2024 Form 10-K.</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Part I, Item 1 of this Quarterly Report on Form 10-Q for more information regarding recent accounting pronouncements.</w:t>
      </w:r>
    </w:p>
    <w:p>
      <w:pPr>
        <w:spacing w:after="0" w:line="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305" w:right="11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cash and cash equivalents and marketable securities primarily consist of cash on hand and highly liquid investments in money market funds and U.S. government securities. As of September 30, 2025, we had cash and cash equivalents of $82.2 million and marketable securities of $185.1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has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“Legal Matters” in Note 9 to our condensed consolidated financial statements included in Part I, Item 1 of this Quarterly Report on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51" w:lineRule="exact"/>
        <w:rPr>
          <w:sz w:val="20"/>
          <w:szCs w:val="20"/>
          <w:color w:val="auto"/>
        </w:rPr>
      </w:pPr>
    </w:p>
    <w:p>
      <w:pPr>
        <w:jc w:val="both"/>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revenue was $299.3 million for the fiscal year ended December 31, 2024 and $251.8 million and $221.1 million for the nine months ended September 30, 2025 and 2024, respectively. However, you should not rely on our historical revenue growth as an indication of our future performance.</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6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Our revenue growth rate may decline over time. In future periods, our revenue growth could slow or our revenue could decline for a number of reasons, including slowing demand for our Digital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As our costs increase, we may not be able to generate sufficient revenue to achieve and sustain profitability.</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have experienced net losses in each period since inception. We generated net losses of $94.3 million for the fiscal year ended December 31, 2024 and $70.9 million and $61.7 million for the nine months ended September 30, 2025 and 2024, respectively. As of September 30, 2025, we had an accumulated deficit of $528.7 million. We expect our costs and expenses to increase in future periods. In particular, we intend to continue to invest significant resources in:</w:t>
      </w:r>
    </w:p>
    <w:p>
      <w:pPr>
        <w:spacing w:after="0" w:line="72" w:lineRule="exact"/>
        <w:rPr>
          <w:sz w:val="20"/>
          <w:szCs w:val="20"/>
          <w:color w:val="auto"/>
        </w:rPr>
      </w:pPr>
    </w:p>
    <w:p>
      <w:pPr>
        <w:ind w:left="1020" w:right="500" w:hanging="503"/>
        <w:spacing w:after="0" w:line="312" w:lineRule="auto"/>
        <w:tabs>
          <w:tab w:leader="none" w:pos="10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our Digital Analytics Platform, including investments in our research and development team, the development or acquisition of new products, features, and functionality, and improvements to the scalability, availability, and security of our platform;</w:t>
      </w:r>
    </w:p>
    <w:p>
      <w:pPr>
        <w:spacing w:after="0" w:line="31" w:lineRule="exact"/>
        <w:rPr>
          <w:rFonts w:ascii="Times New Roman" w:cs="Times New Roman" w:eastAsia="Times New Roman" w:hAnsi="Times New Roman"/>
          <w:sz w:val="17"/>
          <w:szCs w:val="17"/>
          <w:color w:val="auto"/>
        </w:rPr>
      </w:pPr>
    </w:p>
    <w:p>
      <w:pPr>
        <w:ind w:left="1020" w:right="5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expansion of our activities in third-party data centers that we may lease, enhancements to our network operations and infrastructure, and hiring of additional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international expansion, in an effort to increase our customer base and sales;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legal, accounting, and other expenses.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1" w:name="page42"/>
    <w:bookmarkEnd w:id="41"/>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8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Digital Analytics Platform and the successful implementation of our marketing strategy.</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customer retention and expansion and the rate at which we attract new customers may decline or fluctuate as a result of a number of factors, including our customers’ satisfaction with our Digital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9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68" w:lineRule="exact"/>
        <w:rPr>
          <w:sz w:val="20"/>
          <w:szCs w:val="20"/>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Digital Analytics Platform, including as a result of our introduction of new products, features, and functionality;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Digital Analytics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new products, features, and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customers’ purchases;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with which customers are able to migrate data onto our platform after purchasing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of our brand on a global basis;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features, or functionality developed or acquired by us or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42" w:name="page43"/>
    <w:bookmarkEnd w:id="42"/>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our cloud computing infrastructure, particularly the cloud services provided by Amazon Web Services (“AWS”);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and complete, and the effects of, mergers, acquisitions, or strategic partnerships, and the ensuing integration efforts;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the current inflationary economic environment, rising interest rates, tariffs, and a potential recession), both domestically and internationally, as well as economic conditions specifically affecting industries in which our customers participate, and related difficulties in collections;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impact of climate change, natural disasters, health epidemics (such as the COVID-19 pandemic or similar outbreaks of disease), political and social instability, including acts of war or other armed conflicts (including the war in Ukraine and the conflicts in the Middle East), and terrorist activities, on our business, operations, and the markets and communities in which we and our customers and partners operate and the disruption these events may cause to the global economy;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changing laws, regulations, executive orders, and enforcement priorities;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platform.</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To the extent our results of operations fall below the expectations of investors and securities analysts who follow our stock, the trading price of our Class A common stock could decline substantially, and we could face costly lawsuits, including securities class action litigation. For example, we previously defended against a securities class action lawsuit ("Securities Class Action") and a shareholder derivative lawsuit ("Derivative Action"), which were filed in the United States District Court for the Northern District of California. We are also currently defending against two privacy class actions and previously defended against a third privacy action. See “Legal Matters” in Note 9 to our condensed consolidated financial statements included in Part I, Item 1 of this Quarterly Report on Form 10-Q for additional information regarding the Securities Class Action, the Derivative Action and privacy actions. We have incurred and will continue to incur significant legal costs in connection with the defense of these lawsuits and management will be required to devote significant time in managing the defense of the actions.</w:t>
      </w:r>
    </w:p>
    <w:p>
      <w:pPr>
        <w:spacing w:after="0" w:line="29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focus on sales to larger organizations and may become more dependent on those relationships, which may increase the variability of our sales cycle and our results of operations.</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Any shift in our sales cycle may adversely affect our financial results. Factors that may influence the length and variability of our sales cycle include:</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prospective customers about the uses and benefits of our Digital Analytics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discretionary nature of purchasing and budget cycles and decisions;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evaluation and purchasing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functionality demands;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planned introductions of new products, features, or functionality by us or our competitors;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purchasing approval processes.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Digital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spacing w:after="0" w:line="29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the imposition of tariffs and any retaliatory trade protection measures or trade wars that ensue,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Digital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We cannot predict the timing, strength, or duration of any economic slowdown, instability, or recovery, generally or within any particular industry. If the economic</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160"/>
        <w:spacing w:after="0" w:line="282" w:lineRule="auto"/>
        <w:rPr>
          <w:sz w:val="20"/>
          <w:szCs w:val="20"/>
          <w:color w:val="auto"/>
        </w:rPr>
      </w:pPr>
      <w:r>
        <w:rPr>
          <w:rFonts w:ascii="Times New Roman" w:cs="Times New Roman" w:eastAsia="Times New Roman" w:hAnsi="Times New Roman"/>
          <w:sz w:val="18"/>
          <w:szCs w:val="18"/>
          <w:color w:val="auto"/>
        </w:rPr>
        <w:t>conditions of the general economy or markets in which we operate worsen from present levels, our business, financial condition, and results of operations could be materially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market for SaaS applications develops more slowly than we expect or declines, our business would be materially adversely affected.</w:t>
      </w:r>
    </w:p>
    <w:p>
      <w:pPr>
        <w:spacing w:after="0" w:line="121"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Our success will depend to a substantial extent on the widespread adoption of SaaS applications in general, and of SaaS applications that look to solve aspects of digital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Digital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Digital Analytics Platform. If we or other SaaS providers experience data security incidents, loss of customer data, disruptions in delivery, or other problems, the market for SaaS applications, including our Digital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30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market for applications that look to address digital analytics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68" w:lineRule="exact"/>
        <w:rPr>
          <w:sz w:val="20"/>
          <w:szCs w:val="20"/>
          <w:color w:val="auto"/>
        </w:rPr>
      </w:pPr>
    </w:p>
    <w:p>
      <w:pPr>
        <w:ind w:left="1020" w:right="18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software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integrated systems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smaller companies offering alternative SaaS applications;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emerging entrants seeking to develop competing technologies.</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competitors may be able to respond more quickly and effectively than we can to new or changing opportunities, technologies, standards, or customer requirements. With the introduction of new technologies, the evolution of our Digital Analytics Platform, and new market entrants, we expect competition to intensify in the future. Pricing pressures and increased competition generally could result in reduced sales, reduced margins, financial losses, or the failure of our Digital Analytics Platform to achieve or maintain more widespread market acceptance, any of which could harm our business.</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and services they offer. Further, other established SaaS providers not currently focused on digital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2024 Form 10-K.</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ability to attract new customers and retain and increase revenue from existing customers depends in large part on our ability to enhance and improve our Digital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Digital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Digital Analytics Platform to meet customer requirements, or otherwise gain market acceptance, our business, financial condition, and results of operations could be materially adversely affected.</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our Digital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Digital Analytics Platform may need to address additional requirements specific to those industries.</w:t>
      </w:r>
    </w:p>
    <w:p>
      <w:pPr>
        <w:spacing w:after="0" w:line="18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enhance our Digital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17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properly develop, invest in, and manage AI Technologies used in our products and services, our business, financial condition, and results of operations could be materially adversely affected.</w:t>
      </w:r>
    </w:p>
    <w:p>
      <w:pPr>
        <w:spacing w:after="0" w:line="15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incorporated, and expect in the future we will continue to incorporate, machine learning and generative artificial intelligence technologies (collectively, “AI Technologies”) into our product offerings. We offer our customers a suite of AI Technologies that help them achieve data insights faster. For example, we leverage large language models (“LLMs”) in certain features to aid customers in analyzing their product data.</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spacing w:after="0" w:line="176"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competitors or other third parties may incorporate AI Technologies into their products more quickly or more successfully than us, which could impair our ability to compete effectively.</w:t>
      </w:r>
    </w:p>
    <w:p>
      <w:pPr>
        <w:spacing w:after="0" w:line="162"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We incorporate LLMs (i.e., AI models that can produce and output new data and information) into certain of our products and services. There is a risk that AI Technologies could produce inaccurate or misleading data or other discriminatory or unexpected results or behaviors, all of which could harm our reputation, business, or customer relationships. While we take measures designed to ensure the accuracy of AI-generated insights, those measures may not always be successful, and in some cases, we may need to rely on users to report such inaccuracies.</w:t>
      </w:r>
    </w:p>
    <w:p>
      <w:pPr>
        <w:spacing w:after="0" w:line="1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ind w:right="140"/>
        <w:spacing w:after="0" w:line="266" w:lineRule="auto"/>
        <w:rPr>
          <w:sz w:val="20"/>
          <w:szCs w:val="20"/>
          <w:color w:val="auto"/>
        </w:rPr>
      </w:pPr>
      <w:r>
        <w:rPr>
          <w:rFonts w:ascii="Times New Roman" w:cs="Times New Roman" w:eastAsia="Times New Roman" w:hAnsi="Times New Roman"/>
          <w:sz w:val="18"/>
          <w:szCs w:val="18"/>
          <w:color w:val="auto"/>
        </w:rPr>
        <w:t>claims, increasing our risks of liability. For example, the output data produced by certain AI Technologies may include information subject to certain privacy laws or constitute an unauthorized derivative work of the copyrighted material used in training the underlying AI Technology, any of which could also create a risk of liability for us, or adversely affect our customers and our business or operations.</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relating to the responsible use of our technologies, including AI Technologies in our offerings, may result in reputational or financial harm and liability.</w:t>
      </w:r>
    </w:p>
    <w:p>
      <w:pPr>
        <w:spacing w:after="0" w:line="2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Concerns relating to the responsible use of new and evolving technologies, such as AI Technologies, in our products and services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concerns and regulations relating to the responsible use of AI Technologies by us or others could undermine public confidence and slow adoption of our products and services or cause reputational or financial harm.</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experienced, and may continue to experience, rapid growth in our business and operations, which has placed, and may continue to place, significant demands on our management and operational and financial resources. Recent unfavorable conditions in the macroeconomic environment have constrained growth in the economy generally, and in the software industry in particular, and many of our customers have consequently experienced a downturn in their business outlook.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Digital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we will need to appropriately scale our internal business systems and our services organization, including customer support, to serve our growing customer base, particularly as our customer demographics change over time. Managing these changes will require significant expenditures and allocation of valuable management resources. If we fail to successfully manage our anticipated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67"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We and certain third-party vendors of ours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We face numerous and evolving cybersecurity risks that threaten the confidentiality, integrity, and availability of our information technology systems and Confidential Information.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w:t>
      </w:r>
    </w:p>
    <w:p>
      <w:pPr>
        <w:spacing w:after="0" w:line="19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a range of cybersecurity risks and threats, including, cyberattacks, denial and degradation-of-service attacks, ransomware attacks, business email compromises, computer malware, malicious code, misconfigurations, "bugs,"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and tools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including artificial intelligence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may be used to sabotage, or to obtain unauthorized access to, our platform, information technology systems, networks, or physical facilities in which Confidential Information is stored or through which Confidential Information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w:t>
      </w:r>
    </w:p>
    <w:p>
      <w:pPr>
        <w:spacing w:after="0" w:line="19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8" w:name="page49"/>
    <w:bookmarkEnd w:id="48"/>
    <w:p>
      <w:pPr>
        <w:ind w:firstLine="509"/>
        <w:spacing w:after="0" w:line="252" w:lineRule="auto"/>
        <w:rPr>
          <w:sz w:val="20"/>
          <w:szCs w:val="20"/>
          <w:color w:val="auto"/>
        </w:rPr>
      </w:pPr>
      <w:r>
        <w:rPr>
          <w:rFonts w:ascii="Times New Roman" w:cs="Times New Roman" w:eastAsia="Times New Roman" w:hAnsi="Times New Roman"/>
          <w:sz w:val="18"/>
          <w:szCs w:val="18"/>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p>
    <w:p>
      <w:pPr>
        <w:spacing w:after="0" w:line="19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Digital Analytics Platform is proprietary, and we rely on the expertise of members of our engineering, operations, product, and software development teams for its continued performance. It may become increasingly difficult and costly to maintain and improve the performance of our Digital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Digital Analytics Platform could be impaired until we are able to identify, obtain,</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right="520"/>
        <w:spacing w:after="0" w:line="282" w:lineRule="auto"/>
        <w:rPr>
          <w:sz w:val="20"/>
          <w:szCs w:val="20"/>
          <w:color w:val="auto"/>
        </w:rPr>
      </w:pPr>
      <w:r>
        <w:rPr>
          <w:rFonts w:ascii="Times New Roman" w:cs="Times New Roman" w:eastAsia="Times New Roman" w:hAnsi="Times New Roman"/>
          <w:sz w:val="18"/>
          <w:szCs w:val="18"/>
          <w:color w:val="auto"/>
        </w:rPr>
        <w:t>and implement equivalent services, if we are able to do so at all. Any of these circumstances could materially adversely affect our business, financial condition, and results of operations.</w:t>
      </w:r>
    </w:p>
    <w:p>
      <w:pPr>
        <w:spacing w:after="0" w:line="16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vulnerabilities, or bugs in our platform could materially adversely affect our business and growth prospects.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spacing w:after="0" w:line="28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using our Digital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Digital Analytics Platform to our customers and prospective customers, and our business, financial condition, and results of operations.</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implementation or use of our Digital Analytics Platform could result in customer dissatisfaction and materially adversely affect our business, financial condition, and results of operations.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often assist our customers in implementing our Digital Analytics Platform (whether through us directly or through a third-party implementation partner), and they may need training in the proper use of our Digital Analytics Platform to maximize its potential and avoid inadequate performance. If we or our implementation partners fail to train customers on how to efficiently and effectively use our Digital Analytics Platform or if we fail to provide adequate product support to our customers, we may lose opportunities for additional subscriptions, customers may choose not to renew or expand the use of our Digital Analytics Platform, we may experience negative publicity or legal claims against us, and our reputation and brand may suffer. Any of these circumstances could materially adversely affect our business, financial condition, and results of operations.</w:t>
      </w:r>
    </w:p>
    <w:p>
      <w:pPr>
        <w:spacing w:after="0" w:line="29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customers and prospective customers expect our Digital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160"/>
        <w:spacing w:after="0" w:line="282" w:lineRule="auto"/>
        <w:rPr>
          <w:sz w:val="20"/>
          <w:szCs w:val="20"/>
          <w:color w:val="auto"/>
        </w:rPr>
      </w:pPr>
      <w:r>
        <w:rPr>
          <w:rFonts w:ascii="Times New Roman" w:cs="Times New Roman" w:eastAsia="Times New Roman" w:hAnsi="Times New Roman"/>
          <w:sz w:val="18"/>
          <w:szCs w:val="18"/>
          <w:color w:val="auto"/>
        </w:rPr>
        <w:t>and demand, then our Digital Analytics Platform may become less marketable, less competitive, or obsolete, and our business, financial condition, results of operations, and growth prospects could be materially adversely affected.</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limited experience with respect to determining the optimal prices for our Digital Analytics Platform and, as a result, we have in the past needed, and expect in the future that we will need, to change our pricing model from time to time. As the market for our Digital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9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Digital Analytics Platform by new and existing customers, especially enterprise customers, our business, financial condition, and results of operations may be materially adversely affected.</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5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Digital Analytics Platform, but there can be no assurance that these steps will be effective. In addition, if our channel partners are unsuccessful in marketing and selling access to our Digital Analytics Platform, it would limit our expansion into certain geographies, sectors, and industries. If we are unable to develop and maintain effective sales incentive programs for our channel partners, we may not be able to incentivize these partners to sell access to our Digital Analytics Platform to customers.</w:t>
      </w:r>
    </w:p>
    <w:p>
      <w:pPr>
        <w:spacing w:after="0" w:line="19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Digital Analytics Platform altogether. Our channel partners could subject us to lawsuits, potential liability, and reputational harm if, for example, any of our channel partners misrepresents the functionality of our Digital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Digital Analytics Platform. If our channel partners are unsuccessful in selling access to our Digital Analytics Platform, or if we are unable to enter into arrangements with or retain a sufficient number of high-quality channel partners in each of the regions in which we sell access to our Digital Analytics Platform and keep them motivated to sell access to our Digital Analytics Platform, our business, financial condition, results of operations, and growth prospects could be materially adversely affected.</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marketing strategies are not effective in attracting new customers and retaining existing customers, our business and ability to grow our revenues would be harmed.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84"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efforts to larger organizations involve risks that may not be present or that are present to a lesser extent with respect to sales to smaller organizations.</w:t>
      </w:r>
    </w:p>
    <w:p>
      <w:pPr>
        <w:spacing w:after="0" w:line="51"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or $100 million in revenue, may require considerable time to evaluate and test our Digital Analytics Platform prior to making a purchase decision and placing an order. A number of factors influence the length and variability of our sales cycle, including the need to educate potential customers about the uses and benefits of our Digital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enhance our brand, our business, financial condition, and results of operations may be materially adversely affected.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differentiated and category-defining company in digital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Digital Analytics Platform from competitive products and services. In addition, independent industry analysts often provide reviews of our Digital Analytics Platform, as well as products and services offered by our competitors, and the market perception of our Digital Analytics Platform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2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ind w:right="540"/>
        <w:spacing w:after="0" w:line="282" w:lineRule="auto"/>
        <w:rPr>
          <w:sz w:val="20"/>
          <w:szCs w:val="20"/>
          <w:color w:val="auto"/>
        </w:rPr>
      </w:pPr>
      <w:r>
        <w:rPr>
          <w:rFonts w:ascii="Times New Roman" w:cs="Times New Roman" w:eastAsia="Times New Roman" w:hAnsi="Times New Roman"/>
          <w:sz w:val="18"/>
          <w:szCs w:val="18"/>
          <w:color w:val="auto"/>
        </w:rPr>
        <w:t>competitors, and we could lose customers or fail to attract potential customers, all of which would materially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international in scope, and we plan further geographic expansion, creating a variety of operational challenges.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and the nine months ended September 30, 2025 and 2024, 40%, 39%, and 40%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public cloud adoption by international businesses;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which may be unexpected, in a specific country’s or region’s political, economic, or legal and regulatory environment, including armed conflicts, pandemics, terrorist activities, tariffs, trade wars, or long-term environmental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Digital Analytics Platform for specific countries;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enforcing contracts, collecting accounts receivable, or satisfying revenue recognition criteria, especially in emerging markets;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evolving, and more stringent regulations relating to privacy and data security and the unauthorized use of, or access to, commercial and personal information, particularly in Europe;</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choose to do so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social or macroeconomic events, including the war in Ukraine, the conflicts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or preferences for domestic products;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technical standards, existing or future regulatory and certification requirements, and required features and functionality;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privacy and data security, including the E.U. General Data Protection Regulation (“GDPR”)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laws and regulations related to taxation, and regulations, adverse tax burdens, and foreign exchange controls that could make it difficult to repatriate earnings and cash.</w:t>
      </w:r>
    </w:p>
    <w:p>
      <w:pPr>
        <w:spacing w:after="0" w:line="16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 could materially adversely affect our business, results of operations, and financial condition.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 As such, we may experience a reduction in revenue from customers in the impacted regions as long as these circumstances continue.</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derive, and expect to continue for some time to derive, a significant portion of our revenue from our Amplitude Analytics product.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Although we have released our Amplitude Activation, Amplitude Experiment, Amplitude Session Replay, Warehouse Native Amplitude, and Guides and Surveys products, we currently derive, and expect to continue for some time to derive, a significant portion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29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and the nine months ended September 30, 2025 and 2024, our research and development expenses were 33%, 29%, and 29%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right="20"/>
        <w:spacing w:after="0" w:line="282" w:lineRule="auto"/>
        <w:rPr>
          <w:sz w:val="20"/>
          <w:szCs w:val="20"/>
          <w:color w:val="auto"/>
        </w:rPr>
      </w:pPr>
      <w:r>
        <w:rPr>
          <w:rFonts w:ascii="Times New Roman" w:cs="Times New Roman" w:eastAsia="Times New Roman" w:hAnsi="Times New Roman"/>
          <w:sz w:val="18"/>
          <w:szCs w:val="18"/>
          <w:color w:val="auto"/>
        </w:rPr>
        <w:t>development and our efforts do not lead to the successful introduction or improvement of products that are competitive in our current or future markets, our business, financial condition, and results of operations would be materially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agree to indemnify customers and other third parties, which exposes us to substantial potential liability.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72" w:lineRule="exact"/>
        <w:rPr>
          <w:sz w:val="20"/>
          <w:szCs w:val="20"/>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patents and other intellectual property rights for important innovations or maintain appropriate confidentiality and other protective measures to establish and maintain our trade secrets;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and evolution of, legal standards relating to the validity, enforceability, and scope of protection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invalidation of our intellectual property rights through administrative processes or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by us to detect infringement or other misappropriation of our intellectual property rights by third parties;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practical, resource, or business limitations on our ability to enforce our rights.</w:t>
      </w:r>
    </w:p>
    <w:p>
      <w:pPr>
        <w:spacing w:after="0" w:line="22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intellectual property litigation to which we become a party may require us to do one or more of the following:</w:t>
      </w:r>
    </w:p>
    <w:p>
      <w:pPr>
        <w:spacing w:after="0" w:line="117" w:lineRule="exact"/>
        <w:rPr>
          <w:sz w:val="20"/>
          <w:szCs w:val="20"/>
          <w:color w:val="auto"/>
        </w:rPr>
      </w:pPr>
    </w:p>
    <w:p>
      <w:pPr>
        <w:ind w:left="1020" w:right="10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licensing, or using products or features that incorporate the intellectual property rights that we allegedly infringe, misappropriate, or violate;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subscription fee refunds, or other costs or damages, including indemnification of third parties;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or enter into a royalty agreement, either of which may not be available on reasonable terms, or at all, in order to obtain the right to sell or use the relevant intellectual property; or</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92"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negatively affect our ability to sell our platform and subject us to possible litigation.</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We use software in our Digital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Legal Matters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 including import, export control, economic sanctions, and trade sanctions, and anti-corruption laws and regulations, which may expose us to liability and increase our costs.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9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7" w:name="page58"/>
    <w:bookmarkEnd w:id="57"/>
    <w:p>
      <w:pPr>
        <w:ind w:right="520"/>
        <w:spacing w:after="0" w:line="282" w:lineRule="auto"/>
        <w:rPr>
          <w:sz w:val="20"/>
          <w:szCs w:val="20"/>
          <w:color w:val="auto"/>
        </w:rPr>
      </w:pPr>
      <w:r>
        <w:rPr>
          <w:rFonts w:ascii="Times New Roman" w:cs="Times New Roman" w:eastAsia="Times New Roman" w:hAnsi="Times New Roman"/>
          <w:sz w:val="18"/>
          <w:szCs w:val="18"/>
          <w:color w:val="auto"/>
        </w:rPr>
        <w:t>complaints, adverse media coverage, and investigations, any of which could have a material adverse effect on our reputation,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evolving regulatory framework for AI Technologies.</w:t>
      </w:r>
    </w:p>
    <w:p>
      <w:pPr>
        <w:spacing w:after="0" w:line="121"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Already, certain existing legal regimes (e.g., relating to data privacy) regulate certain aspects of AI Technologies, and new laws regulating AI Technologies have either entered into force in the United States and the EU or are expected to enter into force in 2025. In the United States,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conducted pursuant to the rescinded Biden executive order. The Trump administration may continue to rescind other existing federal orders and/or administrative policies relating to AI Technologies or may implement new executive orders and/or other rule making relating to AI Technologies in the future. Accordingly, the scope and direction of orders, policies, rules and regulations related to AI Technologies at the federal level in the United States in the near future is uncertain.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the California Privacy Protection Agency recently finalized regulations under the California Consumer Privacy Act of 2018, as amended by the California Privacy Rights Act (collectively, the “CCPA”) regarding the use of automated decision-making. California also enacted seventeen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w:t>
      </w:r>
    </w:p>
    <w:p>
      <w:pPr>
        <w:spacing w:after="0" w:line="19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and—depending on the AI use case—includes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Liability Directives will have a material impact on the way AI is regulated in the EU. Global "digital" regulations continue to develop and evolve, including the EU's GDPR, ePrivacy Directive and the Data Act (the "Data Act"). Further, in Europe we are subject to the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GDPR’s requirements around automated decision making and introduced uncertainty in the interpretation of these rules. Specifically, the CJEU has expanded the scope for automated decision making under the GDPR by finding that automated decision making activities can fall within the GDPR’s restrictions on those activities even if the required legal or similarly significant effect for the individual is carried out by a third party. The EU AI Act, and developing interpretation and application of the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Further, the Data Act came into force on September 12, 2025. The Data Act may apply to our provision of data processing services in the EU and introduces a general requirement to remove pre-commercial, commercial, technical, contractual and other barriers that inhibit our customers from terminating contracts, porting data or unbundling services. We are monitoring developments in this area. The changes introduced by the Data Act may impact the duration of customer relationships and result in additional compliance and operational costs, which may affect our business. If any of our data processing activities are found to violate the requirements imposed by this law, we may incur substantial fines, have to change our business practices, and face reputational harm, any of which could have an adverse effect on our business.</w:t>
      </w:r>
    </w:p>
    <w:p>
      <w:pPr>
        <w:spacing w:after="0" w:line="9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it is possible that new laws and regulations will be adopted in the United States and in other non-U.S. jurisdictions, or that existing laws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20"/>
        <w:spacing w:after="0" w:line="255" w:lineRule="auto"/>
        <w:rPr>
          <w:sz w:val="20"/>
          <w:szCs w:val="20"/>
          <w:color w:val="auto"/>
        </w:rPr>
      </w:pPr>
      <w:r>
        <w:rPr>
          <w:rFonts w:ascii="Times New Roman" w:cs="Times New Roman" w:eastAsia="Times New Roman" w:hAnsi="Times New Roman"/>
          <w:sz w:val="18"/>
          <w:szCs w:val="18"/>
          <w:color w:val="auto"/>
        </w:rPr>
        <w:t>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9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5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a result of Russia’s invasion of Ukraine, governmental authorities in the United States, the European Union, and the United Kingdom, among others, launched an expansion of coordinated sanctions and export control measures, including, for example:</w:t>
      </w:r>
    </w:p>
    <w:p>
      <w:pPr>
        <w:spacing w:after="0" w:line="54" w:lineRule="exact"/>
        <w:rPr>
          <w:sz w:val="20"/>
          <w:szCs w:val="20"/>
          <w:color w:val="auto"/>
        </w:rPr>
      </w:pPr>
    </w:p>
    <w:p>
      <w:pPr>
        <w:ind w:left="1020" w:right="4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on some of the largest state-owned and private Russian financial institutions (and their subsequent removal from the Society for Worldwide Interbank Financial Telecommunication payment system);</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Russian and Belarusian individuals, including the Russian President, other politicians, and those with government connections or involvement in Russian military activities;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sanctions against certain Russian businessmen and their businesses, some of which have significant financial and trade ties to the European Union;</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sectoral sanctions in various sectors of the Russian and Belarusian economies and the defense sector;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sanctions introducing restrictions on providing loans to, and dealing in securities issued by, persons connected with Russia;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the financial and capital markets in the European Union, as well as prohibitions on aircraft leasing operations;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spacing w:after="0" w:line="67"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closure of airspace to Russian aircraft;</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oil, liquefied natural gas, and coal to the United States and on “new investment” in Russia’s energy sector (often with similar bans being enacted in the United Kingdom and the European Union);</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 on imports of Russian fish, seafood, and preparations thereof, alcoholic beverages, non-industrial diamonds, and gold to the United States;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 on “new investment” in the Russian Federation by a U.S. person, which may be interpreted broadly (with a similar prohibition also enacted by the United Kingdom);</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certain professional services, including accounting, trust and corporate formation, auditing, and management consulting services, and information technology and software services, among others;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bans on the provision of services related to the worldwide maritime transportation of seaborne Russian oil, if purchased above a specific price cap.</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the war in Ukraine continues, there can be no certainty regarding whether the governmental authorities in the United States, the European Union, the United Kingdom, or other countries will impose additional sanctions, export controls, or other measures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right="20"/>
        <w:spacing w:after="0" w:line="261" w:lineRule="auto"/>
        <w:rPr>
          <w:sz w:val="20"/>
          <w:szCs w:val="20"/>
          <w:color w:val="auto"/>
        </w:rPr>
      </w:pPr>
      <w:r>
        <w:rPr>
          <w:rFonts w:ascii="Times New Roman" w:cs="Times New Roman" w:eastAsia="Times New Roman" w:hAnsi="Times New Roman"/>
          <w:sz w:val="18"/>
          <w:szCs w:val="18"/>
          <w:color w:val="auto"/>
        </w:rPr>
        <w:t>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out of an abundance of caution, we ceased providing our software or IT support or cloud-based services to persons located in Russia on September 12, 2024, when the determination took effect.</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spacing w:after="0" w:line="29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may incur significant expenses to comply with the laws, regulations, and other obligations that apply to us. For example, the GDPR went into effect in May 2018 and imposes stringent data protection requirements for processing the personal data of individuals within the EEA or in the context of our activities within the EEA, including certain disclosure requirements, limitations on retention of personal data, mandatory data breach notification requirements, and additional obligations. Non-compliance with the GDPR can trigger fines of up to the greater of €20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The European Commission adopted its Adequacy Decision in relation to the new E.U.-U.S. Data Privacy Framework (“DPF”) on July 10, 2023, rendering the DPF effective as a GDPR transfer mechanism to U.S. entities self-certified under the DPF. We expect the regulatory guidance and enforcement landscape to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Since the beginning of 2021, companies have also had to comply with both the GDPR and the UK GDPR, which, together with the amended UK Data Protection Act 2018, retains the GDPR in U.K. national law. The UK GDPR mirrors the fines under the GDPR, imposing fines up to the greater of €20 million (£17.5 million) or 4% of a non-compliant undertaking’s annual global revenue for the preceding financial year.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Digital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may have potentially conflicting requirements that would make compliance challenging.</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whistleblower complaints, adverse media coverage, investigations, or criminal or civil sanctions, all of which may harm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become, and have in the past been,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 For additional information regarding our current litigation matters, see "Legal Matters" in Note 9 to our condensed consolidated financial statements included in Part I, Item 1 of this Quarterly Report on Form 10-Q.</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 and Accounting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exposure to foreign currency exchange rate fluctuations.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conduct transactions, particularly intercompany transactions, in currencies other than the U.S. dollar. While we have primarily transacted with customers and vendors in U.S. dollars, we have transacted in foreign currencies for subscriptions to our Digital Analytics Platform, and we expect to significantly expand the number of transactions with customers for our Digital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197"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In addition, our international subsidiaries maintain net assets denominated in currencies other than the functional operating currencies of these entities. Accordingly, changes in the value of foreign currencies relative to the U.S. dollar can affect our revenue and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and structure subject us to potentially adverse tax consequences.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2024 and have determined that none of our NOLs generated through December 31, 2024 will expire solely due to Section 382 limitations caused by ownership changes prior to December 31, 2024. However, we may have experienced ownership changes after December 31, 2024,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 material adverse effect on our results of operations.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could increase due to several factors, including:</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such as the Tax Cuts and Jobs Act, the CARES Act, the Inflation Reduction Act, and the One Big Beautiful Bill Act;</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developments could materially adversely affect our results of operations.</w:t>
      </w:r>
    </w:p>
    <w:p>
      <w:pPr>
        <w:spacing w:after="0" w:line="22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xml:space="preserve">”), that online sellers can be required to collect sales and use tax despite not having a physical presence in the buyer’s state. In response to </w:t>
      </w:r>
      <w:r>
        <w:rPr>
          <w:rFonts w:ascii="Times New Roman" w:cs="Times New Roman" w:eastAsia="Times New Roman" w:hAnsi="Times New Roman"/>
          <w:sz w:val="18"/>
          <w:szCs w:val="18"/>
          <w:i w:val="1"/>
          <w:iCs w:val="1"/>
          <w:color w:val="auto"/>
        </w:rPr>
        <w:t>Wayfair</w:t>
      </w:r>
      <w:r>
        <w:rPr>
          <w:rFonts w:ascii="Times New Roman" w:cs="Times New Roman" w:eastAsia="Times New Roman" w:hAnsi="Times New Roman"/>
          <w:sz w:val="18"/>
          <w:szCs w:val="18"/>
          <w:color w:val="auto"/>
        </w:rPr>
        <w:t>, or otherwise, states or local governments may adopt, or begin to enforce, laws requiring us to calculate, collect, and remit taxes 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3" w:name="page64"/>
    <w:bookmarkEnd w:id="63"/>
    <w:p>
      <w:pPr>
        <w:ind w:right="40"/>
        <w:spacing w:after="0" w:line="258" w:lineRule="auto"/>
        <w:rPr>
          <w:sz w:val="20"/>
          <w:szCs w:val="20"/>
          <w:color w:val="auto"/>
        </w:rPr>
      </w:pPr>
      <w:r>
        <w:rPr>
          <w:rFonts w:ascii="Times New Roman" w:cs="Times New Roman" w:eastAsia="Times New Roman" w:hAnsi="Times New Roman"/>
          <w:sz w:val="18"/>
          <w:szCs w:val="18"/>
          <w:color w:val="auto"/>
        </w:rPr>
        <w:t>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materially adversely affected.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our Annual Report on Form 10-K, filed with the SEC on February 20, 2025, and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has been, and in the future, may be, volatile, and could decline significantly and rapidly.</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has fluctuated and may in the future fluctuate substantially in response to numerous factors in addition to the ones described in the preceding risk factors, many of which are beyond our control, including:</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results of operations, or operating metrics and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 or our failure to meet these projections;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Digital Analytics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or growth rate of our addressable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Digital Analytics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senior management, or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A common stock made available for trading;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and industry conditions, including economic slowdowns, recessions, inflationary pressures, rising interest rates, tariffs, trade wars, financial market fluctuations, and reduced credit availability;</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armed conflicts (including those in Ukraine and the Middle East), incidents of terrorism, pandemics, elections, or responses to these events;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investors or securities analysts view our stock structure unfavorably, particularly our dual class structure and the concentrated voting control of our executive officers, directors, and their affiliates.</w:t>
      </w:r>
    </w:p>
    <w:p>
      <w:pPr>
        <w:spacing w:after="0" w:line="16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principal stockholders have the ability to influence the outcome of director elections and other matters requiring stockholder approval.</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ind w:right="180"/>
        <w:spacing w:after="0" w:line="282" w:lineRule="auto"/>
        <w:rPr>
          <w:sz w:val="20"/>
          <w:szCs w:val="20"/>
          <w:color w:val="auto"/>
        </w:rPr>
      </w:pPr>
      <w:r>
        <w:rPr>
          <w:rFonts w:ascii="Times New Roman" w:cs="Times New Roman" w:eastAsia="Times New Roman" w:hAnsi="Times New Roman"/>
          <w:sz w:val="18"/>
          <w:szCs w:val="18"/>
          <w:color w:val="auto"/>
        </w:rPr>
        <w:t>the ability of other stockholders to influence corporate matters and may cause us to make strategic decisions that could be adverse to the interests of other stockholders.</w:t>
      </w:r>
    </w:p>
    <w:p>
      <w:pPr>
        <w:spacing w:after="0" w:line="26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addition, while we do not expect to issue any additional shares of Class B common stock, any future issuances of Class B common stock would be dilutive to holders of Class A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trading price of our Class A common stock.</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p>
    <w:p>
      <w:pPr>
        <w:spacing w:after="0" w:line="2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public markets, or the perception that sales might occur, could cause the trading price of our Class A common stock to decline.</w:t>
      </w:r>
    </w:p>
    <w:p>
      <w:pPr>
        <w:spacing w:after="0" w:line="5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8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filed registration statements to register all shares subject to options and restricted stock units (“RSU”) outstanding or reserved for future issuance under our equity compensation plans. As of September 30, 2025, we had options outstanding that, if fully exercised, would result in the issuance of 10,244,242 shares of Class A common stock, as well as 16,094,798 shares of Class A common stock subject to RSUs.</w:t>
      </w:r>
    </w:p>
    <w:p>
      <w:pPr>
        <w:spacing w:after="0" w:line="176"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Accordingly, these shares will be able to be freely sold in the public market upon issuance, subject to applicable vesting requirements and compliance by affiliates with Rule 144.</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5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91"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trading price of our Class A common stock.</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trading price of our Class A common stock.</w:t>
      </w:r>
    </w:p>
    <w:p>
      <w:pPr>
        <w:spacing w:after="0" w:line="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54" w:lineRule="exact"/>
        <w:rPr>
          <w:sz w:val="20"/>
          <w:szCs w:val="20"/>
          <w:color w:val="auto"/>
        </w:rPr>
      </w:pPr>
    </w:p>
    <w:p>
      <w:pPr>
        <w:ind w:left="1020" w:right="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for cause;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indemnification agreements that we have entered into with our directors and officers provide that:</w:t>
      </w:r>
    </w:p>
    <w:p>
      <w:pPr>
        <w:spacing w:after="0" w:line="54" w:lineRule="exact"/>
        <w:rPr>
          <w:sz w:val="20"/>
          <w:szCs w:val="20"/>
          <w:color w:val="auto"/>
        </w:rPr>
      </w:pPr>
    </w:p>
    <w:p>
      <w:pPr>
        <w:ind w:left="1020" w:right="8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20" w:right="200" w:hanging="503"/>
        <w:spacing w:after="0" w:line="312" w:lineRule="auto"/>
        <w:tabs>
          <w:tab w:leader="none" w:pos="10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28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bylaws to reduce our indemnification obligations to directors, officers, employees, and agents.</w:t>
      </w:r>
    </w:p>
    <w:p>
      <w:pPr>
        <w:spacing w:after="0" w:line="162" w:lineRule="exact"/>
        <w:rPr>
          <w:sz w:val="20"/>
          <w:szCs w:val="20"/>
          <w:color w:val="auto"/>
        </w:rPr>
      </w:pPr>
    </w:p>
    <w:p>
      <w:pPr>
        <w:jc w:val="both"/>
        <w:ind w:right="420" w:firstLine="509"/>
        <w:spacing w:after="0" w:line="312" w:lineRule="auto"/>
        <w:rPr>
          <w:sz w:val="20"/>
          <w:szCs w:val="20"/>
          <w:color w:val="auto"/>
        </w:rPr>
      </w:pPr>
      <w:r>
        <w:rPr>
          <w:rFonts w:ascii="Times New Roman" w:cs="Times New Roman" w:eastAsia="Times New Roman" w:hAnsi="Times New Roman"/>
          <w:sz w:val="17"/>
          <w:szCs w:val="17"/>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4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193"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8" w:name="page69"/>
    <w:bookmarkEnd w:id="68"/>
    <w:p>
      <w:pPr>
        <w:ind w:right="760"/>
        <w:spacing w:after="0" w:line="282" w:lineRule="auto"/>
        <w:rPr>
          <w:sz w:val="20"/>
          <w:szCs w:val="20"/>
          <w:color w:val="auto"/>
        </w:rPr>
      </w:pPr>
      <w:r>
        <w:rPr>
          <w:rFonts w:ascii="Times New Roman" w:cs="Times New Roman" w:eastAsia="Times New Roman" w:hAnsi="Times New Roman"/>
          <w:sz w:val="18"/>
          <w:szCs w:val="18"/>
          <w:color w:val="auto"/>
        </w:rPr>
        <w:t>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attract and retain highly skilled employees could materially adversely affect our business.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p>
    <w:p>
      <w:pPr>
        <w:spacing w:after="0" w:line="18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could materially adversely affect our business.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 be changes in our executive management team resulting from the hiring or departure of executives.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business, regulatory, or political climate in the San Francisco Bay Area could adversely affect our operations.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8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Digital Analytics Platform, and could harm our business.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Digital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harmed by “viruses,” “worms,” and similar malicious programs, and the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ind w:right="280"/>
        <w:spacing w:after="0" w:line="282" w:lineRule="auto"/>
        <w:rPr>
          <w:sz w:val="20"/>
          <w:szCs w:val="20"/>
          <w:color w:val="auto"/>
        </w:rPr>
      </w:pPr>
      <w:r>
        <w:rPr>
          <w:rFonts w:ascii="Times New Roman" w:cs="Times New Roman" w:eastAsia="Times New Roman" w:hAnsi="Times New Roman"/>
          <w:sz w:val="18"/>
          <w:szCs w:val="18"/>
          <w:color w:val="auto"/>
        </w:rPr>
        <w:t>internet has experienced a variety of outages and other delays as a result of damage to portions of its infrastructure. If the use of the internet is adversely affected by these issues, demand for our Digital Analytics Platform could decline.</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Digital Analytics Platform or generate any particular level of revenue for us. Any expansion in our markets depends on a number of factors, including the cost, performance, and perceived value associated with our Digital Analytics Platform and the products of our competitors. Even if the markets in which we compete achieve the forecasted growth, our business could fail to grow at similar rates, if at all.</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have in the past sought, and intend in the future to seek, to acquire or invest in businesses, joint ventures, strategic or preferred partnerships, and platform technologies that we believe could complement or expand our Digital Analytics Platform, enhance our technology, or otherwise offer growth opportunities. Any such acquisitions, partnerships,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disrupted by catastrophic occurrences and similar events.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conflicts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7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68" w:lineRule="exact"/>
        <w:rPr>
          <w:sz w:val="20"/>
          <w:szCs w:val="20"/>
          <w:color w:val="auto"/>
        </w:rPr>
      </w:pPr>
    </w:p>
    <w:p>
      <w:pPr>
        <w:jc w:val="both"/>
        <w:ind w:right="840" w:firstLine="509"/>
        <w:spacing w:after="0" w:line="266" w:lineRule="auto"/>
        <w:rPr>
          <w:sz w:val="20"/>
          <w:szCs w:val="20"/>
          <w:color w:val="auto"/>
        </w:rPr>
      </w:pPr>
      <w:r>
        <w:rPr>
          <w:rFonts w:ascii="Times New Roman" w:cs="Times New Roman" w:eastAsia="Times New Roman" w:hAnsi="Times New Roman"/>
          <w:sz w:val="18"/>
          <w:szCs w:val="18"/>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8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trading price and trading volume of our Class A common stock could decline.</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 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could decrease the trading volume of our Class A common stock and might cause the trading price of our Class A common stock to decline.</w:t>
      </w:r>
    </w:p>
    <w:p>
      <w:pPr>
        <w:spacing w:after="0" w:line="3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needs to devote substantial time to compliance with our public company responsibilities and corporate governance practices.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w:t>
      </w:r>
    </w:p>
    <w:p>
      <w:pPr>
        <w:spacing w:after="0" w:line="28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July 3, 2025, we completed the acquisition of Kraftful, Inc. (“Kraftful”). In connection with the acquisition, we issued 322,173 shares of our common stock to an equity holder of Kraftful. The shares were issued in reliance on an exemption from registration provided for under Section 4(a)(2) of the Securities Act and/or Rule 506 of Regulation D promulgated thereunder. We relied on this exemption from registration based in part on the representations made by the equity 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repurchases during the three months ended September 30, 2025 were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 Purchased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Approximate Dollar Value of Shares that</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00" w:type="dxa"/>
            <w:vAlign w:val="bottom"/>
          </w:tcPr>
          <w:p>
            <w:pPr>
              <w:spacing w:after="0"/>
              <w:rPr>
                <w:sz w:val="15"/>
                <w:szCs w:val="15"/>
                <w:color w:val="auto"/>
              </w:rPr>
            </w:pPr>
          </w:p>
        </w:tc>
        <w:tc>
          <w:tcPr>
            <w:tcW w:w="266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as Part of Publicly Announced Plans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3"/>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May Yet Be Purchased Under the Plans</w:t>
            </w:r>
          </w:p>
        </w:tc>
        <w:tc>
          <w:tcPr>
            <w:tcW w:w="0" w:type="dxa"/>
            <w:vAlign w:val="bottom"/>
          </w:tcPr>
          <w:p>
            <w:pPr>
              <w:spacing w:after="0"/>
              <w:rPr>
                <w:sz w:val="1"/>
                <w:szCs w:val="1"/>
                <w:color w:val="auto"/>
              </w:rPr>
            </w:pPr>
          </w:p>
        </w:tc>
      </w:tr>
      <w:tr>
        <w:trPr>
          <w:trHeight w:val="246"/>
        </w:trPr>
        <w:tc>
          <w:tcPr>
            <w:tcW w:w="2640" w:type="dxa"/>
            <w:vAlign w:val="bottom"/>
          </w:tcPr>
          <w:p>
            <w:pPr>
              <w:ind w:left="10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40" w:type="dxa"/>
            <w:vAlign w:val="bottom"/>
          </w:tcPr>
          <w:p>
            <w:pPr>
              <w:spacing w:after="0"/>
              <w:rPr>
                <w:sz w:val="21"/>
                <w:szCs w:val="21"/>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per Share</w:t>
            </w:r>
            <w:r>
              <w:rPr>
                <w:rFonts w:ascii="Times New Roman" w:cs="Times New Roman" w:eastAsia="Times New Roman" w:hAnsi="Times New Roman"/>
                <w:sz w:val="21"/>
                <w:szCs w:val="21"/>
                <w:b w:val="1"/>
                <w:bCs w:val="1"/>
                <w:color w:val="auto"/>
                <w:w w:val="95"/>
                <w:vertAlign w:val="superscript"/>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or Program</w:t>
            </w:r>
            <w:r>
              <w:rPr>
                <w:rFonts w:ascii="Times New Roman" w:cs="Times New Roman" w:eastAsia="Times New Roman" w:hAnsi="Times New Roman"/>
                <w:sz w:val="21"/>
                <w:szCs w:val="21"/>
                <w:b w:val="1"/>
                <w:bCs w:val="1"/>
                <w:color w:val="auto"/>
                <w:w w:val="97"/>
                <w:vertAlign w:val="superscript"/>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w w:val="97"/>
              </w:rPr>
              <w:t>or Program</w:t>
            </w:r>
            <w:r>
              <w:rPr>
                <w:rFonts w:ascii="Times New Roman" w:cs="Times New Roman" w:eastAsia="Times New Roman" w:hAnsi="Times New Roman"/>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196"/>
        </w:trPr>
        <w:tc>
          <w:tcPr>
            <w:tcW w:w="2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tcPr>
          <w:p>
            <w:pPr>
              <w:jc w:val="center"/>
              <w:ind w:right="459"/>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July 1, 2025 through July 30, 2025</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August 1, 2025 through August 30,</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776,691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776,691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September 1, 2025 through September</w:t>
            </w:r>
          </w:p>
        </w:tc>
        <w:tc>
          <w:tcPr>
            <w:tcW w:w="120" w:type="dxa"/>
            <w:vAlign w:val="bottom"/>
            <w:vMerge w:val="restart"/>
            <w:shd w:val="clear" w:color="auto" w:fill="CFF0FC"/>
          </w:tcPr>
          <w:p>
            <w:pPr>
              <w:spacing w:after="0"/>
              <w:rPr>
                <w:sz w:val="16"/>
                <w:szCs w:val="16"/>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278,874</w:t>
            </w: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200" w:type="dxa"/>
            <w:vAlign w:val="bottom"/>
            <w:gridSpan w:val="2"/>
            <w:vMerge w:val="restart"/>
            <w:shd w:val="clear" w:color="auto" w:fill="CFF0FC"/>
          </w:tcPr>
          <w:p>
            <w:pPr>
              <w:spacing w:after="0"/>
              <w:rPr>
                <w:sz w:val="16"/>
                <w:szCs w:val="16"/>
                <w:color w:val="auto"/>
              </w:rPr>
            </w:pPr>
          </w:p>
        </w:tc>
        <w:tc>
          <w:tcPr>
            <w:tcW w:w="2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278,874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30, 2025</w:t>
            </w: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gridSpan w:val="2"/>
            <w:vMerge w:val="continue"/>
            <w:shd w:val="clear" w:color="auto" w:fill="CFF0FC"/>
          </w:tcPr>
          <w:p>
            <w:pPr>
              <w:spacing w:after="0"/>
              <w:rPr>
                <w:sz w:val="17"/>
                <w:szCs w:val="17"/>
                <w:color w:val="auto"/>
              </w:rPr>
            </w:pPr>
          </w:p>
        </w:tc>
        <w:tc>
          <w:tcPr>
            <w:tcW w:w="256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24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1,055,565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1,055,565</w:t>
            </w:r>
          </w:p>
        </w:tc>
        <w:tc>
          <w:tcPr>
            <w:tcW w:w="74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-162560</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-162560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-162560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for open market purchases includes broker commission fees.</w:t>
      </w:r>
    </w:p>
    <w:p>
      <w:pPr>
        <w:spacing w:after="0" w:line="3" w:lineRule="exact"/>
        <w:rPr>
          <w:rFonts w:ascii="Times New Roman" w:cs="Times New Roman" w:eastAsia="Times New Roman" w:hAnsi="Times New Roman"/>
          <w:sz w:val="14"/>
          <w:szCs w:val="14"/>
          <w:color w:val="auto"/>
        </w:rPr>
      </w:pPr>
    </w:p>
    <w:p>
      <w:pPr>
        <w:ind w:left="380" w:right="240" w:hanging="372"/>
        <w:spacing w:after="0" w:line="239"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7, 2025, we announced that our Board of Directors authorized the repurchase of up to $50 million of our Class A Common Stock (the “Repurchase Program”). The Repurchase Program has no expiration date.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 of Section 16 Reporting Persons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August 8, 2025, Anne Skates, spouse of Spenser Skates, our Chief Executive Officer and the Chair of our board of directors, adopted a Rule 10b5-1 trading plan that is intended to satisfy the affirmative defense of Rule 10b5-1(c) for the sale of up to 1,010,000 shares of our Class A common stock until December 31,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8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   Filed Herewith</w:t>
            </w:r>
          </w:p>
        </w:tc>
      </w:tr>
      <w:tr>
        <w:trPr>
          <w:trHeight w:val="190"/>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3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94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Restated Certificate of Incorporation of the Registrant.</w:t>
              </w:r>
            </w:hyperlink>
          </w:p>
        </w:tc>
        <w:tc>
          <w:tcPr>
            <w:tcW w:w="1340" w:type="dxa"/>
            <w:vAlign w:val="bottom"/>
            <w:gridSpan w:val="11"/>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6/12/2024</w:t>
            </w: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80" w:type="dxa"/>
            <w:vAlign w:val="bottom"/>
            <w:gridSpan w:val="16"/>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Amended and Restated Bylaws of the Registrant.</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001-40817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9/21/2021</w:t>
            </w:r>
          </w:p>
        </w:tc>
      </w:tr>
      <w:tr>
        <w:trPr>
          <w:trHeight w:val="20"/>
        </w:trPr>
        <w:tc>
          <w:tcPr>
            <w:tcW w:w="10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51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Specimen Stock Certificate evidencing the shares of Class A Common</w:t>
              </w:r>
            </w:hyperlink>
          </w:p>
        </w:tc>
        <w:tc>
          <w:tcPr>
            <w:tcW w:w="140" w:type="dxa"/>
            <w:vAlign w:val="bottom"/>
            <w:gridSpan w:val="4"/>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333-259168</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204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8/30/2021</w:t>
            </w:r>
          </w:p>
        </w:tc>
      </w:tr>
      <w:tr>
        <w:trPr>
          <w:trHeight w:val="196"/>
        </w:trPr>
        <w:tc>
          <w:tcPr>
            <w:tcW w:w="1000" w:type="dxa"/>
            <w:vAlign w:val="bottom"/>
          </w:tcPr>
          <w:p>
            <w:pPr>
              <w:spacing w:after="0"/>
              <w:rPr>
                <w:sz w:val="17"/>
                <w:szCs w:val="17"/>
                <w:color w:val="auto"/>
              </w:rPr>
            </w:pPr>
          </w:p>
        </w:tc>
        <w:tc>
          <w:tcPr>
            <w:tcW w:w="5280" w:type="dxa"/>
            <w:vAlign w:val="bottom"/>
            <w:gridSpan w:val="16"/>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Stock.</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51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Specimen Stock Certificate evidencing the shares of Class B Common</w:t>
              </w:r>
            </w:hyperlink>
          </w:p>
        </w:tc>
        <w:tc>
          <w:tcPr>
            <w:tcW w:w="160" w:type="dxa"/>
            <w:vAlign w:val="bottom"/>
            <w:gridSpan w:val="5"/>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S-8</w:t>
            </w: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333-259698</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204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9/21/2021</w:t>
            </w:r>
          </w:p>
        </w:tc>
      </w:tr>
      <w:tr>
        <w:trPr>
          <w:trHeight w:val="196"/>
        </w:trPr>
        <w:tc>
          <w:tcPr>
            <w:tcW w:w="1000" w:type="dxa"/>
            <w:vAlign w:val="bottom"/>
          </w:tcPr>
          <w:p>
            <w:pPr>
              <w:spacing w:after="0"/>
              <w:rPr>
                <w:sz w:val="17"/>
                <w:szCs w:val="17"/>
                <w:color w:val="auto"/>
              </w:rPr>
            </w:pPr>
          </w:p>
        </w:tc>
        <w:tc>
          <w:tcPr>
            <w:tcW w:w="5280" w:type="dxa"/>
            <w:vAlign w:val="bottom"/>
            <w:gridSpan w:val="16"/>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Stock.</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51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Amended and Restated Investors’ Rights Agreement, dated as of May</w:t>
              </w:r>
            </w:hyperlink>
          </w:p>
        </w:tc>
        <w:tc>
          <w:tcPr>
            <w:tcW w:w="180" w:type="dxa"/>
            <w:vAlign w:val="bottom"/>
            <w:gridSpan w:val="6"/>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S-1</w:t>
            </w: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333-259168</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204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8/30/2021</w:t>
            </w:r>
          </w:p>
        </w:tc>
      </w:tr>
      <w:tr>
        <w:trPr>
          <w:trHeight w:val="196"/>
        </w:trPr>
        <w:tc>
          <w:tcPr>
            <w:tcW w:w="1000" w:type="dxa"/>
            <w:vAlign w:val="bottom"/>
          </w:tcPr>
          <w:p>
            <w:pPr>
              <w:spacing w:after="0"/>
              <w:rPr>
                <w:sz w:val="17"/>
                <w:szCs w:val="17"/>
                <w:color w:val="auto"/>
              </w:rPr>
            </w:pPr>
          </w:p>
        </w:tc>
        <w:tc>
          <w:tcPr>
            <w:tcW w:w="5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28, 2021, as amended, by and among the Registrant and certain of its</w:t>
              </w:r>
            </w:hyperlink>
          </w:p>
        </w:tc>
        <w:tc>
          <w:tcPr>
            <w:tcW w:w="26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280" w:type="dxa"/>
            <w:vAlign w:val="bottom"/>
            <w:gridSpan w:val="16"/>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stockholders.</w:t>
              </w:r>
            </w:hyperlink>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50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First Amendment to Sublease, dated July 2, 2025, by and between the</w:t>
            </w:r>
          </w:p>
        </w:tc>
        <w:tc>
          <w:tcPr>
            <w:tcW w:w="20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00" w:type="dxa"/>
            <w:vAlign w:val="bottom"/>
          </w:tcPr>
          <w:p>
            <w:pPr>
              <w:spacing w:after="0"/>
              <w:rPr>
                <w:sz w:val="17"/>
                <w:szCs w:val="17"/>
                <w:color w:val="auto"/>
              </w:rPr>
            </w:pPr>
          </w:p>
        </w:tc>
        <w:tc>
          <w:tcPr>
            <w:tcW w:w="22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Registrant and Postmates LLC</w:t>
            </w:r>
          </w:p>
        </w:tc>
        <w:tc>
          <w:tcPr>
            <w:tcW w:w="306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2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00" w:type="dxa"/>
            <w:vAlign w:val="bottom"/>
          </w:tcPr>
          <w:p>
            <w:pPr>
              <w:spacing w:after="0"/>
              <w:rPr>
                <w:sz w:val="17"/>
                <w:szCs w:val="17"/>
                <w:color w:val="auto"/>
              </w:rPr>
            </w:pPr>
          </w:p>
        </w:tc>
        <w:tc>
          <w:tcPr>
            <w:tcW w:w="51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1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EE"/>
            </w:tcBorders>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1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c>
          <w:tcPr>
            <w:tcW w:w="10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00" w:type="dxa"/>
            <w:vAlign w:val="bottom"/>
          </w:tcPr>
          <w:p>
            <w:pPr>
              <w:spacing w:after="0"/>
              <w:rPr>
                <w:sz w:val="17"/>
                <w:szCs w:val="17"/>
                <w:color w:val="auto"/>
              </w:rPr>
            </w:pPr>
          </w:p>
        </w:tc>
        <w:tc>
          <w:tcPr>
            <w:tcW w:w="51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18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tcBorders>
              <w:right w:val="single" w:sz="8" w:color="0000EE"/>
            </w:tcBorders>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8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48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00" w:type="dxa"/>
            <w:vAlign w:val="bottom"/>
          </w:tcPr>
          <w:p>
            <w:pPr>
              <w:spacing w:after="0"/>
              <w:rPr>
                <w:sz w:val="17"/>
                <w:szCs w:val="17"/>
                <w:color w:val="auto"/>
              </w:rPr>
            </w:pPr>
          </w:p>
        </w:tc>
        <w:tc>
          <w:tcPr>
            <w:tcW w:w="52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 of the Sarbanes-Oxley</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4320" w:type="dxa"/>
            <w:vAlign w:val="bottom"/>
            <w:gridSpan w:val="14"/>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52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ind w:left="152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00" w:type="dxa"/>
            <w:vAlign w:val="bottom"/>
          </w:tcPr>
          <w:p>
            <w:pPr>
              <w:spacing w:after="0"/>
              <w:rPr>
                <w:sz w:val="17"/>
                <w:szCs w:val="17"/>
                <w:color w:val="auto"/>
              </w:rPr>
            </w:pPr>
          </w:p>
        </w:tc>
        <w:tc>
          <w:tcPr>
            <w:tcW w:w="52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rPr>
              <w:t>2002.</w:t>
            </w:r>
          </w:p>
        </w:tc>
        <w:tc>
          <w:tcPr>
            <w:tcW w:w="50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00" w:type="dxa"/>
            <w:vAlign w:val="bottom"/>
          </w:tcPr>
          <w:p>
            <w:pPr>
              <w:spacing w:after="0"/>
              <w:rPr>
                <w:sz w:val="18"/>
                <w:szCs w:val="18"/>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XBRL tags are embedded</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00" w:type="dxa"/>
            <w:vAlign w:val="bottom"/>
          </w:tcPr>
          <w:p>
            <w:pPr>
              <w:spacing w:after="0"/>
              <w:rPr>
                <w:sz w:val="18"/>
                <w:szCs w:val="18"/>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Documents</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00" w:type="dxa"/>
            <w:vAlign w:val="bottom"/>
          </w:tcPr>
          <w:p>
            <w:pPr>
              <w:spacing w:after="0"/>
              <w:rPr>
                <w:sz w:val="20"/>
                <w:szCs w:val="20"/>
                <w:color w:val="auto"/>
              </w:rPr>
            </w:pPr>
          </w:p>
        </w:tc>
        <w:tc>
          <w:tcPr>
            <w:tcW w:w="52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 w:lineRule="exact"/>
        <w:rPr>
          <w:sz w:val="20"/>
          <w:szCs w:val="20"/>
          <w:color w:val="auto"/>
        </w:rPr>
      </w:pPr>
    </w:p>
    <w:p>
      <w:pPr>
        <w:spacing w:after="0" w:line="259" w:lineRule="exact"/>
        <w:rPr>
          <w:sz w:val="20"/>
          <w:szCs w:val="20"/>
          <w:color w:val="auto"/>
        </w:rPr>
      </w:pPr>
    </w:p>
    <w:p>
      <w:pPr>
        <w:jc w:val="both"/>
        <w:ind w:firstLine="8"/>
        <w:spacing w:after="0" w:line="261" w:lineRule="auto"/>
        <w:tabs>
          <w:tab w:leader="none" w:pos="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Amplitude,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75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Spenser Skates</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Spenser Skates</w:t>
            </w:r>
          </w:p>
        </w:tc>
      </w:tr>
      <w:tr>
        <w:trPr>
          <w:trHeight w:val="214"/>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75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Andrew Casey</w:t>
            </w:r>
          </w:p>
        </w:tc>
      </w:tr>
      <w:tr>
        <w:trPr>
          <w:trHeight w:val="191"/>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Casey</w:t>
            </w:r>
          </w:p>
        </w:tc>
      </w:tr>
      <w:tr>
        <w:trPr>
          <w:trHeight w:val="214"/>
        </w:trPr>
        <w:tc>
          <w:tcPr>
            <w:tcW w:w="36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540"/>
        </w:trPr>
        <w:tc>
          <w:tcPr>
            <w:tcW w:w="3660" w:type="dxa"/>
            <w:vAlign w:val="bottom"/>
          </w:tcPr>
          <w:p>
            <w:pPr>
              <w:spacing w:after="0"/>
              <w:rPr>
                <w:sz w:val="24"/>
                <w:szCs w:val="24"/>
                <w:color w:val="auto"/>
              </w:rPr>
            </w:pPr>
          </w:p>
        </w:tc>
        <w:tc>
          <w:tcPr>
            <w:tcW w:w="2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74</w:t>
            </w:r>
          </w:p>
        </w:tc>
        <w:tc>
          <w:tcPr>
            <w:tcW w:w="5220" w:type="dxa"/>
            <w:vAlign w:val="bottom"/>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FIRST AMENDMENT TO SUBLEASE</w:t>
      </w:r>
    </w:p>
    <w:p>
      <w:pPr>
        <w:spacing w:after="0" w:line="225" w:lineRule="exact"/>
        <w:rPr>
          <w:sz w:val="20"/>
          <w:szCs w:val="20"/>
          <w:color w:val="auto"/>
        </w:rPr>
      </w:pPr>
    </w:p>
    <w:p>
      <w:pPr>
        <w:jc w:val="both"/>
        <w:ind w:right="600" w:firstLine="749"/>
        <w:spacing w:after="0" w:line="268" w:lineRule="auto"/>
        <w:rPr>
          <w:sz w:val="20"/>
          <w:szCs w:val="20"/>
          <w:color w:val="auto"/>
        </w:rPr>
      </w:pPr>
      <w:r>
        <w:rPr>
          <w:rFonts w:ascii="Times New Roman" w:cs="Times New Roman" w:eastAsia="Times New Roman" w:hAnsi="Times New Roman"/>
          <w:sz w:val="18"/>
          <w:szCs w:val="18"/>
          <w:color w:val="auto"/>
        </w:rPr>
        <w:t>This First Amendment to Sublease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is made as of July 2, 2025, by and between </w:t>
      </w:r>
      <w:r>
        <w:rPr>
          <w:rFonts w:ascii="Times New Roman" w:cs="Times New Roman" w:eastAsia="Times New Roman" w:hAnsi="Times New Roman"/>
          <w:sz w:val="18"/>
          <w:szCs w:val="18"/>
          <w:b w:val="1"/>
          <w:bCs w:val="1"/>
          <w:color w:val="auto"/>
        </w:rPr>
        <w:t>POSTMATES LLC</w:t>
      </w:r>
      <w:r>
        <w:rPr>
          <w:rFonts w:ascii="Times New Roman" w:cs="Times New Roman" w:eastAsia="Times New Roman" w:hAnsi="Times New Roman"/>
          <w:sz w:val="18"/>
          <w:szCs w:val="18"/>
          <w:color w:val="auto"/>
        </w:rPr>
        <w:t>, a Delaware limited liability company (“</w:t>
      </w:r>
      <w:r>
        <w:rPr>
          <w:rFonts w:ascii="Times New Roman" w:cs="Times New Roman" w:eastAsia="Times New Roman" w:hAnsi="Times New Roman"/>
          <w:sz w:val="18"/>
          <w:szCs w:val="18"/>
          <w:b w:val="1"/>
          <w:bCs w:val="1"/>
          <w:color w:val="auto"/>
        </w:rPr>
        <w:t>Sublandlord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AMPLITUDE,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Subtenant</w:t>
      </w:r>
      <w:r>
        <w:rPr>
          <w:rFonts w:ascii="Times New Roman" w:cs="Times New Roman" w:eastAsia="Times New Roman" w:hAnsi="Times New Roman"/>
          <w:sz w:val="18"/>
          <w:szCs w:val="18"/>
          <w:color w:val="auto"/>
        </w:rPr>
        <w:t>”), with reference to the following facts:</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R E C I T A L S</w:t>
      </w:r>
      <w:r>
        <w:rPr>
          <w:rFonts w:ascii="Times New Roman" w:cs="Times New Roman" w:eastAsia="Times New Roman" w:hAnsi="Times New Roman"/>
          <w:sz w:val="18"/>
          <w:szCs w:val="18"/>
          <w:color w:val="auto"/>
        </w:rPr>
        <w:t xml:space="preserve"> :</w:t>
      </w:r>
    </w:p>
    <w:p>
      <w:pPr>
        <w:spacing w:after="0" w:line="248" w:lineRule="exact"/>
        <w:rPr>
          <w:sz w:val="20"/>
          <w:szCs w:val="20"/>
          <w:color w:val="auto"/>
        </w:rPr>
      </w:pPr>
    </w:p>
    <w:p>
      <w:pPr>
        <w:jc w:val="both"/>
        <w:ind w:left="2160" w:right="640" w:hanging="660"/>
        <w:spacing w:after="0" w:line="251" w:lineRule="auto"/>
        <w:tabs>
          <w:tab w:leader="none" w:pos="2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Sublandlord is the “Tenant” under that certain Office Lease dated as of October 25, 2017 (the “</w:t>
      </w:r>
      <w:r>
        <w:rPr>
          <w:rFonts w:ascii="Times New Roman" w:cs="Times New Roman" w:eastAsia="Times New Roman" w:hAnsi="Times New Roman"/>
          <w:sz w:val="18"/>
          <w:szCs w:val="18"/>
          <w:b w:val="1"/>
          <w:bCs w:val="1"/>
          <w:color w:val="auto"/>
        </w:rPr>
        <w:t>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as amended by that certain First Amendment to Office Lease being entered into concurrently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herewith (the “</w:t>
      </w:r>
      <w:r>
        <w:rPr>
          <w:rFonts w:ascii="Times New Roman" w:cs="Times New Roman" w:eastAsia="Times New Roman" w:hAnsi="Times New Roman"/>
          <w:sz w:val="18"/>
          <w:szCs w:val="18"/>
          <w:b w:val="1"/>
          <w:bCs w:val="1"/>
          <w:color w:val="auto"/>
        </w:rPr>
        <w:t>First Lease Amendment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Master Lease</w:t>
      </w:r>
      <w:r>
        <w:rPr>
          <w:rFonts w:ascii="Times New Roman" w:cs="Times New Roman" w:eastAsia="Times New Roman" w:hAnsi="Times New Roman"/>
          <w:sz w:val="18"/>
          <w:szCs w:val="18"/>
          <w:color w:val="auto"/>
        </w:rPr>
        <w:t>”) with KR 201 THIRD STREET OWNER,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pursuant to which Sublandlord leases from Landlord and Landlord leases to Sublandlord certain premises containing approximately 57,530 rentable square feet (“</w:t>
      </w:r>
      <w:r>
        <w:rPr>
          <w:rFonts w:ascii="Times New Roman" w:cs="Times New Roman" w:eastAsia="Times New Roman" w:hAnsi="Times New Roman"/>
          <w:sz w:val="18"/>
          <w:szCs w:val="18"/>
          <w:b w:val="1"/>
          <w:bCs w:val="1"/>
          <w:color w:val="auto"/>
        </w:rPr>
        <w:t>RSF</w:t>
      </w:r>
      <w:r>
        <w:rPr>
          <w:rFonts w:ascii="Times New Roman" w:cs="Times New Roman" w:eastAsia="Times New Roman" w:hAnsi="Times New Roman"/>
          <w:sz w:val="18"/>
          <w:szCs w:val="18"/>
          <w:color w:val="auto"/>
        </w:rPr>
        <w:t>”) commonly known as Suites 200 (measuring 28,032 RSF) and 300 (measuring 29,498 RSF)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in the building located at 201 Third Street, San Francisco, California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as more particularly described in the Existing Lease.</w:t>
      </w:r>
    </w:p>
    <w:p>
      <w:pPr>
        <w:spacing w:after="0" w:line="200" w:lineRule="exact"/>
        <w:rPr>
          <w:rFonts w:ascii="Times New Roman" w:cs="Times New Roman" w:eastAsia="Times New Roman" w:hAnsi="Times New Roman"/>
          <w:sz w:val="20"/>
          <w:szCs w:val="20"/>
          <w:color w:val="auto"/>
        </w:rPr>
      </w:pPr>
    </w:p>
    <w:p>
      <w:pPr>
        <w:spacing w:after="0" w:line="235" w:lineRule="exact"/>
        <w:rPr>
          <w:rFonts w:ascii="Times New Roman" w:cs="Times New Roman" w:eastAsia="Times New Roman" w:hAnsi="Times New Roman"/>
          <w:sz w:val="20"/>
          <w:szCs w:val="20"/>
          <w:color w:val="auto"/>
        </w:rPr>
      </w:pPr>
    </w:p>
    <w:p>
      <w:pPr>
        <w:jc w:val="both"/>
        <w:ind w:left="2160" w:right="640" w:hanging="660"/>
        <w:spacing w:after="0" w:line="251" w:lineRule="auto"/>
        <w:tabs>
          <w:tab w:leader="none" w:pos="2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Sublandlord and Subtenant are parties to that certain Sublease Agreement dated as of May 13, 2021 (the “Existing Sublease”) for the subleasing by Sublandlord to Subtenant of the Premises (and referred to in the Existing Sublease as the “Subleased Premises”), as more particularly described in the Existing Sublease;</w:t>
      </w:r>
    </w:p>
    <w:p>
      <w:pPr>
        <w:spacing w:after="0" w:line="200" w:lineRule="exact"/>
        <w:rPr>
          <w:rFonts w:ascii="Times New Roman" w:cs="Times New Roman" w:eastAsia="Times New Roman" w:hAnsi="Times New Roman"/>
          <w:sz w:val="20"/>
          <w:szCs w:val="20"/>
          <w:color w:val="auto"/>
        </w:rPr>
      </w:pPr>
    </w:p>
    <w:p>
      <w:pPr>
        <w:spacing w:after="0" w:line="219" w:lineRule="exact"/>
        <w:rPr>
          <w:rFonts w:ascii="Times New Roman" w:cs="Times New Roman" w:eastAsia="Times New Roman" w:hAnsi="Times New Roman"/>
          <w:sz w:val="20"/>
          <w:szCs w:val="20"/>
          <w:color w:val="auto"/>
        </w:rPr>
      </w:pPr>
    </w:p>
    <w:p>
      <w:pPr>
        <w:ind w:left="2160" w:right="640" w:hanging="660"/>
        <w:spacing w:after="0" w:line="255" w:lineRule="auto"/>
        <w:tabs>
          <w:tab w:leader="none" w:pos="2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Lease is scheduled to expire by its terms on October 31, 2025, and the Existing Sublease is scheduled to expire by its terms on September 30, 2025; and</w:t>
      </w:r>
    </w:p>
    <w:p>
      <w:pPr>
        <w:spacing w:after="0" w:line="200" w:lineRule="exact"/>
        <w:rPr>
          <w:rFonts w:ascii="Times New Roman" w:cs="Times New Roman" w:eastAsia="Times New Roman" w:hAnsi="Times New Roman"/>
          <w:sz w:val="20"/>
          <w:szCs w:val="20"/>
          <w:color w:val="auto"/>
        </w:rPr>
      </w:pPr>
    </w:p>
    <w:p>
      <w:pPr>
        <w:spacing w:after="0" w:line="226" w:lineRule="exact"/>
        <w:rPr>
          <w:rFonts w:ascii="Times New Roman" w:cs="Times New Roman" w:eastAsia="Times New Roman" w:hAnsi="Times New Roman"/>
          <w:sz w:val="20"/>
          <w:szCs w:val="20"/>
          <w:color w:val="auto"/>
        </w:rPr>
      </w:pPr>
    </w:p>
    <w:p>
      <w:pPr>
        <w:jc w:val="both"/>
        <w:ind w:left="2160" w:right="640" w:hanging="660"/>
        <w:spacing w:after="0" w:line="251" w:lineRule="auto"/>
        <w:tabs>
          <w:tab w:leader="none" w:pos="2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Subtenant is entering into a direct lease with Landlord to remain in occupancy of and lease the Subleased Premises from Landlord following the Term of the Lease, and Sublandlord and Subtenant therefore desire to amend the Existing Sublease to extend the existing Term of the Sublease to be coterminous with the Term of the Lease, pursuant to the terms and conditions set forth herein;</w:t>
      </w:r>
    </w:p>
    <w:p>
      <w:pPr>
        <w:spacing w:after="0" w:line="20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u w:val="single" w:color="auto"/>
          <w:color w:val="auto"/>
        </w:rPr>
        <w:t>A G R E E M E N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the mutual covenants contained herein, and for other good and valuable consideration, the receipt and sufficiency of which are hereby acknowledged, the parties hereto agree as follows:</w:t>
      </w:r>
    </w:p>
    <w:p>
      <w:pPr>
        <w:spacing w:after="0" w:line="171" w:lineRule="exact"/>
        <w:rPr>
          <w:sz w:val="20"/>
          <w:szCs w:val="20"/>
          <w:color w:val="auto"/>
        </w:rPr>
      </w:pPr>
    </w:p>
    <w:p>
      <w:pPr>
        <w:jc w:val="both"/>
        <w:ind w:left="760" w:right="640" w:hanging="9"/>
        <w:spacing w:after="0" w:line="254" w:lineRule="auto"/>
        <w:tabs>
          <w:tab w:leader="none" w:pos="111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Existing Sublease</w:t>
      </w:r>
      <w:r>
        <w:rPr>
          <w:rFonts w:ascii="Times New Roman" w:cs="Times New Roman" w:eastAsia="Times New Roman" w:hAnsi="Times New Roman"/>
          <w:sz w:val="18"/>
          <w:szCs w:val="18"/>
          <w:color w:val="auto"/>
        </w:rPr>
        <w:t>. The Existing Sublease, as amended by this Amendment, is hereinafter referred to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Sublease</w:t>
      </w:r>
      <w:r>
        <w:rPr>
          <w:rFonts w:ascii="Times New Roman" w:cs="Times New Roman" w:eastAsia="Times New Roman" w:hAnsi="Times New Roman"/>
          <w:sz w:val="18"/>
          <w:szCs w:val="18"/>
          <w:color w:val="auto"/>
        </w:rPr>
        <w:t>”. All capitalized terms used herein but not otherwise defined shall have the meanings given to them in the Existing Sublease or the Lease, as applicable.</w:t>
      </w:r>
    </w:p>
    <w:p>
      <w:pPr>
        <w:spacing w:after="0" w:line="195" w:lineRule="exact"/>
        <w:rPr>
          <w:rFonts w:ascii="Times New Roman" w:cs="Times New Roman" w:eastAsia="Times New Roman" w:hAnsi="Times New Roman"/>
          <w:sz w:val="20"/>
          <w:szCs w:val="20"/>
          <w:color w:val="auto"/>
        </w:rPr>
      </w:pPr>
    </w:p>
    <w:p>
      <w:pPr>
        <w:jc w:val="both"/>
        <w:ind w:left="760" w:right="640" w:hanging="9"/>
        <w:spacing w:after="0" w:line="253" w:lineRule="auto"/>
        <w:tabs>
          <w:tab w:leader="none" w:pos="111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Consent of Landlord</w:t>
      </w:r>
      <w:r>
        <w:rPr>
          <w:rFonts w:ascii="Times New Roman" w:cs="Times New Roman" w:eastAsia="Times New Roman" w:hAnsi="Times New Roman"/>
          <w:sz w:val="18"/>
          <w:szCs w:val="18"/>
          <w:color w:val="auto"/>
        </w:rPr>
        <w:t>. This Amendment shall not be effective until (a) Landlord and Sublandlord have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the First Amendment and (b) Landlord has delivered to Sublandlord and Subtenant its written consent to this Amendment by executing the Landlord Consent attached hereto (the “</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The date upon which the conditions set forth in clauses (a) and (b) are satisfied shall constitute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of this Amendment.</w:t>
      </w:r>
    </w:p>
    <w:p>
      <w:pPr>
        <w:spacing w:after="0" w:line="209" w:lineRule="exact"/>
        <w:rPr>
          <w:rFonts w:ascii="Times New Roman" w:cs="Times New Roman" w:eastAsia="Times New Roman" w:hAnsi="Times New Roman"/>
          <w:sz w:val="20"/>
          <w:szCs w:val="20"/>
          <w:color w:val="auto"/>
        </w:rPr>
      </w:pPr>
    </w:p>
    <w:p>
      <w:pPr>
        <w:jc w:val="both"/>
        <w:ind w:left="760" w:right="640" w:hanging="9"/>
        <w:spacing w:after="0" w:line="254" w:lineRule="auto"/>
        <w:tabs>
          <w:tab w:leader="none" w:pos="11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Extension of Sublease Term</w:t>
      </w:r>
      <w:r>
        <w:rPr>
          <w:rFonts w:ascii="Times New Roman" w:cs="Times New Roman" w:eastAsia="Times New Roman" w:hAnsi="Times New Roman"/>
          <w:sz w:val="18"/>
          <w:szCs w:val="18"/>
          <w:color w:val="auto"/>
        </w:rPr>
        <w:t>. The Term of the Sublease is hereby extended for a period of thirty- one (31)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on October 1, 2025, and ending on October 31, 2025 (which shall hereinafter be the “</w:t>
      </w:r>
      <w:r>
        <w:rPr>
          <w:rFonts w:ascii="Times New Roman" w:cs="Times New Roman" w:eastAsia="Times New Roman" w:hAnsi="Times New Roman"/>
          <w:sz w:val="18"/>
          <w:szCs w:val="18"/>
          <w:b w:val="1"/>
          <w:bCs w:val="1"/>
          <w:color w:val="auto"/>
        </w:rPr>
        <w:t>Sublease 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1129030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700" w:top="1206" w:right="819" w:bottom="1440" w:gutter="0" w:footer="0" w:header="0"/>
        </w:sectPr>
      </w:pPr>
    </w:p>
    <w:bookmarkStart w:id="75" w:name="page76"/>
    <w:bookmarkEnd w:id="75"/>
    <w:p>
      <w:pPr>
        <w:ind w:left="20" w:right="19" w:hanging="9"/>
        <w:spacing w:after="0" w:line="260" w:lineRule="auto"/>
        <w:tabs>
          <w:tab w:leader="none" w:pos="3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Rent</w:t>
      </w:r>
      <w:r>
        <w:rPr>
          <w:rFonts w:ascii="Times New Roman" w:cs="Times New Roman" w:eastAsia="Times New Roman" w:hAnsi="Times New Roman"/>
          <w:sz w:val="18"/>
          <w:szCs w:val="18"/>
          <w:color w:val="auto"/>
        </w:rPr>
        <w:t>. During the period from October 1, 2025 through and including October 31, 2025, Subtenant shall have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Base Rent or Additional Rent pursuant to Sections 3.1 and 3.2 of the Sublease, respectively.</w:t>
      </w:r>
    </w:p>
    <w:p>
      <w:pPr>
        <w:spacing w:after="0" w:line="188" w:lineRule="exact"/>
        <w:rPr>
          <w:rFonts w:ascii="Times New Roman" w:cs="Times New Roman" w:eastAsia="Times New Roman" w:hAnsi="Times New Roman"/>
          <w:sz w:val="20"/>
          <w:szCs w:val="20"/>
          <w:color w:val="auto"/>
        </w:rPr>
      </w:pPr>
    </w:p>
    <w:p>
      <w:pPr>
        <w:jc w:val="both"/>
        <w:ind w:left="20" w:right="19" w:hanging="9"/>
        <w:spacing w:after="0" w:line="251" w:lineRule="auto"/>
        <w:tabs>
          <w:tab w:leader="none" w:pos="3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Removal and Restoration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in the Sublease,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Sublandlord hereby acknowledges and agrees that Subtenant shall have no obligation to remove from the Subleased Premises any leasehold improvements existing in the Subleased Premises as of the Effective Date or any of the Furniture (collectively, the “</w:t>
      </w:r>
      <w:r>
        <w:rPr>
          <w:rFonts w:ascii="Times New Roman" w:cs="Times New Roman" w:eastAsia="Times New Roman" w:hAnsi="Times New Roman"/>
          <w:sz w:val="18"/>
          <w:szCs w:val="18"/>
          <w:b w:val="1"/>
          <w:bCs w:val="1"/>
          <w:color w:val="auto"/>
        </w:rPr>
        <w:t>Surrender Items</w:t>
      </w:r>
      <w:r>
        <w:rPr>
          <w:rFonts w:ascii="Times New Roman" w:cs="Times New Roman" w:eastAsia="Times New Roman" w:hAnsi="Times New Roman"/>
          <w:sz w:val="18"/>
          <w:szCs w:val="18"/>
          <w:color w:val="auto"/>
        </w:rPr>
        <w:t>”); and, as provided in Section 24 of the Existing Sublease, Subtenant shall, as of the Sublease Expiration Date, purchase the Furniture from Sublandlord in its “AS IS, WHERE IS” condition without representation or warranty, in exchange for One Dollar ($1.00). The transfer of ownership of the Furniture to Subtenant shall occur automatically on the Sublease Expiration Date, the Sublease shall constitute a bill of sale evidencing the transfer of the Furniture to Subtenant on the Sublease Expiration Date, and Subtenant will be liable for all sales tax payable pursuant thereto.</w:t>
      </w:r>
    </w:p>
    <w:p>
      <w:pPr>
        <w:spacing w:after="0" w:line="214" w:lineRule="exact"/>
        <w:rPr>
          <w:rFonts w:ascii="Times New Roman" w:cs="Times New Roman" w:eastAsia="Times New Roman" w:hAnsi="Times New Roman"/>
          <w:sz w:val="20"/>
          <w:szCs w:val="20"/>
          <w:color w:val="auto"/>
        </w:rPr>
      </w:pPr>
    </w:p>
    <w:p>
      <w:pPr>
        <w:jc w:val="both"/>
        <w:ind w:left="20" w:right="19" w:hanging="9"/>
        <w:spacing w:after="0" w:line="251" w:lineRule="auto"/>
        <w:tabs>
          <w:tab w:leader="none" w:pos="3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Condition of Premises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Subtenant is in possession of the Subleased Premises and accepts the same in its “AS-IS”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as of the Effective Date, and acknowledges that Sublandlord shall not be obligated to provide or pay for any improvements, work or services related to the improvement, remodeling or refurbishment of the Subleased Premises in connection with this Amendment, nor shall Sublandlord have any obligation to repair, restore, clean, alter, improve or otherwise modify the Subleased Premises whatsoever in connection with the extension of the Term of the Sublease as set forth in this Amendment; provided, however, that any obligation Sublandlord may have under the Sublease to repair, restore or clean the Subleased Premises that is not related to the extension of the Term of the Sublease as set forth in this Amendment shall remain in full force and effect. Without limiting the generality of the foregoing, and notwithstanding anything to the contrary contained in the Master Lease, Subtenant acknowledges and agrees that Sublandlord shall have no obligation to remove the interconnecting stairwell between the second (2nd) and third (3rd) floors of the Premises, any ventilation systems located in any kitchen within the Premises, any showers installed in the Premises or any Lines.</w:t>
      </w:r>
    </w:p>
    <w:p>
      <w:pPr>
        <w:spacing w:after="0" w:line="200" w:lineRule="exact"/>
        <w:rPr>
          <w:rFonts w:ascii="Times New Roman" w:cs="Times New Roman" w:eastAsia="Times New Roman" w:hAnsi="Times New Roman"/>
          <w:sz w:val="20"/>
          <w:szCs w:val="20"/>
          <w:color w:val="auto"/>
        </w:rPr>
      </w:pPr>
    </w:p>
    <w:p>
      <w:pPr>
        <w:jc w:val="both"/>
        <w:ind w:left="20" w:right="19" w:hanging="9"/>
        <w:spacing w:after="0" w:line="252" w:lineRule="auto"/>
        <w:tabs>
          <w:tab w:leader="none" w:pos="3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Subtenant represents and warrants that Subtenant is a duly formed and existing entity qualified to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in the State of California and that Subtenant has full right and authority to deliver this Amendment and that each person signing on behalf of Subtenant is authorized to do so. Similarly, Sublandlord represents and warrants that Sublandlord is a duly formed and existing entity qualified to do business in the State of California and that, subject to the provisions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Sublandlord has full right and authority to deliver this Amendment and that each person signing on behalf of Sublandlord is authorized to do so.</w:t>
      </w:r>
    </w:p>
    <w:p>
      <w:pPr>
        <w:spacing w:after="0" w:line="210" w:lineRule="exact"/>
        <w:rPr>
          <w:rFonts w:ascii="Times New Roman" w:cs="Times New Roman" w:eastAsia="Times New Roman" w:hAnsi="Times New Roman"/>
          <w:sz w:val="20"/>
          <w:szCs w:val="20"/>
          <w:color w:val="auto"/>
        </w:rPr>
      </w:pPr>
    </w:p>
    <w:p>
      <w:pPr>
        <w:jc w:val="both"/>
        <w:ind w:left="20" w:right="19" w:hanging="9"/>
        <w:spacing w:after="0" w:line="251" w:lineRule="auto"/>
        <w:tabs>
          <w:tab w:leader="none" w:pos="3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Sublandlord and Subtenant each hereby represents and warrants to the other party that it has had no dealings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real estate broker or agent in connection with the negotiation of this Amendment, and that it knows of no real estate broker or agent who is entitled to a commission in connection with this 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in connection with this Amendment on account of the indemnifying party’s dealings with any real estate broker or agent.</w:t>
      </w:r>
    </w:p>
    <w:p>
      <w:pPr>
        <w:spacing w:after="0" w:line="202" w:lineRule="exact"/>
        <w:rPr>
          <w:rFonts w:ascii="Times New Roman" w:cs="Times New Roman" w:eastAsia="Times New Roman" w:hAnsi="Times New Roman"/>
          <w:sz w:val="20"/>
          <w:szCs w:val="20"/>
          <w:color w:val="auto"/>
        </w:rPr>
      </w:pPr>
    </w:p>
    <w:p>
      <w:pPr>
        <w:jc w:val="both"/>
        <w:ind w:left="20" w:right="19" w:hanging="9"/>
        <w:spacing w:after="0" w:line="251" w:lineRule="auto"/>
        <w:tabs>
          <w:tab w:leader="none" w:pos="3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Counterparts and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one or more counterparts, and each set of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identical counterparts which includes all signatories shall be deemed to be one original document. The parties hereto consent and agree that this Amendment may be signed and/or transmitted by facsimile, e-mail of a .pdf document or using electronic signature technology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via DocuSign or similar electronic signature technology), and that such signed electronic record shall be valid and as effective to bind the party so signing as a paper copy bearing such party’s handwritten signature. The parties further consent and agree that (i) to the extent a party signs this Amendment using electronic signature technology, by clicking “SIGN”, such party is signing this Amendment electronically, and (ii) the electronic signatures appearing on this Amendment shall be treated, for purposes of validity, enforceability and admissibility, the same as handwritten signatures.</w:t>
      </w: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jc w:val="both"/>
        <w:ind w:left="20" w:right="19" w:hanging="9"/>
        <w:spacing w:after="0" w:line="252" w:lineRule="auto"/>
        <w:tabs>
          <w:tab w:leader="none" w:pos="37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No Further Modification; Sublease in Full Force and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set forth in this Amendment, all of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provisions of the Sublease are hereby ratified and confirmed and shall remain unmodified and in full force and effect. Sublandlord and Subtenant acknowledge and agree that, to each party’s actual knowledge, neither party is in default or violation of any material covenant, provision, obligation, agreement or condition contained in the Sublease. Effective as of the Effective Date, all references in the Existing Sublease to the “Sublease” shall refer to the Sublease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847090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76" w:name="page77"/>
    <w:bookmarkEnd w:id="76"/>
    <w:p>
      <w:pPr>
        <w:ind w:left="1500" w:hanging="369"/>
        <w:spacing w:after="0"/>
        <w:tabs>
          <w:tab w:leader="none" w:pos="15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u w:val="single" w:color="auto"/>
          <w:color w:val="auto"/>
        </w:rPr>
        <w:t>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any conflict between the Sublease and this Amendment, this Amendment shall prevail.</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IN WITNESS WHEREOF, this Amendment has been duly executed by the parties hereto as of the day and year first written</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above.</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Sublandlord:</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POSTMATES,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ectPr>
          <w:pgSz w:w="11900" w:h="16838" w:orient="portrait"/>
          <w:cols w:equalWidth="0" w:num="1">
            <w:col w:w="11240"/>
          </w:cols>
          <w:pgMar w:left="320" w:top="995" w:right="339" w:bottom="1440" w:gutter="0" w:footer="0" w:header="0"/>
        </w:sectPr>
      </w:pP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Date of Execution: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Tabacek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Tabacek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Strategy &amp; Planning, Places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2025</w:t>
      </w:r>
    </w:p>
    <w:p>
      <w:pPr>
        <w:spacing w:after="0" w:line="200" w:lineRule="exact"/>
        <w:rPr>
          <w:sz w:val="20"/>
          <w:szCs w:val="20"/>
          <w:color w:val="auto"/>
        </w:rPr>
      </w:pPr>
    </w:p>
    <w:p>
      <w:pPr>
        <w:sectPr>
          <w:pgSz w:w="11900" w:h="16838" w:orient="portrait"/>
          <w:cols w:equalWidth="0" w:num="2">
            <w:col w:w="2500" w:space="220"/>
            <w:col w:w="8520"/>
          </w:cols>
          <w:pgMar w:left="320" w:top="995" w:right="339" w:bottom="1440" w:gutter="0" w:footer="0" w:header="0"/>
          <w:type w:val="continuous"/>
        </w:sectPr>
      </w:pPr>
    </w:p>
    <w:p>
      <w:pPr>
        <w:spacing w:after="0" w:line="2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Subtenant:</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AMPLITUDE,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8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Elizabeth Fisher</w:t>
            </w:r>
          </w:p>
        </w:tc>
      </w:tr>
      <w:tr>
        <w:trPr>
          <w:trHeight w:val="216"/>
        </w:trPr>
        <w:tc>
          <w:tcPr>
            <w:tcW w:w="26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Name:</w:t>
            </w:r>
          </w:p>
        </w:tc>
        <w:tc>
          <w:tcPr>
            <w:tcW w:w="8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Elizabeth Fisher</w:t>
            </w:r>
          </w:p>
        </w:tc>
      </w:tr>
      <w:tr>
        <w:trPr>
          <w:trHeight w:val="216"/>
        </w:trPr>
        <w:tc>
          <w:tcPr>
            <w:tcW w:w="26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Title:</w:t>
            </w:r>
          </w:p>
        </w:tc>
        <w:tc>
          <w:tcPr>
            <w:tcW w:w="8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26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 of Execution:</w:t>
            </w:r>
          </w:p>
        </w:tc>
        <w:tc>
          <w:tcPr>
            <w:tcW w:w="8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 2025</w:t>
            </w:r>
          </w:p>
        </w:tc>
      </w:tr>
      <w:tr>
        <w:trPr>
          <w:trHeight w:val="1586"/>
        </w:trPr>
        <w:tc>
          <w:tcPr>
            <w:tcW w:w="2600" w:type="dxa"/>
            <w:vAlign w:val="bottom"/>
            <w:tcBorders>
              <w:bottom w:val="single" w:sz="8" w:color="9A9A9A"/>
            </w:tcBorders>
          </w:tcPr>
          <w:p>
            <w:pPr>
              <w:spacing w:after="0"/>
              <w:rPr>
                <w:sz w:val="24"/>
                <w:szCs w:val="24"/>
                <w:color w:val="auto"/>
              </w:rPr>
            </w:pPr>
          </w:p>
        </w:tc>
        <w:tc>
          <w:tcPr>
            <w:tcW w:w="8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77" w:name="page78"/>
    <w:bookmarkEnd w:id="77"/>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LANDLORD CONSENT TO SUBLEASE AMENDMENT</w:t>
      </w:r>
    </w:p>
    <w:p>
      <w:pPr>
        <w:spacing w:after="0" w:line="229" w:lineRule="exact"/>
        <w:rPr>
          <w:sz w:val="20"/>
          <w:szCs w:val="20"/>
          <w:color w:val="auto"/>
        </w:rPr>
      </w:pPr>
    </w:p>
    <w:p>
      <w:pPr>
        <w:ind w:left="1140" w:right="1140" w:firstLine="749"/>
        <w:spacing w:after="0" w:line="254" w:lineRule="auto"/>
        <w:rPr>
          <w:sz w:val="20"/>
          <w:szCs w:val="20"/>
          <w:color w:val="auto"/>
        </w:rPr>
      </w:pPr>
      <w:r>
        <w:rPr>
          <w:rFonts w:ascii="Times New Roman" w:cs="Times New Roman" w:eastAsia="Times New Roman" w:hAnsi="Times New Roman"/>
          <w:sz w:val="18"/>
          <w:szCs w:val="18"/>
          <w:color w:val="auto"/>
        </w:rPr>
        <w:t>By execution of this Consent below, Landlord hereby acknowledges receipt of a copy of this Sublease Amendment and consents to the terms and conditions of this Sublease Amendment. Further, Landlord hereby agrees that, by execution of this Consent below, Landlord waives (i) any right to require Sublandlord to perform any restoration, removal, or repair obligations of any kind or nature with respect to the Premises upon the expiration of the Master Lease, which reflects the intention of Landlord, Sublandlord and Subtenant that Sublandlord shall surrender and deliver the Premises to Landlord upon the expiration of the Term of the Master Lease in its then-existing “as is” condition, and (ii) any liability of Sublandlord, for holdover or otherwise, which is based upon the occupancy of the Premises by Subtenant upon or following the expiration of the Term of the Master Lease.</w:t>
      </w:r>
    </w:p>
    <w:p>
      <w:pPr>
        <w:spacing w:after="0" w:line="2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Notwithstanding the foregoing, Landlord’s Consent to the Sublease Amendment is conditioned on the following:</w:t>
      </w:r>
    </w:p>
    <w:p>
      <w:pPr>
        <w:spacing w:after="0" w:line="27" w:lineRule="exact"/>
        <w:rPr>
          <w:sz w:val="20"/>
          <w:szCs w:val="20"/>
          <w:color w:val="auto"/>
        </w:rPr>
      </w:pPr>
    </w:p>
    <w:p>
      <w:pPr>
        <w:ind w:left="1140" w:right="1200" w:hanging="9"/>
        <w:spacing w:after="0" w:line="251" w:lineRule="auto"/>
        <w:tabs>
          <w:tab w:leader="none" w:pos="13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Sublandlord and Subtenant agree that nothing contained in the Sublease Amendment shall be construed as relieving or releasing Sublandlord from any of its obligations under the Lease, except as expressly set forth in the Sublease Amendment and in Landlord's Consent to Sublease Amendment above, (ii) Subtenant agrees it shall not further sublease the Subleased Premises, assign its interest as the Subtenant under the Sublease or otherwise transfer its interest in the Sublet Premises or the Sublease to any person or entity without the written consent of Landlord, which Landlord may withhold in its sole discretion, (iii) the parties agree that the Sublease is subject and subordinate to the terms of the Lease, (iv) in no event shall this Landlord Consent to Sublease Amendment be deemed to create privity or a landlord and tenant relationship between Landlord and Subtenant and (v) under no circumstances shall Landlord be liable for any brokerage commission or other charge or expense in connection with the Sublease or the Sublease Amendment.</w:t>
      </w:r>
    </w:p>
    <w:p>
      <w:pPr>
        <w:spacing w:after="0" w:line="1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LANDLORD:</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KR 201 THIRD STREET OWNER, LLC,</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By: Kilroy Realty Corporation, a Maryland corporation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By:</w:t>
            </w:r>
          </w:p>
        </w:tc>
        <w:tc>
          <w:tcPr>
            <w:tcW w:w="9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 Michael Schmidt</w:t>
            </w:r>
          </w:p>
        </w:tc>
      </w:tr>
      <w:tr>
        <w:trPr>
          <w:trHeight w:val="216"/>
        </w:trPr>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Name:</w:t>
            </w:r>
          </w:p>
        </w:tc>
        <w:tc>
          <w:tcPr>
            <w:tcW w:w="9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Michael Schmidt</w:t>
            </w:r>
          </w:p>
        </w:tc>
      </w:tr>
      <w:tr>
        <w:trPr>
          <w:trHeight w:val="216"/>
        </w:trPr>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Title:</w:t>
            </w:r>
          </w:p>
        </w:tc>
        <w:tc>
          <w:tcPr>
            <w:tcW w:w="9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SVP, Leasing - Northern California Region</w:t>
            </w:r>
          </w:p>
        </w:tc>
      </w:tr>
      <w:tr>
        <w:trPr>
          <w:trHeight w:val="234"/>
        </w:trPr>
        <w:tc>
          <w:tcPr>
            <w:tcW w:w="2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Dated:</w:t>
            </w:r>
          </w:p>
        </w:tc>
        <w:tc>
          <w:tcPr>
            <w:tcW w:w="9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July 17, 2025</w:t>
            </w:r>
          </w:p>
        </w:tc>
      </w:tr>
      <w:tr>
        <w:trPr>
          <w:trHeight w:val="2153"/>
        </w:trPr>
        <w:tc>
          <w:tcPr>
            <w:tcW w:w="2160" w:type="dxa"/>
            <w:vAlign w:val="bottom"/>
            <w:tcBorders>
              <w:bottom w:val="single" w:sz="8" w:color="9A9A9A"/>
            </w:tcBorders>
          </w:tcPr>
          <w:p>
            <w:pPr>
              <w:spacing w:after="0"/>
              <w:rPr>
                <w:sz w:val="24"/>
                <w:szCs w:val="24"/>
                <w:color w:val="auto"/>
              </w:rPr>
            </w:pPr>
          </w:p>
        </w:tc>
        <w:tc>
          <w:tcPr>
            <w:tcW w:w="9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Spenser Skates, certify that:</w:t>
      </w:r>
    </w:p>
    <w:p>
      <w:pPr>
        <w:spacing w:after="0" w:line="225"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Casey, certify that:</w:t>
      </w:r>
    </w:p>
    <w:p>
      <w:pPr>
        <w:spacing w:after="0" w:line="225"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Amplitude,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Andrew Casey</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September 30, 2025 as filed with the Securities and Exchange Commission on the date hereof (the “Report”), I certify, pursuant to 18 U.S.C. § 1350, as adopted pursuant to § 906 of the Sarbanes-Oxley Act of 2002, as amended, that:</w:t>
      </w:r>
    </w:p>
    <w:p>
      <w:pPr>
        <w:spacing w:after="0" w:line="176"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Spenser Skates</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Amplitude, Inc. (the “Company”) on Form 10-Q for the quarter ended September 30, 2025 as filed with the Securities and Exchange Commission on the date hereof (the “Report”), I certify, pursuant to 18 U.S.C. § 1350, as adopted pursuant to § 906 of the Sarbanes-Oxley Act of 2002, as amended, that:</w:t>
      </w:r>
    </w:p>
    <w:p>
      <w:pPr>
        <w:spacing w:after="0" w:line="176"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Andrew Casey</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1)"/>
      <w:numFmt w:val="decimal"/>
      <w:start w:val="3"/>
    </w:lvl>
  </w:abstractNum>
  <w:abstractNum w:abstractNumId="8">
    <w:nsid w:val="54E49EB4"/>
    <w:multiLevelType w:val="hybridMultilevel"/>
    <w:lvl w:ilvl="0">
      <w:lvlJc w:val="left"/>
      <w:lvlText w:val="(%1)"/>
      <w:numFmt w:val="decimal"/>
      <w:start w:val="4"/>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7"/>
    </w:lvl>
  </w:abstractNum>
  <w:abstractNum w:abstractNumId="12">
    <w:nsid w:val="2901D82"/>
    <w:multiLevelType w:val="hybridMultilevel"/>
    <w:lvl w:ilvl="0">
      <w:lvlJc w:val="left"/>
      <w:lvlText w:val="(%1)"/>
      <w:numFmt w:val="decimal"/>
      <w:start w:val="8"/>
    </w:lvl>
  </w:abstractNum>
  <w:abstractNum w:abstractNumId="13">
    <w:nsid w:val="3A95F874"/>
    <w:multiLevelType w:val="hybridMultilevel"/>
    <w:lvl w:ilvl="0">
      <w:lvlJc w:val="left"/>
      <w:lvlText w:val="(%1)"/>
      <w:numFmt w:val="decimal"/>
      <w:start w:val="9"/>
    </w:lvl>
  </w:abstractNum>
  <w:abstractNum w:abstractNumId="14">
    <w:nsid w:val="8138641"/>
    <w:multiLevelType w:val="hybridMultilevel"/>
    <w:lvl w:ilvl="0">
      <w:lvlJc w:val="left"/>
      <w:lvlText w:val="(%1)"/>
      <w:numFmt w:val="decimal"/>
      <w:start w:val="10"/>
    </w:lvl>
  </w:abstractNum>
  <w:abstractNum w:abstractNumId="15">
    <w:nsid w:val="1E7FF521"/>
    <w:multiLevelType w:val="hybridMultilevel"/>
    <w:lvl w:ilvl="0">
      <w:lvlJc w:val="left"/>
      <w:lvlText w:val="(%1)"/>
      <w:numFmt w:val="decimal"/>
      <w:start w:val="1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upperLetter"/>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4"/>
    </w:lvl>
  </w:abstractNum>
  <w:abstractNum w:abstractNumId="39">
    <w:nsid w:val="6A2342EC"/>
    <w:multiLevelType w:val="hybridMultilevel"/>
    <w:lvl w:ilvl="0">
      <w:lvlJc w:val="left"/>
      <w:lvlText w:val="%1."/>
      <w:numFmt w:val="decimal"/>
      <w:start w:val="11"/>
    </w:lvl>
  </w:abstractNum>
  <w:abstractNum w:abstractNumId="40">
    <w:nsid w:val="2A487CB0"/>
    <w:multiLevelType w:val="hybridMultilevel"/>
    <w:lvl w:ilvl="0">
      <w:lvlJc w:val="left"/>
      <w:lvlText w:val="(%1)"/>
      <w:numFmt w:val="lowerRoman"/>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36" Type="http://schemas.openxmlformats.org/officeDocument/2006/relationships/hyperlink" Target="https://www.sec.gov/Archives/edgar/data/1866692/000119312524159934/d806887dex31.htm" TargetMode="External"/><Relationship Id="rId337" Type="http://schemas.openxmlformats.org/officeDocument/2006/relationships/hyperlink" Target="https://www.sec.gov/Archives/edgar/data/1866692/000119312521278308/d93786dex32.htm" TargetMode="External"/><Relationship Id="rId338" Type="http://schemas.openxmlformats.org/officeDocument/2006/relationships/hyperlink" Target="https://www.sec.gov/Archives/edgar/data/1866692/000119312521260696/d143868dex42.htm" TargetMode="External"/><Relationship Id="rId339" Type="http://schemas.openxmlformats.org/officeDocument/2006/relationships/hyperlink" Target="https://www.sec.gov/Archives/edgar/data/1866692/000119312521278407/d114916dex44.htm" TargetMode="External"/><Relationship Id="rId340" Type="http://schemas.openxmlformats.org/officeDocument/2006/relationships/hyperlink" Target="https://www.sec.gov/Archives/edgar/data/1866692/000119312521260696/d143868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2025-11-06T05:23:44Z</dcterms:created>
  <dcterms:modified xsi:type="dcterms:W3CDTF">2025-11-06T05:23:44Z</dcterms:modified>
</cp:coreProperties>
</file>