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pl-20250331.htm"/>
      <w:bookmarkStart w:id="1" w:name="ksampl2025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March</w:t>
      </w:r>
      <w:r>
        <w:rPr>
          <w:rFonts w:ascii="Times New Roman" w:hAnsi="Times New Roman"/>
          <w:color w:val="000000"/>
          <w:sz w:val="20"/>
        </w:rPr>
        <w:t xml:space="preserve"> </w:t>
      </w:r>
      <w:r>
        <w:rPr>
          <w:rFonts w:ascii="Times New Roman" w:hAnsi="Times New Roman"/>
          <w:b/>
          <w:color w:val="000000"/>
          <w:sz w:val="20"/>
        </w:rPr>
        <w:t>31, 2025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001-40817</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AMPLITUDE,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45-3937349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201 Third Street, Suite 200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(415)</w:t>
      </w:r>
      <w:r>
        <w:rPr>
          <w:rFonts w:ascii="Times New Roman" w:hAnsi="Times New Roman"/>
          <w:color w:val="000000"/>
          <w:sz w:val="20"/>
        </w:rPr>
        <w:t xml:space="preserve"> </w:t>
      </w:r>
      <w:r>
        <w:rPr>
          <w:rFonts w:ascii="Times New Roman" w:hAnsi="Times New Roman"/>
          <w:b/>
          <w:color w:val="000000"/>
          <w:sz w:val="20"/>
        </w:rPr>
        <w:t>231-2353</w:t>
      </w:r>
    </w:p>
    <w:p>
      <w:pPr>
        <w:pStyle w:val="TextBody"/>
        <w:bidi w:val="0"/>
        <w:spacing w:before="80" w:after="283"/>
        <w:jc w:val="center"/>
        <w:rPr>
          <w:rFonts w:ascii="Times New Roman" w:hAnsi="Times New Roman"/>
          <w:sz w:val="20"/>
        </w:rPr>
      </w:pPr>
      <w:r>
        <w:rPr>
          <w:rFonts w:ascii="Times New Roman" w:hAnsi="Times New Roman"/>
          <w:b/>
          <w:color w:val="000000"/>
          <w:sz w:val="18"/>
        </w:rPr>
        <w:t>N/A</w:t>
      </w:r>
      <w:r>
        <w:rPr>
          <w:rFonts w:ascii="Times New Roman" w:hAnsi="Times New Roman"/>
          <w:b/>
          <w:color w:val="000000"/>
          <w:sz w:val="20"/>
        </w:rPr>
        <w:br/>
      </w:r>
      <w:r>
        <w:rPr>
          <w:rFonts w:ascii="Times New Roman" w:hAnsi="Times New Roman"/>
          <w:b/>
          <w:color w:val="000000"/>
          <w:sz w:val="14"/>
        </w:rPr>
        <w:t>(Former name, former address and former fiscal year, if changed since last report)</w:t>
      </w:r>
      <w:r>
        <w:rPr>
          <w:rFonts w:ascii="Times New Roman" w:hAnsi="Times New Roman"/>
          <w:b/>
          <w:color w:val="000000"/>
          <w:sz w:val="20"/>
        </w:rPr>
        <w:br/>
      </w:r>
      <w:r>
        <w:rPr>
          <w:rFonts w:ascii="Times New Roman" w:hAnsi="Times New Roman"/>
          <w:color w:val="000000"/>
          <w:sz w:val="20"/>
        </w:rPr>
        <w:t> </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25" w:type="dxa"/>
        <w:jc w:val="left"/>
        <w:tblInd w:w="0" w:type="dxa"/>
        <w:tblLayout w:type="fixed"/>
        <w:tblCellMar>
          <w:top w:w="28" w:type="dxa"/>
          <w:left w:w="28" w:type="dxa"/>
          <w:bottom w:w="28" w:type="dxa"/>
          <w:right w:w="28" w:type="dxa"/>
        </w:tblCellMar>
      </w:tblPr>
      <w:tblGrid>
        <w:gridCol w:w="3991"/>
        <w:gridCol w:w="146"/>
        <w:gridCol w:w="826"/>
        <w:gridCol w:w="146"/>
        <w:gridCol w:w="3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AMPL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2, 2025, there were 98,795,586</w:t>
      </w:r>
      <w:r>
        <w:rPr>
          <w:rFonts w:ascii="Times New Roman" w:hAnsi="Times New Roman"/>
          <w:color w:val="000000"/>
          <w:sz w:val="20"/>
        </w:rPr>
        <w:t xml:space="preserve"> </w:t>
      </w:r>
      <w:r>
        <w:rPr>
          <w:rFonts w:ascii="Times New Roman" w:hAnsi="Times New Roman"/>
          <w:color w:val="000000"/>
          <w:sz w:val="18"/>
        </w:rPr>
        <w:t>shares of the registrant's Class A common stock and 32,093,043</w:t>
      </w:r>
      <w:r>
        <w:rPr>
          <w:rFonts w:ascii="Times New Roman" w:hAnsi="Times New Roman"/>
          <w:color w:val="000000"/>
          <w:sz w:val="20"/>
        </w:rPr>
        <w:t xml:space="preserve"> </w:t>
      </w:r>
      <w:r>
        <w:rPr>
          <w:rFonts w:ascii="Times New Roman" w:hAnsi="Times New Roman"/>
          <w:color w:val="000000"/>
          <w:sz w:val="18"/>
        </w:rPr>
        <w:t>shares of the registrant's Class B common stock, each with a $0.00001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balancesheets">
              <w:r>
                <w:rPr>
                  <w:rStyle w:val="InternetLink"/>
                  <w:rFonts w:ascii="Times New Roman" w:hAnsi="Times New Roman"/>
                  <w:color w:val="0000FF"/>
                  <w:sz w:val="20"/>
                  <w:u w:val="single"/>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statementsofoperations">
              <w:r>
                <w:rPr>
                  <w:rStyle w:val="InternetLink"/>
                  <w:rFonts w:ascii="Times New Roman" w:hAnsi="Times New Roman"/>
                  <w:color w:val="0000FF"/>
                  <w:sz w:val="20"/>
                  <w:u w:val="single"/>
                </w:rPr>
                <w:t>Condensed Consolidated Statements of Operations and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statementsofequity">
              <w:r>
                <w:rPr>
                  <w:rStyle w:val="InternetLink"/>
                  <w:rFonts w:ascii="Times New Roman" w:hAnsi="Times New Roman"/>
                  <w:color w:val="0000FF"/>
                  <w:sz w:val="20"/>
                  <w:u w:val="single"/>
                </w:rPr>
                <w:t>Condensed Consolidated Statements of Stockholders’ Equity</w:t>
              </w:r>
            </w:hyperlink>
            <w:hyperlink w:anchor="consolidatedstatementsofequity">
              <w:r>
                <w:rPr>
                  <w:rStyle w:val="InternetLink"/>
                  <w:rFonts w:ascii="Times New Roman" w:hAnsi="Times New Roman"/>
                  <w:color w:val="0000FF"/>
                  <w:sz w:val="20"/>
                </w:rPr>
                <w:t xml:space="preserve"> </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Times New Roman" w:hAnsi="Times New Roman"/>
                  <w:color w:val="0000FF"/>
                  <w:sz w:val="20"/>
                  <w:u w:val="single"/>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totheconsolidatedfinancial">
              <w:r>
                <w:rPr>
                  <w:rStyle w:val="InternetLink"/>
                  <w:rFonts w:ascii="Times New Roman" w:hAnsi="Times New Roman"/>
                  <w:color w:val="0000FF"/>
                  <w:sz w:val="20"/>
                  <w:u w:val="single"/>
                </w:rPr>
                <w:t>Notes to 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revenue, expenses, and other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acquire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usage of our Digital Analytics Platform and upsell and cross-sell additional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or sustain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success of our sales and marketing efforts, including our ability to grow and maintain our channel partners, and our ability to promote our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public health crises and other global events, such as the war in Ukraine and the conflicts in the Middle East, on our business and the global economy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drive growth by incorporating artificial intelligence and machine learning solutions into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 and any costs associated therewith;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associated with being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and have been growing rapidly over the last several years, which makes it difficult to forecast our future results of operations and increases the risk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As our costs increase, we may not be able to generate sufficient revenue to achieve and sustain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focus on sales to larger organizations and may become more dependent on those relationships, which may increase the variability of our sales cycle and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over the term of our customer contracts. Consequently, downturns or upturns in new sales may not be immediately reflected in our results of operations and may be difficult to discern.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our industry or the global economy, or reductions in software spending, could limit our ability to grow our business and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for SaaS applications develops more slowly than we expect or declines, our business would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rights may not protect our business or provide us with a competitive advantage, which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 regulation, including import, export control, economic sanctions, and trade sanctions, and anti-corruption laws and regulations, which may expose us to liability and increase our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Class A common stock has been, and in the future, may be, volatile, and could decline significantly and rapidly.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have the ability to influence the outcome of director elections and other matters requiring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balance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697" w:type="dxa"/>
        <w:jc w:val="left"/>
        <w:tblInd w:w="0" w:type="dxa"/>
        <w:tblLayout w:type="fixed"/>
        <w:tblCellMar>
          <w:top w:w="28" w:type="dxa"/>
          <w:left w:w="28" w:type="dxa"/>
          <w:bottom w:w="28" w:type="dxa"/>
          <w:right w:w="28" w:type="dxa"/>
        </w:tblCellMar>
      </w:tblPr>
      <w:tblGrid>
        <w:gridCol w:w="5496"/>
        <w:gridCol w:w="146"/>
        <w:gridCol w:w="196"/>
        <w:gridCol w:w="751"/>
        <w:gridCol w:w="166"/>
        <w:gridCol w:w="146"/>
        <w:gridCol w:w="245"/>
        <w:gridCol w:w="940"/>
        <w:gridCol w:w="611"/>
      </w:tblGrid>
      <w:tr>
        <w:trPr/>
        <w:tc>
          <w:tcPr>
            <w:tcW w:w="5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br/>
              <w:t xml:space="preserve">March 31,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br/>
              <w:t xml:space="preserve">December 31, </w:t>
              <w:b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net of allowance for doubtful accounts of $1,139</w:t>
              <w:br/>
              <w:t>   and $1,417</w:t>
            </w:r>
            <w:r>
              <w:rPr>
                <w:rFonts w:ascii="Times New Roman" w:hAnsi="Times New Roman"/>
                <w:color w:val="000000"/>
                <w:sz w:val="20"/>
              </w:rPr>
              <w:t> </w:t>
            </w:r>
            <w:r>
              <w:rPr>
                <w:rFonts w:ascii="Times New Roman" w:hAnsi="Times New Roman"/>
                <w:color w:val="000000"/>
                <w:sz w:val="18"/>
              </w:rPr>
              <w:t>as of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commissions,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303,631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commissions,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445,911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144,513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$0.00001</w:t>
            </w:r>
            <w:r>
              <w:rPr>
                <w:rFonts w:ascii="Times New Roman" w:hAnsi="Times New Roman"/>
                <w:color w:val="000000"/>
                <w:sz w:val="20"/>
              </w:rPr>
              <w:t> </w:t>
            </w:r>
            <w:r>
              <w:rPr>
                <w:rFonts w:ascii="Times New Roman" w:hAnsi="Times New Roman"/>
                <w:color w:val="000000"/>
                <w:sz w:val="18"/>
              </w:rPr>
              <w:t>par value per share; 20,000</w:t>
            </w:r>
            <w:r>
              <w:rPr>
                <w:rFonts w:ascii="Times New Roman" w:hAnsi="Times New Roman"/>
                <w:color w:val="000000"/>
                <w:sz w:val="20"/>
              </w:rPr>
              <w:t> </w:t>
            </w:r>
            <w:r>
              <w:rPr>
                <w:rFonts w:ascii="Times New Roman" w:hAnsi="Times New Roman"/>
                <w:color w:val="000000"/>
                <w:sz w:val="18"/>
              </w:rPr>
              <w:t xml:space="preserve">shares authorized </w:t>
              <w:br/>
              <w:t>   as of March 31, 2025 and December 31, 2024; zero</w:t>
            </w:r>
            <w:r>
              <w:rPr>
                <w:rFonts w:ascii="Times New Roman" w:hAnsi="Times New Roman"/>
                <w:color w:val="000000"/>
                <w:sz w:val="20"/>
              </w:rPr>
              <w:t> </w:t>
            </w:r>
            <w:r>
              <w:rPr>
                <w:rFonts w:ascii="Times New Roman" w:hAnsi="Times New Roman"/>
                <w:color w:val="000000"/>
                <w:sz w:val="18"/>
              </w:rPr>
              <w:t xml:space="preserve">shares issued and </w:t>
              <w:br/>
              <w:t>   outstanding as of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A common stock, $0.00001</w:t>
            </w:r>
            <w:r>
              <w:rPr>
                <w:rFonts w:ascii="Times New Roman" w:hAnsi="Times New Roman"/>
                <w:color w:val="000000"/>
                <w:sz w:val="20"/>
              </w:rPr>
              <w:t> </w:t>
            </w:r>
            <w:r>
              <w:rPr>
                <w:rFonts w:ascii="Times New Roman" w:hAnsi="Times New Roman"/>
                <w:color w:val="000000"/>
                <w:sz w:val="18"/>
              </w:rPr>
              <w:t>par value per share; 600,000</w:t>
            </w:r>
            <w:r>
              <w:rPr>
                <w:rFonts w:ascii="Times New Roman" w:hAnsi="Times New Roman"/>
                <w:color w:val="000000"/>
                <w:sz w:val="20"/>
              </w:rPr>
              <w:t> </w:t>
            </w:r>
            <w:r>
              <w:rPr>
                <w:rFonts w:ascii="Times New Roman" w:hAnsi="Times New Roman"/>
                <w:color w:val="000000"/>
                <w:sz w:val="18"/>
              </w:rPr>
              <w:t xml:space="preserve">shares </w:t>
              <w:br/>
              <w:t xml:space="preserve">   authorized as of March 31, 2025 and December 31, 2024; </w:t>
              <w:br/>
              <w:t>   98,764</w:t>
            </w:r>
            <w:r>
              <w:rPr>
                <w:rFonts w:ascii="Times New Roman" w:hAnsi="Times New Roman"/>
                <w:color w:val="000000"/>
                <w:sz w:val="20"/>
              </w:rPr>
              <w:t> </w:t>
            </w:r>
            <w:r>
              <w:rPr>
                <w:rFonts w:ascii="Times New Roman" w:hAnsi="Times New Roman"/>
                <w:color w:val="000000"/>
                <w:sz w:val="18"/>
              </w:rPr>
              <w:t>and 96,095</w:t>
            </w:r>
            <w:r>
              <w:rPr>
                <w:rFonts w:ascii="Times New Roman" w:hAnsi="Times New Roman"/>
                <w:color w:val="000000"/>
                <w:sz w:val="20"/>
              </w:rPr>
              <w:t> </w:t>
            </w:r>
            <w:r>
              <w:rPr>
                <w:rFonts w:ascii="Times New Roman" w:hAnsi="Times New Roman"/>
                <w:color w:val="000000"/>
                <w:sz w:val="18"/>
              </w:rPr>
              <w:t xml:space="preserve">shares issued and outstanding as of </w:t>
              <w:br/>
              <w: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B common stock, $0.00001</w:t>
            </w:r>
            <w:r>
              <w:rPr>
                <w:rFonts w:ascii="Times New Roman" w:hAnsi="Times New Roman"/>
                <w:color w:val="000000"/>
                <w:sz w:val="20"/>
              </w:rPr>
              <w:t> </w:t>
            </w:r>
            <w:r>
              <w:rPr>
                <w:rFonts w:ascii="Times New Roman" w:hAnsi="Times New Roman"/>
                <w:color w:val="000000"/>
                <w:sz w:val="18"/>
              </w:rPr>
              <w:t>par value per share; 600,000</w:t>
              <w:br/>
              <w:t xml:space="preserve">   shares authorized as of March 31, 2025 and December 31, 2024; </w:t>
              <w:br/>
              <w:t>   32,093</w:t>
            </w:r>
            <w:r>
              <w:rPr>
                <w:rFonts w:ascii="Times New Roman" w:hAnsi="Times New Roman"/>
                <w:color w:val="000000"/>
                <w:sz w:val="20"/>
              </w:rPr>
              <w:t> </w:t>
            </w:r>
            <w:r>
              <w:rPr>
                <w:rFonts w:ascii="Times New Roman" w:hAnsi="Times New Roman"/>
                <w:color w:val="000000"/>
                <w:sz w:val="18"/>
              </w:rPr>
              <w:t>and 33,093</w:t>
            </w:r>
            <w:r>
              <w:rPr>
                <w:rFonts w:ascii="Times New Roman" w:hAnsi="Times New Roman"/>
                <w:color w:val="000000"/>
                <w:sz w:val="20"/>
              </w:rPr>
              <w:t> </w:t>
            </w:r>
            <w:r>
              <w:rPr>
                <w:rFonts w:ascii="Times New Roman" w:hAnsi="Times New Roman"/>
                <w:color w:val="000000"/>
                <w:sz w:val="18"/>
              </w:rPr>
              <w:t xml:space="preserve">shares issued and outstanding as of </w:t>
              <w:br/>
              <w: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754,398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(457,849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296,556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445,911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fin143868_3"/>
      <w:bookmarkEnd w:id="5"/>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solidatedstatementsof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384" w:type="dxa"/>
        <w:jc w:val="left"/>
        <w:tblInd w:w="0" w:type="dxa"/>
        <w:tblLayout w:type="fixed"/>
        <w:tblCellMar>
          <w:top w:w="28" w:type="dxa"/>
          <w:left w:w="28" w:type="dxa"/>
          <w:bottom w:w="28" w:type="dxa"/>
          <w:right w:w="28" w:type="dxa"/>
        </w:tblCellMar>
      </w:tblPr>
      <w:tblGrid>
        <w:gridCol w:w="6331"/>
        <w:gridCol w:w="211"/>
        <w:gridCol w:w="781"/>
        <w:gridCol w:w="166"/>
        <w:gridCol w:w="146"/>
        <w:gridCol w:w="211"/>
        <w:gridCol w:w="781"/>
        <w:gridCol w:w="166"/>
        <w:gridCol w:w="591"/>
      </w:tblGrid>
      <w:tr>
        <w:trPr/>
        <w:tc>
          <w:tcPr>
            <w:tcW w:w="6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and Class B common stockholders: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w:t>
              <w:br/>
              <w:t>   Class A and Class B common stockholders: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unrealized gains (losses) on marketable securities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statementsof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48"/>
        <w:gridCol w:w="146"/>
        <w:gridCol w:w="157"/>
        <w:gridCol w:w="630"/>
        <w:gridCol w:w="162"/>
        <w:gridCol w:w="157"/>
        <w:gridCol w:w="259"/>
        <w:gridCol w:w="179"/>
        <w:gridCol w:w="402"/>
        <w:gridCol w:w="146"/>
        <w:gridCol w:w="146"/>
        <w:gridCol w:w="241"/>
        <w:gridCol w:w="149"/>
        <w:gridCol w:w="602"/>
        <w:gridCol w:w="151"/>
        <w:gridCol w:w="146"/>
        <w:gridCol w:w="181"/>
        <w:gridCol w:w="408"/>
        <w:gridCol w:w="967"/>
        <w:gridCol w:w="146"/>
        <w:gridCol w:w="146"/>
        <w:gridCol w:w="241"/>
        <w:gridCol w:w="163"/>
        <w:gridCol w:w="708"/>
        <w:gridCol w:w="151"/>
        <w:gridCol w:w="146"/>
        <w:gridCol w:w="241"/>
        <w:gridCol w:w="175"/>
        <w:gridCol w:w="710"/>
        <w:gridCol w:w="201"/>
      </w:tblGrid>
      <w:tr>
        <w:trPr/>
        <w:tc>
          <w:tcPr>
            <w:tcW w:w="1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129,188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754,398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(457,849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296,556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21,355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net share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130,857</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769,213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(480,080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289,460</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45"/>
        <w:gridCol w:w="146"/>
        <w:gridCol w:w="157"/>
        <w:gridCol w:w="630"/>
        <w:gridCol w:w="162"/>
        <w:gridCol w:w="157"/>
        <w:gridCol w:w="259"/>
        <w:gridCol w:w="179"/>
        <w:gridCol w:w="402"/>
        <w:gridCol w:w="146"/>
        <w:gridCol w:w="146"/>
        <w:gridCol w:w="241"/>
        <w:gridCol w:w="149"/>
        <w:gridCol w:w="602"/>
        <w:gridCol w:w="151"/>
        <w:gridCol w:w="146"/>
        <w:gridCol w:w="181"/>
        <w:gridCol w:w="384"/>
        <w:gridCol w:w="990"/>
        <w:gridCol w:w="151"/>
        <w:gridCol w:w="146"/>
        <w:gridCol w:w="241"/>
        <w:gridCol w:w="163"/>
        <w:gridCol w:w="708"/>
        <w:gridCol w:w="151"/>
        <w:gridCol w:w="146"/>
        <w:gridCol w:w="241"/>
        <w:gridCol w:w="175"/>
        <w:gridCol w:w="710"/>
        <w:gridCol w:w="200"/>
      </w:tblGrid>
      <w:tr>
        <w:trPr/>
        <w:tc>
          <w:tcPr>
            <w:tcW w:w="1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120,010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658,463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(363,530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294,753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21,765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(21,460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121,609</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674,313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(384,990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289,210</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fin143868_5"/>
      <w:bookmarkEnd w:id="8"/>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consolidatedstatementsofcashflows"/>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06"/>
        <w:gridCol w:w="146"/>
        <w:gridCol w:w="211"/>
        <w:gridCol w:w="781"/>
        <w:gridCol w:w="166"/>
        <w:gridCol w:w="146"/>
        <w:gridCol w:w="211"/>
        <w:gridCol w:w="781"/>
        <w:gridCol w:w="166"/>
        <w:gridCol w:w="991"/>
      </w:tblGrid>
      <w:tr>
        <w:trPr/>
        <w:tc>
          <w:tcPr>
            <w:tcW w:w="6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received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received for tax withholding obligations on equity</w:t>
              <w:br/>
              <w:t>   award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tax withholding obligations on equity award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increase (decrease)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included in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capitalized as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totheconsolidatedfinancial"/>
      <w:bookmarkEnd w:id="10"/>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Summary of Business and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Amplitude, Inc. (the “Company”) was incorporated in the state of Delaware in 2011 and is headquartered in San Francisco, California. The Company provides a Digital Analytics Platform that helps businesses understand how people are using their digital products so they can improve the digital experience provided by those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single operating and reportable segment. The software segment provides a Digital Analytics Platform to customers using a SaaS model. The Company derives revenue primarily in the United States and manages the business activities on a consolidated basis. The accounting policies of the software segment are the same as those described in the summary of significant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chief operating decision maker, who, in the Company’s case, is the Chief Executive Officer (“CEO”), assesses performance for the software segment and decides how to allocate resources based on functional expenses exclusive of stock-based compensation and amortization of acquired intangible assets as well as related tax impacts of these items. The CEO uses these functional expense captions and consolidated net loss to evaluate income generated or losses incurred from the software segment, and utilizes the metric in deciding operating decisions, including, but not limited to, investing in research and development, product developments, personnel, and other expenses. The measure of segment assets is reported on the balance sheet as total consolidated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operating segment information (in thousands):</w:t>
      </w:r>
    </w:p>
    <w:p>
      <w:pPr>
        <w:pStyle w:val="TextBody"/>
        <w:bidi w:val="0"/>
        <w:spacing w:before="120" w:after="283"/>
        <w:jc w:val="left"/>
        <w:rPr/>
      </w:pPr>
      <w:r>
        <w:rPr/>
        <w:t> </w:t>
      </w:r>
    </w:p>
    <w:tbl>
      <w:tblPr>
        <w:tblW w:w="5475" w:type="dxa"/>
        <w:jc w:val="left"/>
        <w:tblInd w:w="0" w:type="dxa"/>
        <w:tblLayout w:type="fixed"/>
        <w:tblCellMar>
          <w:top w:w="28" w:type="dxa"/>
          <w:left w:w="28" w:type="dxa"/>
          <w:bottom w:w="28" w:type="dxa"/>
          <w:right w:w="28" w:type="dxa"/>
        </w:tblCellMar>
      </w:tblPr>
      <w:tblGrid>
        <w:gridCol w:w="2476"/>
        <w:gridCol w:w="266"/>
        <w:gridCol w:w="931"/>
        <w:gridCol w:w="210"/>
        <w:gridCol w:w="184"/>
        <w:gridCol w:w="266"/>
        <w:gridCol w:w="931"/>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Amounts exclude other segment expenses as follows: </w:t>
      </w:r>
    </w:p>
    <w:p>
      <w:pPr>
        <w:pStyle w:val="TextBody"/>
        <w:bidi w:val="0"/>
        <w:jc w:val="left"/>
        <w:rPr/>
      </w:pPr>
      <w:r>
        <w:rPr/>
        <w:t> </w:t>
      </w:r>
    </w:p>
    <w:tbl>
      <w:tblPr>
        <w:tblW w:w="8832" w:type="dxa"/>
        <w:jc w:val="left"/>
        <w:tblInd w:w="0" w:type="dxa"/>
        <w:tblLayout w:type="fixed"/>
        <w:tblCellMar>
          <w:top w:w="28" w:type="dxa"/>
          <w:left w:w="28" w:type="dxa"/>
          <w:bottom w:w="28" w:type="dxa"/>
          <w:right w:w="28" w:type="dxa"/>
        </w:tblCellMar>
      </w:tblPr>
      <w:tblGrid>
        <w:gridCol w:w="5851"/>
        <w:gridCol w:w="285"/>
        <w:gridCol w:w="913"/>
        <w:gridCol w:w="197"/>
        <w:gridCol w:w="197"/>
        <w:gridCol w:w="285"/>
        <w:gridCol w:w="913"/>
        <w:gridCol w:w="191"/>
      </w:tblGrid>
      <w:tr>
        <w:trPr/>
        <w:tc>
          <w:tcPr>
            <w:tcW w:w="58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related employer payroll taxes</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segment expenses</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condensed consolidated balance sheet as of December 31, 2024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condensed consolidated financial statements should be read in conjunction with the audited consolidated financial statements and notes included in the Company’s Annual Report on Form 10-K for the year ended December 31, 2024 (the “2024 Form 10-K”).</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period of benefit for deferred commissions;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useful lives of long-lived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valuation of goodwill and intangible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measurement, and valuation of deferred tax assets and income tax uncertainties;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incremental borrowing rates used for operating leases.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Risk and Significant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customer accounted for 10% or more of total revenue for the three months ended March 31, 2025 and 2024. As of March 31, 2025 and December 31, 2024, no customer represented 10% or more of accounts receivable.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the 2024 Form 10-K. There have been no significant changes to these policies that have had a material impact on the Company’s condensed consolidated financial statements and related notes for the three months ended March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Income Taxes (Topic 740): Improvements to Income Tax Disclosures, which requires that an entity, on an annual basis, disclose additional income tax information, primarily related to the rate reconciliation and income taxes paid. The amendment in the ASU is intended to enhance the transparency and decision usefulness of income tax disclosures. The amendments in this ASU are effective for annual periods beginning after December 15, 2024. The Company is currently evaluating the impact of the new standard on its consolidated financial statements which is expected to result in enhanced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from Contracts with Customers</w:t>
      </w:r>
    </w:p>
    <w:p>
      <w:pPr>
        <w:pStyle w:val="TextBody"/>
        <w:bidi w:val="0"/>
        <w:spacing w:before="120" w:after="283"/>
        <w:jc w:val="left"/>
        <w:rPr>
          <w:rFonts w:ascii="Times New Roman" w:hAnsi="Times New Roman"/>
          <w:sz w:val="20"/>
        </w:rPr>
      </w:pPr>
      <w:r>
        <w:rPr>
          <w:rFonts w:ascii="Times New Roman" w:hAnsi="Times New Roman"/>
          <w:b/>
          <w:i/>
          <w:color w:val="000000"/>
          <w:sz w:val="20"/>
        </w:rPr>
        <w:t>Deferred Revenue and 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revenue recognized in the three months ended March 31, 2025 that was included in deferred revenue as of December 31, 2024 was $57.5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and December 31, 2024, unrecognized transaction price related to remaining performance obligations was $325.9 million and $308.6 million, respectively. The Company’s remaining performance obligations as of March 31, 2025 and December 31, 2024 are expected to be recognized as follows (in thousands): </w:t>
      </w:r>
    </w:p>
    <w:p>
      <w:pPr>
        <w:pStyle w:val="TextBody"/>
        <w:bidi w:val="0"/>
        <w:jc w:val="left"/>
        <w:rPr/>
      </w:pPr>
      <w:r>
        <w:rPr/>
        <w:t> </w:t>
      </w:r>
    </w:p>
    <w:tbl>
      <w:tblPr>
        <w:tblW w:w="6360" w:type="dxa"/>
        <w:jc w:val="left"/>
        <w:tblInd w:w="0" w:type="dxa"/>
        <w:tblLayout w:type="fixed"/>
        <w:tblCellMar>
          <w:top w:w="28" w:type="dxa"/>
          <w:left w:w="28" w:type="dxa"/>
          <w:bottom w:w="28" w:type="dxa"/>
          <w:right w:w="28" w:type="dxa"/>
        </w:tblCellMar>
      </w:tblPr>
      <w:tblGrid>
        <w:gridCol w:w="3451"/>
        <w:gridCol w:w="146"/>
        <w:gridCol w:w="217"/>
        <w:gridCol w:w="803"/>
        <w:gridCol w:w="146"/>
        <w:gridCol w:w="146"/>
        <w:gridCol w:w="268"/>
        <w:gridCol w:w="992"/>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12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12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the Company’s disaggregation of revenue by geographic areas, as determined based on the address of the Company's customers (in thousands): </w:t>
      </w:r>
    </w:p>
    <w:tbl>
      <w:tblPr>
        <w:tblW w:w="3649" w:type="dxa"/>
        <w:jc w:val="left"/>
        <w:tblInd w:w="0" w:type="dxa"/>
        <w:tblLayout w:type="fixed"/>
        <w:tblCellMar>
          <w:top w:w="28" w:type="dxa"/>
          <w:left w:w="28" w:type="dxa"/>
          <w:bottom w:w="28" w:type="dxa"/>
          <w:right w:w="28" w:type="dxa"/>
        </w:tblCellMar>
      </w:tblPr>
      <w:tblGrid>
        <w:gridCol w:w="1246"/>
        <w:gridCol w:w="146"/>
        <w:gridCol w:w="211"/>
        <w:gridCol w:w="676"/>
        <w:gridCol w:w="146"/>
        <w:gridCol w:w="146"/>
        <w:gridCol w:w="211"/>
        <w:gridCol w:w="676"/>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Deferred Commissions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paid upon the initial acquisition of a contract are deferred and then amortized on a straight-line basis over a period of benefit, determined to be five years. Commissions paid for subsequent renewals are amortized over the renewal term. The following table represents a roll forward of the Company’s deferred commissions for the three months ended March 31, 2025 and 2024 (in thousands): </w:t>
      </w:r>
    </w:p>
    <w:tbl>
      <w:tblPr>
        <w:tblW w:w="6164" w:type="dxa"/>
        <w:jc w:val="left"/>
        <w:tblInd w:w="0" w:type="dxa"/>
        <w:tblLayout w:type="fixed"/>
        <w:tblCellMar>
          <w:top w:w="28" w:type="dxa"/>
          <w:left w:w="28" w:type="dxa"/>
          <w:bottom w:w="28" w:type="dxa"/>
          <w:right w:w="28" w:type="dxa"/>
        </w:tblCellMar>
      </w:tblPr>
      <w:tblGrid>
        <w:gridCol w:w="3721"/>
        <w:gridCol w:w="146"/>
        <w:gridCol w:w="211"/>
        <w:gridCol w:w="676"/>
        <w:gridCol w:w="166"/>
        <w:gridCol w:w="146"/>
        <w:gridCol w:w="211"/>
        <w:gridCol w:w="676"/>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show the Company’s financial statement details as of March 31, 2025 and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represents the Company's cash, cash equivalents, and restricted cash at each period end (in thousands): </w:t>
      </w:r>
    </w:p>
    <w:p>
      <w:pPr>
        <w:pStyle w:val="TextBody"/>
        <w:bidi w:val="0"/>
        <w:jc w:val="left"/>
        <w:rPr/>
      </w:pPr>
      <w:r>
        <w:rPr/>
        <w:t> </w:t>
      </w:r>
    </w:p>
    <w:tbl>
      <w:tblPr>
        <w:tblW w:w="9172" w:type="dxa"/>
        <w:jc w:val="left"/>
        <w:tblInd w:w="0" w:type="dxa"/>
        <w:tblLayout w:type="fixed"/>
        <w:tblCellMar>
          <w:top w:w="28" w:type="dxa"/>
          <w:left w:w="28" w:type="dxa"/>
          <w:bottom w:w="28" w:type="dxa"/>
          <w:right w:w="28" w:type="dxa"/>
        </w:tblCellMar>
      </w:tblPr>
      <w:tblGrid>
        <w:gridCol w:w="3991"/>
        <w:gridCol w:w="146"/>
        <w:gridCol w:w="211"/>
        <w:gridCol w:w="781"/>
        <w:gridCol w:w="146"/>
        <w:gridCol w:w="146"/>
        <w:gridCol w:w="211"/>
        <w:gridCol w:w="781"/>
        <w:gridCol w:w="146"/>
        <w:gridCol w:w="146"/>
        <w:gridCol w:w="211"/>
        <w:gridCol w:w="781"/>
        <w:gridCol w:w="146"/>
        <w:gridCol w:w="146"/>
        <w:gridCol w:w="211"/>
        <w:gridCol w:w="78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p>
      <w:pPr>
        <w:pStyle w:val="TextBody"/>
        <w:bidi w:val="0"/>
        <w:jc w:val="left"/>
        <w:rPr/>
      </w:pPr>
      <w:r>
        <w:rPr/>
        <w:t> </w:t>
      </w:r>
    </w:p>
    <w:tbl>
      <w:tblPr>
        <w:tblW w:w="7120" w:type="dxa"/>
        <w:jc w:val="left"/>
        <w:tblInd w:w="0" w:type="dxa"/>
        <w:tblLayout w:type="fixed"/>
        <w:tblCellMar>
          <w:top w:w="28" w:type="dxa"/>
          <w:left w:w="28" w:type="dxa"/>
          <w:bottom w:w="28" w:type="dxa"/>
          <w:right w:w="28" w:type="dxa"/>
        </w:tblCellMar>
      </w:tblPr>
      <w:tblGrid>
        <w:gridCol w:w="4056"/>
        <w:gridCol w:w="146"/>
        <w:gridCol w:w="232"/>
        <w:gridCol w:w="743"/>
        <w:gridCol w:w="146"/>
        <w:gridCol w:w="146"/>
        <w:gridCol w:w="299"/>
        <w:gridCol w:w="961"/>
        <w:gridCol w:w="3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hosting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consisted of the following (in thousands): </w:t>
      </w:r>
    </w:p>
    <w:p>
      <w:pPr>
        <w:pStyle w:val="TextBody"/>
        <w:bidi w:val="0"/>
        <w:jc w:val="left"/>
        <w:rPr/>
      </w:pPr>
      <w:r>
        <w:rPr/>
        <w:t> </w:t>
      </w:r>
    </w:p>
    <w:tbl>
      <w:tblPr>
        <w:tblW w:w="7205" w:type="dxa"/>
        <w:jc w:val="left"/>
        <w:tblInd w:w="0" w:type="dxa"/>
        <w:tblLayout w:type="fixed"/>
        <w:tblCellMar>
          <w:top w:w="28" w:type="dxa"/>
          <w:left w:w="28" w:type="dxa"/>
          <w:bottom w:w="28" w:type="dxa"/>
          <w:right w:w="28" w:type="dxa"/>
        </w:tblCellMar>
      </w:tblPr>
      <w:tblGrid>
        <w:gridCol w:w="4141"/>
        <w:gridCol w:w="146"/>
        <w:gridCol w:w="232"/>
        <w:gridCol w:w="743"/>
        <w:gridCol w:w="146"/>
        <w:gridCol w:w="146"/>
        <w:gridCol w:w="299"/>
        <w:gridCol w:w="961"/>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hosting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 and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employee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refunds and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for financial assets measured at fair value, the respective fair value and classification by level of input within the fair value hierarchy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4"/>
        <w:gridCol w:w="146"/>
        <w:gridCol w:w="211"/>
        <w:gridCol w:w="174"/>
        <w:gridCol w:w="935"/>
        <w:gridCol w:w="146"/>
        <w:gridCol w:w="146"/>
        <w:gridCol w:w="211"/>
        <w:gridCol w:w="365"/>
        <w:gridCol w:w="1055"/>
        <w:gridCol w:w="146"/>
        <w:gridCol w:w="146"/>
        <w:gridCol w:w="211"/>
        <w:gridCol w:w="425"/>
        <w:gridCol w:w="1013"/>
        <w:gridCol w:w="146"/>
        <w:gridCol w:w="146"/>
        <w:gridCol w:w="211"/>
        <w:gridCol w:w="211"/>
        <w:gridCol w:w="1131"/>
        <w:gridCol w:w="196"/>
      </w:tblGrid>
      <w:tr>
        <w:trPr/>
        <w:tc>
          <w:tcPr>
            <w:tcW w:w="2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8"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151,862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266,881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4"/>
        <w:gridCol w:w="146"/>
        <w:gridCol w:w="211"/>
        <w:gridCol w:w="174"/>
        <w:gridCol w:w="935"/>
        <w:gridCol w:w="146"/>
        <w:gridCol w:w="146"/>
        <w:gridCol w:w="211"/>
        <w:gridCol w:w="420"/>
        <w:gridCol w:w="1000"/>
        <w:gridCol w:w="146"/>
        <w:gridCol w:w="146"/>
        <w:gridCol w:w="211"/>
        <w:gridCol w:w="425"/>
        <w:gridCol w:w="1013"/>
        <w:gridCol w:w="146"/>
        <w:gridCol w:w="146"/>
        <w:gridCol w:w="211"/>
        <w:gridCol w:w="211"/>
        <w:gridCol w:w="1131"/>
        <w:gridCol w:w="196"/>
      </w:tblGrid>
      <w:tr>
        <w:trPr/>
        <w:tc>
          <w:tcPr>
            <w:tcW w:w="2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8"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126,661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276,861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4"/>
        </w:rPr>
      </w:pPr>
      <w:r>
        <w:rPr>
          <w:rFonts w:ascii="Times New Roman" w:hAnsi="Times New Roman"/>
          <w:color w:val="000000"/>
          <w:sz w:val="16"/>
        </w:rPr>
        <w:t>Included in “Cash and cash equivalents” in the Company’s condensed consolidated balance sheets as of March 31, 2025 and December 31, 2024, in addition to cash of $16.2</w:t>
      </w:r>
      <w:r>
        <w:rPr>
          <w:rFonts w:ascii="Times New Roman" w:hAnsi="Times New Roman"/>
          <w:color w:val="000000"/>
          <w:sz w:val="24"/>
        </w:rPr>
        <w:t xml:space="preserve"> </w:t>
      </w:r>
      <w:r>
        <w:rPr>
          <w:rFonts w:ascii="Times New Roman" w:hAnsi="Times New Roman"/>
          <w:color w:val="000000"/>
          <w:sz w:val="16"/>
        </w:rPr>
        <w:t>million</w:t>
      </w:r>
      <w:r>
        <w:rPr>
          <w:rFonts w:ascii="Times New Roman" w:hAnsi="Times New Roman"/>
          <w:color w:val="000000"/>
          <w:sz w:val="24"/>
        </w:rPr>
        <w:t xml:space="preserve"> </w:t>
      </w:r>
      <w:r>
        <w:rPr>
          <w:rFonts w:ascii="Times New Roman" w:hAnsi="Times New Roman"/>
          <w:color w:val="000000"/>
          <w:sz w:val="16"/>
        </w:rPr>
        <w:t>and $21.5</w:t>
      </w:r>
      <w:r>
        <w:rPr>
          <w:rFonts w:ascii="Times New Roman" w:hAnsi="Times New Roman"/>
          <w:color w:val="000000"/>
          <w:sz w:val="24"/>
        </w:rPr>
        <w:t xml:space="preserve"> </w:t>
      </w:r>
      <w:r>
        <w:rPr>
          <w:rFonts w:ascii="Times New Roman" w:hAnsi="Times New Roman"/>
          <w:color w:val="000000"/>
          <w:sz w:val="16"/>
        </w:rPr>
        <w:t>million, respectively.</w:t>
      </w:r>
      <w:r>
        <w:rPr>
          <w:rFonts w:ascii="Times New Roman" w:hAnsi="Times New Roman"/>
          <w:color w:val="000000"/>
          <w:sz w:val="24"/>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Company's available-for-sale securities as of March 31, 2025, by remaining contractual maturities, was as follows (in thousands):</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401"/>
        <w:gridCol w:w="146"/>
        <w:gridCol w:w="146"/>
        <w:gridCol w:w="146"/>
        <w:gridCol w:w="146"/>
        <w:gridCol w:w="146"/>
        <w:gridCol w:w="405"/>
        <w:gridCol w:w="1500"/>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greater than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Intangible Assets, Net</w:t>
      </w:r>
    </w:p>
    <w:p>
      <w:pPr>
        <w:pStyle w:val="TextBody"/>
        <w:bidi w:val="0"/>
        <w:spacing w:before="120" w:after="283"/>
        <w:jc w:val="left"/>
        <w:rPr>
          <w:rFonts w:ascii="Times New Roman" w:hAnsi="Times New Roman"/>
          <w:sz w:val="20"/>
        </w:rPr>
      </w:pPr>
      <w:r>
        <w:rPr>
          <w:rFonts w:ascii="Times New Roman" w:hAnsi="Times New Roman"/>
          <w:b/>
          <w:i/>
          <w:color w:val="000000"/>
          <w:sz w:val="20"/>
        </w:rPr>
        <w:t>Intangible Assets Other Than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net consisted of the following (in thousands): </w:t>
      </w:r>
    </w:p>
    <w:tbl>
      <w:tblPr>
        <w:tblW w:w="10205" w:type="dxa"/>
        <w:jc w:val="left"/>
        <w:tblInd w:w="0" w:type="dxa"/>
        <w:tblLayout w:type="fixed"/>
        <w:tblCellMar>
          <w:top w:w="28" w:type="dxa"/>
          <w:left w:w="28" w:type="dxa"/>
          <w:bottom w:w="28" w:type="dxa"/>
          <w:right w:w="28" w:type="dxa"/>
        </w:tblCellMar>
      </w:tblPr>
      <w:tblGrid>
        <w:gridCol w:w="1194"/>
        <w:gridCol w:w="346"/>
        <w:gridCol w:w="211"/>
        <w:gridCol w:w="149"/>
        <w:gridCol w:w="690"/>
        <w:gridCol w:w="146"/>
        <w:gridCol w:w="146"/>
        <w:gridCol w:w="211"/>
        <w:gridCol w:w="210"/>
        <w:gridCol w:w="909"/>
        <w:gridCol w:w="166"/>
        <w:gridCol w:w="146"/>
        <w:gridCol w:w="211"/>
        <w:gridCol w:w="161"/>
        <w:gridCol w:w="632"/>
        <w:gridCol w:w="146"/>
        <w:gridCol w:w="146"/>
        <w:gridCol w:w="211"/>
        <w:gridCol w:w="149"/>
        <w:gridCol w:w="690"/>
        <w:gridCol w:w="146"/>
        <w:gridCol w:w="146"/>
        <w:gridCol w:w="211"/>
        <w:gridCol w:w="210"/>
        <w:gridCol w:w="909"/>
        <w:gridCol w:w="166"/>
        <w:gridCol w:w="146"/>
        <w:gridCol w:w="211"/>
        <w:gridCol w:w="161"/>
        <w:gridCol w:w="632"/>
        <w:gridCol w:w="397"/>
      </w:tblGrid>
      <w:tr>
        <w:trPr/>
        <w:tc>
          <w:tcPr>
            <w:tcW w:w="11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Carrying </w:t>
              <w:br/>
              <w:t>Amount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of intangible assets was $0.3 million for each of the three months ended March 31,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future amortization expense is expected to be as follows (in thousands): </w:t>
      </w:r>
    </w:p>
    <w:tbl>
      <w:tblPr>
        <w:tblW w:w="3000" w:type="dxa"/>
        <w:jc w:val="left"/>
        <w:tblInd w:w="0" w:type="dxa"/>
        <w:tblLayout w:type="fixed"/>
        <w:tblCellMar>
          <w:top w:w="28" w:type="dxa"/>
          <w:left w:w="28" w:type="dxa"/>
          <w:bottom w:w="28" w:type="dxa"/>
          <w:right w:w="28" w:type="dxa"/>
        </w:tblCellMar>
      </w:tblPr>
      <w:tblGrid>
        <w:gridCol w:w="1681"/>
        <w:gridCol w:w="146"/>
        <w:gridCol w:w="211"/>
        <w:gridCol w:w="57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Stockholders’ Equity and Equity Incentive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reserved shares of its common stock as follows: </w:t>
      </w:r>
    </w:p>
    <w:p>
      <w:pPr>
        <w:pStyle w:val="TextBody"/>
        <w:bidi w:val="0"/>
        <w:jc w:val="left"/>
        <w:rPr/>
      </w:pPr>
      <w:r>
        <w:rPr/>
        <w:t> </w:t>
      </w:r>
    </w:p>
    <w:tbl>
      <w:tblPr>
        <w:tblW w:w="9082" w:type="dxa"/>
        <w:jc w:val="left"/>
        <w:tblInd w:w="0" w:type="dxa"/>
        <w:tblLayout w:type="fixed"/>
        <w:tblCellMar>
          <w:top w:w="28" w:type="dxa"/>
          <w:left w:w="28" w:type="dxa"/>
          <w:bottom w:w="28" w:type="dxa"/>
          <w:right w:w="28" w:type="dxa"/>
        </w:tblCellMar>
      </w:tblPr>
      <w:tblGrid>
        <w:gridCol w:w="5566"/>
        <w:gridCol w:w="146"/>
        <w:gridCol w:w="146"/>
        <w:gridCol w:w="1036"/>
        <w:gridCol w:w="146"/>
        <w:gridCol w:w="146"/>
        <w:gridCol w:w="161"/>
        <w:gridCol w:w="1144"/>
        <w:gridCol w:w="5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 xml:space="preserve">December 31, </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Stock Option and Grant Plan and 2021 Incentive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11,501,725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12,526,884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13,519,769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18,310,859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4,810,524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reserved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54,225,592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48,142,877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2014 Stock Option and Grant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March 31, 2025, a total of 24,641,128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fiscal year and (B) such smaller number of shares of stock as determined by the Company's board of directors; provided, however, that no more than 88,000,000 shares of stock may be issued upon the exercise of incentive stock options.</w:t>
      </w:r>
    </w:p>
    <w:p>
      <w:pPr>
        <w:pStyle w:val="TextBody"/>
        <w:bidi w:val="0"/>
        <w:spacing w:before="360" w:after="283"/>
        <w:jc w:val="left"/>
        <w:rPr>
          <w:rFonts w:ascii="Times New Roman" w:hAnsi="Times New Roman"/>
          <w:sz w:val="20"/>
        </w:rPr>
      </w:pPr>
      <w:r>
        <w:rPr>
          <w:rFonts w:ascii="Times New Roman" w:hAnsi="Times New Roman"/>
          <w:i/>
          <w:color w:val="000000"/>
          <w:sz w:val="20"/>
        </w:rPr>
        <w:t>Stock Option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options granted under the 2014 Plan and the 2021 Plan (collectively, the “combined stock plans”) generally vest based on continued service over four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 activity under the combined stock plans for the three months ended March 31, 2025 is set forth below:</w:t>
      </w:r>
    </w:p>
    <w:p>
      <w:pPr>
        <w:pStyle w:val="TextBody"/>
        <w:bidi w:val="0"/>
        <w:jc w:val="left"/>
        <w:rPr/>
      </w:pPr>
      <w:r>
        <w:rPr/>
        <w:t> </w:t>
      </w:r>
    </w:p>
    <w:tbl>
      <w:tblPr>
        <w:tblW w:w="8583" w:type="dxa"/>
        <w:jc w:val="left"/>
        <w:tblInd w:w="0" w:type="dxa"/>
        <w:tblLayout w:type="fixed"/>
        <w:tblCellMar>
          <w:top w:w="28" w:type="dxa"/>
          <w:left w:w="28" w:type="dxa"/>
          <w:bottom w:w="28" w:type="dxa"/>
          <w:right w:w="28" w:type="dxa"/>
        </w:tblCellMar>
      </w:tblPr>
      <w:tblGrid>
        <w:gridCol w:w="2896"/>
        <w:gridCol w:w="146"/>
        <w:gridCol w:w="146"/>
        <w:gridCol w:w="1036"/>
        <w:gridCol w:w="166"/>
        <w:gridCol w:w="146"/>
        <w:gridCol w:w="285"/>
        <w:gridCol w:w="631"/>
        <w:gridCol w:w="146"/>
        <w:gridCol w:w="146"/>
        <w:gridCol w:w="256"/>
        <w:gridCol w:w="825"/>
        <w:gridCol w:w="146"/>
        <w:gridCol w:w="146"/>
        <w:gridCol w:w="302"/>
        <w:gridCol w:w="973"/>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Balances as of March 31, 2025</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10,619,531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As no forfeitures are estimated due to the Company’s adoption of ASU No. 2016-09, all options are vested or expected to vest. As of March 31, 2025, no options were outstanding that were subject to a future performance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values of options are calculated as the difference between the exercise price of the options and the market price for shares of the Company’s Class A common stock as of each period-end. The total intrinsic value of options exercised for the three months ended March 31, 2025 and 2024 was $3.9 million and $5.8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stock options were granted in the three months ended March 31, 2025 and 2024. No tax benefits were realized from options during the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total unrecognized stock-based compensation expense related to options outstanding under the combined stock plans was $2.6 million. This unrecognized expense as of March 31, 2025 is expected to be recognized over the weighted average remaining vesting period of 2.14 years. As of March 31, 2025, the Company had 312,000 shares of non-employee stock options outstanding under the combined stock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granted to employees under the 2021 Plan is estimated on the grant date using the Black-Scholes pricing model.</w:t>
      </w:r>
    </w:p>
    <w:p>
      <w:pPr>
        <w:pStyle w:val="TextBody"/>
        <w:bidi w:val="0"/>
        <w:spacing w:before="360" w:after="283"/>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granted under the 2021 Plan generally vest based on continued service. During the three months ended March 31, 2025 and 2024, the Company recorded $20.5 million and $19.7 million in stock-based compensation related to RSUs,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fair value of RSUs vested during the three months ended March 31, 2025 and 2024 was $21.7 million and $20.6 million, respectively. As of March 31, 2025, total unrecognized stock-based compensation expense related to RSUs was $127.7 million. This unrecognized expense as of March 31, 2025 is expected to be recognized over the weighted average remaining vesting period of 2.05 years. As of March 31, 2025, the Company had 206,498 shares of non-employee RSUs outstanding under the combined stock plans.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 activity during the three months ended March 31, 2025 was as follows: </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2821"/>
        <w:gridCol w:w="146"/>
        <w:gridCol w:w="177"/>
        <w:gridCol w:w="1263"/>
        <w:gridCol w:w="166"/>
        <w:gridCol w:w="146"/>
        <w:gridCol w:w="449"/>
        <w:gridCol w:w="1217"/>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 xml:space="preserve">grant date fair </w:t>
              <w:br/>
              <w:t>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12,526,884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March 31, 2025, a total of 6,102,408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1.3 million shares have been purchased under the ESPP. During the three months ended March 31, 2025 and 2024, the Company recognized $0.3 million and $0.4 million of stock-based compensation expense related to the ESPP, respectively. As of March 31, 2025, total unrecognized compensation cost related to the ESPP was $0.3 million, which will be amortized over a weighted average period of 0.36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expense, net of actual forfeitures is reflected in the condensed consolidated statements of operations and comprehensive loss (in thousands): </w:t>
      </w:r>
    </w:p>
    <w:p>
      <w:pPr>
        <w:pStyle w:val="TextBody"/>
        <w:bidi w:val="0"/>
        <w:jc w:val="left"/>
        <w:rPr/>
      </w:pPr>
      <w:r>
        <w:rPr/>
        <w:t> </w:t>
      </w:r>
    </w:p>
    <w:tbl>
      <w:tblPr>
        <w:tblW w:w="6254"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an effective tax rate of (3.6)% and (2.0)% for the three months ended March 31, 2025 and 2024, respectively. The Company continues to incur U.S. operating losses and has minimal profits in its foreign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2025 and 2024, the Company evaluated all available evidence, both positive and negative, including historical levels of income, and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jc w:val="left"/>
        <w:rPr/>
      </w:pPr>
      <w:r>
        <w:rPr/>
        <w:t> </w:t>
      </w:r>
    </w:p>
    <w:tbl>
      <w:tblPr>
        <w:tblW w:w="8408" w:type="dxa"/>
        <w:jc w:val="left"/>
        <w:tblInd w:w="0" w:type="dxa"/>
        <w:tblLayout w:type="fixed"/>
        <w:tblCellMar>
          <w:top w:w="28" w:type="dxa"/>
          <w:left w:w="28" w:type="dxa"/>
          <w:bottom w:w="28" w:type="dxa"/>
          <w:right w:w="28" w:type="dxa"/>
        </w:tblCellMar>
      </w:tblPr>
      <w:tblGrid>
        <w:gridCol w:w="6196"/>
        <w:gridCol w:w="146"/>
        <w:gridCol w:w="506"/>
        <w:gridCol w:w="1369"/>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minimum lease payments under non-cancellable operating leases with initial lease terms in excess of one year included in the Company’s lease liabilities as of March 31, 2025 were as follows (in thousands):</w:t>
      </w:r>
    </w:p>
    <w:p>
      <w:pPr>
        <w:pStyle w:val="TextBody"/>
        <w:bidi w:val="0"/>
        <w:jc w:val="left"/>
        <w:rPr/>
      </w:pPr>
      <w:r>
        <w:rPr/>
        <w:t> </w:t>
      </w:r>
    </w:p>
    <w:tbl>
      <w:tblPr>
        <w:tblW w:w="5750" w:type="dxa"/>
        <w:jc w:val="left"/>
        <w:tblInd w:w="0" w:type="dxa"/>
        <w:tblLayout w:type="fixed"/>
        <w:tblCellMar>
          <w:top w:w="28" w:type="dxa"/>
          <w:left w:w="28" w:type="dxa"/>
          <w:bottom w:w="28" w:type="dxa"/>
          <w:right w:w="28" w:type="dxa"/>
        </w:tblCellMar>
      </w:tblPr>
      <w:tblGrid>
        <w:gridCol w:w="4211"/>
        <w:gridCol w:w="146"/>
        <w:gridCol w:w="211"/>
        <w:gridCol w:w="571"/>
        <w:gridCol w:w="61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undiscounted operating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the Company entered into a new lease agreement for its principal executive office located in San Francisco, with a total commitment of $8.7 million. The lease will commence in November 2025 with an expiration date in fiscal 2029. The Company will recognize the related right-of-use assets and liabilities, which have not yet been determined, at the respective lease commencement date.</w:t>
      </w:r>
    </w:p>
    <w:p>
      <w:pPr>
        <w:pStyle w:val="TextBody"/>
        <w:bidi w:val="0"/>
        <w:spacing w:before="12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14, 2024, a putative securities class action captioned Chicago &amp; Vicinity Laborers’ District Council Pension Fund v. Amplitude, Inc., et al., Case No. 3:24-cv-00898 (the “Securities Class Action”) was filed in the United States District Court for the Northern District of California, naming the Company, its Chief Executive Officer, and its former Chief Financial Officer as defendants. The lawsuit is purportedly brought on behalf of all those who purchased or acquired the Company’s common stock between September 21, 2021 and February 16, 2022. The complaint alleges claims under Sections 10(b) and 20(a) of the Securities Exchange Act of 1934, as amended, based on allegedly false or misleading statements related to the Company’s business and financial outlook. The lawsuit seeks unspecified damages and other relief. The defendants filed a motion to dismiss the complaint on July 12, 2024, which was granted with leave to amend on October 2, 2024. The plaintiffs filed an amended complaint on October 23, 2024. The defendants filed a motion to dismiss the amended complaint on November 13, 2024, and, on January 13, 2025, the court dismissed the amended complaint with prejudice and entered judgment in favor of the defendants.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10, 2024, a shareholder derivative complaint captioned Hawkins v. Spenser Skates, et al., Case No. 3:24-cv-03460 (the “Derivative Action”) was filed in the United States District Court for the Northern District of California, naming the Company’s Chief Executive Officer, its former Chief Financial Officer, and the current and former members of the Company’s board of directors as defendants. The complaint, purportedly brought on behalf of the Company, alleges claims for breach of fiduciary duty, unjust enrichment, waste of corporate assets, abuse of control, gross mismanagement, and contribution for alleged wrongdoing by the Company’s directors and officers from September 21, 2021 through February 16, 2022. The complaint seeks unspecified damages and other relief. The Derivative Action was stayed pending a resolution of any motions to dismiss the Securities Class Action. Following the dismissal of the Securities Class Action on January 13, 2025, the Derivative Action was dismissed without prejudice on February 21,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8, 2024, a putative privacy class action captioned Atkins v. Amplitude, Inc., Case No. 3:24-cv-04913 was filed in the United States District Court for the Northern District of California, naming the Company as a defendant. The lawsuit is purportedly brought on behalf of all individuals who downloaded and used an application on their mobile device that embedded the Company’s Software Development Kit (“SDK”) and did not publicly disclose the Company in the application’s notices or disclosures. The complaint asserts claims under the Federal Wiretap Act, California Wiretap Act, California Invasion of Privacy Act, and California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Computer Data Access and Fraud Act. The complaint seeks statutory damages and other relief. The plaintiffs filed an amended complaint on November 15, 2024. The Company filed a motion to dismiss the amended complaint on January 7, 2025, the plaintiffs filed their opposition brief on February 11, 2025, and the Company filed its reply on March 4, 2025. The Company also filed a motion to compel arbitration on April 8, 2025, and the plaintiffs filed their opposition brief on May 6, 2025. The Company’s motion to dismiss and motion to compel arbitration are pending and set for hearing on June 3,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18, 2024, an individual privacy action captioned Shah v. Amplitude, Inc., Case No. 2:24-cv-08155-MEMF-JPR was filed in the United States District Court for the Central District of California, naming the Company as a defendant. The lawsuit is brought by an individual who alleges to have used an application on his mobile device that embedded the SDK without explicitly identifying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On December 4, 2024, the court stayed the case pending final resolution of Atkins v. Amplitude, Inc., Case No. 3:24-cv-04913 (N.D. Cal.).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7, 2024, a putative privacy class action captioned Willey v. Amplitude, Inc., Case No. 1:24-cv-07577 was filed in the United States District Court for the Southern District of New York. The lawsuit was purportedly brought on behalf of all persons who accessed the Oscar Health website or application in Pennsylvania and entered information in response to prompts in the “Find a Plan” function. The complaint alleged that the Company’s services operate on the Oscar Health website and application to intercept information submitted by users for a health insurance quote. The complaint asserted a claim under Pennsylvania’s Wiretapping and Electronic Surveillance Act. The complaint sought unspecified damages and other relief. On December 5, 2024, the plaintiff voluntarily dismissed the case and re-filed in the Superior Court of the State of California. The Company removed the case to the United States District Court for the Northern District of California on December 16, 2024. On January 27, 2025, the plaintiff voluntarily dismissed the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matters discussed above, 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 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calculation of basic and diluted net loss per share (in thousands, except per share data): </w:t>
      </w:r>
    </w:p>
    <w:p>
      <w:pPr>
        <w:pStyle w:val="TextBody"/>
        <w:bidi w:val="0"/>
        <w:jc w:val="left"/>
        <w:rPr/>
      </w:pPr>
      <w:r>
        <w:rPr/>
        <w:t> </w:t>
      </w:r>
    </w:p>
    <w:tbl>
      <w:tblPr>
        <w:tblW w:w="7429" w:type="dxa"/>
        <w:jc w:val="left"/>
        <w:tblInd w:w="0" w:type="dxa"/>
        <w:tblLayout w:type="fixed"/>
        <w:tblCellMar>
          <w:top w:w="28" w:type="dxa"/>
          <w:left w:w="28" w:type="dxa"/>
          <w:bottom w:w="28" w:type="dxa"/>
          <w:right w:w="28" w:type="dxa"/>
        </w:tblCellMar>
      </w:tblPr>
      <w:tblGrid>
        <w:gridCol w:w="4596"/>
        <w:gridCol w:w="146"/>
        <w:gridCol w:w="211"/>
        <w:gridCol w:w="781"/>
        <w:gridCol w:w="166"/>
        <w:gridCol w:w="146"/>
        <w:gridCol w:w="211"/>
        <w:gridCol w:w="781"/>
        <w:gridCol w:w="391"/>
      </w:tblGrid>
      <w:tr>
        <w:trPr/>
        <w:tc>
          <w:tcPr>
            <w:tcW w:w="4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attributable to Class A and Class B common </w:t>
              <w:br/>
              <w:t>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in computing net loss </w:t>
              <w:br/>
              <w:t xml:space="preserve">   per share attributable to Class A and Class B </w:t>
              <w:br/>
              <w:t>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Class A and Class B</w:t>
              <w:br/>
              <w:t>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potential shares of common stock were excluded from the calculation of diluted net loss per share because their effect would have been anti-dilutive for the periods presented (in thousands): </w:t>
      </w:r>
    </w:p>
    <w:p>
      <w:pPr>
        <w:pStyle w:val="TextBody"/>
        <w:bidi w:val="0"/>
        <w:jc w:val="left"/>
        <w:rPr/>
      </w:pPr>
      <w:r>
        <w:rPr/>
        <w:t> </w:t>
      </w:r>
    </w:p>
    <w:tbl>
      <w:tblPr>
        <w:tblW w:w="5714" w:type="dxa"/>
        <w:jc w:val="left"/>
        <w:tblInd w:w="0" w:type="dxa"/>
        <w:tblLayout w:type="fixed"/>
        <w:tblCellMar>
          <w:top w:w="28" w:type="dxa"/>
          <w:left w:w="28" w:type="dxa"/>
          <w:bottom w:w="28" w:type="dxa"/>
          <w:right w:w="28" w:type="dxa"/>
        </w:tblCellMar>
      </w:tblPr>
      <w:tblGrid>
        <w:gridCol w:w="3241"/>
        <w:gridCol w:w="146"/>
        <w:gridCol w:w="146"/>
        <w:gridCol w:w="676"/>
        <w:gridCol w:w="146"/>
        <w:gridCol w:w="146"/>
        <w:gridCol w:w="146"/>
        <w:gridCol w:w="676"/>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pursuant to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RSU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the Company issued 7.0 million RSUs to its employees with service-based vesting conditions. The service-based vesting condition for these awards are satisfied over three years. The grant date fair value of the RSUs issued in April 2025 was approximately $64.3 million.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6, 2025, the Board approved a share repurchase program (the “Repurchase Program”), under which the Company is authorized to repurchase up to $50.0 million of the Company’s Class A common stock. Under the Repurchase Program, the Company may repurchase shares of the Company’s outstanding Class A common stock from time to time, in such amounts as management deems appropriate, through a variety of methods, which may include open market purchases, privately negotiated transactions, block trades, accelerated share repurchase transactions, purchases through 10b5-1 trading plans, or by any combination of such methods. The timing and amount of any repurchases pursuant to the Repurchase Program will be determined based on market conditions, share price and other factors. The Repurchase Program does not have an expiration date, does not require the Company to repurchase any specific number of shares of its Class A common stock, and may be modified, suspended or terminated at any time without notice.</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_item2"/>
      <w:bookmarkEnd w:id="11"/>
      <w:r>
        <w:rPr>
          <w:rFonts w:ascii="Times New Roman" w:hAnsi="Times New Roman"/>
          <w:b/>
          <w:color w:val="000000"/>
          <w:sz w:val="20"/>
        </w:rPr>
        <w:t>Item 2.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2024 (the “2024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Unless the context otherwise requires, all references in this report to “Amplitude,” the “Company,” “we,” “our,” “us,” or similar terms refer to Amplitude, Inc. and its subsidiaries.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Amplitude is a leading Digital Analytics Platform that helps businesses understand how people are using their products so they can build amazing digital experiences that increase acquisition, monetization and retention - and drive revenue growth. We work with more than 4,000 paying customers of various sizes and stages of digital maturity, across many industries, including the teams behind some of the most-beloved digital products in the world. We have experienced significant growth in recent years, with approximately 740 employees in seven global offices.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solution. Consistently ranked #1 in multiple categories by G2, Amplitude Analytics provides real-time product data and reconstructed user visits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we have been successful at efficiently growing our customer base and number of customers who have entered into and grown into larger subscriptions with us as evidenced by the growth of our number of paying customers and number of customers that represent greater than $100,000 in annual recurring revenue (“ARR”). As of March 31, 2025 and 2024, we had 617 and 521 customers, respectively, that each represented greater than $100,000 in ARR, representing a 18% increase year-over-year. We believe our relationship with some of the world’s most beloved product-led companies has resulted in increased brand credibility and access to many attractive growth opportunities. As of March 31, 2025 and 2024, our dollar-based net retention rate for the trailing 12 months ("TTM") was 98% and 99%, respectively, for paying customers. Additionally, our ending dollar-based net retention rate for paying customers as of March 31, 2025 and 2024, was 101% and 97%,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bolster our predictive analytics and data instrumentation capabilities and most recently we acquired CommandAI to provide intuitive, AI-powered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user assistance to make complex software easier to adopt and navigate. Going forward, we may pursue both strategic partnerships and acquisitions that we believe will be complementary to our business, accelerate customer acquisition, increase usage of our platform, and/or expand our product offerings in our core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for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 for growth encompasses multiple critical areas, including product expansion, our sales force, sales support, partner ecosystem, and our international presence. We continue to evolve our technology and product offerings, to ensure that we are best serving our customers’ needs. For example, in September 2024, we launched Amplitude Made Easy to simplify the platform experience for customers, and in June 2024, we introduced Warehouse Native to allow customers to unlock insights directly from their data warehouse. Additionally, in February 2025, after our acquisition of CommandAI, we launched Guides and Surveys which fully integrates CommandAI's cutting-edge user assistance with our Data Analytics Platform. We believe the evolution of our technology and product offerings will lead to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including those capitalized for internal-use software, to increase in dollar amount over time. Over the longer term, we believe these expenses as a percentage of revenue will decrease, though these expenses as a percentage of revenue could increase in the short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Although we previously experienced cost savings due to our restructuring, as we continue to invest in our sales efforts, we expect our sales and marketing expenses to increase in dollar amount over time. Over the longer term, we believe these expenses as a percentage of revenue will decrease, though these expenses as a percentage of revenue could increase in the short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Finally, we see opportunities to expand offices and headcount internationally to better service targeted international markets where we believe we have significant opportunity to accelerate existing traction and success. For the three months ended March 31, 2025, 39% of our revenue was generated outside the United States. As we seek to expand our business globally, we may be adversely affected by global economic and political instability. For example, as a result of the Russia-Ukraine war and related sanctions, we have terminated certain relationships with customers in Russia. Some of the businesses of our customers in the impacted regions have also experienced disruptions that have affected their ability to pay for our services. See “Risk Factors–Risks Related to Our Business and Industry–Our operations are international in scope, and we plan further geographical expansion, creating a variety of operational challenges.” </w:t>
      </w:r>
    </w:p>
    <w:p>
      <w:pPr>
        <w:pStyle w:val="TextBody"/>
        <w:bidi w:val="0"/>
        <w:spacing w:before="360" w:after="283"/>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tbl>
      <w:tblPr>
        <w:tblW w:w="7883" w:type="dxa"/>
        <w:jc w:val="left"/>
        <w:tblInd w:w="0" w:type="dxa"/>
        <w:tblLayout w:type="fixed"/>
        <w:tblCellMar>
          <w:top w:w="28" w:type="dxa"/>
          <w:left w:w="28" w:type="dxa"/>
          <w:bottom w:w="28" w:type="dxa"/>
          <w:right w:w="28" w:type="dxa"/>
        </w:tblCellMar>
      </w:tblPr>
      <w:tblGrid>
        <w:gridCol w:w="4291"/>
        <w:gridCol w:w="146"/>
        <w:gridCol w:w="224"/>
        <w:gridCol w:w="448"/>
        <w:gridCol w:w="288"/>
        <w:gridCol w:w="155"/>
        <w:gridCol w:w="224"/>
        <w:gridCol w:w="448"/>
        <w:gridCol w:w="288"/>
        <w:gridCol w:w="155"/>
        <w:gridCol w:w="121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YoY Growth</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(dollar values in millions)</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Recurring Revenue (ARR)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Dollar-Based Net Retention Rate (TTM)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Paying Customers with ARR of $100,000 or greater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Annual Recurring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ARR as the annual recurring revenue of subscription agreements at a point in time based on the terms of customers’ contracts, including certain premium services that are subject to contractual subscription terms and Plus customers that we expect to recur. ARR should be viewed independently of revenue, and does not represent our U.S. GAAP revenue on an annualized basis, as it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an operating metric that can be impacted by contract start and end dates and renewal rates. ARR is also not intended to be a forecast of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Dollar-Based Net Retention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average of the trailing 12-month dollar-based net retention rates, to arrive at the dollar-based net retention rate (“NRR (TTM)”).</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Paying Customers with ARR of $100,000 or greater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Paying Customers with ARR of $100,000 or greater as those Paying Customers on one or more paid subscriptions that have $100,000 or more in ARR.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ability to grow the number of paying customers on our platform, particularly those spending $100,000 or more a year,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 </w:t>
      </w:r>
    </w:p>
    <w:p>
      <w:pPr>
        <w:pStyle w:val="TextBody"/>
        <w:bidi w:val="0"/>
        <w:spacing w:before="24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 </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70" w:type="dxa"/>
        <w:jc w:val="left"/>
        <w:tblInd w:w="0" w:type="dxa"/>
        <w:tblLayout w:type="fixed"/>
        <w:tblCellMar>
          <w:top w:w="28" w:type="dxa"/>
          <w:left w:w="28" w:type="dxa"/>
          <w:bottom w:w="28" w:type="dxa"/>
          <w:right w:w="28" w:type="dxa"/>
        </w:tblCellMar>
      </w:tblPr>
      <w:tblGrid>
        <w:gridCol w:w="5011"/>
        <w:gridCol w:w="146"/>
        <w:gridCol w:w="261"/>
        <w:gridCol w:w="912"/>
        <w:gridCol w:w="410"/>
        <w:gridCol w:w="181"/>
        <w:gridCol w:w="261"/>
        <w:gridCol w:w="912"/>
        <w:gridCol w:w="376"/>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59,749</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61,198</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(24,198</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(8,022</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(9,226</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Non-GAAP Gross Profit, Non-GAAP Gross Margin, Non-GAAP Income (Loss) from Operations, and Non-GAAP Income (Loss) from Operations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investors, even if negative, about the amount of cash used in our operations other than that used for investments in property and equipment and capitalized internal-use software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Limitations and Reconciliations of 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reconcile the most directly comparable U.S. GAAP financial measure to each of these non-GAAP financial measures. </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Gross Profit and Gross Margin</w:t>
      </w:r>
      <w:r>
        <w:rPr>
          <w:rFonts w:ascii="Times New Roman" w:hAnsi="Times New Roman"/>
          <w:color w:val="000000"/>
          <w:sz w:val="20"/>
        </w:rPr>
        <w:t xml:space="preserve"> </w:t>
      </w:r>
    </w:p>
    <w:p>
      <w:pPr>
        <w:pStyle w:val="TextBody"/>
        <w:bidi w:val="0"/>
        <w:jc w:val="left"/>
        <w:rPr/>
      </w:pPr>
      <w:r>
        <w:rPr/>
        <w:t> </w:t>
      </w:r>
    </w:p>
    <w:tbl>
      <w:tblPr>
        <w:tblW w:w="6746" w:type="dxa"/>
        <w:jc w:val="left"/>
        <w:tblInd w:w="0" w:type="dxa"/>
        <w:tblLayout w:type="fixed"/>
        <w:tblCellMar>
          <w:top w:w="28" w:type="dxa"/>
          <w:left w:w="28" w:type="dxa"/>
          <w:bottom w:w="28" w:type="dxa"/>
          <w:right w:w="28" w:type="dxa"/>
        </w:tblCellMar>
      </w:tblPr>
      <w:tblGrid>
        <w:gridCol w:w="3346"/>
        <w:gridCol w:w="146"/>
        <w:gridCol w:w="283"/>
        <w:gridCol w:w="907"/>
        <w:gridCol w:w="363"/>
        <w:gridCol w:w="195"/>
        <w:gridCol w:w="283"/>
        <w:gridCol w:w="907"/>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59,749</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61,198</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Stock-based compensation expense-related charges include employer payroll tax-related expenses on employee stock transactions.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Non-GAAP Income (Loss) From Operations and Income (Loss) From Operations Margin</w:t>
      </w:r>
      <w:r>
        <w:rPr>
          <w:rFonts w:ascii="Times New Roman" w:hAnsi="Times New Roman"/>
          <w:color w:val="000000"/>
          <w:sz w:val="20"/>
        </w:rPr>
        <w:t xml:space="preserve"> </w:t>
      </w:r>
    </w:p>
    <w:tbl>
      <w:tblPr>
        <w:tblW w:w="7675" w:type="dxa"/>
        <w:jc w:val="left"/>
        <w:tblInd w:w="0" w:type="dxa"/>
        <w:tblLayout w:type="fixed"/>
        <w:tblCellMar>
          <w:top w:w="28" w:type="dxa"/>
          <w:left w:w="28" w:type="dxa"/>
          <w:bottom w:w="28" w:type="dxa"/>
          <w:right w:w="28" w:type="dxa"/>
        </w:tblCellMar>
      </w:tblPr>
      <w:tblGrid>
        <w:gridCol w:w="4216"/>
        <w:gridCol w:w="146"/>
        <w:gridCol w:w="261"/>
        <w:gridCol w:w="912"/>
        <w:gridCol w:w="410"/>
        <w:gridCol w:w="181"/>
        <w:gridCol w:w="261"/>
        <w:gridCol w:w="912"/>
        <w:gridCol w:w="37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(24,198</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21,777</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Stock-based compensation expense-related charges include employer payroll tax-related expenses on employee stock transactions.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jc w:val="left"/>
        <w:rPr/>
      </w:pPr>
      <w:r>
        <w:rPr/>
        <w:t> </w:t>
      </w:r>
    </w:p>
    <w:tbl>
      <w:tblPr>
        <w:tblW w:w="7676" w:type="dxa"/>
        <w:jc w:val="left"/>
        <w:tblInd w:w="0" w:type="dxa"/>
        <w:tblLayout w:type="fixed"/>
        <w:tblCellMar>
          <w:top w:w="28" w:type="dxa"/>
          <w:left w:w="28" w:type="dxa"/>
          <w:bottom w:w="28" w:type="dxa"/>
          <w:right w:w="28" w:type="dxa"/>
        </w:tblCellMar>
      </w:tblPr>
      <w:tblGrid>
        <w:gridCol w:w="4216"/>
        <w:gridCol w:w="146"/>
        <w:gridCol w:w="268"/>
        <w:gridCol w:w="936"/>
        <w:gridCol w:w="421"/>
        <w:gridCol w:w="185"/>
        <w:gridCol w:w="268"/>
        <w:gridCol w:w="860"/>
        <w:gridCol w:w="37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(8,022</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(9,226</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 </w:t>
      </w:r>
    </w:p>
    <w:p>
      <w:pPr>
        <w:pStyle w:val="TextBody"/>
        <w:bidi w:val="0"/>
        <w:spacing w:before="360" w:after="283"/>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 though the gross margin percentage may fluctuate from quarter to quarter due to potential reinvestments into the business. The extent and timing of such investments may vary.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research and development, sales and marketing, and general and administrative expenses.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personnel and 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make strategic investments in our sales and marketing organization, and we expect sales and marketing expenses to remain our largest operating expense in dollar amount. Although we previously experienced cost savings due to our restructuring, we expect our sales and marketing expenses to continue to increase in dollar amount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incurred certain expenses as part of operating as a publicly-traded company, including professional fees and other expenses. As a public company, we expect to continue to incur costs associated with accounting, compliance, insurance, and investor relations which could fluctuate from period to period. Although we previously experienced cost savings due to our restructuring,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consists primarily of interest income on our cash, cash equivalents, and marketable securities holdings and foreign currency transaction gains and losses.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 for (Benefit from)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(benefit from) income taxes consists primarily of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where the statutory tax rates are different from the federal statutory tax rate. We expect to maintain this full valuation allowance in U.S. jurisdictions for the foreseeable future as it is not more likely than not the deferred tax assets will be realized based on our history of losses.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revenue for those periods. The period-to-period comparison of financial results is not necessarily indicative of financial results to be achieved in future periods. </w:t>
      </w:r>
    </w:p>
    <w:p>
      <w:pPr>
        <w:pStyle w:val="TextBody"/>
        <w:bidi w:val="0"/>
        <w:jc w:val="left"/>
        <w:rPr/>
      </w:pPr>
      <w:r>
        <w:rPr/>
        <w:t> </w:t>
      </w:r>
    </w:p>
    <w:tbl>
      <w:tblPr>
        <w:tblW w:w="7514" w:type="dxa"/>
        <w:jc w:val="left"/>
        <w:tblInd w:w="0" w:type="dxa"/>
        <w:tblLayout w:type="fixed"/>
        <w:tblCellMar>
          <w:top w:w="28" w:type="dxa"/>
          <w:left w:w="28" w:type="dxa"/>
          <w:bottom w:w="28" w:type="dxa"/>
          <w:right w:w="28" w:type="dxa"/>
        </w:tblCellMar>
      </w:tblPr>
      <w:tblGrid>
        <w:gridCol w:w="4771"/>
        <w:gridCol w:w="146"/>
        <w:gridCol w:w="211"/>
        <w:gridCol w:w="736"/>
        <w:gridCol w:w="166"/>
        <w:gridCol w:w="146"/>
        <w:gridCol w:w="211"/>
        <w:gridCol w:w="736"/>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Amounts include stock-based compensation expense as follows: </w:t>
      </w:r>
    </w:p>
    <w:tbl>
      <w:tblPr>
        <w:tblW w:w="5854"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components of our condensed consolidated statements of operations and comprehensive loss data, for each of the periods presented, as a percentage of revenue. </w:t>
      </w:r>
    </w:p>
    <w:p>
      <w:pPr>
        <w:pStyle w:val="TextBody"/>
        <w:bidi w:val="0"/>
        <w:jc w:val="left"/>
        <w:rPr/>
      </w:pPr>
      <w:r>
        <w:rPr/>
        <w:t> </w:t>
      </w:r>
    </w:p>
    <w:tbl>
      <w:tblPr>
        <w:tblW w:w="6836" w:type="dxa"/>
        <w:jc w:val="left"/>
        <w:tblInd w:w="0" w:type="dxa"/>
        <w:tblLayout w:type="fixed"/>
        <w:tblCellMar>
          <w:top w:w="28" w:type="dxa"/>
          <w:left w:w="28" w:type="dxa"/>
          <w:bottom w:w="28" w:type="dxa"/>
          <w:right w:w="28" w:type="dxa"/>
        </w:tblCellMar>
      </w:tblPr>
      <w:tblGrid>
        <w:gridCol w:w="4771"/>
        <w:gridCol w:w="146"/>
        <w:gridCol w:w="783"/>
        <w:gridCol w:w="190"/>
        <w:gridCol w:w="946"/>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32%</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56%</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before 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Note: Certain figures may not sum due to rounding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Three Months Ended March 31, 2025 to Three Months Ended March 31, 2024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tbl>
      <w:tblPr>
        <w:tblW w:w="5574" w:type="dxa"/>
        <w:jc w:val="left"/>
        <w:tblInd w:w="0" w:type="dxa"/>
        <w:tblLayout w:type="fixed"/>
        <w:tblCellMar>
          <w:top w:w="28" w:type="dxa"/>
          <w:left w:w="28" w:type="dxa"/>
          <w:bottom w:w="28" w:type="dxa"/>
          <w:right w:w="28" w:type="dxa"/>
        </w:tblCellMar>
      </w:tblPr>
      <w:tblGrid>
        <w:gridCol w:w="841"/>
        <w:gridCol w:w="146"/>
        <w:gridCol w:w="211"/>
        <w:gridCol w:w="676"/>
        <w:gridCol w:w="146"/>
        <w:gridCol w:w="146"/>
        <w:gridCol w:w="211"/>
        <w:gridCol w:w="676"/>
        <w:gridCol w:w="146"/>
        <w:gridCol w:w="146"/>
        <w:gridCol w:w="243"/>
        <w:gridCol w:w="658"/>
        <w:gridCol w:w="146"/>
        <w:gridCol w:w="146"/>
        <w:gridCol w:w="103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increased $7.3 million, or 10%, during the three months ended March 31, 2025 compared to the three months ended March 31, 2024. The increase in revenue was primarily due to growth of our paying customer base, partially offset by partial and full churn among existing customers which marginally outpaced our expansion of existing customers as reflected by our NRR (TTM) of 98% as of March 31, 2025.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 and Gross Margin</w:t>
      </w:r>
      <w:r>
        <w:rPr>
          <w:rFonts w:ascii="Times New Roman" w:hAnsi="Times New Roman"/>
          <w:color w:val="000000"/>
          <w:sz w:val="20"/>
        </w:rPr>
        <w:t xml:space="preserve"> </w:t>
      </w:r>
    </w:p>
    <w:tbl>
      <w:tblPr>
        <w:tblW w:w="6379" w:type="dxa"/>
        <w:jc w:val="left"/>
        <w:tblInd w:w="0" w:type="dxa"/>
        <w:tblLayout w:type="fixed"/>
        <w:tblCellMar>
          <w:top w:w="28" w:type="dxa"/>
          <w:left w:w="28" w:type="dxa"/>
          <w:bottom w:w="28" w:type="dxa"/>
          <w:right w:w="28" w:type="dxa"/>
        </w:tblCellMar>
      </w:tblPr>
      <w:tblGrid>
        <w:gridCol w:w="1396"/>
        <w:gridCol w:w="146"/>
        <w:gridCol w:w="211"/>
        <w:gridCol w:w="676"/>
        <w:gridCol w:w="271"/>
        <w:gridCol w:w="146"/>
        <w:gridCol w:w="211"/>
        <w:gridCol w:w="676"/>
        <w:gridCol w:w="271"/>
        <w:gridCol w:w="146"/>
        <w:gridCol w:w="243"/>
        <w:gridCol w:w="658"/>
        <w:gridCol w:w="146"/>
        <w:gridCol w:w="146"/>
        <w:gridCol w:w="103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revenue increased $1.3 million, or 7%, during the three months ended March 31, 2025 compared to the three months ended March 31, 2024. The increase was primarily due to an increase of $0.6 million in amortization of capitalized internal-use software development costs and acquired developed technology intangible assets and an increase of $0.5 million in personnel and related expenses, including an increase in allocated overhead costs. The increase was also attributable to an increase of $0.3 million in third-party hosting costs as we increased capacity to support paying customer usage and growth of our paying customer base.</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tbl>
      <w:tblPr>
        <w:tblW w:w="7044"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43"/>
        <w:gridCol w:w="658"/>
        <w:gridCol w:w="146"/>
        <w:gridCol w:w="146"/>
        <w:gridCol w:w="103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$0.6 million, or 3%, during the three months ended March 31, 2025 compared to the three months ended March 31, 2024. The increase was primarily attributable to an increase of $2.1 million in personnel and related expenses, including an increase in allocated overhead costs, offset by a decrease of $1.2 million in stock-based compensation expense and related payroll taxes. The increase was also partially offset by a higher percentage of personnel being dedicated to new application development which resulted in $0.6 million more capitalized as internal use software costs in the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increased $3.3 million, or 8%, during the three months ended March 31, 2025 compared to the three months ended March 31, 2024. The increase was primarily due to an increase of $3.2 million in personnel and related expenses, including an increase in allocated overhead costs and an increase of $0.9 million in stock-based compensation expenses and related payroll taxes. The increases were partially offset by a decrease of $0.5 million in marketing expenses and a decrease of $0.4 million in the amortization of capitalized commissions.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$1.6 million, or 11%, during the three months ended March 31, 2025 compared to the three months ended March 31, 2024. The increase was primarily attributable to an increase of $0.4 million in personnel and related expenses, including an increase in allocated overhead costs, an increase of $0.8 million in consulting fees, and an increase of $0.3 million in subscription software.</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tbl>
      <w:tblPr>
        <w:tblW w:w="6947" w:type="dxa"/>
        <w:jc w:val="left"/>
        <w:tblInd w:w="0" w:type="dxa"/>
        <w:tblLayout w:type="fixed"/>
        <w:tblCellMar>
          <w:top w:w="28" w:type="dxa"/>
          <w:left w:w="28" w:type="dxa"/>
          <w:bottom w:w="28" w:type="dxa"/>
          <w:right w:w="28" w:type="dxa"/>
        </w:tblCellMar>
      </w:tblPr>
      <w:tblGrid>
        <w:gridCol w:w="2386"/>
        <w:gridCol w:w="146"/>
        <w:gridCol w:w="213"/>
        <w:gridCol w:w="577"/>
        <w:gridCol w:w="147"/>
        <w:gridCol w:w="147"/>
        <w:gridCol w:w="213"/>
        <w:gridCol w:w="577"/>
        <w:gridCol w:w="146"/>
        <w:gridCol w:w="146"/>
        <w:gridCol w:w="274"/>
        <w:gridCol w:w="627"/>
        <w:gridCol w:w="166"/>
        <w:gridCol w:w="146"/>
        <w:gridCol w:w="103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5"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income (expense), net decreased $0.9 million, or 25%, during the three months ended March 31, 2025 compared to the three months ended March 31, 2024. The decrease was primarily due to lower interest income of $0.7 million due to a lower combined yield on investments and cash equivalents in the three months ended March 31, 2025.</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(Benefit from) Income Taxes</w:t>
      </w:r>
      <w:r>
        <w:rPr>
          <w:rFonts w:ascii="Times New Roman" w:hAnsi="Times New Roman"/>
          <w:color w:val="000000"/>
          <w:sz w:val="20"/>
        </w:rPr>
        <w:t xml:space="preserve"> </w:t>
      </w:r>
    </w:p>
    <w:tbl>
      <w:tblPr>
        <w:tblW w:w="7977" w:type="dxa"/>
        <w:jc w:val="left"/>
        <w:tblInd w:w="0" w:type="dxa"/>
        <w:tblLayout w:type="fixed"/>
        <w:tblCellMar>
          <w:top w:w="28" w:type="dxa"/>
          <w:left w:w="28" w:type="dxa"/>
          <w:bottom w:w="28" w:type="dxa"/>
          <w:right w:w="28" w:type="dxa"/>
        </w:tblCellMar>
      </w:tblPr>
      <w:tblGrid>
        <w:gridCol w:w="3436"/>
        <w:gridCol w:w="146"/>
        <w:gridCol w:w="254"/>
        <w:gridCol w:w="507"/>
        <w:gridCol w:w="176"/>
        <w:gridCol w:w="176"/>
        <w:gridCol w:w="254"/>
        <w:gridCol w:w="507"/>
        <w:gridCol w:w="146"/>
        <w:gridCol w:w="146"/>
        <w:gridCol w:w="300"/>
        <w:gridCol w:w="601"/>
        <w:gridCol w:w="146"/>
        <w:gridCol w:w="146"/>
        <w:gridCol w:w="103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5"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(benefit from) income taxes increased $0.4 million, or 83%, during the three months ended March 31, 2025 compared to the three months ended March 31, 2024, primarily due to increased foreign taxes during the three months ended March 31, 2025 compared to the three months ended March 31, 2024.</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$480.1 million as of March 31, 2025. We generated negative cash flows from operating activities for the three months ended March 31, 2025; however, we have generated positive cash flows from operating activities during the years ended December 31, 2024 and 2023.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our principal sources of liquidity were cash and cash equivalents of $131.2 million and restricted cash of $0.9 million. We also had $151.9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March 31, 2025, we had $117.0 million of deferred revenue, all of which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was recorded as a current liability. This deferred revenue will be recognized as revenue when or as the related performance obligations are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periods presented: </w:t>
      </w:r>
    </w:p>
    <w:tbl>
      <w:tblPr>
        <w:tblW w:w="6899"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676"/>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largest source of operating cash is cash collection from sales of subscriptions to our paying customers. Our primary uses of cash from operating activities are for personnel and related expenses, marketing expenses, and third-party hosting-related and software expenses. For the current period we have generated negative cash flows from operating activities; however, we have generated positive cash flows from operating activities during the years ended December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$8.0 million for the three months ended March 31, 2025 reflects our net loss of $22.2 million, adjusted by non-cash items such as stock-based compensation expense of $20.6 million, depreciation and amortization of $2.3 million, and non-cash operating lease costs of $1.1 million as well as net cash used in changes in our operating assets and liabilities of $10.1 million. The net cash used in changes in operating assets and liabilities primarily consisted of a $15.4 million increase in accounts receivables due to overall growth of our sales as well as timing of billings and collections partially offset by a $7.3 million increase in deferred revenue corresponding with our increased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$0.05 million for the three months ended March 31, 2024 reflects our net loss of $21.5 million, adjusted by non-cash items such as stock-based compensation expense of $21.1 million, depreciation and amortization of $1.4 million, and non-cash operating lease costs of $1.0 million as well as net cash used in changes in our operating assets and liabilities of $1.8 million. The net cash used in changes in operating assets and liabilities primarily consisted of a $6.8 million increase in accounts receivable due to higher customer billings and a $5.1 million increase in prepaid expenses and other current and noncurrent assets related to an increase in prepayments made in advance for future services. These changes were primarily offset by a net increase in accrued expenses and accounts payable of $10.8 million due to timing of payments made.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of $26.4 million for the three months ended March 31, 2025 consisted of $33.7 million of purchases of marketable securities, $0.8 million of capitalized internal-use software development costs, and $0.4 million in purchases of property and equipment. These decreases were partially offset by $8.6 million of cash received from the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of $23.1 million for the three months ended March 31, 2024 consisted of $42.5 million of cash received from the maturities of marketable securities, offset by $18.4 million of purchases of marketable securities, $0.7 million in capitalized internal-use software development costs, and $0.4 million in purchases of property and equipment. </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of $6.1 million for the three months ended March 31, 2025 consisted of $7.6 million in net tax remittance on equity awards related to the vesting of RSU awards under a withhold-to-cover method, partially offset by $1.5 million in proceeds from the exercise of stock options.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of $5.8 million for the three months ended March 31, 2024 consisted of $7.6 million in net tax remittance on equity awards related to the vesting of RSU awards under a withhold-to-cover method, partially offset by $1.8 million in proceeds from the exercise of stock options.</w:t>
      </w:r>
    </w:p>
    <w:p>
      <w:pPr>
        <w:pStyle w:val="TextBody"/>
        <w:bidi w:val="0"/>
        <w:spacing w:before="360" w:after="283"/>
        <w:jc w:val="left"/>
        <w:rPr>
          <w:rFonts w:ascii="Times New Roman" w:hAnsi="Times New Roman"/>
          <w:sz w:val="20"/>
        </w:rPr>
      </w:pPr>
      <w:r>
        <w:rPr>
          <w:rFonts w:ascii="Times New Roman" w:hAnsi="Times New Roman"/>
          <w:b/>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Remaining performance obligations (“RPO”) as of March 31, 2025 and 2024, including the expected timing of recognition is as follows: </w:t>
      </w:r>
    </w:p>
    <w:tbl>
      <w:tblPr>
        <w:tblW w:w="7201"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103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4"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12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12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there were no material changes in our contractual obligations and other commitments outside of those disclosed in the 2024 Form 10-K, other than an increase in our lease commitments. See Note 9 to our condensed consolidated financial statements included in Part I, Item 1 of this Quarterly Report on Form 10-Q for further information on our commitments and contingencies.</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three months ended March 31, 2025 as compared to those disclosed in Part II, Item 7. Management’s Discussion and Analysis of Financial Condition and Results of Operations of the 2024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to our condensed consolidated financial statements included in Part I, Item 1 of this Quarterly Report on Form 10-Q for more information regarding recent accounting pronouncements.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_item3"/>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and marketable securities primarily consist of cash on hand and highly liquid investments in money market funds and U.S. government securities. As of March 31, 2025, we had cash and cash equivalents of $131.2 million and marketable securities of $151.9 million.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 </w:t>
      </w:r>
    </w:p>
    <w:p>
      <w:pPr>
        <w:pStyle w:val="TextBody"/>
        <w:bidi w:val="0"/>
        <w:spacing w:before="360" w:after="283"/>
        <w:jc w:val="left"/>
        <w:rPr>
          <w:rFonts w:ascii="Times New Roman" w:hAnsi="Times New Roman"/>
          <w:b/>
          <w:color w:val="000000"/>
          <w:sz w:val="20"/>
        </w:rPr>
      </w:pPr>
      <w:bookmarkStart w:id="13" w:name="i_item4"/>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has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4" w:name="other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5" w:name="ii_item1"/>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“Legal Matters” in Note 9 to our condensed consolidated financial statements included in Part I, Item 1 of this Quarterly Report on Form 10-Q.</w:t>
      </w:r>
    </w:p>
    <w:p>
      <w:pPr>
        <w:pStyle w:val="TextBody"/>
        <w:bidi w:val="0"/>
        <w:spacing w:before="360" w:after="283"/>
        <w:jc w:val="left"/>
        <w:rPr>
          <w:rFonts w:ascii="Times New Roman" w:hAnsi="Times New Roman"/>
          <w:b/>
          <w:color w:val="000000"/>
          <w:sz w:val="20"/>
        </w:rPr>
      </w:pPr>
      <w:bookmarkStart w:id="16" w:name="ii_item1a"/>
      <w:bookmarkEnd w:id="16"/>
      <w:r>
        <w:rPr>
          <w:rFonts w:ascii="Times New Roman" w:hAnsi="Times New Roman"/>
          <w:b/>
          <w:color w:val="000000"/>
          <w:sz w:val="20"/>
        </w:rPr>
        <w:t>Item 1A. Risk Factors.</w:t>
      </w:r>
    </w:p>
    <w:p>
      <w:pPr>
        <w:pStyle w:val="TextBody"/>
        <w:bidi w:val="0"/>
        <w:jc w:val="center"/>
        <w:rPr>
          <w:rFonts w:ascii="Times New Roman" w:hAnsi="Times New Roman"/>
          <w:sz w:val="20"/>
        </w:rPr>
      </w:pPr>
      <w:r>
        <w:rPr>
          <w:rFonts w:ascii="Times New Roman" w:hAnsi="Times New Roman"/>
          <w:b/>
          <w:caps/>
          <w:color w:val="000000"/>
          <w:sz w:val="20"/>
        </w:rPr>
        <w:t>Risk Factors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been growing rapidly over the last several years, which makes it difficult to forecast our future results of operations and increases the risk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was $299.3 million for the fiscal year ended December 31, 2024 and $80.0 million and $72.6 million for the three months ended March 31, 2025 and 2024, respectively. However, you should not rely on our historical revenue growth as an indication of our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 history of losses. As our costs increase, we may not be able to generate sufficient revenue to achieve and sustain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net losses in each period since inception. We generated net losses of $94.3 million for the fiscal year ended December 31, 2024 and $22.2 million and $21.5 million for the three months ended March 31, 2025 and 2024, respectively. As of March 31, 2025, we had an accumulated deficit of $480.1 million. We expect our costs and expenses to increase in future periods. In particular, we intend to continue to invest significant resources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our Digital Analytics Platform, including investments in our research and development team, the development or acquisition of new products, features, and functionality, and improvements to the scalability, availability, and security of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technology infrastructure, including expansion of our activities in third-party data centers that we may lease, enhancements to our network operations and infrastructure, and hiring of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international expansion, in an effort to increase our customer base and sales;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administration, including legal, accounting, and other expenses.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demand for, or pricing of, our Digital Analytics Platform, including as a result of our introduction of new products, features, and functionality;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usage of our Digital Analytics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existing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expansion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in new products, features, and functionality;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our customers’ purchases;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speed with which customers are able to migrate data onto our platform after purchasing capacity;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awareness of our brand on a global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or delays in purchasing decisions in anticipation of new products, features, or functionality developed or acquired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customers’ budgets and in the timing of their budget cycles and purchasing decisions;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control costs, including our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our cloud computing infrastructure, particularly the cloud services provided by Amazon Web Services (“AWS”);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and sales and marketing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non-cash expenses, including stock-based compensation, goodwill impairments, and other non-cash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and retaining and motivating existing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identify and complete, and the effects of, mergers, acquisitions, or strategic partnerships, and the ensuing integration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market, and industry conditions (including the current inflationary economic environment, rising interest rates, tariffs, and a potential recession), both domestically and internationally, as well as economic conditions specifically affecting industries in which our customers participate, and related difficulties in collections;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impact of climate change, natural disasters, health epidemics (such as the COVID-19 pandemic or similar outbreaks of disease), political and social instability, including acts of war or other armed conflicts (including the war in Ukraine and the conflicts in the Middle East), and terrorist activities, on our business, operations, and the markets and communities in which we and our customers and partners operate and the disruption these events may cause to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new accounting pronouncements;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and changing laws, regulations, executive orders, and enforcement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overall tax rate for our business, which may be affected by the mix of income we earn in the United States and in jurisdictions with comparatively lower tax rates, the effects of stock-based compensation, and the effects of changes in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changes in tax laws or judicial or regulatory interpretations of tax laws, which are recorded in the period such laws are enacted or interpretations are issued and may significantly affect the effective tax rate of that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currency exchange rates and changes in the proportion of our revenue and expenses denominated in foreign currencies;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competitive dynamics of our market, including consolidation among competitors or customers;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security breaches of, technical difficulties with, or interruptions to, the delivery and use of our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and other factors, or the cumulative effect of some of these factors, may cause our results of operations to vary significantly. To the extent our results of operations fall below the expectations of investors and securities analysts who follow our stock, the trading price of our Class A common stock could decline substantially, and we could face costly lawsuits, including securities class action litigation. For example, we are currently defending against a securities class action lawsuit (“Securities Class Action”) and a shareholder derivative lawsuit (“Derivative Action”), which were filed in the United States District Court for the Northern District of California. We are also currently defending against two privacy class actions and a third privacy action. See “Legal Matters” in Note 9 to our condensed consolidated financial statements included in Part I, Item 1 of this Quarterly Report on Form 10-Q for additional information regarding the Securities Class Action, the Derivative Action and privacy actions. We have incurred and will continue to incur significant legal costs in connection with the defense of these lawsuits and management will be required to devote significant time in managing the defense of the 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continue to focus on sales to larger organizations and may become more dependent on those relationships, which may increase the variability of our sales cycle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shift in our sales cycle may adversely affect our financial results. Factors that may influence the length and variability of our sales cycle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educate prospective customers about the uses and benefits of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discretionary nature of purchasing and budget cycles and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competitive nature of evaluation and purchasing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evolving functionality demands;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planned introductions of new products, features, or functionality by us or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lengthy purchasing approval processes.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recognize revenue over the term of our customer contracts. Consequently, downturns or upturns in new sales may not be immediately reflected in our results of operations and may be difficult to discern.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conditions in our industry or the global economy, or reductions in software spending, could limit our ability to grow our business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the imposition of tariffs and any retaliatory trade protection measures or trade wars that ensue,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In connection with unfavorable macroeconomic conditions and the related impact on our customers, in April 2023, we authorized a restructuring plan that reduced our global workforce by approximately 13%. We cannot predict the timing, strength, or duration of any economic slowdown, instability, or recovery, generally or within any particular industry. If the economic conditions of the general economy or markets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which we operate worsen from present levels, our business, financial condition, and results of operations could be materially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for SaaS applications develops more slowly than we expect or declines, our business would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in which we operate is highly competitive, and if we do not compete effectively,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in-house software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integrated systems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smaller companies offering alternative SaaS applications;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or emerging entrants seeking to develop competing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financial losses, or the failure of our Digital Analytics Platform to achieve or maintain more widespread market acceptance, any of which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2024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innovate in response to changing customer needs and technology developments and other market requirements,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properly develop, invest in, and manage AI Technologies used in our products and services, our business, financial condition, and results of operations could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incorporated, and expect in the future we will continue to incorporate, machine learning and generative artificial intelligence technologies (collectively, “AI Technologies”) into our product offerings. We offer our customers a suite of AI Technologies that help them achieve data insights faster. For example, we leverage large language models (“LLMs”) in certain features to aid customers in analyzing their product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or other third parties may incorporate AI Technologies into their products more quickly or more successfully than us, which could impair our ability to compete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incorporate LLMs (i.e., AI models that can produce and output new data and information) into certain of our products and services. There is a risk that AI Technologies could produce inaccurate or misleading data or other discriminatory or unexpected results or behaviors, all of which could harm our reputation, business, or customer relationships. While we take measures designed to ensure the accuracy of AI-generated insights, those measures may not always be successful, and in some cases, we may need to rely on users to report such inaccuracies.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claims, increasing our risks of liability. For example, the output data produced by certain AI Technologies may include information subject to certain privacy laws or constitute an unauthorized derivative work of the copyrighted material used in training the underlying AI Technology, any of which could also create a risk of liability for us, or adversely affect our customers and our business or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Issues relating to the responsible use of our technologies, including AI Technologies in our offerings, may result in reputational or financial harm and liability.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Concerns relating to the responsible use of new and evolving technologies, such as AI Technologies, in our products and services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concerns and regulations relating to the responsible use of AI Technologies by us or others could undermine public confidence and slow adoption of our products and services or cause reputational or financial harm.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effectively manage our growth and changes to our business over time,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and may continue to experience, rapid growth in our business and operations, which has placed, and may continue to place, significant demands on our management and operational and financial resources. Recent unfavorable conditions in the macroeconomic environment have constrained growth in the economy generally, and in the software industry in particular, and many of our customers have consequently experienced a downturn in their business outlook.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health crises, such as pandemics or similar outbreaks, have had, and could in the future have, an adverse impact on our business and operations, and the markets and communities in which we, our partners, and customers operate, and the impact of any public health crisis is difficult to assess or predict.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operations, and the businesses and operations of our partners and customers, have been, and could in the future be, adversely impacted by public health crises. For example, public health measures implemented to control COVID-19’s spread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substantially curtailed the movement of people, goods, and services worldwide, including in regions where we and our partners and customers operate, and significantly impacted economic activity and financial markets. While we have developed, and continue to develop, strategies to help mitigate the negative effects of potential public health crises on our business and operations, such efforts may prove to be insufficient. The duration and extent of the impact of any public health crises cannot be accurately assessed or predicted at this time, and could adversely impact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(collectively, “Confidential Information”) of customers and our employees and contractors. Our platform also stores, transmits, and processes our customers’ proprietary data, including personal or identifying information of their customers or employees.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cyberattacks, denial and degradation-of-service attacks, ransomware attacks, business email compromises, computer malware, malicious code,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used to sabotage, or to obtain unauthorized access to, our platform, information technology systems, networks, or physical facilities in which Confidential Information is stored or through which Confidential Information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Confidential Information or other similar disruptions. Such an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 and implement equivalent services, if we are able to do so at all. Any of these circumstances could materially adversely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Real or perceived errors, failures, vulnerabilities, or bugs in our platform could materially adversely affect our business and growth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Any failure to offer high-quality product support may adversely affect our relationships with our customers, our reputation, and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Incorrect or improper implementation or use of our Digital Analytics Platform could result in customer dissatisfaction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if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integrations needed. If we fail to offer a variety of integrations or the integrations that our customers and prospective customers expect and demand, then our Digital Analytics Platform may become less marketable, less competitive, or obsolete, and our business, financial condition, results of operations, and growth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have the history with our subscription or pricing models necessary to accurately predict optimal pricing necessary to attract new customers and retain existing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effectively develop and expand our sales and marketing capabilities, including our relationships with channel partners, could harm our ability to increase our customer base and achieve broader market acceptance of our products and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build and maintain successful relationships with our channel partners or such channel partners may fail to perform, which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materially adversely affected.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marketing strategies are not effective in attracting new customers and retaining existing customers, our business and ability to grow our revenues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pStyle w:val="TextBody"/>
        <w:bidi w:val="0"/>
        <w:spacing w:before="360" w:after="283"/>
        <w:jc w:val="left"/>
        <w:rPr>
          <w:rFonts w:ascii="Times New Roman" w:hAnsi="Times New Roman"/>
          <w:sz w:val="20"/>
        </w:rPr>
      </w:pPr>
      <w:r>
        <w:rPr>
          <w:rFonts w:ascii="Times New Roman" w:hAnsi="Times New Roman"/>
          <w:b/>
          <w:i/>
          <w:color w:val="000000"/>
          <w:sz w:val="20"/>
        </w:rPr>
        <w:t>Sales efforts to larger organizations involve risks that may not be present or that are present to a lesser extent with respect to sales to smaller organizations.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1,000 employees or $100 million in revenue,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maintain and enhance our brand, our business, financial condition, and results of operations may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the market perception of our Digital Analytics Platform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pStyle w:val="TextBody"/>
        <w:bidi w:val="0"/>
        <w:jc w:val="left"/>
        <w:rPr>
          <w:rFonts w:ascii="Times New Roman" w:hAnsi="Times New Roman"/>
          <w:color w:val="000000"/>
          <w:sz w:val="20"/>
        </w:rPr>
      </w:pPr>
      <w:r>
        <w:rPr>
          <w:rFonts w:ascii="Times New Roman" w:hAnsi="Times New Roman"/>
          <w:color w:val="000000"/>
          <w:sz w:val="20"/>
        </w:rPr>
        <w:t xml:space="preserve">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competitors, and we could lose customers or fail to attract potential customers, all of which would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operations are international in scope, and we plan further geographic expansion, creating a variety of operational challenges.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2024 and the three months ended March 31, 2025 and 2024, 40%, 39%, and 40%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future international business and operations involve a variety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slower than anticipated public cloud adoption by international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which may be unexpected, in a specific country’s or region’s political, economic, or legal and regulatory environment, including Brexit, armed conflicts, pandemics, terrorist activities, tariffs, trade wars, or long-term environmental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adapt and localize our Digital Analytics Platform for specific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payment cycles and greater difficulty enforcing contracts, collecting accounts receivable, or satisfying revenue recognition criteria, especially in emerging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evolving, and more stringent regulations relating to privacy and data security and the unauthorized use of, or access to, commercial and personal information, particularly in Europe;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potentially more onerous labor regulations, especially in Europe, where labor laws are generally more advantageous to employees as compared to the United States, including deemed hourly wage and overtime regulations in these locations;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managing a business in new markets with diverse cultures, languages, customs, legal systems, alternative dispute systems, and regulatory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travel, real estate, infrastructure, and legal compliance costs associated with international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currency exchange rate fluctuations and the resulting effect on our revenue and expenses, and the cost and risk of entering into hedging transactions if we choose to do so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our ability to reinvest earnings from operations in one country to fund the capital needs of our operations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business practices favoring local competitors or general market preferences for local vendors;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limited or insufficient intellectual property protection or difficulties obtaining, maintaining, protecting, or enforcing our intellectual property rights, including our trademarks and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political, social or macroeconomic events, including the war in Ukraine, the conflicts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financial accounting and reporting burdens and complexities;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or preferences for domestic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technical standards, existing or future regulatory and certification requirements, and required features and functionality;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privacy and data security, including the E.U. General Data Protection Regulation (“GDPR”) and similar laws and regulations in other jurisdictions;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taxation, and regulations, adverse tax burdens, and foreign exchange controls that could make it difficult to repatriate earnings and cash.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invest substantial time and resources to further expand our international operations and are unable to do so successfully and in a timely manner, our business, financial condition, and results of operations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war in Ukraine could materially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 </w:t>
      </w:r>
    </w:p>
    <w:p>
      <w:pPr>
        <w:pStyle w:val="TextBody"/>
        <w:bidi w:val="0"/>
        <w:spacing w:before="360" w:after="283"/>
        <w:jc w:val="left"/>
        <w:rPr>
          <w:rFonts w:ascii="Times New Roman" w:hAnsi="Times New Roman"/>
          <w:sz w:val="20"/>
        </w:rPr>
      </w:pPr>
      <w:r>
        <w:rPr>
          <w:rFonts w:ascii="Times New Roman" w:hAnsi="Times New Roman"/>
          <w:b/>
          <w:i/>
          <w:color w:val="000000"/>
          <w:sz w:val="20"/>
        </w:rPr>
        <w:t>We derive, and expect to continue for some time to derive, a significant portion of our revenue from our Amplitude Analytics product.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released our Amplitude Activation, Amplitude Experiment, Amplitude Session Replay, Warehouse Native Amplitude, and Guides and Surveys products, we currently derive, and expect to continue for some time to derive, a significant portion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2024 and the three months ended March 31, 2025 and 2024, our research and development expenses were 33%, 29%, and 32%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and our efforts do not lead to the successful introduction or improvement of products that are competitive in our current or future markets, our business, financial condition, and results of operations would be materially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We agree to indemnify customers and other third parties, which exposes us to substantial potential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require additional capital to support the growth of our business, and this capital might not be available on acceptable terms,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may not protect our business or provide us with a competitive advantage,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obtain patents and other intellectual property rights for important innovations or maintain appropriate confidentiality and other protective measures to establish and maintain our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and evolution of, legal standards relating to the validity, enforceability, and scope of protection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invalidation of our intellectual property rights through administrative processes or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by us to detect infringement or other misappropriation of our intellectual property rights by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practical, resource, or business limitations on our ability to enforce our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intellectual property disputes, which are expensive to support and, if resolved adversely, may subject us to significant liability and increased costs of doing business, which could have a material adverse effect on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intellectual property litigation to which we become a party may require us to do one or more of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selling, licensing, or using products or features that incorporate the intellectual property rights that we allegedly infringe, misappropriate, or violate;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substantial payments for legal fees, settlement payments, subscription fee refunds, or other costs or damages, including indemnification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 license or enter into a royalty agreement, either of which may not be available on reasonable terms, or at all, in order to obtain the right to sell or use the relevant intellectual property;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redesign the allegedly infringing products to avoid infringement, misappropriation, or violation, which could be costly, time-consuming, or impossible.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use of “open-source” software could negatively affect our ability to sell our platform and subject us to possible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Regulatory Compliance and 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subject to government regulation, including import, export control, economic sanctions, and trade sanctions, and anti-corruption laws and regulations, which may expose us to liability and increase our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complaints, adverse media coverage, and investigations, any of which could have a material adverse effect on our reputation, business, and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may be affected by the evolving regulatory framework for AI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pStyle w:val="TextBody"/>
        <w:bidi w:val="0"/>
        <w:jc w:val="both"/>
        <w:rPr>
          <w:rFonts w:ascii="Times New Roman" w:hAnsi="Times New Roman"/>
          <w:color w:val="000000"/>
          <w:sz w:val="20"/>
        </w:rPr>
      </w:pPr>
      <w:r>
        <w:rPr>
          <w:rFonts w:ascii="Times New Roman" w:hAnsi="Times New Roman"/>
          <w:color w:val="000000"/>
          <w:sz w:val="20"/>
        </w:rPr>
        <w:t>Already, certain existing legal regimes (e.g., relating to data privacy) regulate certain aspects of AI Technologies, and new laws regulating AI Technologies either entered into force in the United States and the EU in 2024 or are expected to enter into force in 2025. In the United States,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conducted pursuant to the rescinded Biden executive order. The Trump administration may continue to rescind other existing federal orders and/or administrative policies relating to AI Technologies or may implement new executive orders and/or other rule making relating to AI Technologies in the future. Accordingly, the scope and direction of orders, policies, rules and regulations related to AI Technologies at the federal level in the United States in the near future is uncertain.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the California Privacy Protection Agency is currently in the process of finalizing regulations under the California Consumer Privacy Act of 2018, as amended by the California Privacy Rights Act (collectively, the “CCPA”) regarding the use of automated decision-making. California also enacted seventeen new laws in 2024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w:t>
      </w:r>
    </w:p>
    <w:p>
      <w:pPr>
        <w:pStyle w:val="TextBody"/>
        <w:bidi w:val="0"/>
        <w:jc w:val="both"/>
        <w:rPr>
          <w:rFonts w:ascii="Times New Roman" w:hAnsi="Times New Roman"/>
          <w:color w:val="000000"/>
          <w:sz w:val="20"/>
        </w:rPr>
      </w:pPr>
      <w:r>
        <w:rPr>
          <w:rFonts w:ascii="Times New Roman" w:hAnsi="Times New Roman"/>
          <w:color w:val="000000"/>
          <w:sz w:val="20"/>
        </w:rPr>
        <w:t>In Europe, on May 21, 2024, the European Union legislators approved the EU Artificial Intelligence Act (the “EU AI Act”), which establishes a comprehensive, risk-based governance framework for AI in the EU market. The EU AI Act is expected to enter into force on August 1, 2024, and the majority of the substantive requirements will apply two years later. The EU AI Act will apply to companies that develop, use and/or provide AI in the EU and includes requirements around transparency, conformity assessments and monitoring, risk assessments, human oversight, security, accuracy, general purpose AI and foundation models, and proposes fines for breach of up to 7% of worldwide annual turnover. In addition, on September 28, 2022, the European Commission proposed two Directives seeking to establish a harmonized civil liability regime for AI in the EU, in order to facilitate civil claims in respect of harm caused by AI and to include AI-enabled products within the scope of the EU’s existing strict product liability regime. Once fully applicable, the EU AI Act and the Liability Directives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 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new laws and regulations will be adopted in the United States and in other non-U.S. jurisdictions, or 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affected by sanctions, export controls, and similar measures targeting Russia and other countries and territories, as well as other responses to Russia’s invasion of Ukraine.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Russia’s invasion of Ukraine, governmental authorities in the United States, the European Union, and the United Kingdom, among others, launched an expansion of coordinated sanctions and export control measures, including,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on some of the largest state-owned and private Russian financial institutions (and their subsequent removal from the Society for Worldwide Interbank Financial Telecommunication payment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Russian and Belarusian individuals, including the Russian President, other politicians, and those with government connections or involvement in Russian military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certain Russian businessmen and their businesses, some of which have significant financial and trade ties to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of Russia’s foreign currency reserves and prohibition on secondary trading in Russian sovereign debt and certain transactions with the Russian Central Bank, National Wealth Fund, and the Ministry of Finance of the Russian Federation;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sectoral sanctions in various sectors of the Russian and Belarusian economies and the defense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U.K. sanctions introducing restrictions on providing loans to, and dealing in securities issued by, persons connected with Russia;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access to the financial and capital markets in the European Union, as well as prohibitions on aircraft leasing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closure of airspace to Russian aircraft;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 on imports of Russian oil, liquefied natural gas, and coal to the United States and on “new investment” in Russia’s energy sector (often with similar bans being enacted in the United Kingdom and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 on imports of Russian fish, seafood, and preparations thereof, alcoholic beverages, non-industrial diamonds, and gold to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ban on “new investment” in the Russian Federation by a U.S. person, which may be interpreted broadly (with a similar prohibition also enacted by the United Kingdom);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bans on the provision of certain professional services, including accounting, trust and corporate formation, auditing, and management consulting services, and information technology and software services, among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bans on the provision of services related to the worldwide maritime transportation of seaborne Russian oil, if purchased above a specific price cap.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12, 2024, the U.S. Department of the Treasury’s Office of Foreign Assets Control issued, pursuant to Executive Order 14071 and 31 CFR § 587.802, a determination—“Prohibition on Certain Information Technology and Software Services”—that restricts the provision of certain IT and software-related services to Russia. The determination prohibits U.S. persons, wherever located, from exporting, reexporting, selling, or supplying IT support and cloud-based services for enterprise management software and design and manufacturing software to persons located in Russia. Although it is not clear that Amplitude’s software and services are captured by this determination, out of an abundance of caution, we ceased providing our software or IT support or cloud-based services to persons located in Russia on September 12, 2024, when the determination took effect. As a result, we have experienced a decrease in revenue since September 12, 2024 as well as additional bad debts due to changes in our ability to collect open receivables from customers that have had service disruptions caused by this determination.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 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incur significant expenses to comply with the laws, regulations, and other obligations that apply to us. For example, the GDPR went into effect in May 2018 and imposes stringent data protection requirements for processing the personal data of individuals within the EEA or in the context of our activities within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The European Commission adopted its Adequacy Decision in relation to the new E.U.-U.S. Data Privacy Framework (“DPF”) on July 10, 2023, rendering the DPF effective as a GDPR transfer mechanism to U.S. entities self-certified under the DPF.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beginning of 2021, companies have also had to comply with both the GDPR and the UK GDPR, which, together with the amended UK Data Protection Act 2018, retains the GDPR in U.K. national law. The UK GDPR mirrors the fines under the GDPR, imposing fines up to the greater of €20 million (£17.5 million) or 4% of a non-compliant undertaking’s annual global revenue for the preceding financial year.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The enactment of such laws may have potentially conflicting requirements that would make compliance challenging.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Any future litigation against us could be costly and time-consuming to defend.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Tax and Accounting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exposure to foreign currency exchange rate fluctuations.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global operations and structure subject us to potentially adverse tax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2024 and have determined that none of our NOLs generated through December 31, 2024 will expire solely due to Section 382 limitations caused by ownership changes prior to December 31, 2024. However, we may have experienced ownership changes after December 31, 2024,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our effective tax rate or tax liability may have a material adverse effect on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 could increase due to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relative amounts of income before taxes in the various jurisdictions in which we operate that have differing statutory tax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tax laws, tax treaties, and regulations or the interpretation of them, such as the Tax Cuts and Jobs Act, the CARES Act, and the Inflation Reduction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current and future tax audits, examinations, or administrative appeals;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developments could materially adversely affect our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required to collect additional sales or indirect taxes or be subject to other tax liabilities that may increase the costs our customers would have to pay for our products and materially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An increasing number of states have considered or adopted laws that attempt to impose tax collection obligations on out-of-state companies. Additionally, the Supreme Court of the United States ruled in </w:t>
      </w:r>
      <w:r>
        <w:rPr>
          <w:rFonts w:ascii="Times New Roman" w:hAnsi="Times New Roman"/>
          <w:i/>
          <w:color w:val="000000"/>
          <w:sz w:val="20"/>
        </w:rPr>
        <w:t xml:space="preserve">South Dakota v. Wayfair, Inc. et al. </w:t>
      </w:r>
      <w:r>
        <w:rPr>
          <w:rFonts w:ascii="Times New Roman" w:hAnsi="Times New Roman"/>
          <w:color w:val="000000"/>
          <w:sz w:val="20"/>
        </w:rPr>
        <w:t>(“</w:t>
      </w:r>
      <w:r>
        <w:rPr>
          <w:rFonts w:ascii="Times New Roman" w:hAnsi="Times New Roman"/>
          <w:i/>
          <w:color w:val="000000"/>
          <w:sz w:val="20"/>
        </w:rPr>
        <w:t>Wayfair</w:t>
      </w:r>
      <w:r>
        <w:rPr>
          <w:rFonts w:ascii="Times New Roman" w:hAnsi="Times New Roman"/>
          <w:color w:val="000000"/>
          <w:sz w:val="20"/>
        </w:rPr>
        <w:t xml:space="preserve">”), that online sellers can be required to collect sales and use tax despite not having a physical presence in the buyer’s state. In response to </w:t>
      </w:r>
      <w:r>
        <w:rPr>
          <w:rFonts w:ascii="Times New Roman" w:hAnsi="Times New Roman"/>
          <w:i/>
          <w:color w:val="000000"/>
          <w:sz w:val="20"/>
        </w:rPr>
        <w:t>Wayfair</w:t>
      </w:r>
      <w:r>
        <w:rPr>
          <w:rFonts w:ascii="Times New Roman" w:hAnsi="Times New Roman"/>
          <w:color w:val="000000"/>
          <w:sz w:val="20"/>
        </w:rPr>
        <w:t xml:space="preserve">, or otherwise, states or local governments may adopt, or begin to enforce, laws requiring us to calculate, collect, and remit taxes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reported financial results may be adversely affected by changes in accounting principles generally accepted in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prove to be incorrect, our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our Annual Report on Form 10-K, filed with the SEC on February 20, 2025, and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goodwill or intangible assets become impaired, we may be required to record a significant charge to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trading price of our Class A common stock has been, and in the future, may be, volatile, and could decline significantly and rapidly.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Class A common stock has fluctuated and may in the future fluctuate substantially in response to numerous factors in addition to the ones described in the preceding risk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financial condition, results of operations, or operating metrics and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and financial results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financial estimates by any securities analysts who follow our company, or variance in our financial performance from expectations of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pricing of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or growth rate of our addressable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acquisitions, or new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data breaches, disruptions to, or other incidents involving,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board of directors, senior management, or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our Class A common stock made available for trading;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Class A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volume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and growth rate of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market, and industry conditions, including economic slowdowns, recessions, inflationary pressures, rising interest rates, tariffs, trade wars, financial market fluctuations, and 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war or armed conflicts (including those in Ukraine and the Middle East), incidents of terrorism, pandemics, elections, or responses to these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investors or securities analysts view our stock structure unfavorably, particularly our dual class structure and the concentrated voting control of our executive officers, directors, and their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have the ability to influence the outcome of director elections and other matters requiring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other stockholders to influence corporate matters and may cause us to make strategic decisions that could be adverse to the interests of other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we do not expect to issue any additional shares of Class B common stock, any future issuances of Class B common stock would be dilutive to holders of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We cannot predict the impact our dual class structure may have on the trading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our securityholders are subject to any contractual lock-up or other contractual restriction on the transfer or sale of their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have filed registration statements to register all shares subject to options and restricted stock units (“RSU”) outstanding or reserved for future issuance under our equity compensation plans. As of March 31, 2025, we had options outstanding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if fully exercised, would result in the issuance of 10,955,172 shares of Class A common stock, as well as 12,526,884 shares of Class A common stock subject to RSUs.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these shares will be able to be freely sold in the public market upon issuance, subject to applicable vesting requirements and compliance by affiliates with Rule 144.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issuance of additional capital stock in connection with financings, acquisitions, investments, our equity incentive plans, or otherwise will dilute all other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trading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trading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any action to be taken by our stockholders be effected at a duly called annual or special meeting and not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only be removed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our board of directors or the holders of at least 66 2/3% of our outstanding shares of voting stock to amend our bylaws and certain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for indemnification by our directors</w:t>
      </w:r>
      <w:r>
        <w:rPr>
          <w:rFonts w:ascii="Times New Roman" w:hAnsi="Times New Roman"/>
          <w:color w:val="000000"/>
          <w:sz w:val="20"/>
        </w:rPr>
        <w:t xml:space="preserve"> </w:t>
      </w:r>
      <w:r>
        <w:rPr>
          <w:rFonts w:ascii="Times New Roman" w:hAnsi="Times New Roman"/>
          <w:b/>
          <w:i/>
          <w:color w:val="000000"/>
          <w:sz w:val="20"/>
        </w:rPr>
        <w:t>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amended and restated bylaws provide that we will indemnify our directors and officers, in each case to the fullest extent permitted by Delaware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indemnification agreements that we have entered into with our directors and officers provide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retroactively amend our amended and restated bylaws to reduce our indemnification obligations to directors, officers, employees, and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inability to attract and retain highly skilled employees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our executive officers and other key employees, and the loss of one or more of these employees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largely upon the continued services of our executive officers and other key employees. We rely on our leadership team in the areas of research and development, operations, security, marketing, sales, support, and general and administrative functions, and on individual contributors in our research and development and operations. From time to time, there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changes in our executive management team resulting from the hiring or departure of executives. Our inability to successfully manage executive transitions, including the uncertainty associated with any transition and the time and management attention needed to fill any vacant role,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the business, regulatory, or political climate in the San Francisco Bay Area could adversely affect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laws and regulations related to the internet or changes in the internet infrastructure itself may diminish the demand for our Digital Analytics Platform, and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disrupted by catastrophic occurrences and similar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conflicts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publish unfavorable or inaccurate research about our business, the trading price and trading volume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costs as a result of operating as a public company, and our management needs to devote substantial time to compliance with our public company responsibilities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b/>
          <w:color w:val="000000"/>
          <w:sz w:val="20"/>
        </w:rPr>
      </w:pPr>
      <w:bookmarkStart w:id="17" w:name="ii_item2"/>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18" w:name="ii_item3"/>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i_item4"/>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i_item5"/>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Trading Arrangements of Section 16 Reporting Persons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12, 2025, Erica Schultz, a member of our board of directors, adopted a Rule 10b5-1 trading arrangement that is intended to satisfy the affirmative defense of Rule 10b5-1(c) for the sale of up to 81,394 shares of our Class A common stock until June 11, 2026.</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5751"/>
        <w:gridCol w:w="511"/>
        <w:gridCol w:w="844"/>
        <w:gridCol w:w="631"/>
        <w:gridCol w:w="652"/>
        <w:gridCol w:w="945"/>
      </w:tblGrid>
      <w:tr>
        <w:trPr/>
        <w:tc>
          <w:tcPr>
            <w:tcW w:w="871" w:type="dxa"/>
            <w:tcBorders/>
            <w:vAlign w:val="center"/>
          </w:tcPr>
          <w:p>
            <w:pPr>
              <w:pStyle w:val="TableContents"/>
              <w:bidi w:val="0"/>
              <w:spacing w:before="0" w:after="283"/>
              <w:jc w:val="left"/>
              <w:rPr>
                <w:sz w:val="4"/>
                <w:szCs w:val="4"/>
              </w:rPr>
            </w:pPr>
            <w:r>
              <w:rPr>
                <w:sz w:val="4"/>
                <w:szCs w:val="4"/>
              </w:rPr>
            </w:r>
          </w:p>
        </w:tc>
        <w:tc>
          <w:tcPr>
            <w:tcW w:w="5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001-40817</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6/12/2024</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001-40817</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9/21/2021</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Stock Certificate evidencing the shares of Class A Common Stock.</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333-259168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8/30/2021</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Stock Certificate evidencing the shares of Class B Common Stock.</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333-259698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9/21/2021</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dated as of May 28, 2021, as amended, by and among the Registrant and certain of its stockholders.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333-259168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8/30/2021</w:t>
            </w:r>
          </w:p>
        </w:tc>
        <w:tc>
          <w:tcPr>
            <w:tcW w:w="94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10_1.htm">
              <w:r>
                <w:rPr>
                  <w:rStyle w:val="InternetLink"/>
                  <w:rFonts w:ascii="Times New Roman" w:hAnsi="Times New Roman"/>
                  <w:color w:val="0000FF"/>
                  <w:sz w:val="20"/>
                  <w:u w:val="single"/>
                </w:rPr>
                <w:t>Office Lease, dated as of March 21, 2025, by and between the Registrant and KR 201 Third Street Owner, LLC.</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636"/>
        <w:gridCol w:w="146"/>
        <w:gridCol w:w="406"/>
        <w:gridCol w:w="387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Amplitude,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Spenser Skates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Spenser Skates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Casey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Casey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44" w:after="283"/>
        <w:jc w:val="right"/>
        <w:rPr>
          <w:rFonts w:ascii="Times New Roman" w:hAnsi="Times New Roman"/>
          <w:b/>
          <w:color w:val="000000"/>
          <w:sz w:val="24"/>
        </w:rPr>
      </w:pPr>
      <w:bookmarkStart w:id="23" w:name="ampl-ex10_1.htm"/>
      <w:bookmarkStart w:id="24" w:name="ksamplex10_1"/>
      <w:bookmarkEnd w:id="23"/>
      <w:bookmarkEnd w:id="24"/>
      <w:r>
        <w:rPr>
          <w:rFonts w:ascii="Times New Roman" w:hAnsi="Times New Roman"/>
          <w:b/>
          <w:color w:val="000000"/>
          <w:sz w:val="24"/>
        </w:rPr>
        <w:t>Exhibit 10.1</w:t>
      </w:r>
      <w:r>
        <w:br w:type="page"/>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201 THIRD STREET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OFFICE LEASE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This Office Lease (the “</w:t>
      </w:r>
      <w:r>
        <w:rPr>
          <w:rFonts w:ascii="Times New Roman" w:hAnsi="Times New Roman"/>
          <w:b/>
          <w:color w:val="000000"/>
          <w:sz w:val="20"/>
        </w:rPr>
        <w:t>Lease</w:t>
      </w:r>
      <w:r>
        <w:rPr>
          <w:rFonts w:ascii="Times New Roman" w:hAnsi="Times New Roman"/>
          <w:color w:val="000000"/>
          <w:sz w:val="20"/>
        </w:rPr>
        <w:t xml:space="preserve">”), dated as of the date set forth in </w:t>
      </w:r>
      <w:r>
        <w:rPr>
          <w:rFonts w:ascii="Times New Roman" w:hAnsi="Times New Roman"/>
          <w:color w:val="000000"/>
          <w:sz w:val="20"/>
          <w:u w:val="single"/>
        </w:rPr>
        <w:t>Section 1</w:t>
      </w:r>
      <w:r>
        <w:rPr>
          <w:rFonts w:ascii="Times New Roman" w:hAnsi="Times New Roman"/>
          <w:color w:val="000000"/>
          <w:sz w:val="20"/>
        </w:rPr>
        <w:t xml:space="preserve"> of the Summary of Basic Lease Information (the “</w:t>
      </w:r>
      <w:r>
        <w:rPr>
          <w:rFonts w:ascii="Times New Roman" w:hAnsi="Times New Roman"/>
          <w:b/>
          <w:color w:val="000000"/>
          <w:sz w:val="20"/>
        </w:rPr>
        <w:t>Summary</w:t>
      </w:r>
      <w:r>
        <w:rPr>
          <w:rFonts w:ascii="Times New Roman" w:hAnsi="Times New Roman"/>
          <w:color w:val="000000"/>
          <w:sz w:val="20"/>
        </w:rPr>
        <w:t>”), below, is made by and between KR 201 THIRD STREET OWNER, LLC, a Delaware limited liability company (“</w:t>
      </w:r>
      <w:r>
        <w:rPr>
          <w:rFonts w:ascii="Times New Roman" w:hAnsi="Times New Roman"/>
          <w:b/>
          <w:color w:val="000000"/>
          <w:sz w:val="20"/>
        </w:rPr>
        <w:t>Landlord</w:t>
      </w:r>
      <w:r>
        <w:rPr>
          <w:rFonts w:ascii="Times New Roman" w:hAnsi="Times New Roman"/>
          <w:color w:val="000000"/>
          <w:sz w:val="20"/>
        </w:rPr>
        <w:t>”), and AMPLITUDE, INC., a Delaware corporation (“</w:t>
      </w:r>
      <w:r>
        <w:rPr>
          <w:rFonts w:ascii="Times New Roman" w:hAnsi="Times New Roman"/>
          <w:b/>
          <w:color w:val="000000"/>
          <w:sz w:val="20"/>
        </w:rPr>
        <w:t>Tenant</w:t>
      </w:r>
      <w:r>
        <w:rPr>
          <w:rFonts w:ascii="Times New Roman" w:hAnsi="Times New Roman"/>
          <w:color w:val="000000"/>
          <w:sz w:val="20"/>
        </w:rPr>
        <w: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SUMMARY OF BASIC LEASE INFORMATION</w:t>
      </w:r>
    </w:p>
    <w:p>
      <w:pPr>
        <w:pStyle w:val="TextBody"/>
        <w:bidi w:val="0"/>
        <w:spacing w:before="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21"/>
        <w:gridCol w:w="8184"/>
      </w:tblGrid>
      <w:tr>
        <w:trPr/>
        <w:tc>
          <w:tcPr>
            <w:tcW w:w="2021" w:type="dxa"/>
            <w:tcBorders/>
            <w:vAlign w:val="center"/>
          </w:tcPr>
          <w:p>
            <w:pPr>
              <w:pStyle w:val="TableContents"/>
              <w:bidi w:val="0"/>
              <w:spacing w:before="0" w:after="283"/>
              <w:jc w:val="left"/>
              <w:rPr>
                <w:sz w:val="4"/>
                <w:szCs w:val="4"/>
              </w:rPr>
            </w:pPr>
            <w:r>
              <w:rPr>
                <w:sz w:val="4"/>
                <w:szCs w:val="4"/>
              </w:rPr>
            </w:r>
          </w:p>
        </w:tc>
        <w:tc>
          <w:tcPr>
            <w:tcW w:w="8184" w:type="dxa"/>
            <w:tcBorders/>
            <w:vAlign w:val="center"/>
          </w:tcPr>
          <w:p>
            <w:pPr>
              <w:pStyle w:val="TableContents"/>
              <w:bidi w:val="0"/>
              <w:spacing w:before="0" w:after="283"/>
              <w:jc w:val="left"/>
              <w:rPr>
                <w:sz w:val="4"/>
                <w:szCs w:val="4"/>
              </w:rPr>
            </w:pPr>
            <w:r>
              <w:rPr>
                <w:sz w:val="4"/>
                <w:szCs w:val="4"/>
              </w:rPr>
            </w:r>
          </w:p>
        </w:tc>
      </w:tr>
      <w:tr>
        <w:trPr/>
        <w:tc>
          <w:tcPr>
            <w:tcW w:w="2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TERMS OF LEASE</w:t>
            </w:r>
          </w:p>
        </w:tc>
        <w:tc>
          <w:tcPr>
            <w:tcW w:w="81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20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 Date:</w:t>
            </w:r>
          </w:p>
        </w:tc>
        <w:tc>
          <w:tcPr>
            <w:tcW w:w="818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March 21, 2025.</w:t>
            </w:r>
          </w:p>
        </w:tc>
      </w:tr>
      <w:tr>
        <w:trPr/>
        <w:tc>
          <w:tcPr>
            <w:tcW w:w="20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 Premises:</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Article 1</w:t>
            </w:r>
            <w:r>
              <w:rPr>
                <w:rFonts w:ascii="Times New Roman" w:hAnsi="Times New Roman"/>
                <w:color w:val="000000"/>
                <w:sz w:val="20"/>
              </w:rPr>
              <w:t>)</w:t>
            </w:r>
          </w:p>
        </w:tc>
        <w:tc>
          <w:tcPr>
            <w:tcW w:w="818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2021"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2.1 Building:</w:t>
            </w:r>
          </w:p>
        </w:tc>
        <w:tc>
          <w:tcPr>
            <w:tcW w:w="8184" w:type="dxa"/>
            <w:tcBorders/>
            <w:tcMar>
              <w:top w:w="0" w:type="dxa"/>
              <w:left w:w="0" w:type="dxa"/>
              <w:bottom w:w="0" w:type="dxa"/>
              <w:right w:w="0" w:type="dxa"/>
            </w:tcMar>
            <w:vAlign w:val="center"/>
          </w:tcPr>
          <w:p>
            <w:pPr>
              <w:pStyle w:val="TableContents"/>
              <w:bidi w:val="0"/>
              <w:spacing w:before="120" w:after="283"/>
              <w:ind w:left="0" w:right="0" w:firstLine="360"/>
              <w:jc w:val="both"/>
              <w:rPr>
                <w:rFonts w:ascii="Times New Roman" w:hAnsi="Times New Roman"/>
                <w:sz w:val="20"/>
              </w:rPr>
            </w:pPr>
            <w:r>
              <w:rPr>
                <w:rFonts w:ascii="Times New Roman" w:hAnsi="Times New Roman"/>
                <w:color w:val="000000"/>
                <w:sz w:val="20"/>
              </w:rPr>
              <w:t>That certain twelve (12) story office building (the “</w:t>
            </w:r>
            <w:r>
              <w:rPr>
                <w:rFonts w:ascii="Times New Roman" w:hAnsi="Times New Roman"/>
                <w:b/>
                <w:color w:val="000000"/>
                <w:sz w:val="20"/>
              </w:rPr>
              <w:t>Building</w:t>
            </w:r>
            <w:r>
              <w:rPr>
                <w:rFonts w:ascii="Times New Roman" w:hAnsi="Times New Roman"/>
                <w:color w:val="000000"/>
                <w:sz w:val="20"/>
              </w:rPr>
              <w:t xml:space="preserve">”) located at 201 Third Street, San Francisco, California 94103, containing 353,264 rentable square feet of space. The rentable square footage of the Building is subject to </w:t>
            </w:r>
            <w:r>
              <w:rPr>
                <w:rFonts w:ascii="Times New Roman" w:hAnsi="Times New Roman"/>
                <w:color w:val="000000"/>
                <w:sz w:val="20"/>
                <w:u w:val="single"/>
              </w:rPr>
              <w:t>Section 1.3</w:t>
            </w:r>
            <w:r>
              <w:rPr>
                <w:rFonts w:ascii="Times New Roman" w:hAnsi="Times New Roman"/>
                <w:color w:val="000000"/>
                <w:sz w:val="20"/>
              </w:rPr>
              <w:t>, below.</w:t>
            </w:r>
          </w:p>
        </w:tc>
      </w:tr>
      <w:tr>
        <w:trPr/>
        <w:tc>
          <w:tcPr>
            <w:tcW w:w="2021"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2.2 Premises:</w:t>
            </w:r>
          </w:p>
        </w:tc>
        <w:tc>
          <w:tcPr>
            <w:tcW w:w="8184" w:type="dxa"/>
            <w:tcBorders/>
            <w:tcMar>
              <w:top w:w="0" w:type="dxa"/>
              <w:left w:w="0" w:type="dxa"/>
              <w:bottom w:w="0" w:type="dxa"/>
              <w:right w:w="0" w:type="dxa"/>
            </w:tcMar>
            <w:vAlign w:val="center"/>
          </w:tcPr>
          <w:p>
            <w:pPr>
              <w:pStyle w:val="TableContents"/>
              <w:bidi w:val="0"/>
              <w:spacing w:before="120" w:after="283"/>
              <w:ind w:left="0" w:right="0" w:firstLine="360"/>
              <w:jc w:val="both"/>
              <w:rPr>
                <w:rFonts w:ascii="Times New Roman" w:hAnsi="Times New Roman"/>
                <w:sz w:val="20"/>
              </w:rPr>
            </w:pPr>
            <w:r>
              <w:rPr>
                <w:rFonts w:ascii="Times New Roman" w:hAnsi="Times New Roman"/>
                <w:color w:val="000000"/>
                <w:sz w:val="20"/>
              </w:rPr>
              <w:t>Approximately 57,530 rentable square feet of space, comprised of (i) approximately 28,032 rentable square feet consisting of the entire second (2</w:t>
            </w:r>
            <w:r>
              <w:rPr>
                <w:rFonts w:ascii="Times New Roman" w:hAnsi="Times New Roman"/>
                <w:color w:val="000000"/>
                <w:sz w:val="13"/>
              </w:rPr>
              <w:t>nd</w:t>
            </w:r>
            <w:r>
              <w:rPr>
                <w:rFonts w:ascii="Times New Roman" w:hAnsi="Times New Roman"/>
                <w:color w:val="000000"/>
                <w:sz w:val="20"/>
              </w:rPr>
              <w:t>) floor of the Building and commonly known as Suite 200; and (ii) approximately 29,498 rentable square feet comprising the entire third (3</w:t>
            </w:r>
            <w:r>
              <w:rPr>
                <w:rFonts w:ascii="Times New Roman" w:hAnsi="Times New Roman"/>
                <w:color w:val="000000"/>
                <w:sz w:val="13"/>
              </w:rPr>
              <w:t>rd</w:t>
            </w:r>
            <w:r>
              <w:rPr>
                <w:rFonts w:ascii="Times New Roman" w:hAnsi="Times New Roman"/>
                <w:color w:val="000000"/>
                <w:sz w:val="20"/>
              </w:rPr>
              <w:t xml:space="preserve">) floor of the Building and commonly known as Suite 300, as further depicted on </w:t>
            </w:r>
            <w:r>
              <w:rPr>
                <w:rFonts w:ascii="Times New Roman" w:hAnsi="Times New Roman"/>
                <w:b/>
                <w:color w:val="000000"/>
                <w:sz w:val="20"/>
                <w:u w:val="single"/>
              </w:rPr>
              <w:t>Exhibit A</w:t>
            </w:r>
            <w:r>
              <w:rPr>
                <w:rFonts w:ascii="Times New Roman" w:hAnsi="Times New Roman"/>
                <w:color w:val="000000"/>
                <w:sz w:val="20"/>
              </w:rPr>
              <w:t xml:space="preserve"> to the Office Lease. The rentable square footage of the Premises is subject to </w:t>
            </w:r>
            <w:r>
              <w:rPr>
                <w:rFonts w:ascii="Times New Roman" w:hAnsi="Times New Roman"/>
                <w:color w:val="000000"/>
                <w:sz w:val="20"/>
                <w:u w:val="single"/>
              </w:rPr>
              <w:t>Section 1.3</w:t>
            </w:r>
            <w:r>
              <w:rPr>
                <w:rFonts w:ascii="Times New Roman" w:hAnsi="Times New Roman"/>
                <w:color w:val="000000"/>
                <w:sz w:val="20"/>
              </w:rPr>
              <w:t>, below.</w:t>
            </w:r>
          </w:p>
        </w:tc>
      </w:tr>
      <w:tr>
        <w:trPr/>
        <w:tc>
          <w:tcPr>
            <w:tcW w:w="2021"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2.3 Project:</w:t>
            </w:r>
          </w:p>
        </w:tc>
        <w:tc>
          <w:tcPr>
            <w:tcW w:w="818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The Building is the principal component of an office project known as “201 Third Street,” as further set forth in </w:t>
            </w:r>
            <w:r>
              <w:rPr>
                <w:rFonts w:ascii="Times New Roman" w:hAnsi="Times New Roman"/>
                <w:color w:val="000000"/>
                <w:sz w:val="20"/>
                <w:u w:val="single"/>
              </w:rPr>
              <w:t>Section 1.1.2</w:t>
            </w:r>
            <w:r>
              <w:rPr>
                <w:rFonts w:ascii="Times New Roman" w:hAnsi="Times New Roman"/>
                <w:color w:val="000000"/>
                <w:sz w:val="20"/>
              </w:rPr>
              <w:t> of this Lease.</w:t>
            </w:r>
          </w:p>
        </w:tc>
      </w:tr>
      <w:tr>
        <w:trPr/>
        <w:tc>
          <w:tcPr>
            <w:tcW w:w="20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 Lease Term</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Article 2</w:t>
            </w:r>
            <w:r>
              <w:rPr>
                <w:rFonts w:ascii="Times New Roman" w:hAnsi="Times New Roman"/>
                <w:color w:val="000000"/>
                <w:sz w:val="20"/>
              </w:rPr>
              <w:t>):</w:t>
            </w:r>
          </w:p>
        </w:tc>
        <w:tc>
          <w:tcPr>
            <w:tcW w:w="8184" w:type="dxa"/>
            <w:tcBorders/>
            <w:tcMar>
              <w:top w:w="0" w:type="dxa"/>
              <w:left w:w="0" w:type="dxa"/>
              <w:bottom w:w="0" w:type="dxa"/>
              <w:right w:w="0" w:type="dxa"/>
            </w:tcMar>
            <w:vAlign w:val="center"/>
          </w:tcPr>
          <w:p>
            <w:pPr>
              <w:pStyle w:val="TableContents"/>
              <w:bidi w:val="0"/>
              <w:spacing w:before="120" w:after="283"/>
              <w:ind w:left="0" w:right="0" w:firstLine="360"/>
              <w:jc w:val="left"/>
              <w:rPr/>
            </w:pPr>
            <w:r>
              <w:rPr/>
              <w:t> </w:t>
            </w:r>
          </w:p>
        </w:tc>
      </w:tr>
      <w:tr>
        <w:trPr/>
        <w:tc>
          <w:tcPr>
            <w:tcW w:w="2021"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3.1 Length of Term:</w:t>
            </w:r>
          </w:p>
        </w:tc>
        <w:tc>
          <w:tcPr>
            <w:tcW w:w="8184"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Approximately three (3) years and five (5) months.</w:t>
            </w:r>
          </w:p>
        </w:tc>
      </w:tr>
      <w:tr>
        <w:trPr/>
        <w:tc>
          <w:tcPr>
            <w:tcW w:w="2021"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3.2 Lease Commencement Date:</w:t>
            </w:r>
          </w:p>
        </w:tc>
        <w:tc>
          <w:tcPr>
            <w:tcW w:w="8184" w:type="dxa"/>
            <w:tcBorders/>
            <w:tcMar>
              <w:top w:w="0" w:type="dxa"/>
              <w:left w:w="0" w:type="dxa"/>
              <w:bottom w:w="0" w:type="dxa"/>
              <w:right w:w="0" w:type="dxa"/>
            </w:tcMar>
            <w:vAlign w:val="center"/>
          </w:tcPr>
          <w:p>
            <w:pPr>
              <w:pStyle w:val="TableContents"/>
              <w:bidi w:val="0"/>
              <w:spacing w:before="120" w:after="283"/>
              <w:ind w:left="0" w:right="0" w:firstLine="360"/>
              <w:jc w:val="both"/>
              <w:rPr>
                <w:rFonts w:ascii="Times New Roman" w:hAnsi="Times New Roman"/>
                <w:sz w:val="20"/>
              </w:rPr>
            </w:pPr>
            <w:r>
              <w:rPr>
                <w:rFonts w:ascii="Times New Roman" w:hAnsi="Times New Roman"/>
                <w:color w:val="000000"/>
                <w:sz w:val="20"/>
              </w:rPr>
              <w:t xml:space="preserve">Subject to </w:t>
            </w:r>
            <w:r>
              <w:rPr>
                <w:rFonts w:ascii="Times New Roman" w:hAnsi="Times New Roman"/>
                <w:color w:val="000000"/>
                <w:sz w:val="20"/>
                <w:u w:val="single"/>
              </w:rPr>
              <w:t>Section 2.3</w:t>
            </w:r>
            <w:r>
              <w:rPr>
                <w:rFonts w:ascii="Times New Roman" w:hAnsi="Times New Roman"/>
                <w:color w:val="000000"/>
                <w:sz w:val="20"/>
              </w:rPr>
              <w:t xml:space="preserve"> below, the Lease Commencement Date will occur on the earlier to occur of (i) October 1, 2025, or (ii) the date following the termination of the “Existing Sublease” (as defined in </w:t>
            </w:r>
            <w:r>
              <w:rPr>
                <w:rFonts w:ascii="Times New Roman" w:hAnsi="Times New Roman"/>
                <w:color w:val="000000"/>
                <w:sz w:val="20"/>
                <w:u w:val="single"/>
              </w:rPr>
              <w:t>Section 2.3</w:t>
            </w:r>
            <w:r>
              <w:rPr>
                <w:rFonts w:ascii="Times New Roman" w:hAnsi="Times New Roman"/>
                <w:color w:val="000000"/>
                <w:sz w:val="20"/>
              </w:rPr>
              <w:t xml:space="preserve"> below); provided, however, in no event shall the Lease Commencement Date occur prior to the expiration or earlier termination of the “Master Lease” (as defined in </w:t>
            </w:r>
            <w:r>
              <w:rPr>
                <w:rFonts w:ascii="Times New Roman" w:hAnsi="Times New Roman"/>
                <w:color w:val="000000"/>
                <w:sz w:val="20"/>
                <w:u w:val="single"/>
              </w:rPr>
              <w:t>Section 2.3</w:t>
            </w:r>
            <w:r>
              <w:rPr>
                <w:rFonts w:ascii="Times New Roman" w:hAnsi="Times New Roman"/>
                <w:color w:val="000000"/>
                <w:sz w:val="20"/>
              </w:rPr>
              <w:t> below).</w:t>
            </w:r>
          </w:p>
        </w:tc>
      </w:tr>
      <w:tr>
        <w:trPr/>
        <w:tc>
          <w:tcPr>
            <w:tcW w:w="2021"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3.3 Lease Expiration Date:</w:t>
            </w:r>
          </w:p>
        </w:tc>
        <w:tc>
          <w:tcPr>
            <w:tcW w:w="8184"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February 28, 2029.</w:t>
            </w:r>
          </w:p>
        </w:tc>
      </w:tr>
      <w:tr>
        <w:trPr/>
        <w:tc>
          <w:tcPr>
            <w:tcW w:w="2021"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3.4 Option Term:</w:t>
            </w:r>
          </w:p>
        </w:tc>
        <w:tc>
          <w:tcPr>
            <w:tcW w:w="818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Times New Roman" w:hAnsi="Times New Roman"/>
                <w:color w:val="000000"/>
                <w:sz w:val="20"/>
              </w:rPr>
              <w:t xml:space="preserve">One (1) three (3)-year option to renew, as more particularly set forth in </w:t>
            </w:r>
            <w:r>
              <w:rPr>
                <w:rFonts w:ascii="Times New Roman" w:hAnsi="Times New Roman"/>
                <w:color w:val="000000"/>
                <w:sz w:val="20"/>
                <w:u w:val="single"/>
              </w:rPr>
              <w:t>Section 2.2</w:t>
            </w:r>
            <w:r>
              <w:rPr>
                <w:rFonts w:ascii="Times New Roman" w:hAnsi="Times New Roman"/>
                <w:color w:val="000000"/>
                <w:sz w:val="20"/>
              </w:rPr>
              <w:t> of this Lease.</w:t>
            </w:r>
          </w:p>
        </w:tc>
      </w:tr>
    </w:tbl>
    <w:p>
      <w:pPr>
        <w:pStyle w:val="TextBody"/>
        <w:bidi w:val="0"/>
        <w:jc w:val="left"/>
        <w:rPr/>
      </w:pPr>
      <w:r>
        <w:rPr/>
        <w:t> </w:t>
      </w:r>
    </w:p>
    <w:p>
      <w:pPr>
        <w:pStyle w:val="TextBody"/>
        <w:bidi w:val="0"/>
        <w:jc w:val="left"/>
        <w:rPr/>
      </w:pPr>
      <w:r>
        <w:rPr/>
        <w:t> </w:t>
      </w:r>
    </w:p>
    <w:tbl>
      <w:tblPr>
        <w:tblW w:w="2531" w:type="dxa"/>
        <w:jc w:val="left"/>
        <w:tblInd w:w="0" w:type="dxa"/>
        <w:tblLayout w:type="fixed"/>
        <w:tblCellMar>
          <w:top w:w="28" w:type="dxa"/>
          <w:left w:w="28" w:type="dxa"/>
          <w:bottom w:w="28" w:type="dxa"/>
          <w:right w:w="28" w:type="dxa"/>
        </w:tblCellMar>
      </w:tblPr>
      <w:tblGrid>
        <w:gridCol w:w="161"/>
        <w:gridCol w:w="160"/>
        <w:gridCol w:w="1260"/>
        <w:gridCol w:w="160"/>
        <w:gridCol w:w="790"/>
      </w:tblGrid>
      <w:tr>
        <w:trPr/>
        <w:tc>
          <w:tcPr>
            <w:tcW w:w="1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ind w:left="0" w:right="0" w:firstLine="14"/>
              <w:jc w:val="center"/>
              <w:rPr/>
            </w:pPr>
            <w:r>
              <w:rPr/>
              <w:t> </w:t>
            </w:r>
          </w:p>
        </w:tc>
        <w:tc>
          <w:tcPr>
            <w:tcW w:w="1260" w:type="dxa"/>
            <w:tcBorders/>
            <w:tcMar>
              <w:top w:w="0" w:type="dxa"/>
              <w:left w:w="0" w:type="dxa"/>
              <w:bottom w:w="0" w:type="dxa"/>
              <w:right w:w="0" w:type="dxa"/>
            </w:tcMar>
            <w:vAlign w:val="center"/>
          </w:tcPr>
          <w:p>
            <w:pPr>
              <w:pStyle w:val="TableContents"/>
              <w:bidi w:val="0"/>
              <w:ind w:left="0" w:right="0" w:firstLine="14"/>
              <w:jc w:val="right"/>
              <w:rPr>
                <w:rFonts w:ascii="Times New Roman" w:hAnsi="Times New Roman"/>
                <w:color w:val="000000"/>
                <w:sz w:val="13"/>
              </w:rPr>
            </w:pPr>
            <w:r>
              <w:rPr>
                <w:rFonts w:ascii="Times New Roman" w:hAnsi="Times New Roman"/>
                <w:color w:val="000000"/>
                <w:sz w:val="13"/>
              </w:rPr>
              <w:t xml:space="preserve">KILROY REALTY </w:t>
            </w:r>
          </w:p>
          <w:p>
            <w:pPr>
              <w:pStyle w:val="TableContents"/>
              <w:bidi w:val="0"/>
              <w:ind w:left="0" w:right="0" w:firstLine="14"/>
              <w:jc w:val="right"/>
              <w:rPr>
                <w:rFonts w:ascii="Times New Roman" w:hAnsi="Times New Roman"/>
                <w:color w:val="000000"/>
                <w:sz w:val="13"/>
              </w:rPr>
            </w:pPr>
            <w:r>
              <w:rPr>
                <w:rFonts w:ascii="Times New Roman" w:hAnsi="Times New Roman"/>
                <w:color w:val="000000"/>
                <w:sz w:val="13"/>
              </w:rPr>
              <w:t>201 THIRD STREET</w:t>
            </w:r>
          </w:p>
          <w:p>
            <w:pPr>
              <w:pStyle w:val="TableContents"/>
              <w:bidi w:val="0"/>
              <w:spacing w:before="0" w:after="283"/>
              <w:ind w:left="0" w:right="0" w:firstLine="14"/>
              <w:jc w:val="right"/>
              <w:rPr>
                <w:rFonts w:ascii="Times New Roman" w:hAnsi="Times New Roman"/>
                <w:color w:val="000000"/>
                <w:sz w:val="13"/>
              </w:rPr>
            </w:pPr>
            <w:r>
              <w:rPr>
                <w:rFonts w:ascii="Times New Roman" w:hAnsi="Times New Roman"/>
                <w:color w:val="000000"/>
                <w:sz w:val="13"/>
              </w:rPr>
              <w:t>Amplitude, Inc.</w:t>
            </w:r>
          </w:p>
        </w:tc>
        <w:tc>
          <w:tcPr>
            <w:tcW w:w="160" w:type="dxa"/>
            <w:tcBorders/>
            <w:tcMar>
              <w:top w:w="0" w:type="dxa"/>
              <w:left w:w="0" w:type="dxa"/>
              <w:bottom w:w="0" w:type="dxa"/>
              <w:right w:w="0" w:type="dxa"/>
            </w:tcMar>
            <w:vAlign w:val="center"/>
          </w:tcPr>
          <w:p>
            <w:pPr>
              <w:pStyle w:val="TableContents"/>
              <w:bidi w:val="0"/>
              <w:spacing w:before="0" w:after="283"/>
              <w:ind w:left="0" w:right="0" w:firstLine="14"/>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ind w:left="0" w:right="0" w:firstLine="14"/>
              <w:jc w:val="center"/>
              <w:rPr/>
            </w:pPr>
            <w:r>
              <w:rPr/>
              <w:drawing>
                <wp:inline distT="0" distB="0" distL="0" distR="0">
                  <wp:extent cx="4095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8044" w:type="dxa"/>
        <w:jc w:val="left"/>
        <w:tblInd w:w="0" w:type="dxa"/>
        <w:tblLayout w:type="fixed"/>
        <w:tblCellMar>
          <w:top w:w="28" w:type="dxa"/>
          <w:left w:w="28" w:type="dxa"/>
          <w:bottom w:w="28" w:type="dxa"/>
          <w:right w:w="28" w:type="dxa"/>
        </w:tblCellMar>
      </w:tblPr>
      <w:tblGrid>
        <w:gridCol w:w="4276"/>
        <w:gridCol w:w="1291"/>
        <w:gridCol w:w="1246"/>
        <w:gridCol w:w="1231"/>
      </w:tblGrid>
      <w:tr>
        <w:trPr/>
        <w:tc>
          <w:tcPr>
            <w:tcW w:w="427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42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4. Base Rent</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Article 3</w:t>
            </w:r>
            <w:r>
              <w:rPr>
                <w:rFonts w:ascii="Times New Roman" w:hAnsi="Times New Roman"/>
                <w:color w:val="000000"/>
                <w:sz w:val="20"/>
              </w:rPr>
              <w:t>):</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tcMar>
              <w:top w:w="0" w:type="dxa"/>
              <w:left w:w="0" w:type="dxa"/>
              <w:bottom w:w="0" w:type="dxa"/>
              <w:right w:w="0" w:type="dxa"/>
            </w:tcMar>
            <w:vAlign w:val="center"/>
          </w:tcPr>
          <w:p>
            <w:pPr>
              <w:pStyle w:val="TableContents"/>
              <w:bidi w:val="0"/>
              <w:spacing w:before="270" w:after="283"/>
              <w:jc w:val="center"/>
              <w:rPr/>
            </w:pPr>
            <w:r>
              <w:rPr/>
              <w:t> </w:t>
            </w:r>
          </w:p>
          <w:p>
            <w:pPr>
              <w:pStyle w:val="TableContents"/>
              <w:bidi w:val="0"/>
              <w:spacing w:before="1" w:after="283"/>
              <w:jc w:val="center"/>
              <w:rPr>
                <w:rFonts w:ascii="Times New Roman" w:hAnsi="Times New Roman"/>
                <w:color w:val="000000"/>
                <w:sz w:val="20"/>
                <w:u w:val="single"/>
              </w:rPr>
            </w:pPr>
            <w:r>
              <w:rPr>
                <w:rFonts w:ascii="Times New Roman" w:hAnsi="Times New Roman"/>
                <w:color w:val="000000"/>
                <w:sz w:val="20"/>
                <w:u w:val="single"/>
              </w:rPr>
              <w:t>Period During Lease Term</w:t>
            </w:r>
          </w:p>
        </w:tc>
        <w:tc>
          <w:tcPr>
            <w:tcW w:w="1291" w:type="dxa"/>
            <w:tcBorders/>
            <w:tcMar>
              <w:top w:w="0" w:type="dxa"/>
              <w:left w:w="0" w:type="dxa"/>
              <w:bottom w:w="0" w:type="dxa"/>
              <w:right w:w="0" w:type="dxa"/>
            </w:tcMar>
            <w:vAlign w:val="center"/>
          </w:tcPr>
          <w:p>
            <w:pPr>
              <w:pStyle w:val="TableContents"/>
              <w:bidi w:val="0"/>
              <w:spacing w:before="270" w:after="283"/>
              <w:jc w:val="center"/>
              <w:rPr/>
            </w:pPr>
            <w:r>
              <w:rPr/>
              <w:t> </w:t>
            </w:r>
          </w:p>
          <w:p>
            <w:pPr>
              <w:pStyle w:val="TableContents"/>
              <w:bidi w:val="0"/>
              <w:spacing w:before="1" w:after="283"/>
              <w:jc w:val="center"/>
              <w:rPr>
                <w:rFonts w:ascii="Times New Roman" w:hAnsi="Times New Roman"/>
                <w:color w:val="000000"/>
                <w:sz w:val="20"/>
              </w:rPr>
            </w:pPr>
            <w:r>
              <w:rPr>
                <w:rFonts w:ascii="Times New Roman" w:hAnsi="Times New Roman"/>
                <w:color w:val="000000"/>
                <w:sz w:val="20"/>
              </w:rPr>
              <w:t>Annual</w:t>
            </w:r>
          </w:p>
          <w:p>
            <w:pPr>
              <w:pStyle w:val="TableContents"/>
              <w:bidi w:val="0"/>
              <w:spacing w:before="1" w:after="283"/>
              <w:jc w:val="center"/>
              <w:rPr>
                <w:rFonts w:ascii="Times New Roman" w:hAnsi="Times New Roman"/>
                <w:color w:val="000000"/>
                <w:sz w:val="20"/>
                <w:u w:val="single"/>
              </w:rPr>
            </w:pPr>
            <w:r>
              <w:rPr>
                <w:rFonts w:ascii="Times New Roman" w:hAnsi="Times New Roman"/>
                <w:color w:val="000000"/>
                <w:sz w:val="20"/>
                <w:u w:val="single"/>
              </w:rPr>
              <w:t>Base Rent*</w:t>
            </w:r>
          </w:p>
        </w:tc>
        <w:tc>
          <w:tcPr>
            <w:tcW w:w="1246" w:type="dxa"/>
            <w:tcBorders/>
            <w:tcMar>
              <w:top w:w="0" w:type="dxa"/>
              <w:left w:w="0" w:type="dxa"/>
              <w:bottom w:w="0" w:type="dxa"/>
              <w:right w:w="0" w:type="dxa"/>
            </w:tcMar>
            <w:vAlign w:val="center"/>
          </w:tcPr>
          <w:p>
            <w:pPr>
              <w:pStyle w:val="TableContents"/>
              <w:bidi w:val="0"/>
              <w:spacing w:before="271" w:after="283"/>
              <w:jc w:val="center"/>
              <w:rPr>
                <w:rFonts w:ascii="Times New Roman" w:hAnsi="Times New Roman"/>
                <w:color w:val="000000"/>
                <w:sz w:val="20"/>
              </w:rPr>
            </w:pPr>
            <w:r>
              <w:rPr>
                <w:rFonts w:ascii="Times New Roman" w:hAnsi="Times New Roman"/>
                <w:color w:val="000000"/>
                <w:sz w:val="20"/>
              </w:rPr>
              <w:t xml:space="preserve">Monthly </w:t>
            </w:r>
          </w:p>
          <w:p>
            <w:pPr>
              <w:pStyle w:val="TableContents"/>
              <w:bidi w:val="0"/>
              <w:jc w:val="center"/>
              <w:rPr>
                <w:rFonts w:ascii="Times New Roman" w:hAnsi="Times New Roman"/>
                <w:color w:val="000000"/>
                <w:sz w:val="20"/>
              </w:rPr>
            </w:pPr>
            <w:r>
              <w:rPr>
                <w:rFonts w:ascii="Times New Roman" w:hAnsi="Times New Roman"/>
                <w:color w:val="000000"/>
                <w:sz w:val="20"/>
              </w:rPr>
              <w:t xml:space="preserve">Installment </w:t>
            </w:r>
          </w:p>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of Base Rent*</w:t>
            </w:r>
          </w:p>
        </w:tc>
        <w:tc>
          <w:tcPr>
            <w:tcW w:w="12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Annual</w:t>
            </w:r>
          </w:p>
          <w:p>
            <w:pPr>
              <w:pStyle w:val="TableContents"/>
              <w:bidi w:val="0"/>
              <w:jc w:val="center"/>
              <w:rPr>
                <w:rFonts w:ascii="Times New Roman" w:hAnsi="Times New Roman"/>
                <w:color w:val="000000"/>
                <w:sz w:val="20"/>
              </w:rPr>
            </w:pPr>
            <w:r>
              <w:rPr>
                <w:rFonts w:ascii="Times New Roman" w:hAnsi="Times New Roman"/>
                <w:color w:val="000000"/>
                <w:sz w:val="20"/>
              </w:rPr>
              <w:t>Rental Rate</w:t>
            </w:r>
          </w:p>
          <w:p>
            <w:pPr>
              <w:pStyle w:val="TableContents"/>
              <w:bidi w:val="0"/>
              <w:jc w:val="center"/>
              <w:rPr>
                <w:rFonts w:ascii="Times New Roman" w:hAnsi="Times New Roman"/>
                <w:color w:val="000000"/>
                <w:sz w:val="20"/>
              </w:rPr>
            </w:pPr>
            <w:r>
              <w:rPr>
                <w:rFonts w:ascii="Times New Roman" w:hAnsi="Times New Roman"/>
                <w:color w:val="000000"/>
                <w:sz w:val="20"/>
              </w:rPr>
              <w:t>per Rentable</w:t>
            </w:r>
          </w:p>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Square Foot*</w:t>
            </w:r>
          </w:p>
        </w:tc>
      </w:tr>
      <w:tr>
        <w:trPr/>
        <w:tc>
          <w:tcPr>
            <w:tcW w:w="4276" w:type="dxa"/>
            <w:tcBorders/>
            <w:tcMar>
              <w:top w:w="0" w:type="dxa"/>
              <w:left w:w="0" w:type="dxa"/>
              <w:bottom w:w="0" w:type="dxa"/>
              <w:right w:w="0" w:type="dxa"/>
            </w:tcMar>
            <w:vAlign w:val="center"/>
          </w:tcPr>
          <w:p>
            <w:pPr>
              <w:pStyle w:val="TableContents"/>
              <w:bidi w:val="0"/>
              <w:spacing w:before="115" w:after="283"/>
              <w:jc w:val="left"/>
              <w:rPr>
                <w:rFonts w:ascii="Times New Roman" w:hAnsi="Times New Roman"/>
                <w:color w:val="000000"/>
                <w:sz w:val="20"/>
              </w:rPr>
            </w:pPr>
            <w:r>
              <w:rPr>
                <w:rFonts w:ascii="Times New Roman" w:hAnsi="Times New Roman"/>
                <w:color w:val="000000"/>
                <w:sz w:val="20"/>
              </w:rPr>
              <w:t>Lease Commencement Date – September 30, 2026◊</w:t>
            </w:r>
          </w:p>
        </w:tc>
        <w:tc>
          <w:tcPr>
            <w:tcW w:w="1291" w:type="dxa"/>
            <w:tcBorders/>
            <w:tcMar>
              <w:top w:w="0" w:type="dxa"/>
              <w:left w:w="0" w:type="dxa"/>
              <w:bottom w:w="0" w:type="dxa"/>
              <w:right w:w="0" w:type="dxa"/>
            </w:tcMar>
            <w:vAlign w:val="center"/>
          </w:tcPr>
          <w:p>
            <w:pPr>
              <w:pStyle w:val="TableContents"/>
              <w:bidi w:val="0"/>
              <w:spacing w:before="114" w:after="283"/>
              <w:jc w:val="center"/>
              <w:rPr/>
            </w:pPr>
            <w:r>
              <w:rPr/>
              <w:t> </w:t>
            </w:r>
          </w:p>
          <w:p>
            <w:pPr>
              <w:pStyle w:val="TableContents"/>
              <w:bidi w:val="0"/>
              <w:spacing w:before="1" w:after="283"/>
              <w:jc w:val="center"/>
              <w:rPr>
                <w:rFonts w:ascii="Times New Roman" w:hAnsi="Times New Roman"/>
                <w:color w:val="000000"/>
                <w:sz w:val="20"/>
              </w:rPr>
            </w:pPr>
            <w:r>
              <w:rPr>
                <w:rFonts w:ascii="Times New Roman" w:hAnsi="Times New Roman"/>
                <w:color w:val="000000"/>
                <w:sz w:val="20"/>
              </w:rPr>
              <w:t>$2,703,910.00</w:t>
            </w:r>
          </w:p>
        </w:tc>
        <w:tc>
          <w:tcPr>
            <w:tcW w:w="1246" w:type="dxa"/>
            <w:tcBorders/>
            <w:tcMar>
              <w:top w:w="0" w:type="dxa"/>
              <w:left w:w="0" w:type="dxa"/>
              <w:bottom w:w="0" w:type="dxa"/>
              <w:right w:w="0" w:type="dxa"/>
            </w:tcMar>
            <w:vAlign w:val="center"/>
          </w:tcPr>
          <w:p>
            <w:pPr>
              <w:pStyle w:val="TableContents"/>
              <w:bidi w:val="0"/>
              <w:spacing w:before="114" w:after="283"/>
              <w:jc w:val="center"/>
              <w:rPr/>
            </w:pPr>
            <w:r>
              <w:rPr/>
              <w:t> </w:t>
            </w:r>
          </w:p>
          <w:p>
            <w:pPr>
              <w:pStyle w:val="TableContents"/>
              <w:bidi w:val="0"/>
              <w:spacing w:before="1" w:after="283"/>
              <w:jc w:val="center"/>
              <w:rPr>
                <w:rFonts w:ascii="Times New Roman" w:hAnsi="Times New Roman"/>
                <w:color w:val="000000"/>
                <w:sz w:val="20"/>
              </w:rPr>
            </w:pPr>
            <w:r>
              <w:rPr>
                <w:rFonts w:ascii="Times New Roman" w:hAnsi="Times New Roman"/>
                <w:color w:val="000000"/>
                <w:sz w:val="20"/>
              </w:rPr>
              <w:t>$225,325.83</w:t>
            </w:r>
          </w:p>
        </w:tc>
        <w:tc>
          <w:tcPr>
            <w:tcW w:w="1231" w:type="dxa"/>
            <w:tcBorders/>
            <w:tcMar>
              <w:top w:w="0" w:type="dxa"/>
              <w:left w:w="0" w:type="dxa"/>
              <w:bottom w:w="0" w:type="dxa"/>
              <w:right w:w="0" w:type="dxa"/>
            </w:tcMar>
            <w:vAlign w:val="center"/>
          </w:tcPr>
          <w:p>
            <w:pPr>
              <w:pStyle w:val="TableContents"/>
              <w:bidi w:val="0"/>
              <w:spacing w:before="114" w:after="283"/>
              <w:jc w:val="center"/>
              <w:rPr/>
            </w:pPr>
            <w:r>
              <w:rPr/>
              <w:t> </w:t>
            </w:r>
          </w:p>
          <w:p>
            <w:pPr>
              <w:pStyle w:val="TableContents"/>
              <w:bidi w:val="0"/>
              <w:spacing w:before="1" w:after="283"/>
              <w:jc w:val="center"/>
              <w:rPr>
                <w:rFonts w:ascii="Times New Roman" w:hAnsi="Times New Roman"/>
                <w:color w:val="000000"/>
                <w:sz w:val="20"/>
              </w:rPr>
            </w:pPr>
            <w:r>
              <w:rPr>
                <w:rFonts w:ascii="Times New Roman" w:hAnsi="Times New Roman"/>
                <w:color w:val="000000"/>
                <w:sz w:val="20"/>
              </w:rPr>
              <w:t>$47.00</w:t>
            </w:r>
          </w:p>
        </w:tc>
      </w:tr>
      <w:tr>
        <w:trPr/>
        <w:tc>
          <w:tcPr>
            <w:tcW w:w="4276" w:type="dxa"/>
            <w:tcBorders/>
            <w:tcMar>
              <w:top w:w="0" w:type="dxa"/>
              <w:left w:w="0" w:type="dxa"/>
              <w:bottom w:w="0" w:type="dxa"/>
              <w:right w:w="0" w:type="dxa"/>
            </w:tcMar>
            <w:vAlign w:val="center"/>
          </w:tcPr>
          <w:p>
            <w:pPr>
              <w:pStyle w:val="TableContents"/>
              <w:bidi w:val="0"/>
              <w:spacing w:before="115" w:after="283"/>
              <w:jc w:val="left"/>
              <w:rPr>
                <w:rFonts w:ascii="Times New Roman" w:hAnsi="Times New Roman"/>
                <w:color w:val="000000"/>
                <w:sz w:val="20"/>
              </w:rPr>
            </w:pPr>
            <w:r>
              <w:rPr>
                <w:rFonts w:ascii="Times New Roman" w:hAnsi="Times New Roman"/>
                <w:color w:val="000000"/>
                <w:sz w:val="20"/>
              </w:rPr>
              <w:t>October 1, 2026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2027</w:t>
            </w:r>
          </w:p>
        </w:tc>
        <w:tc>
          <w:tcPr>
            <w:tcW w:w="1291" w:type="dxa"/>
            <w:tcBorders/>
            <w:tcMar>
              <w:top w:w="0" w:type="dxa"/>
              <w:left w:w="0" w:type="dxa"/>
              <w:bottom w:w="0" w:type="dxa"/>
              <w:right w:w="0" w:type="dxa"/>
            </w:tcMar>
            <w:vAlign w:val="center"/>
          </w:tcPr>
          <w:p>
            <w:pPr>
              <w:pStyle w:val="TableContents"/>
              <w:bidi w:val="0"/>
              <w:spacing w:before="114" w:after="283"/>
              <w:jc w:val="center"/>
              <w:rPr/>
            </w:pPr>
            <w:r>
              <w:rPr/>
              <w:t> </w:t>
            </w:r>
          </w:p>
          <w:p>
            <w:pPr>
              <w:pStyle w:val="TableContents"/>
              <w:bidi w:val="0"/>
              <w:spacing w:before="1" w:after="283"/>
              <w:jc w:val="center"/>
              <w:rPr>
                <w:rFonts w:ascii="Times New Roman" w:hAnsi="Times New Roman"/>
                <w:color w:val="000000"/>
                <w:sz w:val="20"/>
              </w:rPr>
            </w:pPr>
            <w:r>
              <w:rPr>
                <w:rFonts w:ascii="Times New Roman" w:hAnsi="Times New Roman"/>
                <w:color w:val="000000"/>
                <w:sz w:val="20"/>
              </w:rPr>
              <w:t>$2,785,027.30</w:t>
            </w:r>
          </w:p>
        </w:tc>
        <w:tc>
          <w:tcPr>
            <w:tcW w:w="1246" w:type="dxa"/>
            <w:tcBorders/>
            <w:tcMar>
              <w:top w:w="0" w:type="dxa"/>
              <w:left w:w="0" w:type="dxa"/>
              <w:bottom w:w="0" w:type="dxa"/>
              <w:right w:w="0" w:type="dxa"/>
            </w:tcMar>
            <w:vAlign w:val="center"/>
          </w:tcPr>
          <w:p>
            <w:pPr>
              <w:pStyle w:val="TableContents"/>
              <w:bidi w:val="0"/>
              <w:spacing w:before="114" w:after="283"/>
              <w:jc w:val="center"/>
              <w:rPr/>
            </w:pPr>
            <w:r>
              <w:rPr/>
              <w:t> </w:t>
            </w:r>
          </w:p>
          <w:p>
            <w:pPr>
              <w:pStyle w:val="TableContents"/>
              <w:bidi w:val="0"/>
              <w:spacing w:before="1" w:after="283"/>
              <w:jc w:val="center"/>
              <w:rPr>
                <w:rFonts w:ascii="Times New Roman" w:hAnsi="Times New Roman"/>
                <w:color w:val="000000"/>
                <w:sz w:val="20"/>
              </w:rPr>
            </w:pPr>
            <w:r>
              <w:rPr>
                <w:rFonts w:ascii="Times New Roman" w:hAnsi="Times New Roman"/>
                <w:color w:val="000000"/>
                <w:sz w:val="20"/>
              </w:rPr>
              <w:t>$232,085.61</w:t>
            </w:r>
          </w:p>
        </w:tc>
        <w:tc>
          <w:tcPr>
            <w:tcW w:w="1231" w:type="dxa"/>
            <w:tcBorders/>
            <w:tcMar>
              <w:top w:w="0" w:type="dxa"/>
              <w:left w:w="0" w:type="dxa"/>
              <w:bottom w:w="0" w:type="dxa"/>
              <w:right w:w="0" w:type="dxa"/>
            </w:tcMar>
            <w:vAlign w:val="center"/>
          </w:tcPr>
          <w:p>
            <w:pPr>
              <w:pStyle w:val="TableContents"/>
              <w:bidi w:val="0"/>
              <w:spacing w:before="114" w:after="283"/>
              <w:jc w:val="center"/>
              <w:rPr/>
            </w:pPr>
            <w:r>
              <w:rPr/>
              <w:t> </w:t>
            </w:r>
          </w:p>
          <w:p>
            <w:pPr>
              <w:pStyle w:val="TableContents"/>
              <w:bidi w:val="0"/>
              <w:spacing w:before="1" w:after="283"/>
              <w:jc w:val="center"/>
              <w:rPr>
                <w:rFonts w:ascii="Times New Roman" w:hAnsi="Times New Roman"/>
                <w:color w:val="000000"/>
                <w:sz w:val="20"/>
              </w:rPr>
            </w:pPr>
            <w:r>
              <w:rPr>
                <w:rFonts w:ascii="Times New Roman" w:hAnsi="Times New Roman"/>
                <w:color w:val="000000"/>
                <w:sz w:val="20"/>
              </w:rPr>
              <w:t>$48.41**</w:t>
            </w:r>
          </w:p>
        </w:tc>
      </w:tr>
      <w:tr>
        <w:trPr/>
        <w:tc>
          <w:tcPr>
            <w:tcW w:w="4276" w:type="dxa"/>
            <w:tcBorders/>
            <w:tcMar>
              <w:top w:w="0" w:type="dxa"/>
              <w:left w:w="0" w:type="dxa"/>
              <w:bottom w:w="0" w:type="dxa"/>
              <w:right w:w="0" w:type="dxa"/>
            </w:tcMar>
            <w:vAlign w:val="center"/>
          </w:tcPr>
          <w:p>
            <w:pPr>
              <w:pStyle w:val="TableContents"/>
              <w:bidi w:val="0"/>
              <w:spacing w:before="115" w:after="283"/>
              <w:jc w:val="left"/>
              <w:rPr>
                <w:rFonts w:ascii="Times New Roman" w:hAnsi="Times New Roman"/>
                <w:color w:val="000000"/>
                <w:sz w:val="20"/>
              </w:rPr>
            </w:pPr>
            <w:r>
              <w:rPr>
                <w:rFonts w:ascii="Times New Roman" w:hAnsi="Times New Roman"/>
                <w:color w:val="000000"/>
                <w:sz w:val="20"/>
              </w:rPr>
              <w:t>October 1, 2027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2028</w:t>
            </w:r>
          </w:p>
        </w:tc>
        <w:tc>
          <w:tcPr>
            <w:tcW w:w="1291" w:type="dxa"/>
            <w:tcBorders/>
            <w:tcMar>
              <w:top w:w="0" w:type="dxa"/>
              <w:left w:w="0" w:type="dxa"/>
              <w:bottom w:w="0" w:type="dxa"/>
              <w:right w:w="0" w:type="dxa"/>
            </w:tcMar>
            <w:vAlign w:val="center"/>
          </w:tcPr>
          <w:p>
            <w:pPr>
              <w:pStyle w:val="TableContents"/>
              <w:bidi w:val="0"/>
              <w:spacing w:before="114" w:after="283"/>
              <w:jc w:val="center"/>
              <w:rPr/>
            </w:pPr>
            <w:r>
              <w:rPr/>
              <w:t> </w:t>
            </w:r>
          </w:p>
          <w:p>
            <w:pPr>
              <w:pStyle w:val="TableContents"/>
              <w:bidi w:val="0"/>
              <w:spacing w:before="1" w:after="283"/>
              <w:jc w:val="center"/>
              <w:rPr>
                <w:rFonts w:ascii="Times New Roman" w:hAnsi="Times New Roman"/>
                <w:color w:val="000000"/>
                <w:sz w:val="20"/>
              </w:rPr>
            </w:pPr>
            <w:r>
              <w:rPr>
                <w:rFonts w:ascii="Times New Roman" w:hAnsi="Times New Roman"/>
                <w:color w:val="000000"/>
                <w:sz w:val="20"/>
              </w:rPr>
              <w:t>$2,868,578.12</w:t>
            </w:r>
          </w:p>
        </w:tc>
        <w:tc>
          <w:tcPr>
            <w:tcW w:w="1246" w:type="dxa"/>
            <w:tcBorders/>
            <w:tcMar>
              <w:top w:w="0" w:type="dxa"/>
              <w:left w:w="0" w:type="dxa"/>
              <w:bottom w:w="0" w:type="dxa"/>
              <w:right w:w="0" w:type="dxa"/>
            </w:tcMar>
            <w:vAlign w:val="center"/>
          </w:tcPr>
          <w:p>
            <w:pPr>
              <w:pStyle w:val="TableContents"/>
              <w:bidi w:val="0"/>
              <w:spacing w:before="114" w:after="283"/>
              <w:jc w:val="center"/>
              <w:rPr/>
            </w:pPr>
            <w:r>
              <w:rPr/>
              <w:t> </w:t>
            </w:r>
          </w:p>
          <w:p>
            <w:pPr>
              <w:pStyle w:val="TableContents"/>
              <w:bidi w:val="0"/>
              <w:spacing w:before="1" w:after="283"/>
              <w:jc w:val="center"/>
              <w:rPr>
                <w:rFonts w:ascii="Times New Roman" w:hAnsi="Times New Roman"/>
                <w:color w:val="000000"/>
                <w:sz w:val="20"/>
              </w:rPr>
            </w:pPr>
            <w:r>
              <w:rPr>
                <w:rFonts w:ascii="Times New Roman" w:hAnsi="Times New Roman"/>
                <w:color w:val="000000"/>
                <w:sz w:val="20"/>
              </w:rPr>
              <w:t>$239,048.18</w:t>
            </w:r>
          </w:p>
        </w:tc>
        <w:tc>
          <w:tcPr>
            <w:tcW w:w="1231" w:type="dxa"/>
            <w:tcBorders/>
            <w:tcMar>
              <w:top w:w="0" w:type="dxa"/>
              <w:left w:w="0" w:type="dxa"/>
              <w:bottom w:w="0" w:type="dxa"/>
              <w:right w:w="0" w:type="dxa"/>
            </w:tcMar>
            <w:vAlign w:val="center"/>
          </w:tcPr>
          <w:p>
            <w:pPr>
              <w:pStyle w:val="TableContents"/>
              <w:bidi w:val="0"/>
              <w:spacing w:before="114" w:after="283"/>
              <w:jc w:val="center"/>
              <w:rPr/>
            </w:pPr>
            <w:r>
              <w:rPr/>
              <w:t> </w:t>
            </w:r>
          </w:p>
          <w:p>
            <w:pPr>
              <w:pStyle w:val="TableContents"/>
              <w:bidi w:val="0"/>
              <w:spacing w:before="1" w:after="283"/>
              <w:jc w:val="center"/>
              <w:rPr>
                <w:rFonts w:ascii="Times New Roman" w:hAnsi="Times New Roman"/>
                <w:color w:val="000000"/>
                <w:sz w:val="20"/>
              </w:rPr>
            </w:pPr>
            <w:r>
              <w:rPr>
                <w:rFonts w:ascii="Times New Roman" w:hAnsi="Times New Roman"/>
                <w:color w:val="000000"/>
                <w:sz w:val="20"/>
              </w:rPr>
              <w:t>$49.86**</w:t>
            </w:r>
          </w:p>
        </w:tc>
      </w:tr>
      <w:tr>
        <w:trPr/>
        <w:tc>
          <w:tcPr>
            <w:tcW w:w="4276" w:type="dxa"/>
            <w:tcBorders/>
            <w:tcMar>
              <w:top w:w="0" w:type="dxa"/>
              <w:left w:w="0" w:type="dxa"/>
              <w:bottom w:w="0" w:type="dxa"/>
              <w:right w:w="0" w:type="dxa"/>
            </w:tcMar>
            <w:vAlign w:val="center"/>
          </w:tcPr>
          <w:p>
            <w:pPr>
              <w:pStyle w:val="TableContents"/>
              <w:bidi w:val="0"/>
              <w:spacing w:before="115" w:after="283"/>
              <w:jc w:val="left"/>
              <w:rPr>
                <w:rFonts w:ascii="Times New Roman" w:hAnsi="Times New Roman"/>
                <w:color w:val="000000"/>
                <w:sz w:val="20"/>
              </w:rPr>
            </w:pPr>
            <w:r>
              <w:rPr>
                <w:rFonts w:ascii="Times New Roman" w:hAnsi="Times New Roman"/>
                <w:color w:val="000000"/>
                <w:sz w:val="20"/>
              </w:rPr>
              <w:t>October 1, 2028 – Lease Expiration Date</w:t>
            </w:r>
          </w:p>
        </w:tc>
        <w:tc>
          <w:tcPr>
            <w:tcW w:w="1291" w:type="dxa"/>
            <w:tcBorders/>
            <w:tcMar>
              <w:top w:w="0" w:type="dxa"/>
              <w:left w:w="0" w:type="dxa"/>
              <w:bottom w:w="0" w:type="dxa"/>
              <w:right w:w="0" w:type="dxa"/>
            </w:tcMar>
            <w:vAlign w:val="center"/>
          </w:tcPr>
          <w:p>
            <w:pPr>
              <w:pStyle w:val="TableContents"/>
              <w:bidi w:val="0"/>
              <w:spacing w:before="115" w:after="283"/>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$2,954,635.46</w:t>
            </w:r>
          </w:p>
        </w:tc>
        <w:tc>
          <w:tcPr>
            <w:tcW w:w="1246" w:type="dxa"/>
            <w:tcBorders/>
            <w:tcMar>
              <w:top w:w="0" w:type="dxa"/>
              <w:left w:w="0" w:type="dxa"/>
              <w:bottom w:w="0" w:type="dxa"/>
              <w:right w:w="0" w:type="dxa"/>
            </w:tcMar>
            <w:vAlign w:val="center"/>
          </w:tcPr>
          <w:p>
            <w:pPr>
              <w:pStyle w:val="TableContents"/>
              <w:bidi w:val="0"/>
              <w:spacing w:before="115" w:after="283"/>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$246,219.62</w:t>
            </w:r>
          </w:p>
        </w:tc>
        <w:tc>
          <w:tcPr>
            <w:tcW w:w="1231" w:type="dxa"/>
            <w:tcBorders/>
            <w:tcMar>
              <w:top w:w="0" w:type="dxa"/>
              <w:left w:w="0" w:type="dxa"/>
              <w:bottom w:w="0" w:type="dxa"/>
              <w:right w:w="0" w:type="dxa"/>
            </w:tcMar>
            <w:vAlign w:val="center"/>
          </w:tcPr>
          <w:p>
            <w:pPr>
              <w:pStyle w:val="TableContents"/>
              <w:bidi w:val="0"/>
              <w:spacing w:before="115" w:after="283"/>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$51.36**</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2"/>
        <w:gridCol w:w="5909"/>
        <w:gridCol w:w="694"/>
      </w:tblGrid>
      <w:tr>
        <w:trPr/>
        <w:tc>
          <w:tcPr>
            <w:tcW w:w="3602" w:type="dxa"/>
            <w:tcBorders/>
            <w:vAlign w:val="center"/>
          </w:tcPr>
          <w:p>
            <w:pPr>
              <w:pStyle w:val="TableContents"/>
              <w:bidi w:val="0"/>
              <w:spacing w:before="0" w:after="283"/>
              <w:jc w:val="left"/>
              <w:rPr>
                <w:sz w:val="4"/>
                <w:szCs w:val="4"/>
              </w:rPr>
            </w:pPr>
            <w:r>
              <w:rPr>
                <w:sz w:val="4"/>
                <w:szCs w:val="4"/>
              </w:rPr>
            </w:r>
          </w:p>
        </w:tc>
        <w:tc>
          <w:tcPr>
            <w:tcW w:w="59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115" w:after="283"/>
              <w:jc w:val="both"/>
              <w:rPr>
                <w:rFonts w:ascii="Times New Roman" w:hAnsi="Times New Roman"/>
                <w:sz w:val="20"/>
              </w:rPr>
            </w:pPr>
            <w:r>
              <w:rPr>
                <w:rFonts w:ascii="Times New Roman" w:hAnsi="Times New Roman"/>
                <w:color w:val="000000"/>
                <w:sz w:val="20"/>
              </w:rPr>
              <w:t>* The initial Annual Base Rent amount was calculated by multiplying the initial Annual Rental Rate per Rentable Square Foot amount by the number of rentable square feet of space in the Premises, and the initial Monthly Installment of Base Rent amount was calculated by dividing the initial Annual Base Rent amount by twelve (12). Both Tenant and Landlord acknowledge and agree that multiplying the Monthly Installment of Base Rent amount by twelve (12) does not always equal the Annual Base Rent amount. In all subsequent Base Rent payment periods during the Lease Term commencing on the first (1</w:t>
            </w:r>
            <w:r>
              <w:rPr>
                <w:rFonts w:ascii="Times New Roman" w:hAnsi="Times New Roman"/>
                <w:color w:val="000000"/>
                <w:sz w:val="13"/>
              </w:rPr>
              <w:t>st</w:t>
            </w:r>
            <w:r>
              <w:rPr>
                <w:rFonts w:ascii="Times New Roman" w:hAnsi="Times New Roman"/>
                <w:color w:val="000000"/>
                <w:sz w:val="20"/>
              </w:rPr>
              <w:t>) day of the full calendar month that is Lease Month 13, the calculation of each Annual Base Rent amount reflects an annual increase of three percent (3%) and each Monthly Installment of Base Rent amount was calculated by dividing the corresponding Annual Base Rent amount by twelve (12).</w:t>
            </w:r>
          </w:p>
          <w:p>
            <w:pPr>
              <w:pStyle w:val="TableContents"/>
              <w:bidi w:val="0"/>
              <w:spacing w:before="240" w:after="283"/>
              <w:jc w:val="left"/>
              <w:rPr/>
            </w:pPr>
            <w:r>
              <w:rPr>
                <w:color w:val="000000"/>
              </w:rPr>
              <w:t xml:space="preserve">◊ </w:t>
            </w:r>
            <w:r>
              <w:rPr>
                <w:rFonts w:ascii="Times New Roman" w:hAnsi="Times New Roman"/>
                <w:color w:val="000000"/>
                <w:sz w:val="20"/>
              </w:rPr>
              <w:t xml:space="preserve">Subject to the terms set forth in </w:t>
            </w:r>
            <w:r>
              <w:rPr>
                <w:rFonts w:ascii="Times New Roman" w:hAnsi="Times New Roman"/>
                <w:color w:val="000000"/>
                <w:sz w:val="20"/>
                <w:u w:val="single"/>
              </w:rPr>
              <w:t>Section 3.2</w:t>
            </w:r>
            <w:r>
              <w:rPr>
                <w:rFonts w:ascii="Times New Roman" w:hAnsi="Times New Roman"/>
                <w:color w:val="000000"/>
                <w:sz w:val="20"/>
              </w:rPr>
              <w:t xml:space="preserve"> below, the Base Rent attributable to the Base Rent Abatement Period (as defined in </w:t>
            </w:r>
            <w:r>
              <w:rPr>
                <w:rFonts w:ascii="Times New Roman" w:hAnsi="Times New Roman"/>
                <w:color w:val="000000"/>
                <w:sz w:val="20"/>
                <w:u w:val="single"/>
              </w:rPr>
              <w:t>Section 3.2</w:t>
            </w:r>
            <w:r>
              <w:rPr>
                <w:rFonts w:ascii="Times New Roman" w:hAnsi="Times New Roman"/>
                <w:color w:val="000000"/>
                <w:sz w:val="20"/>
              </w:rPr>
              <w:t> below) shall be abated.</w:t>
            </w:r>
          </w:p>
          <w:p>
            <w:pPr>
              <w:pStyle w:val="TableContents"/>
              <w:bidi w:val="0"/>
              <w:jc w:val="left"/>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The amounts identified in the column entitled “Annual Rental Rate per Rentable Square Foot” are rounded amounts and are provided for informational purposes only.</w:t>
            </w:r>
          </w:p>
        </w:tc>
      </w:tr>
      <w:tr>
        <w:trPr/>
        <w:tc>
          <w:tcPr>
            <w:tcW w:w="360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5. Base Year</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Article 4</w:t>
            </w:r>
            <w:r>
              <w:rPr>
                <w:rFonts w:ascii="Times New Roman" w:hAnsi="Times New Roman"/>
                <w:color w:val="000000"/>
                <w:sz w:val="20"/>
              </w:rPr>
              <w:t>):</w:t>
            </w:r>
          </w:p>
        </w:tc>
        <w:tc>
          <w:tcPr>
            <w:tcW w:w="590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Calendar year 2026.</w:t>
            </w:r>
          </w:p>
        </w:tc>
        <w:tc>
          <w:tcPr>
            <w:tcW w:w="694"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360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6. Tenant’s Share</w:t>
            </w:r>
          </w:p>
          <w:p>
            <w:pPr>
              <w:pStyle w:val="TableContents"/>
              <w:bidi w:val="0"/>
              <w:spacing w:before="12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Article 4</w:t>
            </w:r>
            <w:r>
              <w:rPr>
                <w:rFonts w:ascii="Times New Roman" w:hAnsi="Times New Roman"/>
                <w:color w:val="000000"/>
                <w:sz w:val="20"/>
              </w:rPr>
              <w:t>):</w:t>
            </w:r>
          </w:p>
        </w:tc>
        <w:tc>
          <w:tcPr>
            <w:tcW w:w="6603"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Approximately 16.30% during the initial Lease Term and 17.10% thereafter, subject to </w:t>
            </w:r>
            <w:r>
              <w:rPr>
                <w:rFonts w:ascii="Times New Roman" w:hAnsi="Times New Roman"/>
                <w:color w:val="000000"/>
                <w:sz w:val="20"/>
                <w:u w:val="single"/>
              </w:rPr>
              <w:t>Section</w:t>
            </w:r>
            <w:r>
              <w:rPr>
                <w:rFonts w:ascii="Times New Roman" w:hAnsi="Times New Roman"/>
                <w:color w:val="000000"/>
                <w:sz w:val="20"/>
              </w:rPr>
              <w:t xml:space="preserve"> </w:t>
            </w:r>
            <w:r>
              <w:rPr>
                <w:rFonts w:ascii="Times New Roman" w:hAnsi="Times New Roman"/>
                <w:color w:val="000000"/>
                <w:sz w:val="20"/>
                <w:u w:val="single"/>
              </w:rPr>
              <w:t>1.3</w:t>
            </w:r>
            <w:r>
              <w:rPr>
                <w:rFonts w:ascii="Times New Roman" w:hAnsi="Times New Roman"/>
                <w:color w:val="000000"/>
                <w:sz w:val="20"/>
              </w:rPr>
              <w:t>, below.</w:t>
            </w:r>
          </w:p>
        </w:tc>
      </w:tr>
      <w:tr>
        <w:trPr/>
        <w:tc>
          <w:tcPr>
            <w:tcW w:w="360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7. Permitted Use</w:t>
            </w:r>
          </w:p>
          <w:p>
            <w:pPr>
              <w:pStyle w:val="TableContents"/>
              <w:bidi w:val="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Article 5</w:t>
            </w:r>
            <w:r>
              <w:rPr>
                <w:rFonts w:ascii="Times New Roman" w:hAnsi="Times New Roman"/>
                <w:color w:val="000000"/>
                <w:sz w:val="20"/>
              </w:rPr>
              <w:t>):</w:t>
            </w:r>
          </w:p>
          <w:p>
            <w:pPr>
              <w:pStyle w:val="TableContents"/>
              <w:bidi w:val="0"/>
              <w:spacing w:before="0" w:after="283"/>
              <w:jc w:val="left"/>
              <w:rPr/>
            </w:pPr>
            <w:r>
              <w:rPr/>
              <w:t> </w:t>
            </w:r>
          </w:p>
        </w:tc>
        <w:tc>
          <w:tcPr>
            <w:tcW w:w="6603"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Tenant shall use the Premises solely for general office use and uses incidental thereto (the “</w:t>
            </w:r>
            <w:r>
              <w:rPr>
                <w:rFonts w:ascii="Times New Roman" w:hAnsi="Times New Roman"/>
                <w:b/>
                <w:color w:val="000000"/>
                <w:sz w:val="20"/>
              </w:rPr>
              <w:t>Permitted Use</w:t>
            </w:r>
            <w:r>
              <w:rPr>
                <w:rFonts w:ascii="Times New Roman" w:hAnsi="Times New Roman"/>
                <w:color w:val="000000"/>
                <w:sz w:val="20"/>
              </w:rPr>
              <w:t xml:space="preserve">”); provided, however, that notwithstanding anything to the contrary set forth hereinabove, and as more particularly set forth in the Lease, Tenant shall be responsible for operating and maintaining the Premises pursuant to, and in no event may Tenant’s Permitted Use violate, (A) Landlord’s “Rules and Regulations,” as that term is set forth in </w:t>
            </w:r>
            <w:r>
              <w:rPr>
                <w:rFonts w:ascii="Times New Roman" w:hAnsi="Times New Roman"/>
                <w:color w:val="000000"/>
                <w:sz w:val="20"/>
                <w:u w:val="single"/>
              </w:rPr>
              <w:t>Section 5.2</w:t>
            </w:r>
            <w:r>
              <w:rPr>
                <w:rFonts w:ascii="Times New Roman" w:hAnsi="Times New Roman"/>
                <w:color w:val="000000"/>
                <w:sz w:val="20"/>
              </w:rPr>
              <w:t xml:space="preserve"> of this Lease, (B) all “Applicable Laws,” as that term is set forth in </w:t>
            </w:r>
            <w:r>
              <w:rPr>
                <w:rFonts w:ascii="Times New Roman" w:hAnsi="Times New Roman"/>
                <w:color w:val="000000"/>
                <w:sz w:val="20"/>
                <w:u w:val="single"/>
              </w:rPr>
              <w:t>Article 24</w:t>
            </w:r>
            <w:r>
              <w:rPr>
                <w:rFonts w:ascii="Times New Roman" w:hAnsi="Times New Roman"/>
                <w:color w:val="000000"/>
                <w:sz w:val="20"/>
              </w:rPr>
              <w:t xml:space="preserve"> of this Lease, (C) all applicable zoning, building codes and the “Underlying Documents,” as that term is set forth in </w:t>
            </w:r>
            <w:r>
              <w:rPr>
                <w:rFonts w:ascii="Times New Roman" w:hAnsi="Times New Roman"/>
                <w:color w:val="000000"/>
                <w:sz w:val="20"/>
                <w:u w:val="single"/>
              </w:rPr>
              <w:t>Section 5.3</w:t>
            </w:r>
            <w:r>
              <w:rPr>
                <w:rFonts w:ascii="Times New Roman" w:hAnsi="Times New Roman"/>
                <w:color w:val="000000"/>
                <w:sz w:val="20"/>
              </w:rPr>
              <w:t> of this Lease, and (D) first-class office standards in the market in which the Project is located.</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tbl>
      <w:tblPr>
        <w:tblW w:w="2720" w:type="dxa"/>
        <w:jc w:val="left"/>
        <w:tblInd w:w="0" w:type="dxa"/>
        <w:tblLayout w:type="fixed"/>
        <w:tblCellMar>
          <w:top w:w="28" w:type="dxa"/>
          <w:left w:w="28" w:type="dxa"/>
          <w:bottom w:w="28" w:type="dxa"/>
          <w:right w:w="28" w:type="dxa"/>
        </w:tblCellMar>
      </w:tblPr>
      <w:tblGrid>
        <w:gridCol w:w="181"/>
        <w:gridCol w:w="351"/>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351"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172" w:type="dxa"/>
        <w:jc w:val="left"/>
        <w:tblInd w:w="0" w:type="dxa"/>
        <w:tblLayout w:type="fixed"/>
        <w:tblCellMar>
          <w:top w:w="28" w:type="dxa"/>
          <w:left w:w="28" w:type="dxa"/>
          <w:bottom w:w="28" w:type="dxa"/>
          <w:right w:w="28" w:type="dxa"/>
        </w:tblCellMar>
      </w:tblPr>
      <w:tblGrid>
        <w:gridCol w:w="2401"/>
        <w:gridCol w:w="7771"/>
      </w:tblGrid>
      <w:tr>
        <w:trPr/>
        <w:tc>
          <w:tcPr>
            <w:tcW w:w="2401" w:type="dxa"/>
            <w:tcBorders/>
            <w:vAlign w:val="center"/>
          </w:tcPr>
          <w:p>
            <w:pPr>
              <w:pStyle w:val="TableContents"/>
              <w:bidi w:val="0"/>
              <w:spacing w:before="0" w:after="283"/>
              <w:jc w:val="left"/>
              <w:rPr>
                <w:sz w:val="4"/>
                <w:szCs w:val="4"/>
              </w:rPr>
            </w:pPr>
            <w:r>
              <w:rPr>
                <w:sz w:val="4"/>
                <w:szCs w:val="4"/>
              </w:rPr>
            </w:r>
          </w:p>
        </w:tc>
        <w:tc>
          <w:tcPr>
            <w:tcW w:w="777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8. L-C Amount</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Article 21</w:t>
            </w:r>
            <w:r>
              <w:rPr>
                <w:rFonts w:ascii="Times New Roman" w:hAnsi="Times New Roman"/>
                <w:color w:val="000000"/>
                <w:sz w:val="20"/>
              </w:rPr>
              <w:t>):</w:t>
            </w:r>
          </w:p>
        </w:tc>
        <w:tc>
          <w:tcPr>
            <w:tcW w:w="77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$850,000.00.</w:t>
            </w:r>
          </w:p>
        </w:tc>
      </w:tr>
      <w:tr>
        <w:trPr/>
        <w:tc>
          <w:tcPr>
            <w:tcW w:w="24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9. Parking Pass Ratio </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Article 28</w:t>
            </w:r>
            <w:r>
              <w:rPr>
                <w:rFonts w:ascii="Times New Roman" w:hAnsi="Times New Roman"/>
                <w:color w:val="000000"/>
                <w:sz w:val="20"/>
              </w:rPr>
              <w:t>):</w:t>
            </w:r>
          </w:p>
        </w:tc>
        <w:tc>
          <w:tcPr>
            <w:tcW w:w="77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One (1) covered, unreserved parking pass for every full floor of the Building leased by Tenant.</w:t>
            </w:r>
          </w:p>
        </w:tc>
      </w:tr>
      <w:tr>
        <w:trPr/>
        <w:tc>
          <w:tcPr>
            <w:tcW w:w="24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10. Address of Tenant </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Section 29.18</w:t>
            </w:r>
            <w:r>
              <w:rPr>
                <w:rFonts w:ascii="Times New Roman" w:hAnsi="Times New Roman"/>
                <w:color w:val="000000"/>
                <w:sz w:val="20"/>
              </w:rPr>
              <w:t>):</w:t>
            </w:r>
          </w:p>
        </w:tc>
        <w:tc>
          <w:tcPr>
            <w:tcW w:w="77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Amplitude, Inc.</w:t>
            </w:r>
          </w:p>
          <w:p>
            <w:pPr>
              <w:pStyle w:val="TableContents"/>
              <w:bidi w:val="0"/>
              <w:jc w:val="left"/>
              <w:rPr>
                <w:rFonts w:ascii="Times New Roman" w:hAnsi="Times New Roman"/>
                <w:sz w:val="20"/>
              </w:rPr>
            </w:pPr>
            <w:r>
              <w:rPr>
                <w:rFonts w:ascii="Times New Roman" w:hAnsi="Times New Roman"/>
                <w:color w:val="000000"/>
                <w:sz w:val="20"/>
              </w:rPr>
              <w:t>201 3</w:t>
            </w:r>
            <w:r>
              <w:rPr>
                <w:rFonts w:ascii="Times New Roman" w:hAnsi="Times New Roman"/>
                <w:color w:val="000000"/>
                <w:sz w:val="13"/>
              </w:rPr>
              <w:t>rd</w:t>
            </w:r>
            <w:r>
              <w:rPr>
                <w:rFonts w:ascii="Times New Roman" w:hAnsi="Times New Roman"/>
                <w:color w:val="000000"/>
                <w:sz w:val="20"/>
              </w:rPr>
              <w:t xml:space="preserve"> Street, Suite 200 </w:t>
            </w:r>
          </w:p>
          <w:p>
            <w:pPr>
              <w:pStyle w:val="TableContents"/>
              <w:bidi w:val="0"/>
              <w:jc w:val="left"/>
              <w:rPr>
                <w:rFonts w:ascii="Times New Roman" w:hAnsi="Times New Roman"/>
                <w:color w:val="000000"/>
                <w:sz w:val="20"/>
              </w:rPr>
            </w:pPr>
            <w:r>
              <w:rPr>
                <w:rFonts w:ascii="Times New Roman" w:hAnsi="Times New Roman"/>
                <w:color w:val="000000"/>
                <w:sz w:val="20"/>
              </w:rPr>
              <w:t xml:space="preserve">San Francisco, CA 94103 </w:t>
            </w:r>
          </w:p>
          <w:p>
            <w:pPr>
              <w:pStyle w:val="TableContents"/>
              <w:bidi w:val="0"/>
              <w:jc w:val="left"/>
              <w:rPr>
                <w:rFonts w:ascii="Times New Roman" w:hAnsi="Times New Roman"/>
                <w:color w:val="000000"/>
                <w:sz w:val="20"/>
              </w:rPr>
            </w:pPr>
            <w:r>
              <w:rPr>
                <w:rFonts w:ascii="Times New Roman" w:hAnsi="Times New Roman"/>
                <w:color w:val="000000"/>
                <w:sz w:val="20"/>
              </w:rPr>
              <w:t>Attention: General Counsel</w:t>
            </w:r>
          </w:p>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E-mail: </w:t>
            </w:r>
            <w:r>
              <w:rPr>
                <w:rFonts w:ascii="Times New Roman" w:hAnsi="Times New Roman"/>
                <w:color w:val="0562C1"/>
                <w:sz w:val="20"/>
                <w:u w:val="single"/>
              </w:rPr>
              <w:t>legal@amplitude.com</w:t>
            </w:r>
          </w:p>
        </w:tc>
      </w:tr>
      <w:tr>
        <w:trPr/>
        <w:tc>
          <w:tcPr>
            <w:tcW w:w="24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11. Address of Landlord</w:t>
            </w:r>
          </w:p>
          <w:p>
            <w:pPr>
              <w:pStyle w:val="TableContents"/>
              <w:bidi w:val="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Section 29.18</w:t>
            </w:r>
            <w:r>
              <w:rPr>
                <w:rFonts w:ascii="Times New Roman" w:hAnsi="Times New Roman"/>
                <w:color w:val="000000"/>
                <w:sz w:val="20"/>
              </w:rPr>
              <w:t>):</w:t>
            </w:r>
          </w:p>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KR 201 Third Street Owner, LLC </w:t>
            </w:r>
          </w:p>
          <w:p>
            <w:pPr>
              <w:pStyle w:val="TableContents"/>
              <w:bidi w:val="0"/>
              <w:jc w:val="left"/>
              <w:rPr>
                <w:rFonts w:ascii="Times New Roman" w:hAnsi="Times New Roman"/>
                <w:color w:val="000000"/>
                <w:sz w:val="20"/>
              </w:rPr>
            </w:pPr>
            <w:r>
              <w:rPr>
                <w:rFonts w:ascii="Times New Roman" w:hAnsi="Times New Roman"/>
                <w:color w:val="000000"/>
                <w:sz w:val="20"/>
              </w:rPr>
              <w:t>c/o Kilroy Realty Corporation</w:t>
            </w:r>
          </w:p>
          <w:p>
            <w:pPr>
              <w:pStyle w:val="TableContents"/>
              <w:bidi w:val="0"/>
              <w:jc w:val="left"/>
              <w:rPr>
                <w:rFonts w:ascii="Times New Roman" w:hAnsi="Times New Roman"/>
                <w:color w:val="000000"/>
                <w:sz w:val="20"/>
              </w:rPr>
            </w:pPr>
            <w:r>
              <w:rPr>
                <w:rFonts w:ascii="Times New Roman" w:hAnsi="Times New Roman"/>
                <w:color w:val="000000"/>
                <w:sz w:val="20"/>
              </w:rPr>
              <w:t xml:space="preserve">12200 West Olympic Boulevard, Suite 200 </w:t>
            </w:r>
          </w:p>
          <w:p>
            <w:pPr>
              <w:pStyle w:val="TableContents"/>
              <w:bidi w:val="0"/>
              <w:jc w:val="left"/>
              <w:rPr>
                <w:rFonts w:ascii="Times New Roman" w:hAnsi="Times New Roman"/>
                <w:color w:val="000000"/>
                <w:sz w:val="20"/>
              </w:rPr>
            </w:pPr>
            <w:r>
              <w:rPr>
                <w:rFonts w:ascii="Times New Roman" w:hAnsi="Times New Roman"/>
                <w:color w:val="000000"/>
                <w:sz w:val="20"/>
              </w:rPr>
              <w:t>Los Angeles, California 90064</w:t>
            </w:r>
          </w:p>
          <w:p>
            <w:pPr>
              <w:pStyle w:val="TableContents"/>
              <w:bidi w:val="0"/>
              <w:jc w:val="left"/>
              <w:rPr>
                <w:rFonts w:ascii="Times New Roman" w:hAnsi="Times New Roman"/>
                <w:color w:val="000000"/>
                <w:sz w:val="20"/>
              </w:rPr>
            </w:pPr>
            <w:r>
              <w:rPr>
                <w:rFonts w:ascii="Times New Roman" w:hAnsi="Times New Roman"/>
                <w:color w:val="000000"/>
                <w:sz w:val="20"/>
              </w:rPr>
              <w:t xml:space="preserve">Attention: Legal Department </w:t>
            </w:r>
          </w:p>
          <w:p>
            <w:pPr>
              <w:pStyle w:val="TableContents"/>
              <w:bidi w:val="0"/>
              <w:jc w:val="left"/>
              <w:rPr>
                <w:rFonts w:ascii="Times New Roman" w:hAnsi="Times New Roman"/>
                <w:color w:val="000000"/>
                <w:sz w:val="20"/>
              </w:rPr>
            </w:pPr>
            <w:r>
              <w:rPr>
                <w:rFonts w:ascii="Times New Roman" w:hAnsi="Times New Roman"/>
                <w:color w:val="000000"/>
                <w:sz w:val="20"/>
              </w:rPr>
              <w:t>Email: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with copies to:</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KR 201 Third Street Owner, LLC </w:t>
            </w:r>
          </w:p>
          <w:p>
            <w:pPr>
              <w:pStyle w:val="TableContents"/>
              <w:bidi w:val="0"/>
              <w:jc w:val="left"/>
              <w:rPr>
                <w:rFonts w:ascii="Times New Roman" w:hAnsi="Times New Roman"/>
                <w:color w:val="000000"/>
                <w:sz w:val="20"/>
              </w:rPr>
            </w:pPr>
            <w:r>
              <w:rPr>
                <w:rFonts w:ascii="Times New Roman" w:hAnsi="Times New Roman"/>
                <w:color w:val="000000"/>
                <w:sz w:val="20"/>
              </w:rPr>
              <w:t>Kilroy Realty Corporation</w:t>
            </w:r>
          </w:p>
          <w:p>
            <w:pPr>
              <w:pStyle w:val="TableContents"/>
              <w:bidi w:val="0"/>
              <w:jc w:val="left"/>
              <w:rPr>
                <w:rFonts w:ascii="Times New Roman" w:hAnsi="Times New Roman"/>
                <w:color w:val="000000"/>
                <w:sz w:val="20"/>
              </w:rPr>
            </w:pPr>
            <w:r>
              <w:rPr>
                <w:rFonts w:ascii="Times New Roman" w:hAnsi="Times New Roman"/>
                <w:color w:val="000000"/>
                <w:sz w:val="20"/>
              </w:rPr>
              <w:t>100 First Street, Suite 250</w:t>
            </w:r>
          </w:p>
          <w:p>
            <w:pPr>
              <w:pStyle w:val="TableContents"/>
              <w:bidi w:val="0"/>
              <w:jc w:val="left"/>
              <w:rPr>
                <w:rFonts w:ascii="Times New Roman" w:hAnsi="Times New Roman"/>
                <w:color w:val="000000"/>
                <w:sz w:val="20"/>
              </w:rPr>
            </w:pPr>
            <w:r>
              <w:rPr>
                <w:rFonts w:ascii="Times New Roman" w:hAnsi="Times New Roman"/>
                <w:color w:val="000000"/>
                <w:sz w:val="20"/>
              </w:rPr>
              <w:t xml:space="preserve">San Francisco, California 94105 </w:t>
            </w:r>
          </w:p>
          <w:p>
            <w:pPr>
              <w:pStyle w:val="TableContents"/>
              <w:bidi w:val="0"/>
              <w:jc w:val="left"/>
              <w:rPr>
                <w:rFonts w:ascii="Times New Roman" w:hAnsi="Times New Roman"/>
                <w:color w:val="000000"/>
                <w:sz w:val="20"/>
              </w:rPr>
            </w:pPr>
            <w:r>
              <w:rPr>
                <w:rFonts w:ascii="Times New Roman" w:hAnsi="Times New Roman"/>
                <w:color w:val="000000"/>
                <w:sz w:val="20"/>
              </w:rPr>
              <w:t xml:space="preserve">Attention: Mr. John Osmond </w:t>
            </w:r>
          </w:p>
          <w:p>
            <w:pPr>
              <w:pStyle w:val="TableContents"/>
              <w:bidi w:val="0"/>
              <w:jc w:val="left"/>
              <w:rPr>
                <w:rFonts w:ascii="Times New Roman" w:hAnsi="Times New Roman"/>
                <w:color w:val="000000"/>
                <w:sz w:val="20"/>
              </w:rPr>
            </w:pPr>
            <w:r>
              <w:rPr>
                <w:rFonts w:ascii="Times New Roman" w:hAnsi="Times New Roman"/>
                <w:color w:val="000000"/>
                <w:sz w:val="20"/>
              </w:rPr>
              <w:t>Email: ###</w:t>
            </w:r>
          </w:p>
          <w:p>
            <w:pPr>
              <w:pStyle w:val="TableContents"/>
              <w:bidi w:val="0"/>
              <w:spacing w:before="241" w:after="283"/>
              <w:jc w:val="left"/>
              <w:rPr>
                <w:rFonts w:ascii="Times New Roman" w:hAnsi="Times New Roman"/>
                <w:color w:val="000000"/>
                <w:sz w:val="20"/>
              </w:rPr>
            </w:pPr>
            <w:r>
              <w:rPr>
                <w:rFonts w:ascii="Times New Roman" w:hAnsi="Times New Roman"/>
                <w:color w:val="000000"/>
                <w:sz w:val="20"/>
              </w:rPr>
              <w:t>and</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KR 201 Third Street Owner, LLC </w:t>
            </w:r>
          </w:p>
          <w:p>
            <w:pPr>
              <w:pStyle w:val="TableContents"/>
              <w:bidi w:val="0"/>
              <w:jc w:val="left"/>
              <w:rPr>
                <w:rFonts w:ascii="Times New Roman" w:hAnsi="Times New Roman"/>
                <w:color w:val="000000"/>
                <w:sz w:val="20"/>
              </w:rPr>
            </w:pPr>
            <w:r>
              <w:rPr>
                <w:rFonts w:ascii="Times New Roman" w:hAnsi="Times New Roman"/>
                <w:color w:val="000000"/>
                <w:sz w:val="20"/>
              </w:rPr>
              <w:t>Kilroy Realty Corporation</w:t>
            </w:r>
          </w:p>
          <w:p>
            <w:pPr>
              <w:pStyle w:val="TableContents"/>
              <w:bidi w:val="0"/>
              <w:jc w:val="left"/>
              <w:rPr>
                <w:rFonts w:ascii="Times New Roman" w:hAnsi="Times New Roman"/>
                <w:color w:val="000000"/>
                <w:sz w:val="20"/>
              </w:rPr>
            </w:pPr>
            <w:r>
              <w:rPr>
                <w:rFonts w:ascii="Times New Roman" w:hAnsi="Times New Roman"/>
                <w:color w:val="000000"/>
                <w:sz w:val="20"/>
              </w:rPr>
              <w:t>100 First Street, Suite 250</w:t>
            </w:r>
          </w:p>
          <w:p>
            <w:pPr>
              <w:pStyle w:val="TableContents"/>
              <w:bidi w:val="0"/>
              <w:jc w:val="left"/>
              <w:rPr>
                <w:rFonts w:ascii="Times New Roman" w:hAnsi="Times New Roman"/>
                <w:color w:val="000000"/>
                <w:sz w:val="20"/>
              </w:rPr>
            </w:pPr>
            <w:r>
              <w:rPr>
                <w:rFonts w:ascii="Times New Roman" w:hAnsi="Times New Roman"/>
                <w:color w:val="000000"/>
                <w:sz w:val="20"/>
              </w:rPr>
              <w:t xml:space="preserve">San Francisco, California 94105 </w:t>
            </w:r>
          </w:p>
          <w:p>
            <w:pPr>
              <w:pStyle w:val="TableContents"/>
              <w:bidi w:val="0"/>
              <w:jc w:val="left"/>
              <w:rPr>
                <w:rFonts w:ascii="Times New Roman" w:hAnsi="Times New Roman"/>
                <w:color w:val="000000"/>
                <w:sz w:val="20"/>
              </w:rPr>
            </w:pPr>
            <w:r>
              <w:rPr>
                <w:rFonts w:ascii="Times New Roman" w:hAnsi="Times New Roman"/>
                <w:color w:val="000000"/>
                <w:sz w:val="20"/>
              </w:rPr>
              <w:t xml:space="preserve">Attention: Ms. Eileen Kong </w:t>
            </w:r>
          </w:p>
          <w:p>
            <w:pPr>
              <w:pStyle w:val="TableContents"/>
              <w:bidi w:val="0"/>
              <w:jc w:val="left"/>
              <w:rPr>
                <w:rFonts w:ascii="Times New Roman" w:hAnsi="Times New Roman"/>
                <w:color w:val="000000"/>
                <w:sz w:val="20"/>
              </w:rPr>
            </w:pPr>
            <w:r>
              <w:rPr>
                <w:rFonts w:ascii="Times New Roman" w:hAnsi="Times New Roman"/>
                <w:color w:val="000000"/>
                <w:sz w:val="20"/>
              </w:rPr>
              <w:t>Email: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For rent payment:</w:t>
            </w:r>
          </w:p>
          <w:p>
            <w:pPr>
              <w:pStyle w:val="TableContents"/>
              <w:bidi w:val="0"/>
              <w:jc w:val="left"/>
              <w:rPr>
                <w:rFonts w:ascii="Times New Roman" w:hAnsi="Times New Roman"/>
                <w:color w:val="000000"/>
                <w:sz w:val="20"/>
              </w:rPr>
            </w:pPr>
            <w:r>
              <w:rPr>
                <w:rFonts w:ascii="Times New Roman" w:hAnsi="Times New Roman"/>
                <w:color w:val="000000"/>
                <w:sz w:val="20"/>
              </w:rPr>
              <w:t>Kilroy Realty, L.P. PO Box 516542</w:t>
            </w:r>
          </w:p>
          <w:p>
            <w:pPr>
              <w:pStyle w:val="TableContents"/>
              <w:bidi w:val="0"/>
              <w:jc w:val="left"/>
              <w:rPr>
                <w:rFonts w:ascii="Times New Roman" w:hAnsi="Times New Roman"/>
                <w:color w:val="000000"/>
                <w:sz w:val="20"/>
              </w:rPr>
            </w:pPr>
            <w:r>
              <w:rPr>
                <w:rFonts w:ascii="Times New Roman" w:hAnsi="Times New Roman"/>
                <w:color w:val="000000"/>
                <w:sz w:val="20"/>
              </w:rPr>
              <w:t xml:space="preserve">Los Angeles, California 90051-0595 </w:t>
            </w:r>
          </w:p>
          <w:p>
            <w:pPr>
              <w:pStyle w:val="TableContents"/>
              <w:bidi w:val="0"/>
              <w:spacing w:before="1" w:after="283"/>
              <w:jc w:val="left"/>
              <w:rPr>
                <w:rFonts w:ascii="Times New Roman" w:hAnsi="Times New Roman"/>
                <w:color w:val="000000"/>
                <w:sz w:val="20"/>
              </w:rPr>
            </w:pPr>
            <w:r>
              <w:rPr>
                <w:rFonts w:ascii="Times New Roman" w:hAnsi="Times New Roman"/>
                <w:color w:val="000000"/>
                <w:sz w:val="20"/>
              </w:rPr>
              <w:t>ABA Routing Number: ###</w:t>
            </w:r>
          </w:p>
          <w:p>
            <w:pPr>
              <w:pStyle w:val="TableContents"/>
              <w:bidi w:val="0"/>
              <w:spacing w:before="1" w:after="283"/>
              <w:jc w:val="left"/>
              <w:rPr>
                <w:rFonts w:ascii="Times New Roman" w:hAnsi="Times New Roman"/>
                <w:color w:val="000000"/>
                <w:sz w:val="20"/>
              </w:rPr>
            </w:pPr>
            <w:r>
              <w:rPr>
                <w:rFonts w:ascii="Times New Roman" w:hAnsi="Times New Roman"/>
                <w:color w:val="000000"/>
                <w:sz w:val="20"/>
              </w:rPr>
              <w:t>Account Number: ###</w:t>
            </w:r>
          </w:p>
          <w:p>
            <w:pPr>
              <w:pStyle w:val="TableContents"/>
              <w:bidi w:val="0"/>
              <w:spacing w:before="1" w:after="283"/>
              <w:jc w:val="left"/>
              <w:rPr>
                <w:rFonts w:ascii="Times New Roman" w:hAnsi="Times New Roman"/>
                <w:color w:val="000000"/>
                <w:sz w:val="20"/>
              </w:rPr>
            </w:pPr>
            <w:r>
              <w:rPr>
                <w:rFonts w:ascii="Times New Roman" w:hAnsi="Times New Roman"/>
                <w:color w:val="000000"/>
                <w:sz w:val="20"/>
              </w:rPr>
              <w:t>Account Name: ###</w:t>
            </w:r>
          </w:p>
          <w:p>
            <w:pPr>
              <w:pStyle w:val="TableContents"/>
              <w:bidi w:val="0"/>
              <w:spacing w:before="1" w:after="283"/>
              <w:jc w:val="left"/>
              <w:rPr>
                <w:rFonts w:ascii="Times New Roman" w:hAnsi="Times New Roman"/>
                <w:color w:val="000000"/>
                <w:sz w:val="20"/>
              </w:rPr>
            </w:pPr>
            <w:r>
              <w:rPr>
                <w:rFonts w:ascii="Times New Roman" w:hAnsi="Times New Roman"/>
                <w:color w:val="000000"/>
                <w:sz w:val="20"/>
              </w:rPr>
              <w:t>Attention: ###</w:t>
            </w:r>
          </w:p>
        </w:tc>
      </w:tr>
      <w:tr>
        <w:trPr/>
        <w:tc>
          <w:tcPr>
            <w:tcW w:w="24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12. Broker(s)</w:t>
            </w:r>
          </w:p>
          <w:p>
            <w:pPr>
              <w:pStyle w:val="TableContents"/>
              <w:bidi w:val="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Section 29.24</w:t>
            </w:r>
            <w:r>
              <w:rPr>
                <w:rFonts w:ascii="Times New Roman" w:hAnsi="Times New Roman"/>
                <w:color w:val="000000"/>
                <w:sz w:val="20"/>
              </w:rPr>
              <w:t>):</w:t>
            </w:r>
          </w:p>
          <w:p>
            <w:pPr>
              <w:pStyle w:val="TableContents"/>
              <w:bidi w:val="0"/>
              <w:spacing w:before="256" w:after="283"/>
              <w:jc w:val="left"/>
              <w:rPr/>
            </w:pPr>
            <w:r>
              <w:rPr>
                <w:color w:val="000000"/>
              </w:rPr>
              <w:t>        </w:t>
            </w:r>
            <w:r>
              <w:rPr>
                <w:rFonts w:ascii="Times New Roman" w:hAnsi="Times New Roman"/>
                <w:i/>
                <w:color w:val="000000"/>
                <w:sz w:val="20"/>
              </w:rPr>
              <w:t>Representing Tenant</w:t>
            </w:r>
            <w:r>
              <w:rPr>
                <w:rFonts w:ascii="Times New Roman" w:hAnsi="Times New Roman"/>
                <w:color w:val="000000"/>
                <w:sz w:val="20"/>
              </w:rPr>
              <w:t xml:space="preserve">: </w:t>
            </w:r>
          </w:p>
          <w:p>
            <w:pPr>
              <w:pStyle w:val="TableContents"/>
              <w:bidi w:val="0"/>
              <w:spacing w:before="0" w:after="283"/>
              <w:jc w:val="left"/>
              <w:rPr>
                <w:color w:val="000000"/>
              </w:rPr>
            </w:pPr>
            <w:r>
              <w:rPr>
                <w:color w:val="000000"/>
              </w:rPr>
              <w:t>        </w:t>
            </w:r>
            <w:r>
              <w:rPr>
                <w:rFonts w:ascii="Times New Roman" w:hAnsi="Times New Roman"/>
                <w:color w:val="000000"/>
                <w:sz w:val="20"/>
              </w:rPr>
              <w:t>Colliers International</w:t>
            </w:r>
          </w:p>
        </w:tc>
        <w:tc>
          <w:tcPr>
            <w:tcW w:w="7771" w:type="dxa"/>
            <w:tcBorders/>
            <w:tcMar>
              <w:top w:w="0" w:type="dxa"/>
              <w:left w:w="0" w:type="dxa"/>
              <w:bottom w:w="0" w:type="dxa"/>
              <w:right w:w="0" w:type="dxa"/>
            </w:tcMar>
            <w:vAlign w:val="center"/>
          </w:tcPr>
          <w:p>
            <w:pPr>
              <w:pStyle w:val="TableContents"/>
              <w:bidi w:val="0"/>
              <w:spacing w:before="120" w:after="283"/>
              <w:jc w:val="left"/>
              <w:rPr/>
            </w:pPr>
            <w:r>
              <w:rPr/>
              <w:t> </w:t>
            </w:r>
          </w:p>
          <w:p>
            <w:pPr>
              <w:pStyle w:val="TableContents"/>
              <w:bidi w:val="0"/>
              <w:spacing w:before="120" w:after="283"/>
              <w:jc w:val="left"/>
              <w:rPr/>
            </w:pPr>
            <w:r>
              <w:rPr/>
              <w:t> </w:t>
            </w:r>
          </w:p>
          <w:p>
            <w:pPr>
              <w:pStyle w:val="TableContents"/>
              <w:bidi w:val="0"/>
              <w:spacing w:before="120" w:after="283"/>
              <w:jc w:val="left"/>
              <w:rPr>
                <w:rFonts w:ascii="Times New Roman" w:hAnsi="Times New Roman"/>
                <w:sz w:val="20"/>
              </w:rPr>
            </w:pPr>
            <w:r>
              <w:rPr>
                <w:rFonts w:ascii="Times New Roman" w:hAnsi="Times New Roman"/>
                <w:i/>
                <w:color w:val="000000"/>
                <w:sz w:val="20"/>
              </w:rPr>
              <w:t>Representing Landlord</w:t>
            </w:r>
            <w:r>
              <w:rPr>
                <w:rFonts w:ascii="Times New Roman" w:hAnsi="Times New Roman"/>
                <w:b/>
                <w:color w:val="000000"/>
                <w:sz w:val="20"/>
              </w:rPr>
              <w: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Jones Lang LaSalle</w:t>
            </w:r>
          </w:p>
        </w:tc>
      </w:tr>
    </w:tbl>
    <w:p>
      <w:pPr>
        <w:pStyle w:val="TextBody"/>
        <w:bidi w:val="0"/>
        <w:jc w:val="left"/>
        <w:rPr/>
      </w:pPr>
      <w:r>
        <w:rPr/>
        <w:t> </w:t>
      </w:r>
    </w:p>
    <w:p>
      <w:pPr>
        <w:pStyle w:val="TextBody"/>
        <w:bidi w:val="0"/>
        <w:jc w:val="center"/>
        <w:rPr/>
      </w:pPr>
      <w:r>
        <w:rPr/>
        <w:t> </w:t>
      </w:r>
    </w:p>
    <w:tbl>
      <w:tblPr>
        <w:tblW w:w="2720" w:type="dxa"/>
        <w:jc w:val="left"/>
        <w:tblInd w:w="0" w:type="dxa"/>
        <w:tblLayout w:type="fixed"/>
        <w:tblCellMar>
          <w:top w:w="28" w:type="dxa"/>
          <w:left w:w="28" w:type="dxa"/>
          <w:bottom w:w="28" w:type="dxa"/>
          <w:right w:w="28" w:type="dxa"/>
        </w:tblCellMar>
      </w:tblPr>
      <w:tblGrid>
        <w:gridCol w:w="181"/>
        <w:gridCol w:w="351"/>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351"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ARTICLE 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PREMISES, BUILDING, PROJECT, AND COMMON AREAS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1.1 </w:t>
      </w:r>
      <w:r>
        <w:rPr>
          <w:rFonts w:ascii="Times New Roman" w:hAnsi="Times New Roman"/>
          <w:b/>
          <w:color w:val="000000"/>
          <w:sz w:val="20"/>
          <w:u w:val="single"/>
        </w:rPr>
        <w:t>Premises, Building, Project and Common Areas</w:t>
      </w:r>
      <w:r>
        <w:rPr>
          <w:rFonts w:ascii="Times New Roman" w:hAnsi="Times New Roman"/>
          <w:b/>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1.1.1 </w:t>
      </w:r>
      <w:r>
        <w:rPr>
          <w:rFonts w:ascii="Times New Roman" w:hAnsi="Times New Roman"/>
          <w:b/>
          <w:color w:val="000000"/>
          <w:sz w:val="20"/>
          <w:u w:val="single"/>
        </w:rPr>
        <w:t>The Premises</w:t>
      </w:r>
      <w:r>
        <w:rPr>
          <w:rFonts w:ascii="Times New Roman" w:hAnsi="Times New Roman"/>
          <w:color w:val="000000"/>
          <w:sz w:val="20"/>
        </w:rPr>
        <w:t xml:space="preserve">. Landlord hereby leases to Tenant and Tenant hereby leases from Landlord the premises set forth in </w:t>
      </w:r>
      <w:r>
        <w:rPr>
          <w:rFonts w:ascii="Times New Roman" w:hAnsi="Times New Roman"/>
          <w:color w:val="000000"/>
          <w:sz w:val="20"/>
          <w:u w:val="single"/>
        </w:rPr>
        <w:t>Section 2.2</w:t>
      </w:r>
      <w:r>
        <w:rPr>
          <w:rFonts w:ascii="Times New Roman" w:hAnsi="Times New Roman"/>
          <w:color w:val="000000"/>
          <w:sz w:val="20"/>
        </w:rPr>
        <w:t xml:space="preserve"> of the Summary (the “</w:t>
      </w:r>
      <w:r>
        <w:rPr>
          <w:rFonts w:ascii="Times New Roman" w:hAnsi="Times New Roman"/>
          <w:b/>
          <w:color w:val="000000"/>
          <w:sz w:val="20"/>
        </w:rPr>
        <w:t>Premises</w:t>
      </w:r>
      <w:r>
        <w:rPr>
          <w:rFonts w:ascii="Times New Roman" w:hAnsi="Times New Roman"/>
          <w:color w:val="000000"/>
          <w:sz w:val="20"/>
        </w:rPr>
        <w:t xml:space="preserve">”). The outline of the Premises is set forth in </w:t>
      </w:r>
      <w:r>
        <w:rPr>
          <w:rFonts w:ascii="Times New Roman" w:hAnsi="Times New Roman"/>
          <w:b/>
          <w:color w:val="000000"/>
          <w:sz w:val="20"/>
          <w:u w:val="single"/>
        </w:rPr>
        <w:t>Exhibit A</w:t>
      </w:r>
      <w:r>
        <w:rPr>
          <w:rFonts w:ascii="Times New Roman" w:hAnsi="Times New Roman"/>
          <w:color w:val="000000"/>
          <w:sz w:val="20"/>
        </w:rPr>
        <w:t xml:space="preserve"> attached hereto. The parties hereto agree that the lease of the Premises is upon and subject to the terms, covenants and conditions (the “</w:t>
      </w:r>
      <w:r>
        <w:rPr>
          <w:rFonts w:ascii="Times New Roman" w:hAnsi="Times New Roman"/>
          <w:b/>
          <w:color w:val="000000"/>
          <w:sz w:val="20"/>
        </w:rPr>
        <w:t>TCCs</w:t>
      </w:r>
      <w:r>
        <w:rPr>
          <w:rFonts w:ascii="Times New Roman" w:hAnsi="Times New Roman"/>
          <w:color w:val="000000"/>
          <w:sz w:val="20"/>
        </w:rPr>
        <w:t xml:space="preserve">”) herein set forth, and Tenant covenants as a material part of the consideration for this Lease to keep and perform each and all of such TCCs by it to be kept and performed and that this Lease is made upon the condition of such performance. The parties hereto hereby acknowledge that the purpose of </w:t>
      </w:r>
      <w:r>
        <w:rPr>
          <w:rFonts w:ascii="Times New Roman" w:hAnsi="Times New Roman"/>
          <w:b/>
          <w:color w:val="000000"/>
          <w:sz w:val="20"/>
          <w:u w:val="single"/>
        </w:rPr>
        <w:t>Exhibit A</w:t>
      </w:r>
      <w:r>
        <w:rPr>
          <w:rFonts w:ascii="Times New Roman" w:hAnsi="Times New Roman"/>
          <w:color w:val="000000"/>
          <w:sz w:val="20"/>
        </w:rPr>
        <w:t xml:space="preserve"> is to show the approximate location of the Premises in the “Building,” as that term is defined in </w:t>
      </w:r>
      <w:r>
        <w:rPr>
          <w:rFonts w:ascii="Times New Roman" w:hAnsi="Times New Roman"/>
          <w:color w:val="000000"/>
          <w:sz w:val="20"/>
          <w:u w:val="single"/>
        </w:rPr>
        <w:t>Section 1.1.2</w:t>
      </w:r>
      <w:r>
        <w:rPr>
          <w:rFonts w:ascii="Times New Roman" w:hAnsi="Times New Roman"/>
          <w:color w:val="000000"/>
          <w:sz w:val="20"/>
        </w:rPr>
        <w:t xml:space="preserve">, below, only, and such Exhibit is not meant to constitute an agreement, representation or warranty as to the construction of the Premises, the precise area thereof or the specific location of the “Common Areas,” as that term is defined in </w:t>
      </w:r>
      <w:r>
        <w:rPr>
          <w:rFonts w:ascii="Times New Roman" w:hAnsi="Times New Roman"/>
          <w:color w:val="000000"/>
          <w:sz w:val="20"/>
          <w:u w:val="single"/>
        </w:rPr>
        <w:t>Section 1.1.3</w:t>
      </w:r>
      <w:r>
        <w:rPr>
          <w:rFonts w:ascii="Times New Roman" w:hAnsi="Times New Roman"/>
          <w:color w:val="000000"/>
          <w:sz w:val="20"/>
        </w:rPr>
        <w:t xml:space="preserve">, below, or the elements thereof or of the accessways to the Premises or the “Project,” as that term is defined in </w:t>
      </w:r>
      <w:r>
        <w:rPr>
          <w:rFonts w:ascii="Times New Roman" w:hAnsi="Times New Roman"/>
          <w:color w:val="000000"/>
          <w:sz w:val="20"/>
          <w:u w:val="single"/>
        </w:rPr>
        <w:t>Section 1.1.2</w:t>
      </w:r>
      <w:r>
        <w:rPr>
          <w:rFonts w:ascii="Times New Roman" w:hAnsi="Times New Roman"/>
          <w:color w:val="000000"/>
          <w:sz w:val="20"/>
        </w:rPr>
        <w:t>, below. The parties acknowledge that Tenant is currently in occupancy of the Premises pursuant to the Existing Sublease and Landlord has no obligation to deliver the Premises to Tenant. Except as specifically set forth in this Lease, Tenant shall continue to accept the Premises in its existing “as-is” condition and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1.1.2 </w:t>
      </w:r>
      <w:r>
        <w:rPr>
          <w:rFonts w:ascii="Times New Roman" w:hAnsi="Times New Roman"/>
          <w:b/>
          <w:color w:val="000000"/>
          <w:sz w:val="20"/>
          <w:u w:val="single"/>
        </w:rPr>
        <w:t>The Building and the Project</w:t>
      </w:r>
      <w:r>
        <w:rPr>
          <w:rFonts w:ascii="Times New Roman" w:hAnsi="Times New Roman"/>
          <w:color w:val="000000"/>
          <w:sz w:val="20"/>
        </w:rPr>
        <w:t xml:space="preserve">. The Premises is a part of the building set forth in </w:t>
      </w:r>
      <w:r>
        <w:rPr>
          <w:rFonts w:ascii="Times New Roman" w:hAnsi="Times New Roman"/>
          <w:color w:val="000000"/>
          <w:sz w:val="20"/>
          <w:u w:val="single"/>
        </w:rPr>
        <w:t>Section 2.1</w:t>
      </w:r>
      <w:r>
        <w:rPr>
          <w:rFonts w:ascii="Times New Roman" w:hAnsi="Times New Roman"/>
          <w:color w:val="000000"/>
          <w:sz w:val="20"/>
        </w:rPr>
        <w:t xml:space="preserve"> of the Summary (the “</w:t>
      </w:r>
      <w:r>
        <w:rPr>
          <w:rFonts w:ascii="Times New Roman" w:hAnsi="Times New Roman"/>
          <w:b/>
          <w:color w:val="000000"/>
          <w:sz w:val="20"/>
        </w:rPr>
        <w:t>Building</w:t>
      </w:r>
      <w:r>
        <w:rPr>
          <w:rFonts w:ascii="Times New Roman" w:hAnsi="Times New Roman"/>
          <w:color w:val="000000"/>
          <w:sz w:val="20"/>
        </w:rPr>
        <w:t>”). The Building is the principal component of an office project known as “</w:t>
      </w:r>
      <w:r>
        <w:rPr>
          <w:rFonts w:ascii="Times New Roman" w:hAnsi="Times New Roman"/>
          <w:b/>
          <w:color w:val="000000"/>
          <w:sz w:val="20"/>
        </w:rPr>
        <w:t>201 Third Street</w:t>
      </w:r>
      <w:r>
        <w:rPr>
          <w:rFonts w:ascii="Times New Roman" w:hAnsi="Times New Roman"/>
          <w:color w:val="000000"/>
          <w:sz w:val="20"/>
        </w:rPr>
        <w:t>.” The term “</w:t>
      </w:r>
      <w:r>
        <w:rPr>
          <w:rFonts w:ascii="Times New Roman" w:hAnsi="Times New Roman"/>
          <w:b/>
          <w:color w:val="000000"/>
          <w:sz w:val="20"/>
        </w:rPr>
        <w:t>Project</w:t>
      </w:r>
      <w:r>
        <w:rPr>
          <w:rFonts w:ascii="Times New Roman" w:hAnsi="Times New Roman"/>
          <w:color w:val="000000"/>
          <w:sz w:val="20"/>
        </w:rPr>
        <w:t>,” as used in this Lease, shall mean (i) the Building and the Common Areas, (ii) the land (which is improved with landscaping, parking structures and/or facilities and other improvements) upon which the Building and the Common Areas are located, and (iii) at Landlord’s discretion, any additional real property, areas, land, buildings or other improvements added thereto.</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1.1.2.1 </w:t>
      </w:r>
      <w:r>
        <w:rPr>
          <w:rFonts w:ascii="Times New Roman" w:hAnsi="Times New Roman"/>
          <w:b/>
          <w:color w:val="000000"/>
          <w:sz w:val="20"/>
          <w:u w:val="single"/>
        </w:rPr>
        <w:t>Common Areas</w:t>
      </w:r>
      <w:r>
        <w:rPr>
          <w:rFonts w:ascii="Times New Roman" w:hAnsi="Times New Roman"/>
          <w:color w:val="000000"/>
          <w:sz w:val="20"/>
        </w:rPr>
        <w:t xml:space="preserve">. Tenant shall have the non-exclusive right to use in common with other tenants in the Project, and subject to the Rules and Regulations (as defined in </w:t>
      </w:r>
      <w:r>
        <w:rPr>
          <w:rFonts w:ascii="Times New Roman" w:hAnsi="Times New Roman"/>
          <w:color w:val="000000"/>
          <w:sz w:val="20"/>
          <w:u w:val="single"/>
        </w:rPr>
        <w:t>Section 5.1</w:t>
      </w:r>
      <w:r>
        <w:rPr>
          <w:rFonts w:ascii="Times New Roman" w:hAnsi="Times New Roman"/>
          <w:color w:val="000000"/>
          <w:sz w:val="20"/>
        </w:rPr>
        <w:t xml:space="preserve"> below), those portions of the Project which are provided, from time to time, for use in common by Landlord, Tenant and any other tenants of the Project (such areas, together with such other portions of the Project designated by Landlord, in its discretion, including certain areas designated for the exclusive use of certain tenants, or to be shared by Landlord and certain tenants, are collectively referred to herein as the “</w:t>
      </w:r>
      <w:r>
        <w:rPr>
          <w:rFonts w:ascii="Times New Roman" w:hAnsi="Times New Roman"/>
          <w:b/>
          <w:color w:val="000000"/>
          <w:sz w:val="20"/>
        </w:rPr>
        <w:t>Common Areas</w:t>
      </w:r>
      <w:r>
        <w:rPr>
          <w:rFonts w:ascii="Times New Roman" w:hAnsi="Times New Roman"/>
          <w:color w:val="000000"/>
          <w:sz w:val="20"/>
        </w:rPr>
        <w:t>”). The Common Areas shall consist of the “Project Common Areas” and the “Building Common Areas” (as both of those terms are defined below). The term “</w:t>
      </w:r>
      <w:r>
        <w:rPr>
          <w:rFonts w:ascii="Times New Roman" w:hAnsi="Times New Roman"/>
          <w:b/>
          <w:color w:val="000000"/>
          <w:sz w:val="20"/>
        </w:rPr>
        <w:t>Project Common Areas</w:t>
      </w:r>
      <w:r>
        <w:rPr>
          <w:rFonts w:ascii="Times New Roman" w:hAnsi="Times New Roman"/>
          <w:color w:val="000000"/>
          <w:sz w:val="20"/>
        </w:rPr>
        <w:t>,” as used in this Lease, shall mean the portion of the Project designated as such by Landlord. The term “</w:t>
      </w:r>
      <w:r>
        <w:rPr>
          <w:rFonts w:ascii="Times New Roman" w:hAnsi="Times New Roman"/>
          <w:b/>
          <w:color w:val="000000"/>
          <w:sz w:val="20"/>
        </w:rPr>
        <w:t>Building Common Areas</w:t>
      </w:r>
      <w:r>
        <w:rPr>
          <w:rFonts w:ascii="Times New Roman" w:hAnsi="Times New Roman"/>
          <w:color w:val="000000"/>
          <w:sz w:val="20"/>
        </w:rPr>
        <w:t>,” as used in this Lease, shall mean the portions of the Common Areas located within the Building designated as such by Landlord. At Landlord's election from time to time, the Common Areas may include certain shared use facilities that are under Landlord's management and control, such as, but not limited to, fitness centers, conference and meeting rooms, visitors' centers, cafés, cafeterias, and/or other food service operations, bicycle storage areas and/or bathroom and shower facilities (collectively, “</w:t>
      </w:r>
      <w:r>
        <w:rPr>
          <w:rFonts w:ascii="Times New Roman" w:hAnsi="Times New Roman"/>
          <w:b/>
          <w:color w:val="000000"/>
          <w:sz w:val="20"/>
        </w:rPr>
        <w:t>Shared Use Facilities</w:t>
      </w:r>
      <w:r>
        <w:rPr>
          <w:rFonts w:ascii="Times New Roman" w:hAnsi="Times New Roman"/>
          <w:color w:val="000000"/>
          <w:sz w:val="20"/>
        </w:rPr>
        <w:t>”). Landlord shall have the right to promulgate Rules and Regulations for the use of the Shared Use Facilities and the right to reasonably require, as a condition to use of any of such Shared Use Facilities, that Tenant's employees and other users of any such Shared Use Facilities sign a waiver and release of liability as deemed appropriate by Landlord. In connection with the foregoing, as a Shared Use Facility, Landlord anticipates construction an amenity center on the ninth (9</w:t>
      </w:r>
      <w:r>
        <w:rPr>
          <w:rFonts w:ascii="Times New Roman" w:hAnsi="Times New Roman"/>
          <w:color w:val="000000"/>
          <w:sz w:val="13"/>
        </w:rPr>
        <w:t>th</w:t>
      </w:r>
      <w:r>
        <w:rPr>
          <w:rFonts w:ascii="Times New Roman" w:hAnsi="Times New Roman"/>
          <w:color w:val="000000"/>
          <w:sz w:val="20"/>
        </w:rPr>
        <w:t>) floor of the Building (the “</w:t>
      </w:r>
      <w:r>
        <w:rPr>
          <w:rFonts w:ascii="Times New Roman" w:hAnsi="Times New Roman"/>
          <w:b/>
          <w:color w:val="000000"/>
          <w:sz w:val="20"/>
        </w:rPr>
        <w:t>Amenity Center</w:t>
      </w:r>
      <w:r>
        <w:rPr>
          <w:rFonts w:ascii="Times New Roman" w:hAnsi="Times New Roman"/>
          <w:color w:val="000000"/>
          <w:sz w:val="20"/>
        </w:rPr>
        <w:t xml:space="preserve">”). The manner in which the Common Areas are maintained and operated shall be at the sole discretion of Landlord and the use thereof shall be subject to such rules, regulations and restrictions as Landlord may make from time to time, provided that such rules, regulations and restrictions do not unreasonably interfere with the rights granted to Tenant under this Lease and the Permitted Use. Landlord reserves the right to close temporarily, make alterations or additions to, or change the location of elements of the Project and the Common Areas; provided that no such changes shall be permitted which materially reduce Tenant’s rights or access hereunder. Except </w:t>
      </w:r>
    </w:p>
    <w:p>
      <w:pPr>
        <w:pStyle w:val="TextBody"/>
        <w:bidi w:val="0"/>
        <w:jc w:val="center"/>
        <w:rPr/>
      </w:pPr>
      <w:r>
        <w:rPr/>
        <w:t> </w:t>
      </w:r>
    </w:p>
    <w:tbl>
      <w:tblPr>
        <w:tblW w:w="2720" w:type="dxa"/>
        <w:jc w:val="left"/>
        <w:tblInd w:w="0" w:type="dxa"/>
        <w:tblLayout w:type="fixed"/>
        <w:tblCellMar>
          <w:top w:w="28" w:type="dxa"/>
          <w:left w:w="28" w:type="dxa"/>
          <w:bottom w:w="28" w:type="dxa"/>
          <w:right w:w="28" w:type="dxa"/>
        </w:tblCellMar>
      </w:tblPr>
      <w:tblGrid>
        <w:gridCol w:w="181"/>
        <w:gridCol w:w="351"/>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351"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and where Tenant’s right of access is specifically excluded in this Lease, Tenant shall have the right of access to the Premises, the Building, and the Project parking facility twenty-four (24) hours per day, seven (7) days per week during the “Lease Term,” as that term is defined in Section 2.1, below.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1.2 </w:t>
      </w:r>
      <w:r>
        <w:rPr>
          <w:rFonts w:ascii="Times New Roman" w:hAnsi="Times New Roman"/>
          <w:b/>
          <w:color w:val="000000"/>
          <w:sz w:val="20"/>
          <w:u w:val="single"/>
        </w:rPr>
        <w:t>Right of First Offer</w:t>
      </w:r>
      <w:r>
        <w:rPr>
          <w:rFonts w:ascii="Times New Roman" w:hAnsi="Times New Roman"/>
          <w:color w:val="000000"/>
          <w:sz w:val="20"/>
        </w:rPr>
        <w:t>. Landlord hereby grants Tenant a one-time right of first offer with respect to approximately 30,938 rentable square feet, commonly known as Suite 400, located on the fourth (4</w:t>
      </w:r>
      <w:r>
        <w:rPr>
          <w:rFonts w:ascii="Times New Roman" w:hAnsi="Times New Roman"/>
          <w:color w:val="000000"/>
          <w:sz w:val="13"/>
        </w:rPr>
        <w:t>th</w:t>
      </w:r>
      <w:r>
        <w:rPr>
          <w:rFonts w:ascii="Times New Roman" w:hAnsi="Times New Roman"/>
          <w:color w:val="000000"/>
          <w:sz w:val="20"/>
        </w:rPr>
        <w:t xml:space="preserve">) floor of the Building as depicted on </w:t>
      </w:r>
      <w:r>
        <w:rPr>
          <w:rFonts w:ascii="Times New Roman" w:hAnsi="Times New Roman"/>
          <w:b/>
          <w:color w:val="000000"/>
          <w:sz w:val="20"/>
          <w:u w:val="single"/>
        </w:rPr>
        <w:t>Exhibit G</w:t>
      </w:r>
      <w:r>
        <w:rPr>
          <w:rFonts w:ascii="Times New Roman" w:hAnsi="Times New Roman"/>
          <w:color w:val="000000"/>
          <w:sz w:val="20"/>
        </w:rPr>
        <w:t xml:space="preserve"> attached hereto (the “</w:t>
      </w:r>
      <w:r>
        <w:rPr>
          <w:rFonts w:ascii="Times New Roman" w:hAnsi="Times New Roman"/>
          <w:b/>
          <w:color w:val="000000"/>
          <w:sz w:val="20"/>
        </w:rPr>
        <w:t>First Offer Space</w:t>
      </w:r>
      <w:r>
        <w:rPr>
          <w:rFonts w:ascii="Times New Roman" w:hAnsi="Times New Roman"/>
          <w:color w:val="000000"/>
          <w:sz w:val="20"/>
        </w:rPr>
        <w:t xml:space="preserve">”). Notwithstanding the foregoing, such first offer right of Tenant shall apply only following the expiration or earlier termination of the existing lease of the First Offer Space (including renewals of such lease, irrespective of whether such renewal is currently set forth in such lease or is subsequently granted or agreed upon, and regardless of whether such renewal is consummated pursuant to a lease amendment or a new lease). Tenant’s right of first offer shall be on the terms and conditions set forth in this </w:t>
      </w:r>
      <w:r>
        <w:rPr>
          <w:rFonts w:ascii="Times New Roman" w:hAnsi="Times New Roman"/>
          <w:color w:val="000000"/>
          <w:sz w:val="20"/>
          <w:u w:val="single"/>
        </w:rPr>
        <w:t>Section 1.2</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1.2.1 </w:t>
      </w:r>
      <w:r>
        <w:rPr>
          <w:rFonts w:ascii="Times New Roman" w:hAnsi="Times New Roman"/>
          <w:b/>
          <w:color w:val="000000"/>
          <w:sz w:val="20"/>
          <w:u w:val="single"/>
        </w:rPr>
        <w:t>Procedure for Offer</w:t>
      </w:r>
      <w:r>
        <w:rPr>
          <w:rFonts w:ascii="Times New Roman" w:hAnsi="Times New Roman"/>
          <w:color w:val="000000"/>
          <w:sz w:val="20"/>
          <w:u w:val="single"/>
        </w:rPr>
        <w:t>.</w:t>
      </w:r>
      <w:r>
        <w:rPr>
          <w:rFonts w:ascii="Times New Roman" w:hAnsi="Times New Roman"/>
          <w:color w:val="000000"/>
          <w:sz w:val="20"/>
        </w:rPr>
        <w:t xml:space="preserve"> Subject to the terms of this </w:t>
      </w:r>
      <w:r>
        <w:rPr>
          <w:rFonts w:ascii="Times New Roman" w:hAnsi="Times New Roman"/>
          <w:color w:val="000000"/>
          <w:sz w:val="20"/>
          <w:u w:val="single"/>
        </w:rPr>
        <w:t>Section 1.2,</w:t>
      </w:r>
      <w:r>
        <w:rPr>
          <w:rFonts w:ascii="Times New Roman" w:hAnsi="Times New Roman"/>
          <w:color w:val="000000"/>
          <w:sz w:val="20"/>
        </w:rPr>
        <w:t xml:space="preserve"> Landlord shall notify Tenant (the “</w:t>
      </w:r>
      <w:r>
        <w:rPr>
          <w:rFonts w:ascii="Times New Roman" w:hAnsi="Times New Roman"/>
          <w:b/>
          <w:color w:val="000000"/>
          <w:sz w:val="20"/>
        </w:rPr>
        <w:t>First Offer Notice</w:t>
      </w:r>
      <w:r>
        <w:rPr>
          <w:rFonts w:ascii="Times New Roman" w:hAnsi="Times New Roman"/>
          <w:color w:val="000000"/>
          <w:sz w:val="20"/>
        </w:rPr>
        <w:t xml:space="preserve">”) at least thirty (30) days prior to the anticipated “First Offer Commencement Date”, as that term is defined in </w:t>
      </w:r>
      <w:r>
        <w:rPr>
          <w:rFonts w:ascii="Times New Roman" w:hAnsi="Times New Roman"/>
          <w:color w:val="000000"/>
          <w:sz w:val="20"/>
          <w:u w:val="single"/>
        </w:rPr>
        <w:t>Section 1.2.5,</w:t>
      </w:r>
      <w:r>
        <w:rPr>
          <w:rFonts w:ascii="Times New Roman" w:hAnsi="Times New Roman"/>
          <w:color w:val="000000"/>
          <w:sz w:val="20"/>
        </w:rPr>
        <w:t xml:space="preserve"> below. Landlord shall not deliver a First Offer Notice earlier than April 1, 2027, unless Landlord will be responding to a request for proposal, or a proposal from a third party tenant for all or any portion of the First Offer Space. Pursuant to such First Offer Notice, Landlord shall offer to lease to Tenant the First Offer Space. The First Offer Notice shall describe the following proposed terms for Tenant’s lease of the First Offer Space: (i) the base rent and share of Direct Expenses, (ii) any rental abatement concessions, (iii) improvements or allowances, (iv) security deposit, (v) any period of rental abatement, and (vi) other monetary concessions (collectively, the “</w:t>
      </w:r>
      <w:r>
        <w:rPr>
          <w:rFonts w:ascii="Times New Roman" w:hAnsi="Times New Roman"/>
          <w:b/>
          <w:color w:val="000000"/>
          <w:sz w:val="20"/>
        </w:rPr>
        <w:t>Economic Terms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1.2.2 </w:t>
      </w:r>
      <w:r>
        <w:rPr>
          <w:rFonts w:ascii="Times New Roman" w:hAnsi="Times New Roman"/>
          <w:b/>
          <w:color w:val="000000"/>
          <w:sz w:val="20"/>
          <w:u w:val="single"/>
        </w:rPr>
        <w:t>Procedure for Acceptance</w:t>
      </w:r>
      <w:r>
        <w:rPr>
          <w:rFonts w:ascii="Times New Roman" w:hAnsi="Times New Roman"/>
          <w:color w:val="000000"/>
          <w:sz w:val="20"/>
          <w:u w:val="single"/>
        </w:rPr>
        <w:t xml:space="preserve">. </w:t>
      </w:r>
      <w:r>
        <w:rPr>
          <w:rFonts w:ascii="Times New Roman" w:hAnsi="Times New Roman"/>
          <w:color w:val="000000"/>
          <w:sz w:val="20"/>
        </w:rPr>
        <w:t>If Tenant wishes to exercise Tenant’s right of first offer, then within twenty (20) days of delivery of the First Offer Notice to Tenant (“</w:t>
      </w:r>
      <w:r>
        <w:rPr>
          <w:rFonts w:ascii="Times New Roman" w:hAnsi="Times New Roman"/>
          <w:b/>
          <w:color w:val="000000"/>
          <w:sz w:val="20"/>
        </w:rPr>
        <w:t>Tenant’s Exercise Period</w:t>
      </w:r>
      <w:r>
        <w:rPr>
          <w:rFonts w:ascii="Times New Roman" w:hAnsi="Times New Roman"/>
          <w:color w:val="000000"/>
          <w:sz w:val="20"/>
        </w:rPr>
        <w:t>”), Tenant shall deliver notice to Landlord (the “</w:t>
      </w:r>
      <w:r>
        <w:rPr>
          <w:rFonts w:ascii="Times New Roman" w:hAnsi="Times New Roman"/>
          <w:b/>
          <w:color w:val="000000"/>
          <w:sz w:val="20"/>
        </w:rPr>
        <w:t>First Offer Exercise Notice</w:t>
      </w:r>
      <w:r>
        <w:rPr>
          <w:rFonts w:ascii="Times New Roman" w:hAnsi="Times New Roman"/>
          <w:color w:val="000000"/>
          <w:sz w:val="20"/>
        </w:rPr>
        <w:t xml:space="preserve">”) of Tenant’s election to exercise its right of first offer with respect to the entire First Offer Space on the terms contained in the First Offer Notice. If Tenant does not so notify Landlord within such twenty (20) day period, then Landlord shall be free to lease the First Offer Space to anyone to whom Landlord desires on any terms Landlord desires. Notwithstanding the foregoing, if (i) Tenant was entitled to exercise its right of first offer pursuant to this </w:t>
      </w:r>
      <w:r>
        <w:rPr>
          <w:rFonts w:ascii="Times New Roman" w:hAnsi="Times New Roman"/>
          <w:color w:val="000000"/>
          <w:sz w:val="20"/>
          <w:u w:val="single"/>
        </w:rPr>
        <w:t>Section 1.2,</w:t>
      </w:r>
      <w:r>
        <w:rPr>
          <w:rFonts w:ascii="Times New Roman" w:hAnsi="Times New Roman"/>
          <w:color w:val="000000"/>
          <w:sz w:val="20"/>
        </w:rPr>
        <w:t xml:space="preserve"> but did not accept Landlord’s offer set forth in Landlord’s First Offer Notice, and (ii) within a six (6) months period following Landlord’s delivery of the First Offer Notice to Tenant, Landlord proposes to lease the First Offer Space to any potential third party tenant on Economic Terms less than ninety-five percent (95%) as favorable to Landlord as the Economic Terms offered in such First Offer Notice to Tenant (as determined using a Net Equivalent Lease Rate, as defined in </w:t>
      </w:r>
      <w:r>
        <w:rPr>
          <w:rFonts w:ascii="Times New Roman" w:hAnsi="Times New Roman"/>
          <w:b/>
          <w:color w:val="000000"/>
          <w:sz w:val="20"/>
          <w:u w:val="single"/>
        </w:rPr>
        <w:t>Exhibit H</w:t>
      </w:r>
      <w:r>
        <w:rPr>
          <w:rFonts w:ascii="Times New Roman" w:hAnsi="Times New Roman"/>
          <w:color w:val="000000"/>
          <w:sz w:val="20"/>
        </w:rPr>
        <w:t xml:space="preserve"> attached hereto), then so long as Tenant’s right of first offer has not otherwise terminated pursuant to </w:t>
      </w:r>
      <w:r>
        <w:rPr>
          <w:rFonts w:ascii="Times New Roman" w:hAnsi="Times New Roman"/>
          <w:color w:val="000000"/>
          <w:sz w:val="20"/>
          <w:u w:val="single"/>
        </w:rPr>
        <w:t>Section 1.2.6</w:t>
      </w:r>
      <w:r>
        <w:rPr>
          <w:rFonts w:ascii="Times New Roman" w:hAnsi="Times New Roman"/>
          <w:color w:val="000000"/>
          <w:sz w:val="20"/>
        </w:rPr>
        <w:t>, Landlord may not lease the First Offer Space to such third party tenant without first providing Tenant with a new First Offer Notice on such reduced Economic Terms (“</w:t>
      </w:r>
      <w:r>
        <w:rPr>
          <w:rFonts w:ascii="Times New Roman" w:hAnsi="Times New Roman"/>
          <w:b/>
          <w:color w:val="000000"/>
          <w:sz w:val="20"/>
        </w:rPr>
        <w:t>Modified First Offer Notice</w:t>
      </w:r>
      <w:r>
        <w:rPr>
          <w:rFonts w:ascii="Times New Roman" w:hAnsi="Times New Roman"/>
          <w:color w:val="000000"/>
          <w:sz w:val="20"/>
        </w:rPr>
        <w:t xml:space="preserve">”). If Landlord provides such a Modified First Offer Notice to Tenant, Tenant’s Exercise Period (as defined in </w:t>
      </w:r>
      <w:r>
        <w:rPr>
          <w:rFonts w:ascii="Times New Roman" w:hAnsi="Times New Roman"/>
          <w:color w:val="000000"/>
          <w:sz w:val="20"/>
          <w:u w:val="single"/>
        </w:rPr>
        <w:t>Section 1.2.2</w:t>
      </w:r>
      <w:r>
        <w:rPr>
          <w:rFonts w:ascii="Times New Roman" w:hAnsi="Times New Roman"/>
          <w:color w:val="000000"/>
          <w:sz w:val="20"/>
        </w:rPr>
        <w:t xml:space="preserve"> below) with respect to such Modified First Offer Notice shall be amended to be a period of ten (10) days. Notwithstanding anything to the contrary contained herein, Tenant must elect to exercise its right of first offer, if at all, with respect to all of the space offered by Landlord to Tenant, and Tenant may not elect to lease only a portion thereof.</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1.2.3 </w:t>
      </w:r>
      <w:r>
        <w:rPr>
          <w:rFonts w:ascii="Times New Roman" w:hAnsi="Times New Roman"/>
          <w:b/>
          <w:color w:val="000000"/>
          <w:sz w:val="20"/>
          <w:u w:val="single"/>
        </w:rPr>
        <w:t>First Offer Space Rent</w:t>
      </w:r>
      <w:r>
        <w:rPr>
          <w:rFonts w:ascii="Times New Roman" w:hAnsi="Times New Roman"/>
          <w:color w:val="000000"/>
          <w:sz w:val="20"/>
          <w:u w:val="single"/>
        </w:rPr>
        <w:t xml:space="preserve">. </w:t>
      </w:r>
      <w:r>
        <w:rPr>
          <w:rFonts w:ascii="Times New Roman" w:hAnsi="Times New Roman"/>
          <w:color w:val="000000"/>
          <w:sz w:val="20"/>
        </w:rPr>
        <w:t>The rent payable by Tenant for the First Offer Space (the “</w:t>
      </w:r>
      <w:r>
        <w:rPr>
          <w:rFonts w:ascii="Times New Roman" w:hAnsi="Times New Roman"/>
          <w:b/>
          <w:color w:val="000000"/>
          <w:sz w:val="20"/>
        </w:rPr>
        <w:t>First Offer Rent</w:t>
      </w:r>
      <w:r>
        <w:rPr>
          <w:rFonts w:ascii="Times New Roman" w:hAnsi="Times New Roman"/>
          <w:color w:val="000000"/>
          <w:sz w:val="20"/>
        </w:rPr>
        <w:t>”) shall be as set forth in the First Offer Notice (and any Modified First Offer Notice).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1.2.4 </w:t>
      </w:r>
      <w:r>
        <w:rPr>
          <w:rFonts w:ascii="Times New Roman" w:hAnsi="Times New Roman"/>
          <w:b/>
          <w:color w:val="000000"/>
          <w:sz w:val="20"/>
          <w:u w:val="single"/>
        </w:rPr>
        <w:t>Construction in First Offer Space</w:t>
      </w:r>
      <w:r>
        <w:rPr>
          <w:rFonts w:ascii="Times New Roman" w:hAnsi="Times New Roman"/>
          <w:color w:val="000000"/>
          <w:sz w:val="20"/>
        </w:rPr>
        <w:t xml:space="preserve">. Tenant shall take the First Offer Space in its “as is” condition, and the construction of improvements in the First Offer Space shall comply with the terms of </w:t>
      </w:r>
      <w:r>
        <w:rPr>
          <w:rFonts w:ascii="Times New Roman" w:hAnsi="Times New Roman"/>
          <w:color w:val="000000"/>
          <w:sz w:val="20"/>
          <w:u w:val="single"/>
        </w:rPr>
        <w:t>Article 8</w:t>
      </w:r>
      <w:r>
        <w:rPr>
          <w:rFonts w:ascii="Times New Roman" w:hAnsi="Times New Roman"/>
          <w:color w:val="000000"/>
          <w:sz w:val="20"/>
        </w:rPr>
        <w:t xml:space="preserve"> of this Lease subject to Landlord’s express repair and maintenance obligations set forth in </w:t>
      </w:r>
      <w:r>
        <w:rPr>
          <w:rFonts w:ascii="Times New Roman" w:hAnsi="Times New Roman"/>
          <w:color w:val="000000"/>
          <w:sz w:val="20"/>
          <w:u w:val="single"/>
        </w:rPr>
        <w:t>Section 7.</w:t>
      </w:r>
      <w:r>
        <w:rPr>
          <w:rFonts w:ascii="Times New Roman" w:hAnsi="Times New Roman"/>
          <w:color w:val="000000"/>
          <w:sz w:val="20"/>
        </w:rPr>
        <w:t xml:space="preserve"> Any improvement allowance to which Tenant may be entitled shall be as set forth in the First Offer Notice.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1.2.5 </w:t>
      </w:r>
      <w:r>
        <w:rPr>
          <w:rFonts w:ascii="Times New Roman" w:hAnsi="Times New Roman"/>
          <w:b/>
          <w:color w:val="000000"/>
          <w:sz w:val="20"/>
          <w:u w:val="single"/>
        </w:rPr>
        <w:t>Amendment to Lease</w:t>
      </w:r>
      <w:r>
        <w:rPr>
          <w:rFonts w:ascii="Times New Roman" w:hAnsi="Times New Roman"/>
          <w:color w:val="000000"/>
          <w:sz w:val="20"/>
          <w:u w:val="single"/>
        </w:rPr>
        <w:t xml:space="preserve">. </w:t>
      </w:r>
      <w:r>
        <w:rPr>
          <w:rFonts w:ascii="Times New Roman" w:hAnsi="Times New Roman"/>
          <w:color w:val="000000"/>
          <w:sz w:val="20"/>
        </w:rPr>
        <w:t xml:space="preserve">If Tenant timely exercises Tenant’s right to lease the First Offer Space, then Landlord and Tenant shall within thirty (30) days thereafter execute an amendment to this Lease for the First Offer Space upon the terms and conditions as set forth in the First Offer Notice and this </w:t>
      </w:r>
      <w:r>
        <w:rPr>
          <w:rFonts w:ascii="Times New Roman" w:hAnsi="Times New Roman"/>
          <w:color w:val="000000"/>
          <w:sz w:val="20"/>
          <w:u w:val="single"/>
        </w:rPr>
        <w:t>Section 1.2;</w:t>
      </w:r>
      <w:r>
        <w:rPr>
          <w:rFonts w:ascii="Times New Roman" w:hAnsi="Times New Roman"/>
          <w:color w:val="000000"/>
          <w:sz w:val="20"/>
        </w:rPr>
        <w:t xml:space="preserve"> provided, however, that an otherwise valid exercise of the such right of first offer shall be fully effective whether or not a lease amendment is executed. Notwithstanding any contrary provision of this </w:t>
      </w:r>
      <w:r>
        <w:rPr>
          <w:rFonts w:ascii="Times New Roman" w:hAnsi="Times New Roman"/>
          <w:color w:val="000000"/>
          <w:sz w:val="20"/>
          <w:u w:val="single"/>
        </w:rPr>
        <w:t>Section 1.2,</w:t>
      </w:r>
      <w:r>
        <w:rPr>
          <w:rFonts w:ascii="Times New Roman" w:hAnsi="Times New Roman"/>
          <w:color w:val="000000"/>
          <w:sz w:val="20"/>
        </w:rPr>
        <w:t xml:space="preserve"> the rentable square footage of the First Offer </w:t>
      </w:r>
    </w:p>
    <w:p>
      <w:pPr>
        <w:pStyle w:val="TextBody"/>
        <w:bidi w:val="0"/>
        <w:jc w:val="center"/>
        <w:rPr/>
      </w:pPr>
      <w:r>
        <w:rPr/>
        <w:t> </w:t>
      </w:r>
    </w:p>
    <w:tbl>
      <w:tblPr>
        <w:tblW w:w="2720" w:type="dxa"/>
        <w:jc w:val="left"/>
        <w:tblInd w:w="0" w:type="dxa"/>
        <w:tblLayout w:type="fixed"/>
        <w:tblCellMar>
          <w:top w:w="28" w:type="dxa"/>
          <w:left w:w="28" w:type="dxa"/>
          <w:bottom w:w="28" w:type="dxa"/>
          <w:right w:w="28" w:type="dxa"/>
        </w:tblCellMar>
      </w:tblPr>
      <w:tblGrid>
        <w:gridCol w:w="181"/>
        <w:gridCol w:w="351"/>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351"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1"/>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Space shall be determined by Landlord in accordance with Landlord’s then current standard of measurement for the Building. Tenant shall commence payment of rent for the First Offer Space, and the term of Tenant’s lease of the First Offer Space shall commence, upon the date of delivery of the First Offer Space to Tenant (the “</w:t>
      </w:r>
      <w:r>
        <w:rPr>
          <w:rFonts w:ascii="Times New Roman" w:hAnsi="Times New Roman"/>
          <w:b/>
          <w:color w:val="000000"/>
          <w:sz w:val="20"/>
        </w:rPr>
        <w:t>First Offer Commencement Date</w:t>
      </w:r>
      <w:r>
        <w:rPr>
          <w:rFonts w:ascii="Times New Roman" w:hAnsi="Times New Roman"/>
          <w:color w:val="000000"/>
          <w:sz w:val="20"/>
        </w:rPr>
        <w:t>”) and shall terminate as of the date set forth in the First Offer Notice.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1.2.6 </w:t>
      </w:r>
      <w:r>
        <w:rPr>
          <w:rFonts w:ascii="Times New Roman" w:hAnsi="Times New Roman"/>
          <w:b/>
          <w:color w:val="000000"/>
          <w:sz w:val="20"/>
          <w:u w:val="single"/>
        </w:rPr>
        <w:t>Termination of Right of First Offer</w:t>
      </w:r>
      <w:r>
        <w:rPr>
          <w:rFonts w:ascii="Times New Roman" w:hAnsi="Times New Roman"/>
          <w:color w:val="000000"/>
          <w:sz w:val="20"/>
        </w:rPr>
        <w:t xml:space="preserve">. The right of first offer granted herein shall terminate upon the earliest to occur of (i) failure by Tenant to exercise its right of first offer as offered by Landlord, subject to the terms of </w:t>
      </w:r>
      <w:r>
        <w:rPr>
          <w:rFonts w:ascii="Times New Roman" w:hAnsi="Times New Roman"/>
          <w:color w:val="000000"/>
          <w:sz w:val="20"/>
          <w:u w:val="single"/>
        </w:rPr>
        <w:t>Section 1.2.2</w:t>
      </w:r>
      <w:r>
        <w:rPr>
          <w:rFonts w:ascii="Times New Roman" w:hAnsi="Times New Roman"/>
          <w:color w:val="000000"/>
          <w:sz w:val="20"/>
        </w:rPr>
        <w:t xml:space="preserve"> above, (ii) Tenant’s exercise of its right of first offer for all of the First Offer Space, (iii) Tenant’s assignment of this Lease, other than to a Permitted Transferee Assignee, (iv) Tenant’s sublease substantially all of the Premises, other than to a Permitted Transferee, for substantially the remaining Lease Term, and (v) the occurrence of the second (2</w:t>
      </w:r>
      <w:r>
        <w:rPr>
          <w:rFonts w:ascii="Times New Roman" w:hAnsi="Times New Roman"/>
          <w:color w:val="000000"/>
          <w:sz w:val="13"/>
        </w:rPr>
        <w:t>nd</w:t>
      </w:r>
      <w:r>
        <w:rPr>
          <w:rFonts w:ascii="Times New Roman" w:hAnsi="Times New Roman"/>
          <w:color w:val="000000"/>
          <w:sz w:val="20"/>
        </w:rPr>
        <w:t xml:space="preserve">) Event of Default. Tenant shall not have the right to lease First Offer Space, as provided in this </w:t>
      </w:r>
      <w:r>
        <w:rPr>
          <w:rFonts w:ascii="Times New Roman" w:hAnsi="Times New Roman"/>
          <w:color w:val="000000"/>
          <w:sz w:val="20"/>
          <w:u w:val="single"/>
        </w:rPr>
        <w:t>Section 1.2,</w:t>
      </w:r>
      <w:r>
        <w:rPr>
          <w:rFonts w:ascii="Times New Roman" w:hAnsi="Times New Roman"/>
          <w:color w:val="000000"/>
          <w:sz w:val="20"/>
        </w:rPr>
        <w:t xml:space="preserve"> if, as of the date of the attempted exercise of any right of first offer by Tenant, or, at Landlord’s option, as of the scheduled date of delivery of such First Offer Space to Tenant, an Event of Default is then occurring under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1.3 </w:t>
      </w:r>
      <w:r>
        <w:rPr>
          <w:rFonts w:ascii="Times New Roman" w:hAnsi="Times New Roman"/>
          <w:b/>
          <w:color w:val="000000"/>
          <w:sz w:val="20"/>
          <w:u w:val="single"/>
        </w:rPr>
        <w:t>Rentable Square Feet of Premises and Building</w:t>
      </w:r>
      <w:r>
        <w:rPr>
          <w:rFonts w:ascii="Times New Roman" w:hAnsi="Times New Roman"/>
          <w:color w:val="000000"/>
          <w:sz w:val="20"/>
        </w:rPr>
        <w:t xml:space="preserve">. For purposes of this Lease, “rentable square feet” of the Premises shall be deemed as set forth in </w:t>
      </w:r>
      <w:r>
        <w:rPr>
          <w:rFonts w:ascii="Times New Roman" w:hAnsi="Times New Roman"/>
          <w:color w:val="000000"/>
          <w:sz w:val="20"/>
          <w:u w:val="single"/>
        </w:rPr>
        <w:t>Section 2.2</w:t>
      </w:r>
      <w:r>
        <w:rPr>
          <w:rFonts w:ascii="Times New Roman" w:hAnsi="Times New Roman"/>
          <w:color w:val="000000"/>
          <w:sz w:val="20"/>
        </w:rPr>
        <w:t xml:space="preserve"> of the Summary during the initial Lease Term and the rentable square feet of the Building shall be deemed as set forth in </w:t>
      </w:r>
      <w:r>
        <w:rPr>
          <w:rFonts w:ascii="Times New Roman" w:hAnsi="Times New Roman"/>
          <w:color w:val="000000"/>
          <w:sz w:val="20"/>
          <w:u w:val="single"/>
        </w:rPr>
        <w:t>Section 2.1</w:t>
      </w:r>
      <w:r>
        <w:rPr>
          <w:rFonts w:ascii="Times New Roman" w:hAnsi="Times New Roman"/>
          <w:color w:val="000000"/>
          <w:sz w:val="20"/>
        </w:rPr>
        <w:t xml:space="preserve"> of the Summary prior to the construction of the Amenity Center. Effective as of the commencement of the Option Term (as defined in </w:t>
      </w:r>
      <w:r>
        <w:rPr>
          <w:rFonts w:ascii="Times New Roman" w:hAnsi="Times New Roman"/>
          <w:color w:val="000000"/>
          <w:sz w:val="20"/>
          <w:u w:val="single"/>
        </w:rPr>
        <w:t>Section 2.2.1</w:t>
      </w:r>
      <w:r>
        <w:rPr>
          <w:rFonts w:ascii="Times New Roman" w:hAnsi="Times New Roman"/>
          <w:color w:val="000000"/>
          <w:sz w:val="20"/>
        </w:rPr>
        <w:t xml:space="preserve"> below), notwithstanding any contrary provision contained herein, the Premises shall be deemed to contain 60,332 rentable square feet of space, comprised of (a) 29,394 rentable square feet consisting of the entire second (2</w:t>
      </w:r>
      <w:r>
        <w:rPr>
          <w:rFonts w:ascii="Times New Roman" w:hAnsi="Times New Roman"/>
          <w:color w:val="000000"/>
          <w:sz w:val="13"/>
        </w:rPr>
        <w:t>nd</w:t>
      </w:r>
      <w:r>
        <w:rPr>
          <w:rFonts w:ascii="Times New Roman" w:hAnsi="Times New Roman"/>
          <w:color w:val="000000"/>
          <w:sz w:val="20"/>
        </w:rPr>
        <w:t>) floor of the Building and commonly known as Suite 200; and (b) 30,938 rentable square feet comprising the entire third (3</w:t>
      </w:r>
      <w:r>
        <w:rPr>
          <w:rFonts w:ascii="Times New Roman" w:hAnsi="Times New Roman"/>
          <w:color w:val="000000"/>
          <w:sz w:val="13"/>
        </w:rPr>
        <w:t>rd</w:t>
      </w:r>
      <w:r>
        <w:rPr>
          <w:rFonts w:ascii="Times New Roman" w:hAnsi="Times New Roman"/>
          <w:color w:val="000000"/>
          <w:sz w:val="20"/>
        </w:rPr>
        <w:t>) floor of the Building and commonly known as Suite 300. In connection with Landlord’s completion of the Amenity Center, Landlord’s architect (or such other planner/designer designated by Landlord) shall remeasure the Building (including the Premises) in accordance with the Landlord’s then-current measurement standard for the Project. If Landlord’s architect (or such other planner/designer designated by Landlord) determines that the rentable square feet footage of the Building (including the Premises) shall be different from as set forth in this Lease, all amounts, percentages and figures appearing or referred to in this Lease based upon such incorrect rentable square footage of the Building shall be modified in accordance with such determination, memorialized in writing as may be delivered by Landlord to Tenant; provided that neither the total amount of Base Rent payable under this Lease nor Tenant’s Share shall increase as a result of any such remeasurement.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LEASE TERM; OPTION TERM</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 </w:t>
      </w:r>
      <w:r>
        <w:rPr>
          <w:rFonts w:ascii="Times New Roman" w:hAnsi="Times New Roman"/>
          <w:b/>
          <w:color w:val="000000"/>
          <w:sz w:val="20"/>
          <w:u w:val="single"/>
        </w:rPr>
        <w:t>Initial Lease Term</w:t>
      </w:r>
      <w:r>
        <w:rPr>
          <w:rFonts w:ascii="Times New Roman" w:hAnsi="Times New Roman"/>
          <w:color w:val="000000"/>
          <w:sz w:val="20"/>
        </w:rPr>
        <w:t>. The TCCs and provisions of this Lease shall be effective as of the date of this Lease. The term of this Lease (the “</w:t>
      </w:r>
      <w:r>
        <w:rPr>
          <w:rFonts w:ascii="Times New Roman" w:hAnsi="Times New Roman"/>
          <w:b/>
          <w:color w:val="000000"/>
          <w:sz w:val="20"/>
        </w:rPr>
        <w:t>Lease Term</w:t>
      </w:r>
      <w:r>
        <w:rPr>
          <w:rFonts w:ascii="Times New Roman" w:hAnsi="Times New Roman"/>
          <w:color w:val="000000"/>
          <w:sz w:val="20"/>
        </w:rPr>
        <w:t xml:space="preserve">”) shall be as set forth in </w:t>
      </w:r>
      <w:r>
        <w:rPr>
          <w:rFonts w:ascii="Times New Roman" w:hAnsi="Times New Roman"/>
          <w:color w:val="000000"/>
          <w:sz w:val="20"/>
          <w:u w:val="single"/>
        </w:rPr>
        <w:t>Section 3.1</w:t>
      </w:r>
      <w:r>
        <w:rPr>
          <w:rFonts w:ascii="Times New Roman" w:hAnsi="Times New Roman"/>
          <w:color w:val="000000"/>
          <w:sz w:val="20"/>
        </w:rPr>
        <w:t xml:space="preserve"> of the Summary, shall commence on the date set forth in </w:t>
      </w:r>
      <w:r>
        <w:rPr>
          <w:rFonts w:ascii="Times New Roman" w:hAnsi="Times New Roman"/>
          <w:color w:val="000000"/>
          <w:sz w:val="20"/>
          <w:u w:val="single"/>
        </w:rPr>
        <w:t>Section 3.2</w:t>
      </w:r>
      <w:r>
        <w:rPr>
          <w:rFonts w:ascii="Times New Roman" w:hAnsi="Times New Roman"/>
          <w:color w:val="000000"/>
          <w:sz w:val="20"/>
        </w:rPr>
        <w:t xml:space="preserve"> of the Summary (the “</w:t>
      </w:r>
      <w:r>
        <w:rPr>
          <w:rFonts w:ascii="Times New Roman" w:hAnsi="Times New Roman"/>
          <w:b/>
          <w:color w:val="000000"/>
          <w:sz w:val="20"/>
        </w:rPr>
        <w:t>Lease Commencement Date</w:t>
      </w:r>
      <w:r>
        <w:rPr>
          <w:rFonts w:ascii="Times New Roman" w:hAnsi="Times New Roman"/>
          <w:color w:val="000000"/>
          <w:sz w:val="20"/>
        </w:rPr>
        <w:t xml:space="preserve">”), and shall terminate on the date set forth in </w:t>
      </w:r>
      <w:r>
        <w:rPr>
          <w:rFonts w:ascii="Times New Roman" w:hAnsi="Times New Roman"/>
          <w:color w:val="000000"/>
          <w:sz w:val="20"/>
          <w:u w:val="single"/>
        </w:rPr>
        <w:t>Section 3.3</w:t>
      </w:r>
      <w:r>
        <w:rPr>
          <w:rFonts w:ascii="Times New Roman" w:hAnsi="Times New Roman"/>
          <w:color w:val="000000"/>
          <w:sz w:val="20"/>
        </w:rPr>
        <w:t xml:space="preserve"> of the Summary (the “</w:t>
      </w:r>
      <w:r>
        <w:rPr>
          <w:rFonts w:ascii="Times New Roman" w:hAnsi="Times New Roman"/>
          <w:b/>
          <w:color w:val="000000"/>
          <w:sz w:val="20"/>
        </w:rPr>
        <w:t>Lease Expiration Date</w:t>
      </w:r>
      <w:r>
        <w:rPr>
          <w:rFonts w:ascii="Times New Roman" w:hAnsi="Times New Roman"/>
          <w:color w:val="000000"/>
          <w:sz w:val="20"/>
        </w:rPr>
        <w:t>”) unless this Lease is sooner terminated as hereinafter provided. For purposes of this Lease, the term “</w:t>
      </w:r>
      <w:r>
        <w:rPr>
          <w:rFonts w:ascii="Times New Roman" w:hAnsi="Times New Roman"/>
          <w:b/>
          <w:color w:val="000000"/>
          <w:sz w:val="20"/>
        </w:rPr>
        <w:t>Lease Year</w:t>
      </w:r>
      <w:r>
        <w:rPr>
          <w:rFonts w:ascii="Times New Roman" w:hAnsi="Times New Roman"/>
          <w:color w:val="000000"/>
          <w:sz w:val="20"/>
        </w:rPr>
        <w:t>” shall mean each consecutive twelve (12) calendar month period during the Lease Term; provided, however, that the first Lease Year shall commence on the Lease Commencement Date and end on the last day of the month in which the first anniversary of the Lease Commencement Date occurs (or if the Lease Commencement Date is the first day of a calendar month, then the first Lease Year shall commence on the Lease Commencement Date and end on the day immediately preceding the first anniversary of the Lease Commencement Date), and the second and each succeeding Lease Year shall commence on the first day of the next calendar month; and further provided that the last Lease Year shall end on the Lease Expiration Date. For purposes of this Lease, the term “</w:t>
      </w:r>
      <w:r>
        <w:rPr>
          <w:rFonts w:ascii="Times New Roman" w:hAnsi="Times New Roman"/>
          <w:b/>
          <w:color w:val="000000"/>
          <w:sz w:val="20"/>
        </w:rPr>
        <w:t>Lease Month</w:t>
      </w:r>
      <w:r>
        <w:rPr>
          <w:rFonts w:ascii="Times New Roman" w:hAnsi="Times New Roman"/>
          <w:color w:val="000000"/>
          <w:sz w:val="20"/>
        </w:rPr>
        <w:t>” shall mean each succeeding calendar month during the Lease Term; provided that the first Lease Month shall commence on the Lease Commencement Date and shall end on the last day of the first (1</w:t>
      </w:r>
      <w:r>
        <w:rPr>
          <w:rFonts w:ascii="Times New Roman" w:hAnsi="Times New Roman"/>
          <w:color w:val="000000"/>
          <w:sz w:val="13"/>
        </w:rPr>
        <w:t>st</w:t>
      </w:r>
      <w:r>
        <w:rPr>
          <w:rFonts w:ascii="Times New Roman" w:hAnsi="Times New Roman"/>
          <w:color w:val="000000"/>
          <w:sz w:val="20"/>
        </w:rPr>
        <w:t xml:space="preserve">) full calendar month of the Lease Term and that the last Lease Month shall expire on the Lease Expiration Date. At any time during the Lease Term, Landlord may deliver to Tenant a notice in the form as set forth in </w:t>
      </w:r>
      <w:r>
        <w:rPr>
          <w:rFonts w:ascii="Times New Roman" w:hAnsi="Times New Roman"/>
          <w:b/>
          <w:color w:val="000000"/>
          <w:sz w:val="20"/>
          <w:u w:val="single"/>
        </w:rPr>
        <w:t>Exhibit C</w:t>
      </w:r>
      <w:r>
        <w:rPr>
          <w:rFonts w:ascii="Times New Roman" w:hAnsi="Times New Roman"/>
          <w:color w:val="000000"/>
          <w:sz w:val="20"/>
        </w:rPr>
        <w:t>, attached hereto, as a confirmation only of the information set forth therein, which Tenant shall execute and return to Landlord within five (5) days of receipt thereof.</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Option Term</w:t>
      </w:r>
      <w:r>
        <w:rPr>
          <w:rFonts w:ascii="Times New Roman" w:hAnsi="Times New Roman"/>
          <w:color w:val="000000"/>
          <w:sz w:val="20"/>
        </w:rPr>
        <w:t>.</w:t>
      </w:r>
    </w:p>
    <w:p>
      <w:pPr>
        <w:pStyle w:val="TextBody"/>
        <w:bidi w:val="0"/>
        <w:jc w:val="center"/>
        <w:rPr/>
      </w:pPr>
      <w:r>
        <w:rPr/>
        <w:t> </w:t>
      </w:r>
    </w:p>
    <w:tbl>
      <w:tblPr>
        <w:tblW w:w="2720" w:type="dxa"/>
        <w:jc w:val="left"/>
        <w:tblInd w:w="0" w:type="dxa"/>
        <w:tblLayout w:type="fixed"/>
        <w:tblCellMar>
          <w:top w:w="28" w:type="dxa"/>
          <w:left w:w="28" w:type="dxa"/>
          <w:bottom w:w="28" w:type="dxa"/>
          <w:right w:w="28" w:type="dxa"/>
        </w:tblCellMar>
      </w:tblPr>
      <w:tblGrid>
        <w:gridCol w:w="181"/>
        <w:gridCol w:w="351"/>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351"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-6-</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2"/>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2.2.1 </w:t>
      </w:r>
      <w:r>
        <w:rPr>
          <w:rFonts w:ascii="Times New Roman" w:hAnsi="Times New Roman"/>
          <w:b/>
          <w:color w:val="000000"/>
          <w:sz w:val="20"/>
          <w:u w:val="single"/>
        </w:rPr>
        <w:t>Option Right</w:t>
      </w:r>
      <w:r>
        <w:rPr>
          <w:rFonts w:ascii="Times New Roman" w:hAnsi="Times New Roman"/>
          <w:color w:val="000000"/>
          <w:sz w:val="20"/>
        </w:rPr>
        <w:t>. Landlord hereby grants the tenant originally named herein (the “</w:t>
      </w:r>
      <w:r>
        <w:rPr>
          <w:rFonts w:ascii="Times New Roman" w:hAnsi="Times New Roman"/>
          <w:b/>
          <w:color w:val="000000"/>
          <w:sz w:val="20"/>
        </w:rPr>
        <w:t>Original Tenant</w:t>
      </w:r>
      <w:r>
        <w:rPr>
          <w:rFonts w:ascii="Times New Roman" w:hAnsi="Times New Roman"/>
          <w:color w:val="000000"/>
          <w:sz w:val="20"/>
        </w:rPr>
        <w:t xml:space="preserve">”) and its “Permitted Transferee Assignee,” as that term is set forth in </w:t>
      </w:r>
      <w:r>
        <w:rPr>
          <w:rFonts w:ascii="Times New Roman" w:hAnsi="Times New Roman"/>
          <w:color w:val="000000"/>
          <w:sz w:val="20"/>
          <w:u w:val="single"/>
        </w:rPr>
        <w:t>Section 14.8</w:t>
      </w:r>
      <w:r>
        <w:rPr>
          <w:rFonts w:ascii="Times New Roman" w:hAnsi="Times New Roman"/>
          <w:color w:val="000000"/>
          <w:sz w:val="20"/>
        </w:rPr>
        <w:t xml:space="preserve"> of this Lease, one (1) option to extend the Lease Term for the entire Premises by a period of three (3) years (the “</w:t>
      </w:r>
      <w:r>
        <w:rPr>
          <w:rFonts w:ascii="Times New Roman" w:hAnsi="Times New Roman"/>
          <w:b/>
          <w:color w:val="000000"/>
          <w:sz w:val="20"/>
        </w:rPr>
        <w:t>Option Term</w:t>
      </w:r>
      <w:r>
        <w:rPr>
          <w:rFonts w:ascii="Times New Roman" w:hAnsi="Times New Roman"/>
          <w:color w:val="000000"/>
          <w:sz w:val="20"/>
        </w:rPr>
        <w:t xml:space="preserve">”). Such option shall be exercisable only by “Notice” (as that term is defined in </w:t>
      </w:r>
      <w:r>
        <w:rPr>
          <w:rFonts w:ascii="Times New Roman" w:hAnsi="Times New Roman"/>
          <w:color w:val="000000"/>
          <w:sz w:val="20"/>
          <w:u w:val="single"/>
        </w:rPr>
        <w:t>Section 29.18</w:t>
      </w:r>
      <w:r>
        <w:rPr>
          <w:rFonts w:ascii="Times New Roman" w:hAnsi="Times New Roman"/>
          <w:color w:val="000000"/>
          <w:sz w:val="20"/>
        </w:rPr>
        <w:t xml:space="preserve"> of this Lease) delivered by Tenant to Landlord as provided below, provided that, as of the date of delivery of such Notice, (i) no Event of Default is then occurring under this Lease, and (ii) not more than one (1) Event of Default has occurred during the prior Lease Term. Upon the proper exercise of such option to extend, and provided that, at Landlord’s election, as of the end of the Lease Term, (A) no Event of Default is then occurring under this Lease, and (B) no Event of Default under this Lease has previously occurred, then the Lease Term, as it applies to the entire Premises, shall be extended for a period of three (3) years. The rights contained in this </w:t>
      </w:r>
      <w:r>
        <w:rPr>
          <w:rFonts w:ascii="Times New Roman" w:hAnsi="Times New Roman"/>
          <w:color w:val="000000"/>
          <w:sz w:val="20"/>
          <w:u w:val="single"/>
        </w:rPr>
        <w:t>Section 2.2</w:t>
      </w:r>
      <w:r>
        <w:rPr>
          <w:rFonts w:ascii="Times New Roman" w:hAnsi="Times New Roman"/>
          <w:color w:val="000000"/>
          <w:sz w:val="20"/>
        </w:rPr>
        <w:t xml:space="preserve"> shall only be exercised by the Original Tenant or its Permitted Transferee Assignee (and not any other assignee, sublessee or other transferee of the Original Tenant’s interest in this Lease) if Original Tenant and/or its Permitted Transferee Assignee is in occupancy of the entire then-existing Premises.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2.2.2 </w:t>
      </w:r>
      <w:r>
        <w:rPr>
          <w:rFonts w:ascii="Times New Roman" w:hAnsi="Times New Roman"/>
          <w:b/>
          <w:color w:val="000000"/>
          <w:sz w:val="20"/>
          <w:u w:val="single"/>
        </w:rPr>
        <w:t>Option Rent</w:t>
      </w:r>
      <w:r>
        <w:rPr>
          <w:rFonts w:ascii="Times New Roman" w:hAnsi="Times New Roman"/>
          <w:color w:val="000000"/>
          <w:sz w:val="20"/>
        </w:rPr>
        <w:t>. The Rent payable by Tenant during the Option Term (the “</w:t>
      </w:r>
      <w:r>
        <w:rPr>
          <w:rFonts w:ascii="Times New Roman" w:hAnsi="Times New Roman"/>
          <w:b/>
          <w:color w:val="000000"/>
          <w:sz w:val="20"/>
        </w:rPr>
        <w:t>Option Rent</w:t>
      </w:r>
      <w:r>
        <w:rPr>
          <w:rFonts w:ascii="Times New Roman" w:hAnsi="Times New Roman"/>
          <w:color w:val="000000"/>
          <w:sz w:val="20"/>
        </w:rPr>
        <w:t xml:space="preserve">”) shall be equal to the “Market Rent,” as that term is defined in, and determined pursuant to, </w:t>
      </w:r>
      <w:r>
        <w:rPr>
          <w:rFonts w:ascii="Times New Roman" w:hAnsi="Times New Roman"/>
          <w:b/>
          <w:color w:val="000000"/>
          <w:sz w:val="20"/>
          <w:u w:val="single"/>
        </w:rPr>
        <w:t>Exhibit H</w:t>
      </w:r>
      <w:r>
        <w:rPr>
          <w:rFonts w:ascii="Times New Roman" w:hAnsi="Times New Roman"/>
          <w:color w:val="000000"/>
          <w:sz w:val="20"/>
        </w:rPr>
        <w:t xml:space="preserve"> attached hereto; provided, however, that the Market Rent for each Lease Year during the Option Term, shall be equal to the amount set forth on a “Market Rate Schedule,” as that term is defined below. The “</w:t>
      </w:r>
      <w:r>
        <w:rPr>
          <w:rFonts w:ascii="Times New Roman" w:hAnsi="Times New Roman"/>
          <w:b/>
          <w:color w:val="000000"/>
          <w:sz w:val="20"/>
        </w:rPr>
        <w:t>Market Rate Schedule</w:t>
      </w:r>
      <w:r>
        <w:rPr>
          <w:rFonts w:ascii="Times New Roman" w:hAnsi="Times New Roman"/>
          <w:color w:val="000000"/>
          <w:sz w:val="20"/>
        </w:rPr>
        <w:t xml:space="preserve">” shall be derived from the Market Rent for the Option Term as determined pursuant to </w:t>
      </w:r>
      <w:r>
        <w:rPr>
          <w:rFonts w:ascii="Times New Roman" w:hAnsi="Times New Roman"/>
          <w:b/>
          <w:color w:val="000000"/>
          <w:sz w:val="20"/>
          <w:u w:val="single"/>
        </w:rPr>
        <w:t>Exhibit H</w:t>
      </w:r>
      <w:r>
        <w:rPr>
          <w:rFonts w:ascii="Times New Roman" w:hAnsi="Times New Roman"/>
          <w:color w:val="000000"/>
          <w:sz w:val="20"/>
        </w:rPr>
        <w:t xml:space="preserve">, attached hereto, as follows: (i) the Market Rent for the first Lease Year of the Option Term shall be equal to the sum of (a) the Market Rent, as determined pursuant to </w:t>
      </w:r>
      <w:r>
        <w:rPr>
          <w:rFonts w:ascii="Times New Roman" w:hAnsi="Times New Roman"/>
          <w:b/>
          <w:color w:val="000000"/>
          <w:sz w:val="20"/>
          <w:u w:val="single"/>
        </w:rPr>
        <w:t>Exhibit H</w:t>
      </w:r>
      <w:r>
        <w:rPr>
          <w:rFonts w:ascii="Times New Roman" w:hAnsi="Times New Roman"/>
          <w:color w:val="000000"/>
          <w:sz w:val="20"/>
        </w:rPr>
        <w:t xml:space="preserve">, (b) the amount of Direct Expenses applicable to the Premises, as reasonably determined by Landlord, for the calendar year in which the Option Term commences, and (c) an amount equal to the monthly amortization reimbursement payment for the “Renewal Allowance” (as defined in </w:t>
      </w:r>
      <w:r>
        <w:rPr>
          <w:rFonts w:ascii="Times New Roman" w:hAnsi="Times New Roman"/>
          <w:color w:val="000000"/>
          <w:sz w:val="20"/>
          <w:u w:val="single"/>
        </w:rPr>
        <w:t>Section 3</w:t>
      </w:r>
      <w:r>
        <w:rPr>
          <w:rFonts w:ascii="Times New Roman" w:hAnsi="Times New Roman"/>
          <w:color w:val="000000"/>
          <w:sz w:val="20"/>
        </w:rPr>
        <w:t xml:space="preserve"> of </w:t>
      </w:r>
      <w:r>
        <w:rPr>
          <w:rFonts w:ascii="Times New Roman" w:hAnsi="Times New Roman"/>
          <w:b/>
          <w:color w:val="000000"/>
          <w:sz w:val="20"/>
          <w:u w:val="single"/>
        </w:rPr>
        <w:t>Exhibit H</w:t>
      </w:r>
      <w:r>
        <w:rPr>
          <w:rFonts w:ascii="Times New Roman" w:hAnsi="Times New Roman"/>
          <w:color w:val="000000"/>
          <w:sz w:val="20"/>
        </w:rPr>
        <w:t xml:space="preserve"> to this Lease) to be paid by Landlord in connection with Tenant’s lease of the Premises for the Option Term, with such Renewal Allowance being amortized at a reasonable rate of return to Landlord based on the rates of return then being received by the landlords of the “Comparable Buildings” as that term is set forth in </w:t>
      </w:r>
      <w:r>
        <w:rPr>
          <w:rFonts w:ascii="Times New Roman" w:hAnsi="Times New Roman"/>
          <w:color w:val="000000"/>
          <w:sz w:val="20"/>
          <w:u w:val="single"/>
        </w:rPr>
        <w:t>Section 4</w:t>
      </w:r>
      <w:r>
        <w:rPr>
          <w:rFonts w:ascii="Times New Roman" w:hAnsi="Times New Roman"/>
          <w:color w:val="000000"/>
          <w:sz w:val="20"/>
        </w:rPr>
        <w:t xml:space="preserve"> of </w:t>
      </w:r>
      <w:r>
        <w:rPr>
          <w:rFonts w:ascii="Times New Roman" w:hAnsi="Times New Roman"/>
          <w:b/>
          <w:color w:val="000000"/>
          <w:sz w:val="20"/>
          <w:u w:val="single"/>
        </w:rPr>
        <w:t>Exhibit H</w:t>
      </w:r>
      <w:r>
        <w:rPr>
          <w:rFonts w:ascii="Times New Roman" w:hAnsi="Times New Roman"/>
          <w:color w:val="000000"/>
          <w:sz w:val="20"/>
        </w:rPr>
        <w:t xml:space="preserve"> attached hereto, in connection with improvement allowances then being granted by such landlords, and (ii) the Market Rent for each subsequent Lease Year shall be equal to one hundred three percent (103%) of the prior Lease Year’s Market Rent. The calculation of the Market Rent shall be derived from a review of, and comparison to, the “Net Equivalent Lease Rates” of the “Comparable Transactions,” as provided for in </w:t>
      </w:r>
      <w:r>
        <w:rPr>
          <w:rFonts w:ascii="Times New Roman" w:hAnsi="Times New Roman"/>
          <w:b/>
          <w:color w:val="000000"/>
          <w:sz w:val="20"/>
          <w:u w:val="single"/>
        </w:rPr>
        <w:t>Exhibit H</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2.2.3 </w:t>
      </w:r>
      <w:r>
        <w:rPr>
          <w:rFonts w:ascii="Times New Roman" w:hAnsi="Times New Roman"/>
          <w:b/>
          <w:color w:val="000000"/>
          <w:sz w:val="20"/>
          <w:u w:val="single"/>
        </w:rPr>
        <w:t>Exercise of Option</w:t>
      </w:r>
      <w:r>
        <w:rPr>
          <w:rFonts w:ascii="Times New Roman" w:hAnsi="Times New Roman"/>
          <w:color w:val="000000"/>
          <w:sz w:val="20"/>
        </w:rPr>
        <w:t xml:space="preserve">. The option contained in this </w:t>
      </w:r>
      <w:r>
        <w:rPr>
          <w:rFonts w:ascii="Times New Roman" w:hAnsi="Times New Roman"/>
          <w:color w:val="000000"/>
          <w:sz w:val="20"/>
          <w:u w:val="single"/>
        </w:rPr>
        <w:t>Section 2.2</w:t>
      </w:r>
      <w:r>
        <w:rPr>
          <w:rFonts w:ascii="Times New Roman" w:hAnsi="Times New Roman"/>
          <w:color w:val="000000"/>
          <w:sz w:val="20"/>
        </w:rPr>
        <w:t xml:space="preserve"> shall be exercised by Tenant, if at all, only in the manner set forth in this </w:t>
      </w:r>
      <w:r>
        <w:rPr>
          <w:rFonts w:ascii="Times New Roman" w:hAnsi="Times New Roman"/>
          <w:color w:val="000000"/>
          <w:sz w:val="20"/>
          <w:u w:val="single"/>
        </w:rPr>
        <w:t>Section 2.2</w:t>
      </w:r>
      <w:r>
        <w:rPr>
          <w:rFonts w:ascii="Times New Roman" w:hAnsi="Times New Roman"/>
          <w:color w:val="000000"/>
          <w:sz w:val="20"/>
        </w:rPr>
        <w:t>. Tenant shall deliver notice (the “</w:t>
      </w:r>
      <w:r>
        <w:rPr>
          <w:rFonts w:ascii="Times New Roman" w:hAnsi="Times New Roman"/>
          <w:b/>
          <w:color w:val="000000"/>
          <w:sz w:val="20"/>
        </w:rPr>
        <w:t>Exercise Notice</w:t>
      </w:r>
      <w:r>
        <w:rPr>
          <w:rFonts w:ascii="Times New Roman" w:hAnsi="Times New Roman"/>
          <w:color w:val="000000"/>
          <w:sz w:val="20"/>
        </w:rPr>
        <w:t>”) to Landlord not more than twelve (12) months nor less than nine (9) months prior to the expiration of the initial Lease Term, stating that Tenant is exercising its option. Concurrently with such Exercise Notice, Tenant shall deliver to Landlord Tenant’s calculation of the Market Rent (the “</w:t>
      </w:r>
      <w:r>
        <w:rPr>
          <w:rFonts w:ascii="Times New Roman" w:hAnsi="Times New Roman"/>
          <w:b/>
          <w:color w:val="000000"/>
          <w:sz w:val="20"/>
        </w:rPr>
        <w:t>Tenant’s Option Rent Calculation</w:t>
      </w:r>
      <w:r>
        <w:rPr>
          <w:rFonts w:ascii="Times New Roman" w:hAnsi="Times New Roman"/>
          <w:color w:val="000000"/>
          <w:sz w:val="20"/>
        </w:rPr>
        <w:t>”). Landlord shall deliver notice (the “</w:t>
      </w:r>
      <w:r>
        <w:rPr>
          <w:rFonts w:ascii="Times New Roman" w:hAnsi="Times New Roman"/>
          <w:b/>
          <w:color w:val="000000"/>
          <w:sz w:val="20"/>
        </w:rPr>
        <w:t>Landlord Response Notice</w:t>
      </w:r>
      <w:r>
        <w:rPr>
          <w:rFonts w:ascii="Times New Roman" w:hAnsi="Times New Roman"/>
          <w:color w:val="000000"/>
          <w:sz w:val="20"/>
        </w:rPr>
        <w:t>”) to Tenant on or before the date which is thirty (30) days after Landlord’s receipt of the Exercise Notice and Tenant’s Option Rent Calculation, stating that (A) Landlord is accepting Tenant’s Option Rent Calculation as the Market Rent, or (B) rejecting Tenant’s Option Rent Calculation and setting forth Landlord’s calculation of the Market Rent (the “</w:t>
      </w:r>
      <w:r>
        <w:rPr>
          <w:rFonts w:ascii="Times New Roman" w:hAnsi="Times New Roman"/>
          <w:b/>
          <w:color w:val="000000"/>
          <w:sz w:val="20"/>
        </w:rPr>
        <w:t>Landlord’s Option Rent Calculation</w:t>
      </w:r>
      <w:r>
        <w:rPr>
          <w:rFonts w:ascii="Times New Roman" w:hAnsi="Times New Roman"/>
          <w:color w:val="000000"/>
          <w:sz w:val="20"/>
        </w:rPr>
        <w:t xml:space="preserve">”). Within ten (10) business days of its receipt of the Landlord Response Notice, Tenant may, at its option, accept the Market Rent contained in the Landlord’s Option Rent Calculation. If Tenant does not affirmatively accept or Tenant rejects the Market Rent specified in the Landlord’s Option Rent Calculation, the parties shall follow the procedure set forth in </w:t>
      </w:r>
      <w:r>
        <w:rPr>
          <w:rFonts w:ascii="Times New Roman" w:hAnsi="Times New Roman"/>
          <w:color w:val="000000"/>
          <w:sz w:val="20"/>
          <w:u w:val="single"/>
        </w:rPr>
        <w:t>Section 2.2.4</w:t>
      </w:r>
      <w:r>
        <w:rPr>
          <w:rFonts w:ascii="Times New Roman" w:hAnsi="Times New Roman"/>
          <w:color w:val="000000"/>
          <w:sz w:val="20"/>
        </w:rPr>
        <w:t xml:space="preserve"> below, and the Market Rent shall be determined in accordance with the terms of </w:t>
      </w:r>
      <w:r>
        <w:rPr>
          <w:rFonts w:ascii="Times New Roman" w:hAnsi="Times New Roman"/>
          <w:color w:val="000000"/>
          <w:sz w:val="20"/>
          <w:u w:val="single"/>
        </w:rPr>
        <w:t>Section 2.2.4</w:t>
      </w:r>
      <w:r>
        <w:rPr>
          <w:rFonts w:ascii="Times New Roman" w:hAnsi="Times New Roman"/>
          <w:color w:val="000000"/>
          <w:sz w:val="20"/>
        </w:rPr>
        <w:t xml:space="preserve"> below.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2.2.4 </w:t>
      </w:r>
      <w:r>
        <w:rPr>
          <w:rFonts w:ascii="Times New Roman" w:hAnsi="Times New Roman"/>
          <w:b/>
          <w:color w:val="000000"/>
          <w:sz w:val="20"/>
          <w:u w:val="single"/>
        </w:rPr>
        <w:t>Determination of Market Rent</w:t>
      </w:r>
      <w:r>
        <w:rPr>
          <w:rFonts w:ascii="Times New Roman" w:hAnsi="Times New Roman"/>
          <w:color w:val="000000"/>
          <w:sz w:val="20"/>
        </w:rPr>
        <w:t xml:space="preserve">. In the event Tenant timely and appropriately exercises its option to extend the Lease but rejects the Option Rent set forth in the Landlord’s Option Rent Calculation pursuant to </w:t>
      </w:r>
      <w:r>
        <w:rPr>
          <w:rFonts w:ascii="Times New Roman" w:hAnsi="Times New Roman"/>
          <w:color w:val="000000"/>
          <w:sz w:val="20"/>
          <w:u w:val="single"/>
        </w:rPr>
        <w:t>Section 2.2.3</w:t>
      </w:r>
      <w:r>
        <w:rPr>
          <w:rFonts w:ascii="Times New Roman" w:hAnsi="Times New Roman"/>
          <w:color w:val="000000"/>
          <w:sz w:val="20"/>
        </w:rPr>
        <w:t>, above, then Landlord and Tenant shall attempt to agree upon the Option Rent using their best good-faith efforts. If Landlord and Tenant fail to reach agreement upon the Option Rent applicable to the Option Term on or before the date that is ninety (90) days prior to the expiration of the initial Lease Term (the “</w:t>
      </w:r>
      <w:r>
        <w:rPr>
          <w:rFonts w:ascii="Times New Roman" w:hAnsi="Times New Roman"/>
          <w:b/>
          <w:color w:val="000000"/>
          <w:sz w:val="20"/>
        </w:rPr>
        <w:t>Outside Agreement Date</w:t>
      </w:r>
      <w:r>
        <w:rPr>
          <w:rFonts w:ascii="Times New Roman" w:hAnsi="Times New Roman"/>
          <w:color w:val="000000"/>
          <w:sz w:val="20"/>
        </w:rPr>
        <w:t xml:space="preserve">”), then the Option Rent shall be determined by arbitration pursuant to the terms of this </w:t>
      </w:r>
      <w:r>
        <w:rPr>
          <w:rFonts w:ascii="Times New Roman" w:hAnsi="Times New Roman"/>
          <w:color w:val="000000"/>
          <w:sz w:val="20"/>
          <w:u w:val="single"/>
        </w:rPr>
        <w:t>Section 2.2.4</w:t>
      </w:r>
      <w:r>
        <w:rPr>
          <w:rFonts w:ascii="Times New Roman" w:hAnsi="Times New Roman"/>
          <w:color w:val="000000"/>
          <w:sz w:val="20"/>
        </w:rPr>
        <w:t xml:space="preserve">. Each party shall make a separate determination of the Option Rent, within five (5) days following the Outside Agreement Date, </w:t>
      </w:r>
    </w:p>
    <w:p>
      <w:pPr>
        <w:pStyle w:val="TextBody"/>
        <w:bidi w:val="0"/>
        <w:jc w:val="center"/>
        <w:rPr/>
      </w:pPr>
      <w:r>
        <w:rPr/>
        <w:t> </w:t>
      </w:r>
    </w:p>
    <w:tbl>
      <w:tblPr>
        <w:tblW w:w="2720" w:type="dxa"/>
        <w:jc w:val="left"/>
        <w:tblInd w:w="0" w:type="dxa"/>
        <w:tblLayout w:type="fixed"/>
        <w:tblCellMar>
          <w:top w:w="28" w:type="dxa"/>
          <w:left w:w="28" w:type="dxa"/>
          <w:bottom w:w="28" w:type="dxa"/>
          <w:right w:w="28" w:type="dxa"/>
        </w:tblCellMar>
      </w:tblPr>
      <w:tblGrid>
        <w:gridCol w:w="181"/>
        <w:gridCol w:w="351"/>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351"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-7-</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and such determinations shall be submitted to arbitration in accordance with </w:t>
      </w:r>
      <w:r>
        <w:rPr>
          <w:rFonts w:ascii="Times New Roman" w:hAnsi="Times New Roman"/>
          <w:color w:val="000000"/>
          <w:sz w:val="20"/>
          <w:u w:val="single"/>
        </w:rPr>
        <w:t>Section 2.2.4.1</w:t>
      </w:r>
      <w:r>
        <w:rPr>
          <w:rFonts w:ascii="Times New Roman" w:hAnsi="Times New Roman"/>
          <w:color w:val="000000"/>
          <w:sz w:val="20"/>
        </w:rPr>
        <w:t xml:space="preserve"> through </w:t>
      </w:r>
      <w:r>
        <w:rPr>
          <w:rFonts w:ascii="Times New Roman" w:hAnsi="Times New Roman"/>
          <w:color w:val="000000"/>
          <w:sz w:val="20"/>
          <w:u w:val="single"/>
        </w:rPr>
        <w:t>Section 2.2.4.4</w:t>
      </w:r>
      <w:r>
        <w:rPr>
          <w:rFonts w:ascii="Times New Roman" w:hAnsi="Times New Roman"/>
          <w:color w:val="000000"/>
          <w:sz w:val="20"/>
        </w:rPr>
        <w:t>, below.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2.2.4.1 Landlord and Tenant shall each appoint one arbitrator who shall by profession be a MAI appraiser, real estate broker, or real estate lawyer who shall have been active over the five (5) year period ending on the date of such appointment in the appraising and/or leasing of first class office properties in the vicinity of the Building. The determination of the arbitrators shall be limited solely to the issue area of whether Landlord’s or Tenant’s submitted Option Rent is the closest to the actual Option Rent as determined by the arbitrators, taking into account the requirements of </w:t>
      </w:r>
      <w:r>
        <w:rPr>
          <w:rFonts w:ascii="Times New Roman" w:hAnsi="Times New Roman"/>
          <w:color w:val="000000"/>
          <w:sz w:val="20"/>
          <w:u w:val="single"/>
        </w:rPr>
        <w:t>Section 2.2.2</w:t>
      </w:r>
      <w:r>
        <w:rPr>
          <w:rFonts w:ascii="Times New Roman" w:hAnsi="Times New Roman"/>
          <w:color w:val="000000"/>
          <w:sz w:val="20"/>
        </w:rPr>
        <w:t xml:space="preserve"> of this Lease. Each such arbitrator shall be appointed within fifteen (15) days after the Outside Agreement Date. Landlord and Tenant may consult with their selected arbitrators prior to appointment and may select an arbitrator who is favorable to their respective positions (including an arbitrator who has previously represented Landlord and/or Tenant, as applicable). The arbitrators so selected by Landlord and Tenant shall be deemed “</w:t>
      </w:r>
      <w:r>
        <w:rPr>
          <w:rFonts w:ascii="Times New Roman" w:hAnsi="Times New Roman"/>
          <w:b/>
          <w:color w:val="000000"/>
          <w:sz w:val="20"/>
        </w:rPr>
        <w:t>Advocate Arbitrators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2.2.4.2 The two Advocate Arbitrators so appointed shall be specifically required pursuant to an engagement letter within ten (10) days of the appointment of the last appointed Advocate Arbitrator to agree upon and appoint a third arbitrator (“</w:t>
      </w:r>
      <w:r>
        <w:rPr>
          <w:rFonts w:ascii="Times New Roman" w:hAnsi="Times New Roman"/>
          <w:b/>
          <w:color w:val="000000"/>
          <w:sz w:val="20"/>
        </w:rPr>
        <w:t>Neutral Arbitrator</w:t>
      </w:r>
      <w:r>
        <w:rPr>
          <w:rFonts w:ascii="Times New Roman" w:hAnsi="Times New Roman"/>
          <w:color w:val="000000"/>
          <w:sz w:val="20"/>
        </w:rPr>
        <w:t>”) who shall be qualified under the same criteria set forth hereinabove for qualification of the two Advocate Arbitrators except that (i) neither the Landlord or Tenant or either parties’ Advocate Arbitrator may, directly, or indirectly, consult with the Neutral Arbitrator prior or subsequent to his or her appearance, and (ii) the Neutral Arbitrator cannot be someone who has represented Landlord and/or Tenant during the five (5) year period prior to such appointment. The Neutral Arbitrator shall be retained via an engagement letter jointly prepared by Landlord’s counsel and Tenant’s counsel.</w:t>
      </w:r>
    </w:p>
    <w:p>
      <w:pPr>
        <w:pStyle w:val="TextBody"/>
        <w:bidi w:val="0"/>
        <w:spacing w:before="240" w:after="283"/>
        <w:jc w:val="both"/>
        <w:rPr>
          <w:rFonts w:ascii="Times New Roman" w:hAnsi="Times New Roman"/>
          <w:sz w:val="20"/>
        </w:rPr>
      </w:pPr>
      <w:r>
        <w:rPr>
          <w:rFonts w:ascii="Times New Roman" w:hAnsi="Times New Roman"/>
          <w:color w:val="000000"/>
          <w:sz w:val="20"/>
        </w:rPr>
        <w:t>2.2.4.3 Within ten (10) days following the appointment of the Arbitrator, Landlord and Tenant shall enter into an arbitration agreement (the “</w:t>
      </w:r>
      <w:r>
        <w:rPr>
          <w:rFonts w:ascii="Times New Roman" w:hAnsi="Times New Roman"/>
          <w:b/>
          <w:color w:val="000000"/>
          <w:sz w:val="20"/>
        </w:rPr>
        <w:t>Arbitration Agreement</w:t>
      </w:r>
      <w:r>
        <w:rPr>
          <w:rFonts w:ascii="Times New Roman" w:hAnsi="Times New Roman"/>
          <w:color w:val="000000"/>
          <w:sz w:val="20"/>
        </w:rPr>
        <w:t>”) which shall set forth the following: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2.2.4.3.1 Each of Landlord’s and Tenant’s best and final and binding determination of the Option Rent exchanged by the parties pursuant to </w:t>
      </w:r>
      <w:r>
        <w:rPr>
          <w:rFonts w:ascii="Times New Roman" w:hAnsi="Times New Roman"/>
          <w:color w:val="000000"/>
          <w:sz w:val="20"/>
          <w:u w:val="single"/>
        </w:rPr>
        <w:t>Section 2.2.4</w:t>
      </w:r>
      <w:r>
        <w:rPr>
          <w:rFonts w:ascii="Times New Roman" w:hAnsi="Times New Roman"/>
          <w:color w:val="000000"/>
          <w:sz w:val="20"/>
        </w:rPr>
        <w:t>,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2.2.4.3.2 An agreement to be signed by the Neutral Arbitrator, the form of which agreement shall be attached as an exhibit to the Arbitration Agreement, whereby the Neutral Arbitrator shall agree to undertake the arbitration and render a decision in accordance with the terms of this Lease, as modified by the Arbitration Agreement, and shall require the Neutral Arbitrator to demonstrate to the reasonable satisfaction of the parties that the Neutral Arbitrator has no conflicts of interest with either Landlord or Tenant;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2.2.4.3.3 Instructions to be followed by the Neutral Arbitrator when conducting such arbitration;</w:t>
      </w:r>
    </w:p>
    <w:p>
      <w:pPr>
        <w:pStyle w:val="TextBody"/>
        <w:bidi w:val="0"/>
        <w:spacing w:before="240" w:after="283"/>
        <w:jc w:val="both"/>
        <w:rPr>
          <w:rFonts w:ascii="Times New Roman" w:hAnsi="Times New Roman"/>
          <w:sz w:val="20"/>
        </w:rPr>
      </w:pPr>
      <w:r>
        <w:rPr>
          <w:rFonts w:ascii="Times New Roman" w:hAnsi="Times New Roman"/>
          <w:color w:val="000000"/>
          <w:sz w:val="20"/>
        </w:rPr>
        <w:t>2.2.4.3.4 That Landlord and Tenant shall each have the right to submit to the Neutral Arbitrator (with a copy to the other party), on or before the date that occurs fifteen (15) days following the appointment of the Neutral Arbitrator, an advocate statement (and any other information such party deems relevant) prepared by or on behalf of Landlord or Tenant, as the case may be, in support of Landlord’s or Tenant’s respective determination of Option Rent (the “</w:t>
      </w:r>
      <w:r>
        <w:rPr>
          <w:rFonts w:ascii="Times New Roman" w:hAnsi="Times New Roman"/>
          <w:b/>
          <w:color w:val="000000"/>
          <w:sz w:val="20"/>
        </w:rPr>
        <w:t>Briefs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2.2.4.3.5 That within five (5) business days following the exchange of Briefs, Landlord and Tenant shall each have the right to provide the Neutral Arbitrator (with a copy to the other party) with a written rebuttal to the other party’s Brief (the “</w:t>
      </w:r>
      <w:r>
        <w:rPr>
          <w:rFonts w:ascii="Times New Roman" w:hAnsi="Times New Roman"/>
          <w:b/>
          <w:color w:val="000000"/>
          <w:sz w:val="20"/>
        </w:rPr>
        <w:t>First Rebuttals</w:t>
      </w:r>
      <w:r>
        <w:rPr>
          <w:rFonts w:ascii="Times New Roman" w:hAnsi="Times New Roman"/>
          <w:color w:val="000000"/>
          <w:sz w:val="20"/>
        </w:rPr>
        <w:t>”); provided, however, such First Rebuttals shall be limited to the facts and arguments raised in the other party’s Brief and shall identify clearly which argument or fact of the other party’s Brief is intended to be rebutted;</w:t>
      </w:r>
    </w:p>
    <w:p>
      <w:pPr>
        <w:pStyle w:val="TextBody"/>
        <w:bidi w:val="0"/>
        <w:spacing w:before="240" w:after="283"/>
        <w:jc w:val="both"/>
        <w:rPr>
          <w:rFonts w:ascii="Times New Roman" w:hAnsi="Times New Roman"/>
          <w:sz w:val="20"/>
        </w:rPr>
      </w:pPr>
      <w:r>
        <w:rPr>
          <w:rFonts w:ascii="Times New Roman" w:hAnsi="Times New Roman"/>
          <w:color w:val="000000"/>
          <w:sz w:val="20"/>
        </w:rPr>
        <w:t>2.2.4.3.6 That within five (5) business days following the parties’ receipt of each other’s First Rebuttal, Landlord and Tenant, as applicable, shall each have the right to provide the Neutral Arbitrator (with a copy to the other party) with a written rebuttal to the other party’s First Rebuttal (the “</w:t>
      </w:r>
      <w:r>
        <w:rPr>
          <w:rFonts w:ascii="Times New Roman" w:hAnsi="Times New Roman"/>
          <w:b/>
          <w:color w:val="000000"/>
          <w:sz w:val="20"/>
        </w:rPr>
        <w:t>Second Rebuttals</w:t>
      </w:r>
      <w:r>
        <w:rPr>
          <w:rFonts w:ascii="Times New Roman" w:hAnsi="Times New Roman"/>
          <w:color w:val="000000"/>
          <w:sz w:val="20"/>
        </w:rPr>
        <w:t>”); provided, however, such Second Rebuttals shall be limited to the facts and arguments raised in the other party’s First Rebuttal and shall identify clearly which argument or fact of the other party’s First Rebuttal is intended to be rebutted;</w:t>
      </w:r>
    </w:p>
    <w:p>
      <w:pPr>
        <w:pStyle w:val="TextBody"/>
        <w:bidi w:val="0"/>
        <w:jc w:val="center"/>
        <w:rPr/>
      </w:pPr>
      <w:r>
        <w:rPr/>
        <w:t> </w:t>
      </w:r>
    </w:p>
    <w:tbl>
      <w:tblPr>
        <w:tblW w:w="2720" w:type="dxa"/>
        <w:jc w:val="left"/>
        <w:tblInd w:w="0" w:type="dxa"/>
        <w:tblLayout w:type="fixed"/>
        <w:tblCellMar>
          <w:top w:w="28" w:type="dxa"/>
          <w:left w:w="28" w:type="dxa"/>
          <w:bottom w:w="28" w:type="dxa"/>
          <w:right w:w="28" w:type="dxa"/>
        </w:tblCellMar>
      </w:tblPr>
      <w:tblGrid>
        <w:gridCol w:w="181"/>
        <w:gridCol w:w="351"/>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351"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-8-</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4"/>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2.2.4.3.7 The date, time and location of the arbitration, which shall be mutually and reasonably agreed upon by Landlord and Tenant, taking into consideration the schedules of the Neutral Arbitrator, the Advocate Arbitrators, Landlord and Tenant, and each party’s applicable consultants, which date shall in any event be within forty-five (45) days following the appointment of the Neutral Arbitrator;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2.2.4.3.8 That no discovery shall take place in connection with the arbitration, other than to verify the factual information that is presented by Landlord or Tenant;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2.2.4.3.9 That the Neutral Arbitrator shall not be allowed to undertake an independent investigation or consider any factual information other than presented by Landlord or Tenant, except that the Neutral Arbitrator shall be permitted to visit the Project and the buildings containing the Comparable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2.2.4.3.10 The specific persons that shall be allowed to attend the arbitration;</w:t>
      </w:r>
    </w:p>
    <w:p>
      <w:pPr>
        <w:pStyle w:val="TextBody"/>
        <w:bidi w:val="0"/>
        <w:spacing w:before="240" w:after="283"/>
        <w:jc w:val="both"/>
        <w:rPr>
          <w:rFonts w:ascii="Times New Roman" w:hAnsi="Times New Roman"/>
          <w:sz w:val="20"/>
        </w:rPr>
      </w:pPr>
      <w:r>
        <w:rPr>
          <w:rFonts w:ascii="Times New Roman" w:hAnsi="Times New Roman"/>
          <w:color w:val="000000"/>
          <w:sz w:val="20"/>
        </w:rPr>
        <w:t>2.2.4.3.11 Tenant shall have the right to present oral arguments to the Neutral Arbitrator at the arbitration for a period of time not to exceed three (3) hours (“</w:t>
      </w:r>
      <w:r>
        <w:rPr>
          <w:rFonts w:ascii="Times New Roman" w:hAnsi="Times New Roman"/>
          <w:b/>
          <w:color w:val="000000"/>
          <w:sz w:val="20"/>
        </w:rPr>
        <w:t>Tenant’s Initial Statement</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2.2.4.3.12 Following Tenant’s Initial Statement, Landlord shall have the right to present oral arguments to the Neutral Arbitrator at the arbitration for a period of time not to exceed three (3) hours (“</w:t>
      </w:r>
      <w:r>
        <w:rPr>
          <w:rFonts w:ascii="Times New Roman" w:hAnsi="Times New Roman"/>
          <w:b/>
          <w:color w:val="000000"/>
          <w:sz w:val="20"/>
        </w:rPr>
        <w:t>Landlord’s Initial Statement</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2.2.4.3.13 Following Landlord’s Initial Statement, Tenant shall have up to two (2) additional hours to present additional arguments and/or to rebut the arguments of Tenant (“</w:t>
      </w:r>
      <w:r>
        <w:rPr>
          <w:rFonts w:ascii="Times New Roman" w:hAnsi="Times New Roman"/>
          <w:b/>
          <w:color w:val="000000"/>
          <w:sz w:val="20"/>
        </w:rPr>
        <w:t>Tenant’s Rebuttal Statement</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2.2.4.3.14 Following Tenant’s Rebuttal Statement, Landlord shall have up to two (2) additional hours to present additional arguments and/or to rebut the arguments of Tenant;</w:t>
      </w:r>
    </w:p>
    <w:p>
      <w:pPr>
        <w:pStyle w:val="TextBody"/>
        <w:bidi w:val="0"/>
        <w:spacing w:before="240" w:after="283"/>
        <w:jc w:val="both"/>
        <w:rPr>
          <w:rFonts w:ascii="Times New Roman" w:hAnsi="Times New Roman"/>
          <w:sz w:val="20"/>
        </w:rPr>
      </w:pPr>
      <w:r>
        <w:rPr>
          <w:rFonts w:ascii="Times New Roman" w:hAnsi="Times New Roman"/>
          <w:color w:val="000000"/>
          <w:sz w:val="20"/>
        </w:rPr>
        <w:t>2.2.4.3.15 That, not later than ten (10) days after the date of the arbitration, the Neutral Arbitrator shall render a decision (the “</w:t>
      </w:r>
      <w:r>
        <w:rPr>
          <w:rFonts w:ascii="Times New Roman" w:hAnsi="Times New Roman"/>
          <w:b/>
          <w:color w:val="000000"/>
          <w:sz w:val="20"/>
        </w:rPr>
        <w:t>Ruling</w:t>
      </w:r>
      <w:r>
        <w:rPr>
          <w:rFonts w:ascii="Times New Roman" w:hAnsi="Times New Roman"/>
          <w:color w:val="000000"/>
          <w:sz w:val="20"/>
        </w:rPr>
        <w:t>”) indicating whether Landlord’s or Tenant’s submitted Option Rent is closer to the Neutral Arbitrator’s determination of the Option Rent;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2.2.4.3.16 That following notification of the Ruling, Landlord’s or Tenant’s submitted Option Rent determination, whichever is selected by the Neutral Arbitrator as being closer to the Neutral Arbitrator’s determination of the Option Rent shall become the then applicable Option Rent;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2.2.4.3.17 That the decision of the Neutral Arbitrator shall be binding on Landlord and Tenant.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2.2.4.3.18 If a date by which an event described in </w:t>
      </w:r>
      <w:r>
        <w:rPr>
          <w:rFonts w:ascii="Times New Roman" w:hAnsi="Times New Roman"/>
          <w:color w:val="000000"/>
          <w:sz w:val="20"/>
          <w:u w:val="single"/>
        </w:rPr>
        <w:t>Section 2.2.4.3</w:t>
      </w:r>
      <w:r>
        <w:rPr>
          <w:rFonts w:ascii="Times New Roman" w:hAnsi="Times New Roman"/>
          <w:color w:val="000000"/>
          <w:sz w:val="20"/>
        </w:rPr>
        <w:t>, above, is to occur falls on a weekend or a holiday, the date shall be deemed to be the next business day.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2.2.4.4 In the event that the Option Rent shall not have been determined pursuant to the terms hereof prior to the commencement of the Option Term, Tenant shall be required to pay as the interim monthly Option Rent an amount equal to One Hundred Five percent (105%) of the monthly Base Rent in effect under the Lease for the Lease Year immediately preceding the commencement of the Option, and upon the final determination of the Option Rent, the payments made by Tenant shall be reconciled with the actual amounts due, and the appropriate party shall make any corresponding payment to the other party.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2.3 </w:t>
      </w:r>
      <w:r>
        <w:rPr>
          <w:rFonts w:ascii="Times New Roman" w:hAnsi="Times New Roman"/>
          <w:b/>
          <w:color w:val="000000"/>
          <w:sz w:val="20"/>
          <w:u w:val="single"/>
        </w:rPr>
        <w:t>Existing Sublease</w:t>
      </w:r>
      <w:r>
        <w:rPr>
          <w:rFonts w:ascii="Times New Roman" w:hAnsi="Times New Roman"/>
          <w:color w:val="000000"/>
          <w:sz w:val="20"/>
        </w:rPr>
        <w:t>. Tenant is already in occupancy of the Premises pursuant to the terms of the Existing Sublease, which is a sublease under that certain Office Lease dated October 25, 2017 (the “</w:t>
      </w:r>
      <w:r>
        <w:rPr>
          <w:rFonts w:ascii="Times New Roman" w:hAnsi="Times New Roman"/>
          <w:b/>
          <w:color w:val="000000"/>
          <w:sz w:val="20"/>
        </w:rPr>
        <w:t>Master Lease</w:t>
      </w:r>
      <w:r>
        <w:rPr>
          <w:rFonts w:ascii="Times New Roman" w:hAnsi="Times New Roman"/>
          <w:color w:val="000000"/>
          <w:sz w:val="20"/>
        </w:rPr>
        <w:t>”) between Landlord and Postmates Inc (“</w:t>
      </w:r>
      <w:r>
        <w:rPr>
          <w:rFonts w:ascii="Times New Roman" w:hAnsi="Times New Roman"/>
          <w:b/>
          <w:color w:val="000000"/>
          <w:sz w:val="20"/>
        </w:rPr>
        <w:t>Existing Master Tenant</w:t>
      </w:r>
      <w:r>
        <w:rPr>
          <w:rFonts w:ascii="Times New Roman" w:hAnsi="Times New Roman"/>
          <w:color w:val="000000"/>
          <w:sz w:val="20"/>
        </w:rPr>
        <w:t>”). Landlord consented to the Existing Sublease pursuant to that certain Landlord Consent to Sublease dated as of June 10, 2021 (“</w:t>
      </w:r>
      <w:r>
        <w:rPr>
          <w:rFonts w:ascii="Times New Roman" w:hAnsi="Times New Roman"/>
          <w:b/>
          <w:color w:val="000000"/>
          <w:sz w:val="20"/>
        </w:rPr>
        <w:t>Landlord’s Sublease Consent</w:t>
      </w:r>
      <w:r>
        <w:rPr>
          <w:rFonts w:ascii="Times New Roman" w:hAnsi="Times New Roman"/>
          <w:color w:val="000000"/>
          <w:sz w:val="20"/>
        </w:rPr>
        <w:t xml:space="preserve">”). The Existing Sublease is scheduled to expire on September 30, 2025. However, the Master Lease is not scheduled to expire until October 31, 2025. Landlord is negotiating with the Existing Master Tenant to accelerate the scheduled Master Lease </w:t>
      </w:r>
    </w:p>
    <w:p>
      <w:pPr>
        <w:pStyle w:val="TextBody"/>
        <w:bidi w:val="0"/>
        <w:jc w:val="center"/>
        <w:rPr/>
      </w:pPr>
      <w:r>
        <w:rPr/>
        <w:t> </w:t>
      </w:r>
    </w:p>
    <w:tbl>
      <w:tblPr>
        <w:tblW w:w="2720" w:type="dxa"/>
        <w:jc w:val="left"/>
        <w:tblInd w:w="0" w:type="dxa"/>
        <w:tblLayout w:type="fixed"/>
        <w:tblCellMar>
          <w:top w:w="28" w:type="dxa"/>
          <w:left w:w="28" w:type="dxa"/>
          <w:bottom w:w="28" w:type="dxa"/>
          <w:right w:w="28" w:type="dxa"/>
        </w:tblCellMar>
      </w:tblPr>
      <w:tblGrid>
        <w:gridCol w:w="181"/>
        <w:gridCol w:w="351"/>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351"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-9-</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5"/>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expiration date to occur on September 30, 2025. However, if Landlord is unable to reach agreement with Existing Master Tenant, then Tenant may elect to holdover in the Premises under the Existing Sublease for a period of one (1) month, and in such event, (i) the Lease Commencement Date shall automatically be modified to be November 1, 2025, (ii) the Base Rent Abatement Period shall be reduced by one (1) month (and the Base Rent Abatement shall be reduced by $225,325.83), (iii) Landlord shall reimburse Tenant for any rent due and paid under the Existing Sublease to the Existing Master Tenant for such one (1) month period and indemnify Tenant from and against any Losses resulting from Tenant holding over in the Premises pursuant to </w:t>
      </w:r>
      <w:r>
        <w:rPr>
          <w:rFonts w:ascii="Times New Roman" w:hAnsi="Times New Roman"/>
          <w:color w:val="000000"/>
          <w:sz w:val="20"/>
          <w:u w:val="single"/>
        </w:rPr>
        <w:t>Section 18</w:t>
      </w:r>
      <w:r>
        <w:rPr>
          <w:rFonts w:ascii="Times New Roman" w:hAnsi="Times New Roman"/>
          <w:color w:val="000000"/>
          <w:sz w:val="20"/>
        </w:rPr>
        <w:t xml:space="preserve"> of the Existing Sublease for holding over during such one (1) month period, including reasonable attorneys fees, (iv) the Lease Expiration Date and the timing of increases of Base Rent amounts shall not be modified, (v) Landlord shall not enforce any holdover remedies or penalties against the Existing Master Tenant for such holding over by Tenant, (vi) Tenant shall not negotiate with the Existing Master Tenant or otherwise enter into an agreement with the Existing Master Tenant to modify or amend the terms of the Existing Sublease, (vii) Tenant shall not be required to remove any of the alterations or improvements situated in the Premises as of the Lease Commencement Date, and (viii) pursuant to Section 18 of the Existing Sublease, Landlord shall waive the requirement set forth in Section 8.5 of the Master Lease that Existing Master Tenant or Tenant remove any of the leasehold improvements existing in the Premises on the “Commencement Date” as that term is defined in the Existing Sublease.</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3</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BASE RENT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3.1 </w:t>
      </w:r>
      <w:r>
        <w:rPr>
          <w:rFonts w:ascii="Times New Roman" w:hAnsi="Times New Roman"/>
          <w:b/>
          <w:color w:val="000000"/>
          <w:sz w:val="20"/>
          <w:u w:val="single"/>
        </w:rPr>
        <w:t>In General</w:t>
      </w:r>
      <w:r>
        <w:rPr>
          <w:rFonts w:ascii="Times New Roman" w:hAnsi="Times New Roman"/>
          <w:color w:val="000000"/>
          <w:sz w:val="20"/>
        </w:rPr>
        <w:t>. Tenant shall pay, without prior notice or demand, to Landlord or Landlord’s agent at the management office of the Project, or, at Landlord’s option, at such other place as Landlord may from time to time designate in writing, by a check for currency which, at the time of payment, is legal tender for private or public debts in the United States of America, or, at Tenant’s option, by wire or ACH transfer of immediately available funds to Landlord’s bank account, the details of which Landlord shall provide to Tenant upon request, base rent (“</w:t>
      </w:r>
      <w:r>
        <w:rPr>
          <w:rFonts w:ascii="Times New Roman" w:hAnsi="Times New Roman"/>
          <w:b/>
          <w:color w:val="000000"/>
          <w:sz w:val="20"/>
        </w:rPr>
        <w:t>Base Rent</w:t>
      </w:r>
      <w:r>
        <w:rPr>
          <w:rFonts w:ascii="Times New Roman" w:hAnsi="Times New Roman"/>
          <w:color w:val="000000"/>
          <w:sz w:val="20"/>
        </w:rPr>
        <w:t xml:space="preserve">”) as set forth in </w:t>
      </w:r>
      <w:r>
        <w:rPr>
          <w:rFonts w:ascii="Times New Roman" w:hAnsi="Times New Roman"/>
          <w:color w:val="000000"/>
          <w:sz w:val="20"/>
          <w:u w:val="single"/>
        </w:rPr>
        <w:t>Section 4</w:t>
      </w:r>
      <w:r>
        <w:rPr>
          <w:rFonts w:ascii="Times New Roman" w:hAnsi="Times New Roman"/>
          <w:color w:val="000000"/>
          <w:sz w:val="20"/>
        </w:rPr>
        <w:t xml:space="preserve"> of the Summary, payable in equal monthly installments as set forth in </w:t>
      </w:r>
      <w:r>
        <w:rPr>
          <w:rFonts w:ascii="Times New Roman" w:hAnsi="Times New Roman"/>
          <w:color w:val="000000"/>
          <w:sz w:val="20"/>
          <w:u w:val="single"/>
        </w:rPr>
        <w:t>Section 4</w:t>
      </w:r>
      <w:r>
        <w:rPr>
          <w:rFonts w:ascii="Times New Roman" w:hAnsi="Times New Roman"/>
          <w:color w:val="000000"/>
          <w:sz w:val="20"/>
        </w:rPr>
        <w:t xml:space="preserve"> of the Summary in advance on or before the first day of each and every calendar month during the Lease Term, without any setoff or deduction whatsoever. In accordance with </w:t>
      </w:r>
      <w:r>
        <w:rPr>
          <w:rFonts w:ascii="Times New Roman" w:hAnsi="Times New Roman"/>
          <w:color w:val="000000"/>
          <w:sz w:val="20"/>
          <w:u w:val="single"/>
        </w:rPr>
        <w:t>Section 4</w:t>
      </w:r>
      <w:r>
        <w:rPr>
          <w:rFonts w:ascii="Times New Roman" w:hAnsi="Times New Roman"/>
          <w:color w:val="000000"/>
          <w:sz w:val="20"/>
        </w:rPr>
        <w:t xml:space="preserve"> of the Summary, any increases in Base Rent shall occur on the first day of the applicable Lease Month. The parties acknowledge, however, that Tenant shall pay Base Rent for each “calendar month” of the Lease Term (or a prorated portion of a “calendar month”, as applicable), even though the first “Lease Month” may pertain to a period longer than one (1) calendar month. The Base Rent for the first full month of the Lease Term which occurs after the expiration of any free rent period shall be paid at the time of Tenant’s execution of this Lease. If any payment of Rent is for a period which is shorter than one month, the Rent for any such fractional month shall accrue on a daily basis during such fractional month and shall total an amount equal to the product of (i) a fraction, the numerator of which is the number of days in such fractional month and the denominator of which is the actual number of days occurring in such calendar month, and (ii) the then-applicable Monthly Installment of Base Rent. All other payments or adjustments required to be made under the TCCs of this Lease that require proration on a time basis shall be prorated on the same basis.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3.2 </w:t>
      </w:r>
      <w:r>
        <w:rPr>
          <w:rFonts w:ascii="Times New Roman" w:hAnsi="Times New Roman"/>
          <w:b/>
          <w:color w:val="000000"/>
          <w:sz w:val="20"/>
          <w:u w:val="single"/>
        </w:rPr>
        <w:t>Abated Base Rent</w:t>
      </w:r>
      <w:r>
        <w:rPr>
          <w:rFonts w:ascii="Times New Roman" w:hAnsi="Times New Roman"/>
          <w:color w:val="000000"/>
          <w:sz w:val="20"/>
        </w:rPr>
        <w:t>. Provided that no Event of Default is then occurring under this Lease during the period commencing on October 1, 2025 and ending when the Base Rent Abatement has been fully utilized (the “</w:t>
      </w:r>
      <w:r>
        <w:rPr>
          <w:rFonts w:ascii="Times New Roman" w:hAnsi="Times New Roman"/>
          <w:b/>
          <w:color w:val="000000"/>
          <w:sz w:val="20"/>
        </w:rPr>
        <w:t>Base Rent Abatement Period</w:t>
      </w:r>
      <w:r>
        <w:rPr>
          <w:rFonts w:ascii="Times New Roman" w:hAnsi="Times New Roman"/>
          <w:color w:val="000000"/>
          <w:sz w:val="20"/>
        </w:rPr>
        <w:t>”), Tenant shall not be obligated to pay any Base Rent otherwise attributable to the Premises during such Base Rent Abatement Period. The “</w:t>
      </w:r>
      <w:r>
        <w:rPr>
          <w:rFonts w:ascii="Times New Roman" w:hAnsi="Times New Roman"/>
          <w:b/>
          <w:color w:val="000000"/>
          <w:sz w:val="20"/>
        </w:rPr>
        <w:t>Base Rent Abatement</w:t>
      </w:r>
      <w:r>
        <w:rPr>
          <w:rFonts w:ascii="Times New Roman" w:hAnsi="Times New Roman"/>
          <w:color w:val="000000"/>
          <w:sz w:val="20"/>
        </w:rPr>
        <w:t xml:space="preserve">”) means an amount equal to Two Million Five Hundred Sixty-Four Thousand Eight Hundred Seventy-Nine and 15/100 Dollars ($2,564,879.15). Tenant acknowledges and agrees that during such Base Rent Abatement Period, such abatement of Base Rent for the Premises shall have no effect on the calculation of any future increases in Base Rent or Direct Expenses payable by Tenant pursuant to the terms of this Lease, which increases shall be calculated without regard to such Base Rent Abatement. Additionally, Tenant shall be obligated to pay all “Additional Rent” (as that term is defined in </w:t>
      </w:r>
      <w:r>
        <w:rPr>
          <w:rFonts w:ascii="Times New Roman" w:hAnsi="Times New Roman"/>
          <w:color w:val="000000"/>
          <w:sz w:val="20"/>
          <w:u w:val="single"/>
        </w:rPr>
        <w:t>Section 4.1</w:t>
      </w:r>
      <w:r>
        <w:rPr>
          <w:rFonts w:ascii="Times New Roman" w:hAnsi="Times New Roman"/>
          <w:color w:val="000000"/>
          <w:sz w:val="20"/>
        </w:rPr>
        <w:t xml:space="preserve"> of this Lease) during the Base Rent Abatement Period. Tenant acknowledges and agrees that the foregoing Base Rent Abatement has been granted to Tenant as additional consideration for entering into this Lease, and for agreeing to pay the Base Rent and perform the terms and conditions otherwise required under this Lease. If Tenant shall be in default under this Lease and shall fail to cure such default within the notice and cure period, if any, permitted for cure pursuant to this Lease, or if this Lease is terminated for any reason other than Landlord’s breach of this Lease, then the dollar amount of the unapplied portion of the Base Rent Abatement as of the date of such default or termination, as the case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-10-</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6"/>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may be, shall be converted to a credit to be applied to the Base Rent applicable at the end of the Lease Term and Tenant shall immediately be obligated to begin paying Base Rent for the Premises in full. The foregoing Base Rent Abatement right set forth in this </w:t>
      </w:r>
      <w:r>
        <w:rPr>
          <w:rFonts w:ascii="Times New Roman" w:hAnsi="Times New Roman"/>
          <w:color w:val="000000"/>
          <w:sz w:val="20"/>
          <w:u w:val="single"/>
        </w:rPr>
        <w:t>Section 3.2</w:t>
      </w:r>
      <w:r>
        <w:rPr>
          <w:rFonts w:ascii="Times New Roman" w:hAnsi="Times New Roman"/>
          <w:color w:val="000000"/>
          <w:sz w:val="20"/>
        </w:rPr>
        <w:t xml:space="preserve"> shall be personal to the Original Tenant and shall only apply to the extent that the Original Tenant (and not any assignee, or any sublessee or other transferee of the Original Tenant’s interest in this Lease) is the Tenant under this Lease during such Base Rent Abatement Period.</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4</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ADDITIONAL RENT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4.1 </w:t>
      </w:r>
      <w:r>
        <w:rPr>
          <w:rFonts w:ascii="Times New Roman" w:hAnsi="Times New Roman"/>
          <w:b/>
          <w:color w:val="000000"/>
          <w:sz w:val="20"/>
          <w:u w:val="single"/>
        </w:rPr>
        <w:t>In General</w:t>
      </w:r>
      <w:r>
        <w:rPr>
          <w:rFonts w:ascii="Times New Roman" w:hAnsi="Times New Roman"/>
          <w:color w:val="000000"/>
          <w:sz w:val="20"/>
        </w:rPr>
        <w:t xml:space="preserve">. In addition to paying the Base Rent specified in </w:t>
      </w:r>
      <w:r>
        <w:rPr>
          <w:rFonts w:ascii="Times New Roman" w:hAnsi="Times New Roman"/>
          <w:color w:val="000000"/>
          <w:sz w:val="20"/>
          <w:u w:val="single"/>
        </w:rPr>
        <w:t>Article 3</w:t>
      </w:r>
      <w:r>
        <w:rPr>
          <w:rFonts w:ascii="Times New Roman" w:hAnsi="Times New Roman"/>
          <w:color w:val="000000"/>
          <w:sz w:val="20"/>
        </w:rPr>
        <w:t xml:space="preserve"> of this Lease, Tenant shall pay “Tenant’s Share” of the annual “Direct Expenses,” as those terms are defined in </w:t>
      </w:r>
      <w:r>
        <w:rPr>
          <w:rFonts w:ascii="Times New Roman" w:hAnsi="Times New Roman"/>
          <w:color w:val="000000"/>
          <w:sz w:val="20"/>
          <w:u w:val="single"/>
        </w:rPr>
        <w:t>Sections 4.2.6</w:t>
      </w:r>
      <w:r>
        <w:rPr>
          <w:rFonts w:ascii="Times New Roman" w:hAnsi="Times New Roman"/>
          <w:color w:val="000000"/>
          <w:sz w:val="20"/>
        </w:rPr>
        <w:t xml:space="preserve"> and</w:t>
      </w:r>
      <w:r>
        <w:rPr>
          <w:rFonts w:ascii="Times New Roman" w:hAnsi="Times New Roman"/>
          <w:color w:val="000000"/>
          <w:sz w:val="20"/>
          <w:u w:val="single"/>
        </w:rPr>
        <w:t xml:space="preserve"> 4.2.2</w:t>
      </w:r>
      <w:r>
        <w:rPr>
          <w:rFonts w:ascii="Times New Roman" w:hAnsi="Times New Roman"/>
          <w:color w:val="000000"/>
          <w:sz w:val="20"/>
        </w:rPr>
        <w:t xml:space="preserve">, respectively, of this Lease, which are in excess of the amount of Direct Expenses applicable to the “Base Year,” as that term is defined in </w:t>
      </w:r>
      <w:r>
        <w:rPr>
          <w:rFonts w:ascii="Times New Roman" w:hAnsi="Times New Roman"/>
          <w:color w:val="000000"/>
          <w:sz w:val="20"/>
          <w:u w:val="single"/>
        </w:rPr>
        <w:t>Section 4.2.1</w:t>
      </w:r>
      <w:r>
        <w:rPr>
          <w:rFonts w:ascii="Times New Roman" w:hAnsi="Times New Roman"/>
          <w:color w:val="000000"/>
          <w:sz w:val="20"/>
        </w:rPr>
        <w:t xml:space="preserve">, below; provided, however, that in no event shall any decrease in Direct Expenses for any “Expense Year” (as that term is defined in </w:t>
      </w:r>
      <w:r>
        <w:rPr>
          <w:rFonts w:ascii="Times New Roman" w:hAnsi="Times New Roman"/>
          <w:color w:val="000000"/>
          <w:sz w:val="20"/>
          <w:u w:val="single"/>
        </w:rPr>
        <w:t>Section 4.2.3</w:t>
      </w:r>
      <w:r>
        <w:rPr>
          <w:rFonts w:ascii="Times New Roman" w:hAnsi="Times New Roman"/>
          <w:color w:val="000000"/>
          <w:sz w:val="20"/>
        </w:rPr>
        <w:t>, below) below Direct Expenses for the Base Year entitle Tenant to any decrease in Base Rent or any credit against sums due under this Lease. Such payments by Tenant, together with any and all other amounts payable by Tenant to Landlord pursuant to the TCCs of this Lease, are hereinafter collectively referred to as the “</w:t>
      </w:r>
      <w:r>
        <w:rPr>
          <w:rFonts w:ascii="Times New Roman" w:hAnsi="Times New Roman"/>
          <w:b/>
          <w:color w:val="000000"/>
          <w:sz w:val="20"/>
        </w:rPr>
        <w:t>Additional Rent</w:t>
      </w:r>
      <w:r>
        <w:rPr>
          <w:rFonts w:ascii="Times New Roman" w:hAnsi="Times New Roman"/>
          <w:color w:val="000000"/>
          <w:sz w:val="20"/>
        </w:rPr>
        <w:t>,” and the Base Rent and the Additional Rent are herein collectively referred to as “</w:t>
      </w:r>
      <w:r>
        <w:rPr>
          <w:rFonts w:ascii="Times New Roman" w:hAnsi="Times New Roman"/>
          <w:b/>
          <w:color w:val="000000"/>
          <w:sz w:val="20"/>
        </w:rPr>
        <w:t>Rent</w:t>
      </w:r>
      <w:r>
        <w:rPr>
          <w:rFonts w:ascii="Times New Roman" w:hAnsi="Times New Roman"/>
          <w:color w:val="000000"/>
          <w:sz w:val="20"/>
        </w:rPr>
        <w:t xml:space="preserve">.” All amounts due under this </w:t>
      </w:r>
      <w:r>
        <w:rPr>
          <w:rFonts w:ascii="Times New Roman" w:hAnsi="Times New Roman"/>
          <w:color w:val="000000"/>
          <w:sz w:val="20"/>
          <w:u w:val="single"/>
        </w:rPr>
        <w:t>Article 4</w:t>
      </w:r>
      <w:r>
        <w:rPr>
          <w:rFonts w:ascii="Times New Roman" w:hAnsi="Times New Roman"/>
          <w:color w:val="000000"/>
          <w:sz w:val="20"/>
        </w:rPr>
        <w:t xml:space="preserve"> as Additional Rent shall be payable for the same periods and in the same manner as the Base Rent; provided, however, the parties hereby acknowledge that the first monthly installment of Tenant’s Share of any “Estimated Excess,” as that term is set forth in, and pursuant to the terms and conditions of, </w:t>
      </w:r>
      <w:r>
        <w:rPr>
          <w:rFonts w:ascii="Times New Roman" w:hAnsi="Times New Roman"/>
          <w:color w:val="000000"/>
          <w:sz w:val="20"/>
          <w:u w:val="single"/>
        </w:rPr>
        <w:t>Section 4.4.2</w:t>
      </w:r>
      <w:r>
        <w:rPr>
          <w:rFonts w:ascii="Times New Roman" w:hAnsi="Times New Roman"/>
          <w:color w:val="000000"/>
          <w:sz w:val="20"/>
        </w:rPr>
        <w:t xml:space="preserve"> of this Lease, shall first be due and payable for the calendar month occurring immediately following the expiration of the Base Year. Without limitation on other obligations of Tenant which survive the expiration of the Lease Term, the obligations of Tenant to pay the Additional Rent provided for in this </w:t>
      </w:r>
      <w:r>
        <w:rPr>
          <w:rFonts w:ascii="Times New Roman" w:hAnsi="Times New Roman"/>
          <w:color w:val="000000"/>
          <w:sz w:val="20"/>
          <w:u w:val="single"/>
        </w:rPr>
        <w:t>Article 4</w:t>
      </w:r>
      <w:r>
        <w:rPr>
          <w:rFonts w:ascii="Times New Roman" w:hAnsi="Times New Roman"/>
          <w:color w:val="000000"/>
          <w:sz w:val="20"/>
        </w:rPr>
        <w:t xml:space="preserve"> shall survive the expiration of the Lease Term.</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4.2 </w:t>
      </w:r>
      <w:r>
        <w:rPr>
          <w:rFonts w:ascii="Times New Roman" w:hAnsi="Times New Roman"/>
          <w:b/>
          <w:color w:val="000000"/>
          <w:sz w:val="20"/>
          <w:u w:val="single"/>
        </w:rPr>
        <w:t>Definitions of Key Terms Relating to Additional Rent</w:t>
      </w:r>
      <w:r>
        <w:rPr>
          <w:rFonts w:ascii="Times New Roman" w:hAnsi="Times New Roman"/>
          <w:color w:val="000000"/>
          <w:sz w:val="20"/>
        </w:rPr>
        <w:t xml:space="preserve">. As used in this </w:t>
      </w:r>
      <w:r>
        <w:rPr>
          <w:rFonts w:ascii="Times New Roman" w:hAnsi="Times New Roman"/>
          <w:color w:val="000000"/>
          <w:sz w:val="20"/>
          <w:u w:val="single"/>
        </w:rPr>
        <w:t>Article 4</w:t>
      </w:r>
      <w:r>
        <w:rPr>
          <w:rFonts w:ascii="Times New Roman" w:hAnsi="Times New Roman"/>
          <w:color w:val="000000"/>
          <w:sz w:val="20"/>
        </w:rPr>
        <w:t>, the following terms shall have the meanings hereinafter set forth:</w:t>
      </w:r>
    </w:p>
    <w:p>
      <w:pPr>
        <w:pStyle w:val="TextBody"/>
        <w:bidi w:val="0"/>
        <w:spacing w:before="240" w:after="283"/>
        <w:jc w:val="both"/>
        <w:rPr>
          <w:rFonts w:ascii="Times New Roman" w:hAnsi="Times New Roman"/>
          <w:sz w:val="20"/>
        </w:rPr>
      </w:pPr>
      <w:r>
        <w:rPr>
          <w:rFonts w:ascii="Times New Roman" w:hAnsi="Times New Roman"/>
          <w:color w:val="000000"/>
          <w:sz w:val="20"/>
        </w:rPr>
        <w:t>4.2.1 “</w:t>
      </w:r>
      <w:r>
        <w:rPr>
          <w:rFonts w:ascii="Times New Roman" w:hAnsi="Times New Roman"/>
          <w:b/>
          <w:color w:val="000000"/>
          <w:sz w:val="20"/>
        </w:rPr>
        <w:t>Base Year</w:t>
      </w:r>
      <w:r>
        <w:rPr>
          <w:rFonts w:ascii="Times New Roman" w:hAnsi="Times New Roman"/>
          <w:color w:val="000000"/>
          <w:sz w:val="20"/>
        </w:rPr>
        <w:t xml:space="preserve">” shall mean the period set forth in </w:t>
      </w:r>
      <w:r>
        <w:rPr>
          <w:rFonts w:ascii="Times New Roman" w:hAnsi="Times New Roman"/>
          <w:color w:val="000000"/>
          <w:sz w:val="20"/>
          <w:u w:val="single"/>
        </w:rPr>
        <w:t>Section 5</w:t>
      </w:r>
      <w:r>
        <w:rPr>
          <w:rFonts w:ascii="Times New Roman" w:hAnsi="Times New Roman"/>
          <w:color w:val="000000"/>
          <w:sz w:val="20"/>
        </w:rPr>
        <w:t xml:space="preserve"> of the Summary.</w:t>
      </w:r>
    </w:p>
    <w:p>
      <w:pPr>
        <w:pStyle w:val="TextBody"/>
        <w:bidi w:val="0"/>
        <w:spacing w:before="240" w:after="283"/>
        <w:jc w:val="both"/>
        <w:rPr>
          <w:rFonts w:ascii="Times New Roman" w:hAnsi="Times New Roman"/>
          <w:sz w:val="20"/>
        </w:rPr>
      </w:pPr>
      <w:r>
        <w:rPr>
          <w:rFonts w:ascii="Times New Roman" w:hAnsi="Times New Roman"/>
          <w:color w:val="000000"/>
          <w:sz w:val="20"/>
        </w:rPr>
        <w:t>4.2.2 “</w:t>
      </w:r>
      <w:r>
        <w:rPr>
          <w:rFonts w:ascii="Times New Roman" w:hAnsi="Times New Roman"/>
          <w:b/>
          <w:color w:val="000000"/>
          <w:sz w:val="20"/>
        </w:rPr>
        <w:t>Direct Expenses</w:t>
      </w:r>
      <w:r>
        <w:rPr>
          <w:rFonts w:ascii="Times New Roman" w:hAnsi="Times New Roman"/>
          <w:color w:val="000000"/>
          <w:sz w:val="20"/>
        </w:rPr>
        <w:t>” shall mean “Operating Expenses” and “Tax Expenses.”</w:t>
      </w:r>
    </w:p>
    <w:p>
      <w:pPr>
        <w:pStyle w:val="TextBody"/>
        <w:bidi w:val="0"/>
        <w:spacing w:before="240" w:after="283"/>
        <w:jc w:val="both"/>
        <w:rPr>
          <w:rFonts w:ascii="Times New Roman" w:hAnsi="Times New Roman"/>
          <w:sz w:val="20"/>
        </w:rPr>
      </w:pPr>
      <w:r>
        <w:rPr>
          <w:rFonts w:ascii="Times New Roman" w:hAnsi="Times New Roman"/>
          <w:color w:val="000000"/>
          <w:sz w:val="20"/>
        </w:rPr>
        <w:t>4.2.3 “</w:t>
      </w:r>
      <w:r>
        <w:rPr>
          <w:rFonts w:ascii="Times New Roman" w:hAnsi="Times New Roman"/>
          <w:b/>
          <w:color w:val="000000"/>
          <w:sz w:val="20"/>
        </w:rPr>
        <w:t>Expense Year</w:t>
      </w:r>
      <w:r>
        <w:rPr>
          <w:rFonts w:ascii="Times New Roman" w:hAnsi="Times New Roman"/>
          <w:color w:val="000000"/>
          <w:sz w:val="20"/>
        </w:rPr>
        <w:t>” 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w:t>
      </w:r>
    </w:p>
    <w:p>
      <w:pPr>
        <w:pStyle w:val="TextBody"/>
        <w:bidi w:val="0"/>
        <w:spacing w:before="240" w:after="283"/>
        <w:jc w:val="both"/>
        <w:rPr>
          <w:rFonts w:ascii="Times New Roman" w:hAnsi="Times New Roman"/>
          <w:sz w:val="20"/>
        </w:rPr>
      </w:pPr>
      <w:r>
        <w:rPr>
          <w:rFonts w:ascii="Times New Roman" w:hAnsi="Times New Roman"/>
          <w:color w:val="000000"/>
          <w:sz w:val="20"/>
        </w:rPr>
        <w:t>4.2.4 “</w:t>
      </w:r>
      <w:r>
        <w:rPr>
          <w:rFonts w:ascii="Times New Roman" w:hAnsi="Times New Roman"/>
          <w:b/>
          <w:color w:val="000000"/>
          <w:sz w:val="20"/>
        </w:rPr>
        <w:t>Operating Expenses</w:t>
      </w:r>
      <w:r>
        <w:rPr>
          <w:rFonts w:ascii="Times New Roman" w:hAnsi="Times New Roman"/>
          <w:color w:val="000000"/>
          <w:sz w:val="20"/>
        </w:rPr>
        <w:t xml:space="preserve">” shall mean all expenses, costs and amounts of every kind and nature which Landlord pays or accrues during any Expense Year because of or in connection with the ownership, management, maintenance, security, repair, replacement, renovation, restoration or operation of the Project, or any portion thereof, in accordance with sound real estate management and accounting practices, consistently applied. Without limiting the generality of the foregoing, Operating Expenses shall specifically include any and all of the following: (i) the cost of supplying all utilities (but excluding the cost of electricity consumed in the Premises and the premises of other tenants of the Building (since Tenant is separately paying for the cost of electricity pursuant to </w:t>
      </w:r>
      <w:r>
        <w:rPr>
          <w:rFonts w:ascii="Times New Roman" w:hAnsi="Times New Roman"/>
          <w:color w:val="000000"/>
          <w:sz w:val="20"/>
          <w:u w:val="single"/>
        </w:rPr>
        <w:t>Section 6.1.2</w:t>
      </w:r>
      <w:r>
        <w:rPr>
          <w:rFonts w:ascii="Times New Roman" w:hAnsi="Times New Roman"/>
          <w:color w:val="000000"/>
          <w:sz w:val="20"/>
        </w:rPr>
        <w:t xml:space="preserve"> of this Lease)), the cost of operating, repairing, replacing, maintaining, renovating and restoring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Project;(iv) the cost of landscaping, relamping, and all supplies, tools, equipment and materials used in the operation, repair and maintenance of the Project, or any portion thereof; (v) costs incurred in connection with the parking areas servicing the Project; (vi) fees and other costs, including management fees, consulting fees, legal fees and accounting fees, of all contractors and consultants in connection with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-11-</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7"/>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management, operation, maintenance, replacement, renovation, repair and restoration of the Project; (vii) payments under any equipment rental agreements and the fair rental value of any management office space; (viii) wages, salaries and other compensation and benefits, including taxes levied thereon, of all persons (other than persons generally considered to be higher in rank than the position of “Senior Asset Manager”) engaged in the operation, maintenance and security of the Project; (ix) costs under any instrument pertaining to the sharing of costs by the Project; (x) operation, repair, maintenance, renovation, replacement and restoration of all systems and equipment and components thereof of the Project; (xi) the cost of janitorial services to the Project (but excluding the cost of janitorial services in the Premises and the premises of other tenants of the Building and any other buildings in the Project (as opposed to the Common Areas) since Tenant is separately paying for the cost of janitorial services in the Premises pursuant to </w:t>
      </w:r>
      <w:r>
        <w:rPr>
          <w:rFonts w:ascii="Times New Roman" w:hAnsi="Times New Roman"/>
          <w:color w:val="000000"/>
          <w:sz w:val="20"/>
          <w:u w:val="single"/>
        </w:rPr>
        <w:t>Section 6.4</w:t>
      </w:r>
      <w:r>
        <w:rPr>
          <w:rFonts w:ascii="Times New Roman" w:hAnsi="Times New Roman"/>
          <w:color w:val="000000"/>
          <w:sz w:val="20"/>
        </w:rPr>
        <w:t xml:space="preserve"> of the Lease), alarm, security and other services, replacement, renovation, restoration and repair of wall and floor coverings, ceiling tiles and fixtures in common areas, maintenance, replacement, renovation, repair and restoration of curbs and walkways, repair to roofs and re- roofing; (xii) amortization of the cost of acquiring or the rental expense of personal property used in the maintenance, operation and repair of the Project, or any portion thereof (which amortization calculation shall include interest at the “Interest Rate,” as that term is set forth in </w:t>
      </w:r>
      <w:r>
        <w:rPr>
          <w:rFonts w:ascii="Times New Roman" w:hAnsi="Times New Roman"/>
          <w:color w:val="000000"/>
          <w:sz w:val="20"/>
          <w:u w:val="single"/>
        </w:rPr>
        <w:t>Article 25</w:t>
      </w:r>
      <w:r>
        <w:rPr>
          <w:rFonts w:ascii="Times New Roman" w:hAnsi="Times New Roman"/>
          <w:color w:val="000000"/>
          <w:sz w:val="20"/>
        </w:rPr>
        <w:t xml:space="preserve"> of this Lease); (xiii) the cost of capital improvements or other costs incurred in connection with the Project (A) which are intended to effect economies in the operation or maintenance of the Project, or any portion thereof (provided that Landlord, based on expert third party advice, reasonably believes that such improvements will reduce Operating Expense costs or improve the operating efficiency of the Project), (B) that are required to comply with present or anticipated conservation programs, (C) which are replacements or modifications of nonstructural items located in the Common Areas required to keep the Common Areas in good order or condition, (D) that are required under any Applicable Laws (as defined in </w:t>
      </w:r>
      <w:r>
        <w:rPr>
          <w:rFonts w:ascii="Times New Roman" w:hAnsi="Times New Roman"/>
          <w:color w:val="000000"/>
          <w:sz w:val="20"/>
          <w:u w:val="single"/>
        </w:rPr>
        <w:t>Section 24.1</w:t>
      </w:r>
      <w:r>
        <w:rPr>
          <w:rFonts w:ascii="Times New Roman" w:hAnsi="Times New Roman"/>
          <w:color w:val="000000"/>
          <w:sz w:val="20"/>
        </w:rPr>
        <w:t xml:space="preserve">), except for capital repairs, replacements or other improvements to remedy a condition existing prior to the Lease Commencement Date which an applicable governmental authority, if it had knowledge of such condition prior to the Lease Commencement Date, would have then required to be remedied pursuant to then-current Applicable Laws in their form existing as of the Lease Commencement Date and pursuant to the then-current interpretation of such governmental laws or regulations by the applicable governmental authority as of the Lease Commencement Date (E) reasonably incurred in connection with Landlord’s Sustainability and Wellness Requirements (as defined in </w:t>
      </w:r>
      <w:r>
        <w:rPr>
          <w:rFonts w:ascii="Times New Roman" w:hAnsi="Times New Roman"/>
          <w:color w:val="000000"/>
          <w:sz w:val="20"/>
          <w:u w:val="single"/>
        </w:rPr>
        <w:t>Section 29.37</w:t>
      </w:r>
      <w:r>
        <w:rPr>
          <w:rFonts w:ascii="Times New Roman" w:hAnsi="Times New Roman"/>
          <w:color w:val="000000"/>
          <w:sz w:val="20"/>
        </w:rPr>
        <w:t xml:space="preserve"> of this Lease) including, without limitation, those that are required in order for the Project, or any portion thereof, to obtain or maintain any Sustainability and Wellness Certification (as defined in </w:t>
      </w:r>
      <w:r>
        <w:rPr>
          <w:rFonts w:ascii="Times New Roman" w:hAnsi="Times New Roman"/>
          <w:color w:val="000000"/>
          <w:sz w:val="20"/>
          <w:u w:val="single"/>
        </w:rPr>
        <w:t>Section 29.37</w:t>
      </w:r>
      <w:r>
        <w:rPr>
          <w:rFonts w:ascii="Times New Roman" w:hAnsi="Times New Roman"/>
          <w:color w:val="000000"/>
          <w:sz w:val="20"/>
        </w:rPr>
        <w:t xml:space="preserve"> of this Lease), or (F) that relate to the safety or security of the Project; provided, however, that any capital expenditure shall be amortized with interest at the Interest Rate over the shorter of (X) seven (7) years, (Y) its useful life as Landlord shall reasonably determine in accordance with sound real estate management and accounting practices consistently applied, or (Z) with respect to those items included under item (A) above, their recovery/payback period as Landlord shall reasonably determine in accordance with sound real estate management and accounting practices consistently applied;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Times New Roman" w:hAnsi="Times New Roman"/>
          <w:color w:val="000000"/>
          <w:sz w:val="20"/>
          <w:u w:val="single"/>
        </w:rPr>
        <w:t>Section 4.2.5</w:t>
      </w:r>
      <w:r>
        <w:rPr>
          <w:rFonts w:ascii="Times New Roman" w:hAnsi="Times New Roman"/>
          <w:color w:val="000000"/>
          <w:sz w:val="20"/>
        </w:rPr>
        <w:t>, below; (xv) payments under any Underlying Documents and (xvi) costs of any additional services not provided to the Project as of the Lease Commencement Date but which are thereafter provided by Landlord in connection with its prudent management of the Project.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the foregoing, Operating Expenses shall not, however, include: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costs, including marketing costs,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except as set forth in items (xi), (xii), and (xiii) above, depreciation, interest and principal payments on mortgages and other debt costs, if any, penalties and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costs for which the Landlord is reimbursed by any tenant or occupant of the Project or by insurance by its carrier or any tenant’s carrier or by anyone else or by warranty proceeds (except to the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-12-</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8"/>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extent of deductibles), and electric power costs for which any tenant directly contracts with the local public service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any bad debt loss, rent loss, or reserves for bad debts or rent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 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 and Landlord’s general corporate overhead and 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 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Senior Asset Manager;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 amount paid as ground rental for the Project by the Landlord;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any compensation paid to clerks, attendants or other persons in commercial concessions operated by the Landlord, provided that any compensation paid to any concierge or parking attendants at the Project shall be includable as an Operating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 rentals and other related expenses incurred in leasing air conditioning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 all items and services for which Tenant or any other tenant in the Project reimburses Landlord or which Landlord provides selectively to one or more tenants (other than Tenant) without reimbursement;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 costs, other than those incurred in ordinary maintenance and repair, for sculpture, paintings, fountains or other objects of art;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 any costs expressly excluded from Operating Expenses elsewhere in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(n) rent for any office space occupied by Project management personnel to the extent the size or rental rate of such office space exceeds the size or fair market rental value of office space occupied by management personnel of the “Comparable Buildings ,” as that term is defined in </w:t>
      </w:r>
      <w:r>
        <w:rPr>
          <w:rFonts w:ascii="Times New Roman" w:hAnsi="Times New Roman"/>
          <w:color w:val="000000"/>
          <w:sz w:val="20"/>
          <w:u w:val="single"/>
        </w:rPr>
        <w:t>Section 4</w:t>
      </w:r>
      <w:r>
        <w:rPr>
          <w:rFonts w:ascii="Times New Roman" w:hAnsi="Times New Roman"/>
          <w:color w:val="000000"/>
          <w:sz w:val="20"/>
        </w:rPr>
        <w:t xml:space="preserve"> of </w:t>
      </w:r>
      <w:r>
        <w:rPr>
          <w:rFonts w:ascii="Times New Roman" w:hAnsi="Times New Roman"/>
          <w:b/>
          <w:color w:val="000000"/>
          <w:sz w:val="20"/>
          <w:u w:val="single"/>
        </w:rPr>
        <w:t>Exhibit H</w:t>
      </w:r>
      <w:r>
        <w:rPr>
          <w:rFonts w:ascii="Times New Roman" w:hAnsi="Times New Roman"/>
          <w:color w:val="000000"/>
          <w:sz w:val="20"/>
        </w:rPr>
        <w:t xml:space="preserve"> to this Lease, with adjustment where appropriate for the size of the applicable project;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 costs to the extent arising from the gross negligence or willful misconduct of Landlord or its agents, employees, vendors, contractors, or providers of materials or services;</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-13-</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9"/>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 costs incurred to comply with laws relating to the removal of hazardous material or substance (as defined under applicable law) which was in existence in the Building or on the Project prior to the Lease Commencement Date, and was of such a nature that a federal, state, local or municipal governmental authority, if it had then had knowledge of the presence of such hazardous material or substance, in the state, and under the conditions that it then existed in the Building or on the Project, would have then required the removal of such hazardous material or substance or other remedial or containment action with respect thereto, but only to the extent those laws were then being actively enforced by the applicable government authority; and costs incurred to remove, remedy, contain, or treat hazardous material or substance, which hazardous material or substance is brought into the Building or onto the Project after the date hereof by Landlord or any other tenant of the Project and is of such a nature, at that time, that a federal, state, local or municipal governmental authority, if it had then had knowledge of the presence of such hazardous material or substance, in the state, and under the conditions, that it then exists in the Building or on the Project, would have then required the removal of such hazardous material or substance or other remedial or containment action with respect thereto, but only to the extent those laws were then being actively enforced by the applicable government authority.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(q) fees payable by Landlord for management of the Project in excess of five percent (5%) of Landlord’s gross rental revenues from the Project, adjusted and grossed up to reflect a one hundred percent (100%) occupancy of the Project with all tenants paying full rent (specifically disregarding free or abated rent), including base rent, pass-throughs, and parking fees from the Project for any calendar year or portion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 reserves not spent by Landlord by the end of the calendar year for which Operating Expenses are paid;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 costs of a capital nature (including capital improvements, replacements, and repairs) other than as permitted in </w:t>
      </w:r>
      <w:r>
        <w:rPr>
          <w:rFonts w:ascii="Times New Roman" w:hAnsi="Times New Roman"/>
          <w:color w:val="000000"/>
          <w:sz w:val="20"/>
          <w:u w:val="single"/>
        </w:rPr>
        <w:t>Section 4.2.4</w:t>
      </w:r>
      <w:r>
        <w:rPr>
          <w:rFonts w:ascii="Times New Roman" w:hAnsi="Times New Roman"/>
          <w:color w:val="000000"/>
          <w:sz w:val="20"/>
        </w:rPr>
        <w:t xml:space="preserve"> above (subject to the amortization of such costs as provided therein);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 penalties incurred as a result of Landlord’s failure to make payments of Tax Expenses or Operating Expenses when due (unless Landlord in good faith disputes a charge and subsequently loses or settles such dispute);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 costs of any penalty or fine incurred by Landlord due to Landlord’s violation of any federal, state or local law or regulation and any interest or payment due for late payment by Landlord of any of the Operating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 advertising and promotional expenditures primarily directed toward leasing tenant space in the Building and costs of signs in or on the Building identifying any tenant of the Building, except the Building directories;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 costs to the extent arising from the intentional violation of laws by Landlord or its agents or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(x) Landlord’s charitable and political contributions;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 attorneys’ fees and other costs and expenses incurred in connection with negotiations or disputes with present or prospective tenants of the Building;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(z) Any costs associated with the construction, fitting out or decoration of the Amenity Center, or with the acquisition or installation of any furnishings, fixtures or equipment in the Amenity Center.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ninety-five percent (95%) occupied during all or a portion of the Base Year or any Expense Year, Landlord may elect to make an appropriate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-14-</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0"/>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adjustment to those components of Operating Expenses that vary depending on occupancy for such year to determine the amount of Operating Expenses that would have been incurred had the Project been one hundred percent (100%) occupied; and the amount so determined shall be deemed to have been the amount of Operating Expenses for such year. Operating Expenses for the Base Year shall not include market-wide cost increases (including utility rate increases) due to extraordinary circumstances, including, but not limited to, Force Majeure, boycotts, strikes, conservation surcharges, embargoes or shortages, or amortized costs. In no event shall each of the components of Direct Expenses for any Expense Year related to utility costs, Tax Expenses, Project services costs (i.e., amounts paid by Landlord to third party vendors for services rendered with respect to, or products provided or supplied to, the Project) or Project insurance costs be less than each of the corresponding components of Direct Expenses related to such utility costs, Tax Expenses, Project services costs and Project insurance costs in the Base Year. Landlord shall not (i) make a profit by charging items to Operating Expenses that are otherwise also charged separately to others and (ii) subject to Landlord’s right to adjust the components of Operating Expenses described above in this paragraph, collect Operating Expenses from Tenant and all other tenants in the Building in an amount in excess of what Landlord incurs for the items included in Operating Expenses.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4.2.5 </w:t>
      </w:r>
      <w:r>
        <w:rPr>
          <w:rFonts w:ascii="Times New Roman" w:hAnsi="Times New Roman"/>
          <w:b/>
          <w:color w:val="000000"/>
          <w:sz w:val="20"/>
          <w:u w:val="single"/>
        </w:rPr>
        <w:t>Tax Expenses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4.2.5.1 </w:t>
      </w:r>
      <w:r>
        <w:rPr>
          <w:rFonts w:ascii="Times New Roman" w:hAnsi="Times New Roman"/>
          <w:b/>
          <w:color w:val="000000"/>
          <w:sz w:val="20"/>
          <w:u w:val="single"/>
        </w:rPr>
        <w:t>Inclusions</w:t>
      </w:r>
      <w:r>
        <w:rPr>
          <w:rFonts w:ascii="Times New Roman" w:hAnsi="Times New Roman"/>
          <w:color w:val="000000"/>
          <w:sz w:val="20"/>
        </w:rPr>
        <w:t>. “</w:t>
      </w:r>
      <w:r>
        <w:rPr>
          <w:rFonts w:ascii="Times New Roman" w:hAnsi="Times New Roman"/>
          <w:b/>
          <w:color w:val="000000"/>
          <w:sz w:val="20"/>
        </w:rPr>
        <w:t>Tax Expenses</w:t>
      </w:r>
      <w:r>
        <w:rPr>
          <w:rFonts w:ascii="Times New Roman" w:hAnsi="Times New Roman"/>
          <w:color w:val="000000"/>
          <w:sz w:val="20"/>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 including,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Times New Roman" w:hAnsi="Times New Roman"/>
          <w:b/>
          <w:color w:val="000000"/>
          <w:sz w:val="20"/>
        </w:rPr>
        <w:t>Proposition 13</w:t>
      </w:r>
      <w:r>
        <w:rPr>
          <w:rFonts w:ascii="Times New Roman" w:hAnsi="Times New Roman"/>
          <w:color w:val="000000"/>
          <w:sz w:val="20"/>
        </w:rPr>
        <w:t xml:space="preserve">”)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(iii) any governmental or private assessments or the Project’s contribution towards a governmental or private cost-sharing agreement for the purpose of augmenting or improving the quality of services and amenities normally provided by governmental agencies; (iv)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(v) any assessment, tax, fee, levy or charge, upon this transaction or any document to which Tenant is a party, creating or transferring an interest or an estate in the Premises; and (vi) all of the real estate taxes and assessments imposed upon or with respect to the Building and all of the real estate taxes and assessments imposed on the land and improvements comprising the Project. Notwithstanding the foregoing, Tax Expenses shall not include any amounts that Landlord elects to charge to Tenant directly pursuant to </w:t>
      </w:r>
      <w:r>
        <w:rPr>
          <w:rFonts w:ascii="Times New Roman" w:hAnsi="Times New Roman"/>
          <w:color w:val="000000"/>
          <w:sz w:val="20"/>
          <w:u w:val="single"/>
        </w:rPr>
        <w:t>Section 4.2.5.3</w:t>
      </w:r>
      <w:r>
        <w:rPr>
          <w:rFonts w:ascii="Times New Roman" w:hAnsi="Times New Roman"/>
          <w:color w:val="000000"/>
          <w:sz w:val="20"/>
        </w:rPr>
        <w:t xml:space="preserve"> below.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4.2.5.2 </w:t>
      </w:r>
      <w:r>
        <w:rPr>
          <w:rFonts w:ascii="Times New Roman" w:hAnsi="Times New Roman"/>
          <w:b/>
          <w:color w:val="000000"/>
          <w:sz w:val="20"/>
          <w:u w:val="single"/>
        </w:rPr>
        <w:t>In General</w:t>
      </w:r>
      <w:r>
        <w:rPr>
          <w:rFonts w:ascii="Times New Roman" w:hAnsi="Times New Roman"/>
          <w:color w:val="000000"/>
          <w:sz w:val="20"/>
        </w:rPr>
        <w:t xml:space="preserve">. Any costs and expenses (including, without limitation, reasonable attorneys’ fees) incurred in attempting to protest, reduce or minimize Tax Expenses shall be included in Tax Expenses in the Expense Year such expenses are paid. Except as set forth in </w:t>
      </w:r>
      <w:r>
        <w:rPr>
          <w:rFonts w:ascii="Times New Roman" w:hAnsi="Times New Roman"/>
          <w:color w:val="000000"/>
          <w:sz w:val="20"/>
          <w:u w:val="single"/>
        </w:rPr>
        <w:t>Section 4.2.5.4</w:t>
      </w:r>
      <w:r>
        <w:rPr>
          <w:rFonts w:ascii="Times New Roman" w:hAnsi="Times New Roman"/>
          <w:color w:val="000000"/>
          <w:sz w:val="20"/>
        </w:rPr>
        <w:t xml:space="preserve">, below, refunds of Tax Expenses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an increase in Tax Expenses under this </w:t>
      </w:r>
      <w:r>
        <w:rPr>
          <w:rFonts w:ascii="Times New Roman" w:hAnsi="Times New Roman"/>
          <w:color w:val="000000"/>
          <w:sz w:val="20"/>
          <w:u w:val="single"/>
        </w:rPr>
        <w:t>Article 4</w:t>
      </w:r>
      <w:r>
        <w:rPr>
          <w:rFonts w:ascii="Times New Roman" w:hAnsi="Times New Roman"/>
          <w:color w:val="000000"/>
          <w:sz w:val="20"/>
        </w:rPr>
        <w:t xml:space="preserve">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within fifteen (15) days after Landlord’s delivery of written demand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-15-</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1"/>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Tenant’s Share of any such increased Tax Expenses included by Landlord as Building Tax Expenses pursuant to the TCCs of this Lease. In addition, and notwithstanding anything to the contrary in this Lease, if a repeal, replacement or modification of Proposition 13 (a “</w:t>
      </w:r>
      <w:r>
        <w:rPr>
          <w:rFonts w:ascii="Times New Roman" w:hAnsi="Times New Roman"/>
          <w:b/>
          <w:color w:val="000000"/>
          <w:sz w:val="20"/>
        </w:rPr>
        <w:t>Replacement Proposition</w:t>
      </w:r>
      <w:r>
        <w:rPr>
          <w:rFonts w:ascii="Times New Roman" w:hAnsi="Times New Roman"/>
          <w:color w:val="000000"/>
          <w:sz w:val="20"/>
        </w:rPr>
        <w:t>”) results in an adjustment of the Tax Expenses attributable to the Base Year (any such increase in Tax Expenses attributable to the Base Year that results from a Replacement Proposition, a “</w:t>
      </w:r>
      <w:r>
        <w:rPr>
          <w:rFonts w:ascii="Times New Roman" w:hAnsi="Times New Roman"/>
          <w:b/>
          <w:color w:val="000000"/>
          <w:sz w:val="20"/>
        </w:rPr>
        <w:t>Base Year Replacement Proposition Tax Increase</w:t>
      </w:r>
      <w:r>
        <w:rPr>
          <w:rFonts w:ascii="Times New Roman" w:hAnsi="Times New Roman"/>
          <w:color w:val="000000"/>
          <w:sz w:val="20"/>
        </w:rPr>
        <w:t>”), then (i) Tenant shall pay Tenant’s Share of the amount of the Base Year Replacement Proposition Tax Increase as Additional Rent, (ii) Tax Expenses for the Base Year shall be deemed to not include the amount of the Base Year Replacement Proposition Tax Increase (provided that increases in Tax Expenses for all Expense Years subsequent to the Base Year shall include increases attributable to the Replacement Proposition). Notwithstanding anything to the contrary set forth in this Lease, only Landlord may institute proceedings to reduce Tax Expenses and the filing of any such proceeding by Tenant without Landlord’s consent shall constitute an Event of Default by Tenant under this Lease. Notwithstanding the foregoing, Landlord shall not be obligated to file any application or institute any proceeding seeking a reduction in Tax Expenses.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4.2.5.3 </w:t>
      </w:r>
      <w:r>
        <w:rPr>
          <w:rFonts w:ascii="Times New Roman" w:hAnsi="Times New Roman"/>
          <w:b/>
          <w:color w:val="000000"/>
          <w:sz w:val="20"/>
          <w:u w:val="single"/>
        </w:rPr>
        <w:t>Exclusions</w:t>
      </w:r>
      <w:r>
        <w:rPr>
          <w:rFonts w:ascii="Times New Roman" w:hAnsi="Times New Roman"/>
          <w:color w:val="000000"/>
          <w:sz w:val="20"/>
        </w:rPr>
        <w:t xml:space="preserve">. Notwithstanding anything to the contrary contained in this </w:t>
      </w:r>
      <w:r>
        <w:rPr>
          <w:rFonts w:ascii="Times New Roman" w:hAnsi="Times New Roman"/>
          <w:color w:val="000000"/>
          <w:sz w:val="20"/>
          <w:u w:val="single"/>
        </w:rPr>
        <w:t>Section 4.2.5.3</w:t>
      </w:r>
      <w:r>
        <w:rPr>
          <w:rFonts w:ascii="Times New Roman" w:hAnsi="Times New Roman"/>
          <w:color w:val="000000"/>
          <w:sz w:val="20"/>
        </w:rPr>
        <w:t xml:space="preserve"> (except as set forth in </w:t>
      </w:r>
      <w:r>
        <w:rPr>
          <w:rFonts w:ascii="Times New Roman" w:hAnsi="Times New Roman"/>
          <w:color w:val="000000"/>
          <w:sz w:val="20"/>
          <w:u w:val="single"/>
        </w:rPr>
        <w:t>Section 4.2.5.2</w:t>
      </w:r>
      <w:r>
        <w:rPr>
          <w:rFonts w:ascii="Times New Roman" w:hAnsi="Times New Roman"/>
          <w:color w:val="000000"/>
          <w:sz w:val="20"/>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documentary transfer taxes, (iii) any items included as Operating Expenses, (iv) any items paid by Tenant under </w:t>
      </w:r>
      <w:r>
        <w:rPr>
          <w:rFonts w:ascii="Times New Roman" w:hAnsi="Times New Roman"/>
          <w:color w:val="000000"/>
          <w:sz w:val="20"/>
          <w:u w:val="single"/>
        </w:rPr>
        <w:t>Section 4.5</w:t>
      </w:r>
      <w:r>
        <w:rPr>
          <w:rFonts w:ascii="Times New Roman" w:hAnsi="Times New Roman"/>
          <w:color w:val="000000"/>
          <w:sz w:val="20"/>
        </w:rPr>
        <w:t xml:space="preserve"> of this Lease, (v) tax penalties, interest or late charges, and (vi) any amounts charged directly to Tenant or other tenants, including pursuant to </w:t>
      </w:r>
      <w:r>
        <w:rPr>
          <w:rFonts w:ascii="Times New Roman" w:hAnsi="Times New Roman"/>
          <w:color w:val="000000"/>
          <w:sz w:val="20"/>
          <w:u w:val="single"/>
        </w:rPr>
        <w:t>Section 4.5</w:t>
      </w:r>
      <w:r>
        <w:rPr>
          <w:rFonts w:ascii="Times New Roman" w:hAnsi="Times New Roman"/>
          <w:color w:val="000000"/>
          <w:sz w:val="20"/>
        </w:rPr>
        <w:t xml:space="preserve"> or pursuant to provisions of any other tenant’s lease similar to </w:t>
      </w:r>
      <w:r>
        <w:rPr>
          <w:rFonts w:ascii="Times New Roman" w:hAnsi="Times New Roman"/>
          <w:color w:val="000000"/>
          <w:sz w:val="20"/>
          <w:u w:val="single"/>
        </w:rPr>
        <w:t>Section 4.5</w:t>
      </w:r>
      <w:r>
        <w:rPr>
          <w:rFonts w:ascii="Times New Roman" w:hAnsi="Times New Roman"/>
          <w:color w:val="000000"/>
          <w:sz w:val="20"/>
        </w:rPr>
        <w:t xml:space="preserve"> below.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4.2.5.4 </w:t>
      </w:r>
      <w:r>
        <w:rPr>
          <w:rFonts w:ascii="Times New Roman" w:hAnsi="Times New Roman"/>
          <w:b/>
          <w:color w:val="000000"/>
          <w:sz w:val="20"/>
          <w:u w:val="single"/>
        </w:rPr>
        <w:t>Adjustments to Tax Expenses</w:t>
      </w:r>
      <w:r>
        <w:rPr>
          <w:rFonts w:ascii="Times New Roman" w:hAnsi="Times New Roman"/>
          <w:color w:val="000000"/>
          <w:sz w:val="20"/>
          <w:u w:val="single"/>
        </w:rPr>
        <w:t>.</w:t>
      </w:r>
      <w:r>
        <w:rPr>
          <w:rFonts w:ascii="Times New Roman" w:hAnsi="Times New Roman"/>
          <w:color w:val="000000"/>
          <w:sz w:val="20"/>
        </w:rPr>
        <w:t xml:space="preserve"> Notwithstanding anything to the contrary set forth in this Lease, the amount of Tax Expenses for the Base Year and any Expense Year shall be calculated without taking into account any decreases in real estate taxes obtained in connection with Proposition 8, and, therefore, the Tax Expenses in the Base Year and/or an Expense Year may be greater than those actually incurred by Landlord, but shall, nonetheless, be the Tax Expenses due under this Lease; provided that (i) any costs and expenses incurred by Landlord in securing any Proposition 8 reduction shall not be included in Direct Expenses for purposes of this Lease, and (ii) tax refunds under Proposition 8 shall not be deducted from Tax Expenses, but rather shall be the sole property of Landlord. This </w:t>
      </w:r>
      <w:r>
        <w:rPr>
          <w:rFonts w:ascii="Times New Roman" w:hAnsi="Times New Roman"/>
          <w:color w:val="000000"/>
          <w:sz w:val="20"/>
          <w:u w:val="single"/>
        </w:rPr>
        <w:t xml:space="preserve">Section 4.2.5.4 </w:t>
      </w:r>
      <w:r>
        <w:rPr>
          <w:rFonts w:ascii="Times New Roman" w:hAnsi="Times New Roman"/>
          <w:color w:val="000000"/>
          <w:sz w:val="20"/>
        </w:rPr>
        <w:t xml:space="preserve">is not intended to in any way affect (A) the inclusion in Tax Expenses of the statutory two percent (2.0%) annual maximum allowable increase in Tax Expenses (as such statutory increase may be modified by subsequent legislation), or (B) the inclusion or exclusion of Tax Expenses pursuant to the terms of Proposition 13, which shall be governed pursuant to the terms of </w:t>
      </w:r>
      <w:r>
        <w:rPr>
          <w:rFonts w:ascii="Times New Roman" w:hAnsi="Times New Roman"/>
          <w:color w:val="000000"/>
          <w:sz w:val="20"/>
          <w:u w:val="single"/>
        </w:rPr>
        <w:t>Sections 4.2.5.1</w:t>
      </w:r>
      <w:r>
        <w:rPr>
          <w:rFonts w:ascii="Times New Roman" w:hAnsi="Times New Roman"/>
          <w:color w:val="000000"/>
          <w:sz w:val="20"/>
        </w:rPr>
        <w:t xml:space="preserve"> through </w:t>
      </w:r>
      <w:r>
        <w:rPr>
          <w:rFonts w:ascii="Times New Roman" w:hAnsi="Times New Roman"/>
          <w:color w:val="000000"/>
          <w:sz w:val="20"/>
          <w:u w:val="single"/>
        </w:rPr>
        <w:t>4.2.5.3</w:t>
      </w:r>
      <w:r>
        <w:rPr>
          <w:rFonts w:ascii="Times New Roman" w:hAnsi="Times New Roman"/>
          <w:color w:val="000000"/>
          <w:sz w:val="20"/>
        </w:rPr>
        <w:t xml:space="preserve">, above. The terms of this </w:t>
      </w:r>
      <w:r>
        <w:rPr>
          <w:rFonts w:ascii="Times New Roman" w:hAnsi="Times New Roman"/>
          <w:color w:val="000000"/>
          <w:sz w:val="20"/>
          <w:u w:val="single"/>
        </w:rPr>
        <w:t>Section 4.2.4.4</w:t>
      </w:r>
      <w:r>
        <w:rPr>
          <w:rFonts w:ascii="Times New Roman" w:hAnsi="Times New Roman"/>
          <w:color w:val="000000"/>
          <w:sz w:val="20"/>
        </w:rPr>
        <w:t xml:space="preserve"> shall not be applicable following the enactment of a Replacement Proposition that results in an annual adjustment of the Tax Expenses based on the then current value of the Project, without regard to mandatory annual inflationary increases.</w:t>
      </w:r>
    </w:p>
    <w:p>
      <w:pPr>
        <w:pStyle w:val="TextBody"/>
        <w:bidi w:val="0"/>
        <w:spacing w:before="240" w:after="283"/>
        <w:jc w:val="both"/>
        <w:rPr>
          <w:rFonts w:ascii="Times New Roman" w:hAnsi="Times New Roman"/>
          <w:sz w:val="20"/>
        </w:rPr>
      </w:pPr>
      <w:r>
        <w:rPr>
          <w:rFonts w:ascii="Times New Roman" w:hAnsi="Times New Roman"/>
          <w:color w:val="000000"/>
          <w:sz w:val="20"/>
        </w:rPr>
        <w:t>4.2.6 “</w:t>
      </w:r>
      <w:r>
        <w:rPr>
          <w:rFonts w:ascii="Times New Roman" w:hAnsi="Times New Roman"/>
          <w:b/>
          <w:color w:val="000000"/>
          <w:sz w:val="20"/>
        </w:rPr>
        <w:t>Tenant’s Share</w:t>
      </w:r>
      <w:r>
        <w:rPr>
          <w:rFonts w:ascii="Times New Roman" w:hAnsi="Times New Roman"/>
          <w:color w:val="000000"/>
          <w:sz w:val="20"/>
        </w:rPr>
        <w:t xml:space="preserve">” shall mean the percentage set forth in </w:t>
      </w:r>
      <w:r>
        <w:rPr>
          <w:rFonts w:ascii="Times New Roman" w:hAnsi="Times New Roman"/>
          <w:color w:val="000000"/>
          <w:sz w:val="20"/>
          <w:u w:val="single"/>
        </w:rPr>
        <w:t>Section 6</w:t>
      </w:r>
      <w:r>
        <w:rPr>
          <w:rFonts w:ascii="Times New Roman" w:hAnsi="Times New Roman"/>
          <w:color w:val="000000"/>
          <w:sz w:val="20"/>
        </w:rPr>
        <w:t xml:space="preserve"> of the Summary.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4.3 </w:t>
      </w:r>
      <w:r>
        <w:rPr>
          <w:rFonts w:ascii="Times New Roman" w:hAnsi="Times New Roman"/>
          <w:b/>
          <w:color w:val="000000"/>
          <w:sz w:val="20"/>
          <w:u w:val="single"/>
        </w:rPr>
        <w:t>Cost Pools</w:t>
      </w:r>
      <w:r>
        <w:rPr>
          <w:rFonts w:ascii="Times New Roman" w:hAnsi="Times New Roman"/>
          <w:color w:val="000000"/>
          <w:sz w:val="20"/>
        </w:rPr>
        <w:t>. Landlord shall have the right, from time to time, to equitably allocate some or all of the Direct Expenses for the Project among different portions or occupants of the Project (the “</w:t>
      </w:r>
      <w:r>
        <w:rPr>
          <w:rFonts w:ascii="Times New Roman" w:hAnsi="Times New Roman"/>
          <w:b/>
          <w:color w:val="000000"/>
          <w:sz w:val="20"/>
        </w:rPr>
        <w:t>Cost Pools</w:t>
      </w:r>
      <w:r>
        <w:rPr>
          <w:rFonts w:ascii="Times New Roman" w:hAnsi="Times New Roman"/>
          <w:color w:val="000000"/>
          <w:sz w:val="20"/>
        </w:rPr>
        <w:t>”), in Landlord’s discretion. Such Cost Pools may include, but shall not be limited to, the office space tenants of a building of the Project or of the Project, and the retail space tenants of a building of the Project or of the Project. The Direct Expenses within each such Cost Pool shall be allocated and charged to the tenants within such Cost Pool in an equitable manner.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4.4 </w:t>
      </w:r>
      <w:r>
        <w:rPr>
          <w:rFonts w:ascii="Times New Roman" w:hAnsi="Times New Roman"/>
          <w:b/>
          <w:color w:val="000000"/>
          <w:sz w:val="20"/>
          <w:u w:val="single"/>
        </w:rPr>
        <w:t>Calculation and Payment of Tenant’s Share of Direct Expenses</w:t>
      </w:r>
      <w:r>
        <w:rPr>
          <w:rFonts w:ascii="Times New Roman" w:hAnsi="Times New Roman"/>
          <w:color w:val="000000"/>
          <w:sz w:val="20"/>
        </w:rPr>
        <w:t xml:space="preserve">. If for any Expense Year ending or commencing within the Lease Term, Tenant’s Share of Direct Expenses for such Expense Year exceeds Tenant’s Share of Direct Expenses applicable to the Base Year, then Tenant shall pay to Landlord, in the manner set forth in </w:t>
      </w:r>
      <w:r>
        <w:rPr>
          <w:rFonts w:ascii="Times New Roman" w:hAnsi="Times New Roman"/>
          <w:color w:val="000000"/>
          <w:sz w:val="20"/>
          <w:u w:val="single"/>
        </w:rPr>
        <w:t>Section 4.4.1</w:t>
      </w:r>
      <w:r>
        <w:rPr>
          <w:rFonts w:ascii="Times New Roman" w:hAnsi="Times New Roman"/>
          <w:color w:val="000000"/>
          <w:sz w:val="20"/>
        </w:rPr>
        <w:t>, below, and as Additional Rent, an amount equal to the excess (the “</w:t>
      </w:r>
      <w:r>
        <w:rPr>
          <w:rFonts w:ascii="Times New Roman" w:hAnsi="Times New Roman"/>
          <w:b/>
          <w:color w:val="000000"/>
          <w:sz w:val="20"/>
        </w:rPr>
        <w:t>Excess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4.4.1 </w:t>
      </w:r>
      <w:r>
        <w:rPr>
          <w:rFonts w:ascii="Times New Roman" w:hAnsi="Times New Roman"/>
          <w:b/>
          <w:color w:val="000000"/>
          <w:sz w:val="20"/>
          <w:u w:val="single"/>
        </w:rPr>
        <w:t>Statement of Actual Direct Expenses and Payment by Tenant</w:t>
      </w:r>
      <w:r>
        <w:rPr>
          <w:rFonts w:ascii="Times New Roman" w:hAnsi="Times New Roman"/>
          <w:color w:val="000000"/>
          <w:sz w:val="20"/>
        </w:rPr>
        <w:t>. Landlord shall give to Tenant following the end of each Expense Year, a statement (the “</w:t>
      </w:r>
      <w:r>
        <w:rPr>
          <w:rFonts w:ascii="Times New Roman" w:hAnsi="Times New Roman"/>
          <w:b/>
          <w:color w:val="000000"/>
          <w:sz w:val="20"/>
        </w:rPr>
        <w:t>Statement</w:t>
      </w:r>
      <w:r>
        <w:rPr>
          <w:rFonts w:ascii="Times New Roman" w:hAnsi="Times New Roman"/>
          <w:color w:val="000000"/>
          <w:sz w:val="20"/>
        </w:rPr>
        <w:t xml:space="preserve">”) which shall state in general major categories the Direct Expenses incurred or accrued for the particular Expense Year, and which (for Expense Years other than the Base Year) shall indicate the amount of the Excess. Landlord shall use commercially reasonable efforts to deliver such Statement to Tenant on or before May 1 following the end of the Expense Year to which such Statement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-16-</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2"/>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relates. Upon receipt of the Statement for each Expense Year commencing or ending during the Lease Term, if an Excess is present, Tenant shall pay, within thirty (30) days after receipt of the Statement, the full amount of the Excess for such Expense Year, less the amounts, if any, paid during such Expense Year as “Estimated Excess,” as that term is defined in </w:t>
      </w:r>
      <w:r>
        <w:rPr>
          <w:rFonts w:ascii="Times New Roman" w:hAnsi="Times New Roman"/>
          <w:color w:val="000000"/>
          <w:sz w:val="20"/>
          <w:u w:val="single"/>
        </w:rPr>
        <w:t>Section 4.4.2</w:t>
      </w:r>
      <w:r>
        <w:rPr>
          <w:rFonts w:ascii="Times New Roman" w:hAnsi="Times New Roman"/>
          <w:color w:val="000000"/>
          <w:sz w:val="20"/>
        </w:rPr>
        <w:t xml:space="preserve">, below, and if Tenant paid more as Estimated Excess than the actual Excess, Tenant shall receive a credit in the amount of Tenant’s overpayment against Rent next due under this Lease or Landlord may apply such overpayment against any unpaid Rent. Except as provided below in this </w:t>
      </w:r>
      <w:r>
        <w:rPr>
          <w:rFonts w:ascii="Times New Roman" w:hAnsi="Times New Roman"/>
          <w:color w:val="000000"/>
          <w:sz w:val="20"/>
          <w:u w:val="single"/>
        </w:rPr>
        <w:t>Section 4.4.1</w:t>
      </w:r>
      <w:r>
        <w:rPr>
          <w:rFonts w:ascii="Times New Roman" w:hAnsi="Times New Roman"/>
          <w:color w:val="000000"/>
          <w:sz w:val="20"/>
        </w:rPr>
        <w:t xml:space="preserve">, the failure of Landlord to timely furnish the Statement for any Expense Year shall not prejudice Landlord or Tenant from enforcing its rights under this </w:t>
      </w:r>
      <w:r>
        <w:rPr>
          <w:rFonts w:ascii="Times New Roman" w:hAnsi="Times New Roman"/>
          <w:color w:val="000000"/>
          <w:sz w:val="20"/>
          <w:u w:val="single"/>
        </w:rPr>
        <w:t>Article 4</w:t>
      </w:r>
      <w:r>
        <w:rPr>
          <w:rFonts w:ascii="Times New Roman" w:hAnsi="Times New Roman"/>
          <w:color w:val="000000"/>
          <w:sz w:val="20"/>
        </w:rPr>
        <w:t xml:space="preserve">. Even though the Lease Term has expired and Tenant has vacated the Premises, when the final determination is made of Tenant’s Share of Direct Expenses for the Expense Year in which this Lease terminates, if an Excess is present, Tenant shall, within thirty (30) days after receipt of the Statement, pay to Landlord such amount, and if Tenant paid more as Estimated Excess than the actual Excess, Landlord shall, within thirty (30) days, deliver a check payable to Tenant in the amount of the overpayment or apply such overpayment against any unpaid Rent. The provisions of this </w:t>
      </w:r>
      <w:r>
        <w:rPr>
          <w:rFonts w:ascii="Times New Roman" w:hAnsi="Times New Roman"/>
          <w:color w:val="000000"/>
          <w:sz w:val="20"/>
          <w:u w:val="single"/>
        </w:rPr>
        <w:t>Section 4.4.1</w:t>
      </w:r>
      <w:r>
        <w:rPr>
          <w:rFonts w:ascii="Times New Roman" w:hAnsi="Times New Roman"/>
          <w:color w:val="000000"/>
          <w:sz w:val="20"/>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eighteen (18) full calendar months after the Lease Expiration Date, provided that in any event Tenant shall be responsible for Tenant’s Share of Direct Expenses which (x) were levied by any governmental authority or by any public utility companies, and (y) Landlord had not previously received an invoice therefor and which are currently due and owing (i.e., costs invoiced for the first time regardless of the date when the work or service relating to this Lease was performed), at any time following the Lease Expiration Date which are attributable to any Expense Year.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4.4.2 </w:t>
      </w:r>
      <w:r>
        <w:rPr>
          <w:rFonts w:ascii="Times New Roman" w:hAnsi="Times New Roman"/>
          <w:b/>
          <w:color w:val="000000"/>
          <w:sz w:val="20"/>
          <w:u w:val="single"/>
        </w:rPr>
        <w:t>Statement of Estimated Direct Expenses</w:t>
      </w:r>
      <w:r>
        <w:rPr>
          <w:rFonts w:ascii="Times New Roman" w:hAnsi="Times New Roman"/>
          <w:color w:val="000000"/>
          <w:sz w:val="20"/>
        </w:rPr>
        <w:t>. In addition, Landlord shall endeavor to give Tenant a yearly expense estimate statement (the “</w:t>
      </w:r>
      <w:r>
        <w:rPr>
          <w:rFonts w:ascii="Times New Roman" w:hAnsi="Times New Roman"/>
          <w:b/>
          <w:color w:val="000000"/>
          <w:sz w:val="20"/>
        </w:rPr>
        <w:t>Estimate Statement</w:t>
      </w:r>
      <w:r>
        <w:rPr>
          <w:rFonts w:ascii="Times New Roman" w:hAnsi="Times New Roman"/>
          <w:color w:val="000000"/>
          <w:sz w:val="20"/>
        </w:rPr>
        <w:t>”) which shall set forth in general major categories Landlord’s reasonable estimate (the “</w:t>
      </w:r>
      <w:r>
        <w:rPr>
          <w:rFonts w:ascii="Times New Roman" w:hAnsi="Times New Roman"/>
          <w:b/>
          <w:color w:val="000000"/>
          <w:sz w:val="20"/>
        </w:rPr>
        <w:t>Estimate</w:t>
      </w:r>
      <w:r>
        <w:rPr>
          <w:rFonts w:ascii="Times New Roman" w:hAnsi="Times New Roman"/>
          <w:color w:val="000000"/>
          <w:sz w:val="20"/>
        </w:rPr>
        <w:t>”) of what the total amount of Direct Expenses for the then-current Expense Year shall be and the estimated excess (the “</w:t>
      </w:r>
      <w:r>
        <w:rPr>
          <w:rFonts w:ascii="Times New Roman" w:hAnsi="Times New Roman"/>
          <w:b/>
          <w:color w:val="000000"/>
          <w:sz w:val="20"/>
        </w:rPr>
        <w:t>Estimated Excess</w:t>
      </w:r>
      <w:r>
        <w:rPr>
          <w:rFonts w:ascii="Times New Roman" w:hAnsi="Times New Roman"/>
          <w:color w:val="000000"/>
          <w:sz w:val="20"/>
        </w:rPr>
        <w:t xml:space="preserve">”) as calculated by comparing the Direct Expenses for such Expense Year, which shall be based upon the Estimate, to the amount of Direct Expenses for the Base Year. The failure of Landlord to timely furnish the Estimate Statement for any Expense Year shall not preclude Landlord from enforcing its rights to collect any Additional Rent under this </w:t>
      </w:r>
      <w:r>
        <w:rPr>
          <w:rFonts w:ascii="Times New Roman" w:hAnsi="Times New Roman"/>
          <w:color w:val="000000"/>
          <w:sz w:val="20"/>
          <w:u w:val="single"/>
        </w:rPr>
        <w:t>Article 4</w:t>
      </w:r>
      <w:r>
        <w:rPr>
          <w:rFonts w:ascii="Times New Roman" w:hAnsi="Times New Roman"/>
          <w:color w:val="000000"/>
          <w:sz w:val="20"/>
        </w:rPr>
        <w:t xml:space="preserve">, nor shall Landlord be prohibited from revising any Estimate Statement or Estimated Excess theretofore delivered to the extent necessary, provided that Landlord shall not have the right to issue such revisions more frequently than two (2) times during any Expense Year. Thereafter, Tenant shall pay, within thirty (30) days after receipt of the Estimate Statement, a fraction of the Estimated Excess for the then-current Expense Year (reduced by any amounts paid pursuant to the second to last sentence of this </w:t>
      </w:r>
      <w:r>
        <w:rPr>
          <w:rFonts w:ascii="Times New Roman" w:hAnsi="Times New Roman"/>
          <w:color w:val="000000"/>
          <w:sz w:val="20"/>
          <w:u w:val="single"/>
        </w:rPr>
        <w:t>Section 4.4.2</w:t>
      </w:r>
      <w:r>
        <w:rPr>
          <w:rFonts w:ascii="Times New Roman" w:hAnsi="Times New Roman"/>
          <w:color w:val="000000"/>
          <w:sz w:val="20"/>
        </w:rPr>
        <w:t xml:space="preserve">).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subject to the foregoing provisions of this </w:t>
      </w:r>
      <w:r>
        <w:rPr>
          <w:rFonts w:ascii="Times New Roman" w:hAnsi="Times New Roman"/>
          <w:color w:val="000000"/>
          <w:sz w:val="20"/>
          <w:u w:val="single"/>
        </w:rPr>
        <w:t>Section 4.4.2</w:t>
      </w:r>
      <w:r>
        <w:rPr>
          <w:rFonts w:ascii="Times New Roman" w:hAnsi="Times New Roman"/>
          <w:color w:val="000000"/>
          <w:sz w:val="20"/>
        </w:rPr>
        <w:t>, Tenant shall pay monthly, with the monthly Base Rent installments, an amount equal to one-twelfth (1/12) of the total Estimated Excess set forth in the previous Estimate Statement delivered by Landlord to Tenant. Throughout the Lease Term Landlord shall maintain records with respect to Direct Expenses in accordance with sound real estate management and accounting practices, consistently applied.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4.5 </w:t>
      </w:r>
      <w:r>
        <w:rPr>
          <w:rFonts w:ascii="Times New Roman" w:hAnsi="Times New Roman"/>
          <w:b/>
          <w:color w:val="000000"/>
          <w:sz w:val="20"/>
          <w:u w:val="single"/>
        </w:rPr>
        <w:t>Taxes and Other Charges for Which Tenant Is Directly Responsible</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4.5.1 Tenant shall be liable for taxes levied against Tenant’s equipment, furniture, fixtures and any other personal property located in or about the Project and shall pay or dispute (to the extent lawful to do so) the same before delinquency.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4.5.2 If the improvements in the Premises, whether installed and/or paid for by Landlord or Tenant and whether or not affixed to the real property so as to become a part thereof, are assessed for real property tax purposes at a valuation higher than the valuation at which improvements conforming to Landlord’s “building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-17-</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3"/>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Times New Roman" w:hAnsi="Times New Roman"/>
          <w:color w:val="000000"/>
          <w:sz w:val="20"/>
          <w:u w:val="single"/>
        </w:rPr>
        <w:t>Section 4.5.1</w:t>
      </w:r>
      <w:r>
        <w:rPr>
          <w:rFonts w:ascii="Times New Roman" w:hAnsi="Times New Roman"/>
          <w:color w:val="000000"/>
          <w:sz w:val="20"/>
        </w:rPr>
        <w:t>,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4.5.3 Notwithstanding any contrary provision herein, Landlord shall have the right to charge Tenant directly, and in such event Tenant shall pay to Landlord, upon demand as Additional Rent any or all of the following: (i) any rent tax or sales tax, gross receipts tax, service tax, transfer tax or value added tax, and/or any other applicable tax on the rent or services herein or otherwise respecting this Lease, (ii) any taxes assessed upon or with respect to the possession, leasing, operation, management, maintenance, alteration, repair, use or occupancy by Tenant of the Premises or any portion of the Project, including the Project parking facility and taxes or assessments due to any type of ballot measure, including an initiative adopted by the voters or a local agency, or a state or municipal proposition approved by the voters; and (iii) taxes assessed upon this transaction or any document to which Tenant is a party creating or transferring an interest or an estate in the Premises. To the extent that Landlord elects to charge Tenant directly for any of the foregoing, then such items for which Tenant is so charged directly shall not be included in Direct Expenses.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4.5.4 Landlord may charge Tenant the estimated amount of taxes and other charges for which Tenant is directly responsible pursuant to this </w:t>
      </w:r>
      <w:r>
        <w:rPr>
          <w:rFonts w:ascii="Times New Roman" w:hAnsi="Times New Roman"/>
          <w:color w:val="000000"/>
          <w:sz w:val="20"/>
          <w:u w:val="single"/>
        </w:rPr>
        <w:t>Section 4.5</w:t>
      </w:r>
      <w:r>
        <w:rPr>
          <w:rFonts w:ascii="Times New Roman" w:hAnsi="Times New Roman"/>
          <w:color w:val="000000"/>
          <w:sz w:val="20"/>
        </w:rPr>
        <w:t xml:space="preserve"> on a monthly basis, provided that Landlord shall reconcile the amount actually paid by Tenant with the amount that Tenant should have paid, as part of Landlord’s Statement following the end of each Expense Year.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4.6 </w:t>
      </w:r>
      <w:r>
        <w:rPr>
          <w:rFonts w:ascii="Times New Roman" w:hAnsi="Times New Roman"/>
          <w:b/>
          <w:color w:val="000000"/>
          <w:sz w:val="20"/>
          <w:u w:val="single"/>
        </w:rPr>
        <w:t>Landlord’s Records</w:t>
      </w:r>
      <w:r>
        <w:rPr>
          <w:rFonts w:ascii="Times New Roman" w:hAnsi="Times New Roman"/>
          <w:color w:val="000000"/>
          <w:sz w:val="20"/>
        </w:rPr>
        <w:t>. Upon Tenant’s written request given not more than ninety (90) days after Tenant’s receipt of a Statement for a particular Expense Year, and provided that no Event of Default is then occurring under this Lease, specifically including, but not limited to, the timely payment of Additional Rent (whether or not a component thereof is the subject of the audit contemplated herein), Landlord shall furnish Tenant with such reasonable supporting documentation pertaining to the calculation of the Excess set forth in the Statement as Tenant may reasonably request. Landlord shall provide said documentation pertaining to the relevant Excess to Tenant within sixty (60) days after Tenant’s written request therefor. Within sixty (60) days after receipt of a Statement by Tenant (the “</w:t>
      </w:r>
      <w:r>
        <w:rPr>
          <w:rFonts w:ascii="Times New Roman" w:hAnsi="Times New Roman"/>
          <w:b/>
          <w:color w:val="000000"/>
          <w:sz w:val="20"/>
        </w:rPr>
        <w:t>Audit Period</w:t>
      </w:r>
      <w:r>
        <w:rPr>
          <w:rFonts w:ascii="Times New Roman" w:hAnsi="Times New Roman"/>
          <w:color w:val="000000"/>
          <w:sz w:val="20"/>
        </w:rPr>
        <w:t>”), if Tenant disputes the amount of the Excess set forth in the Statement, an independent certified public accountant (which accountant (A) is a member of a nationally or regionally recognized certified public accounting firm which has previous experience in auditing financial operating records of landlords of office buildings, (B) shall not already be providing primary accounting services to Tenant and shall not have provided primary accounting services to Tenant in the past three (3) years, (C) is not working on a contingency fee basis [i.e., Tenant must be billed based on the actual time and materials that are incurred by the certified public accounting firm in the performance of the audit], and (D) shall not currently or in the future be providing accounting and/or lease administration services to another tenant in the Building and/or the Project in connection with a review or audit by such other tenant of similar expense records), designated and paid for by Tenant, may, after reasonable notice to Landlord and at reasonable times, audit Landlord’s records with respect to the Excess set forth in the Statement at Landlord’s corporate offices, provided that (</w:t>
      </w:r>
      <w:r>
        <w:rPr>
          <w:rFonts w:ascii="Times New Roman" w:hAnsi="Times New Roman"/>
          <w:i/>
          <w:color w:val="000000"/>
          <w:sz w:val="20"/>
        </w:rPr>
        <w:t>i</w:t>
      </w:r>
      <w:r>
        <w:rPr>
          <w:rFonts w:ascii="Times New Roman" w:hAnsi="Times New Roman"/>
          <w:color w:val="000000"/>
          <w:sz w:val="20"/>
        </w:rPr>
        <w:t>) no Event of Default is then occurring under this Lease, (</w:t>
      </w:r>
      <w:r>
        <w:rPr>
          <w:rFonts w:ascii="Times New Roman" w:hAnsi="Times New Roman"/>
          <w:i/>
          <w:color w:val="000000"/>
          <w:sz w:val="20"/>
        </w:rPr>
        <w:t>ii</w:t>
      </w:r>
      <w:r>
        <w:rPr>
          <w:rFonts w:ascii="Times New Roman" w:hAnsi="Times New Roman"/>
          <w:color w:val="000000"/>
          <w:sz w:val="20"/>
        </w:rPr>
        <w:t>) Tenant has paid all amounts required to be paid under the applicable Estimate Statement and Statement, and (</w:t>
      </w:r>
      <w:r>
        <w:rPr>
          <w:rFonts w:ascii="Times New Roman" w:hAnsi="Times New Roman"/>
          <w:i/>
          <w:color w:val="000000"/>
          <w:sz w:val="20"/>
        </w:rPr>
        <w:t>iii</w:t>
      </w:r>
      <w:r>
        <w:rPr>
          <w:rFonts w:ascii="Times New Roman" w:hAnsi="Times New Roman"/>
          <w:color w:val="000000"/>
          <w:sz w:val="20"/>
        </w:rPr>
        <w:t>) a copy of the audit agreement between Tenant and its particular certified public accounting firm has been delivered to Landlord prior to the commencement of the audit. In connection with such audit, Tenant and Tenant’s certified public accounting firm must agree in advance to follow Landlord’s reasonable rules and procedures regarding an audit of the aforementioned Landlord records, and shall execute a commercially reasonable confidentiality agreement regarding such audit. Any audit report prepared by Tenant’s certified public accounting firm shall be delivered concurrently to Landlord and Tenant within the Audit Period. Tenant’s failure to audit the amount of the Excess set forth in any Statement within the Audit Period shall be deemed to be Tenant’s approval of such Statement and Tenant, thereafter, waives the right or ability to audit the amounts set forth in such Statement. If after such audit, Tenant still disputes such Excess, an audit to determine the proper amount shall be made, at Tenant’s expense, by an independent certified public accountant (the “</w:t>
      </w:r>
      <w:r>
        <w:rPr>
          <w:rFonts w:ascii="Times New Roman" w:hAnsi="Times New Roman"/>
          <w:b/>
          <w:color w:val="000000"/>
          <w:sz w:val="20"/>
        </w:rPr>
        <w:t>Accountant</w:t>
      </w:r>
      <w:r>
        <w:rPr>
          <w:rFonts w:ascii="Times New Roman" w:hAnsi="Times New Roman"/>
          <w:color w:val="000000"/>
          <w:sz w:val="20"/>
        </w:rPr>
        <w:t xml:space="preserve">”) selected by Landlord and subject to Tenant’s reasonable approval; provided that if such audit by the Accountant proves that the Direct Expenses in the subject Expense Year were overstated by more than five percent (5%), then the cost of the Accountant and the cost of such audit, in an amount not to exceed Five Thousand and 00/100 Dollars ($5,000.00), shall be paid for by Landlord. Tenant hereby acknowledges that Tenant’s sole right to audit Landlord’s records and to contest the amount of Direct Expenses payable by Tenant shall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-18-</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4"/>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be as set forth in this </w:t>
      </w:r>
      <w:r>
        <w:rPr>
          <w:rFonts w:ascii="Times New Roman" w:hAnsi="Times New Roman"/>
          <w:color w:val="000000"/>
          <w:sz w:val="20"/>
          <w:u w:val="single"/>
        </w:rPr>
        <w:t>Section 4.6</w:t>
      </w:r>
      <w:r>
        <w:rPr>
          <w:rFonts w:ascii="Times New Roman" w:hAnsi="Times New Roman"/>
          <w:color w:val="000000"/>
          <w:sz w:val="20"/>
        </w:rPr>
        <w:t>, and Tenant hereby waives any and all other rights pursuant to applicable law to audit such records and/or to contest the amount of Direct Expenses payable by Tenant.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5</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USE OF PREMISES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5.1 </w:t>
      </w:r>
      <w:r>
        <w:rPr>
          <w:rFonts w:ascii="Times New Roman" w:hAnsi="Times New Roman"/>
          <w:b/>
          <w:color w:val="000000"/>
          <w:sz w:val="20"/>
          <w:u w:val="single"/>
        </w:rPr>
        <w:t>Permitted Use</w:t>
      </w:r>
      <w:r>
        <w:rPr>
          <w:rFonts w:ascii="Times New Roman" w:hAnsi="Times New Roman"/>
          <w:color w:val="000000"/>
          <w:sz w:val="20"/>
        </w:rPr>
        <w:t xml:space="preserve">. Tenant shall use the Premises solely for the Permitted Use set forth in </w:t>
      </w:r>
      <w:r>
        <w:rPr>
          <w:rFonts w:ascii="Times New Roman" w:hAnsi="Times New Roman"/>
          <w:color w:val="000000"/>
          <w:sz w:val="20"/>
          <w:u w:val="single"/>
        </w:rPr>
        <w:t>Section 7</w:t>
      </w:r>
      <w:r>
        <w:rPr>
          <w:rFonts w:ascii="Times New Roman" w:hAnsi="Times New Roman"/>
          <w:color w:val="000000"/>
          <w:sz w:val="20"/>
        </w:rPr>
        <w:t xml:space="preserve"> of the Summary and Tenant shall not use or permit the Premises or the Project to be used for any other purpose or purposes whatsoever without the prior written consent of Landlord, which may be withheld in Landlord’s sole and absolute discretion. Tenant shall operate its business in the Premises and comply with, and in no event may Tenant’s Permitted Use violate, the rules and regulations for the Project promulgated by Landlord from time to time (“</w:t>
      </w:r>
      <w:r>
        <w:rPr>
          <w:rFonts w:ascii="Times New Roman" w:hAnsi="Times New Roman"/>
          <w:b/>
          <w:color w:val="000000"/>
          <w:sz w:val="20"/>
        </w:rPr>
        <w:t>Rules and Regulations</w:t>
      </w:r>
      <w:r>
        <w:rPr>
          <w:rFonts w:ascii="Times New Roman" w:hAnsi="Times New Roman"/>
          <w:color w:val="000000"/>
          <w:sz w:val="20"/>
        </w:rPr>
        <w:t xml:space="preserve">”), the current set of which (as of the Effective Date) is attached to this Lease as </w:t>
      </w:r>
      <w:r>
        <w:rPr>
          <w:rFonts w:ascii="Times New Roman" w:hAnsi="Times New Roman"/>
          <w:b/>
          <w:color w:val="000000"/>
          <w:sz w:val="20"/>
          <w:u w:val="single"/>
        </w:rPr>
        <w:t>Exhibit D</w:t>
      </w:r>
      <w:r>
        <w:rPr>
          <w:rFonts w:ascii="Times New Roman" w:hAnsi="Times New Roman"/>
          <w:color w:val="000000"/>
          <w:sz w:val="20"/>
        </w:rPr>
        <w:t>; provided, however, Landlord shall not enforce, change or modify the Rules and Regulations in a discriminatory manner and Landlord agrees that the Rules and Regulations shall not be unreasonably modified or enforced in a manner which will unreasonably interfere with the normal and customary conduct of Tenant's business. To Landlord’s actual knowledge, except for any violations cured or remedied on or before the date of this Lease, if any, Landlord has not received any written notice from any governmental authority of any violation of any Applicable Law applicable to the Premises. “Landlord’s actual knowledge” shall be deemed to mean and be limited to the current actual knowledge of John Osmond, Landlord’s head of asset management, at the time of execution of this Lease and not any implied, imputed, or constructive knowledge of said individual or of Landlord or any parties related to or comprising Landlord and without any independent investigation or inquiry having been made or any implied duty to investigate or make any inquiries; it being understood and agreed that such individual shall have no personal liability in any manner whatsoever hereunder or otherwise related to the transactions contemplated hereby. In addition, subject to all Applicable Laws, Tenant shall continue to have the right to use the Building’s fire stairs to travel between the second (2</w:t>
      </w:r>
      <w:r>
        <w:rPr>
          <w:rFonts w:ascii="Times New Roman" w:hAnsi="Times New Roman"/>
          <w:color w:val="000000"/>
          <w:sz w:val="13"/>
        </w:rPr>
        <w:t>nd</w:t>
      </w:r>
      <w:r>
        <w:rPr>
          <w:rFonts w:ascii="Times New Roman" w:hAnsi="Times New Roman"/>
          <w:color w:val="000000"/>
          <w:sz w:val="20"/>
        </w:rPr>
        <w:t>) and third (3</w:t>
      </w:r>
      <w:r>
        <w:rPr>
          <w:rFonts w:ascii="Times New Roman" w:hAnsi="Times New Roman"/>
          <w:color w:val="000000"/>
          <w:sz w:val="13"/>
        </w:rPr>
        <w:t>rd</w:t>
      </w:r>
      <w:r>
        <w:rPr>
          <w:rFonts w:ascii="Times New Roman" w:hAnsi="Times New Roman"/>
          <w:color w:val="000000"/>
          <w:sz w:val="20"/>
        </w:rPr>
        <w:t>) floors of the Building.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5.2 </w:t>
      </w:r>
      <w:r>
        <w:rPr>
          <w:rFonts w:ascii="Times New Roman" w:hAnsi="Times New Roman"/>
          <w:b/>
          <w:color w:val="000000"/>
          <w:sz w:val="20"/>
          <w:u w:val="single"/>
        </w:rPr>
        <w:t>Prohibited Uses</w:t>
      </w:r>
      <w:r>
        <w:rPr>
          <w:rFonts w:ascii="Times New Roman" w:hAnsi="Times New Roman"/>
          <w:color w:val="000000"/>
          <w:sz w:val="20"/>
        </w:rPr>
        <w:t xml:space="preserve">. The uses prohibited under this Lease shall include, without limitation, use of the Premises or a portion thereof for (i) offices of any agency or bureau of the United States or any state or political subdivision thereof; (ii) offices or agencies of any foreign governmental or political subdivision thereof; (iii) offices of any health care professionals or service organization; (iv) schools or other training facilities which are not ancillary to corporate, executive or professional office use; (v) retail or restaurant uses; or (vi) communications firms such as radio and/or television stations. Tenant shall not allow occupancy density for the Premises which is greater than </w:t>
      </w:r>
      <w:r>
        <w:rPr>
          <w:rFonts w:ascii="Times New Roman" w:hAnsi="Times New Roman"/>
          <w:color w:val="221F1F"/>
          <w:sz w:val="20"/>
        </w:rPr>
        <w:t xml:space="preserve">seven (7) persons per each one thousand (1,000) rentable square feet of the Premises. Notwithstanding the foregoing or any other provision of this Lease, Landlord hereby agrees that occupancy of the initial Premises by up to ten (10) persons per each one thousand (1,000) rentable square feet of the Premises for the Permitted Use during “Building Hours” (as that term is defined in </w:t>
      </w:r>
      <w:r>
        <w:rPr>
          <w:rFonts w:ascii="Times New Roman" w:hAnsi="Times New Roman"/>
          <w:color w:val="221F1F"/>
          <w:sz w:val="20"/>
          <w:u w:val="single"/>
        </w:rPr>
        <w:t>Section 6.1.1</w:t>
      </w:r>
      <w:r>
        <w:rPr>
          <w:rFonts w:ascii="Times New Roman" w:hAnsi="Times New Roman"/>
          <w:color w:val="221F1F"/>
          <w:sz w:val="20"/>
        </w:rPr>
        <w:t xml:space="preserve"> below) (with the density in excess of seven (7) persons per each one thousand (1,000) rentable square feet of the Premises being hereafter called the “</w:t>
      </w:r>
      <w:r>
        <w:rPr>
          <w:rFonts w:ascii="Times New Roman" w:hAnsi="Times New Roman"/>
          <w:b/>
          <w:color w:val="221F1F"/>
          <w:sz w:val="20"/>
        </w:rPr>
        <w:t>Excess Occupancy Density</w:t>
      </w:r>
      <w:r>
        <w:rPr>
          <w:rFonts w:ascii="Times New Roman" w:hAnsi="Times New Roman"/>
          <w:color w:val="221F1F"/>
          <w:sz w:val="20"/>
        </w:rPr>
        <w:t xml:space="preserve">”) shall not constitute a breach by Tenant under the terms of this </w:t>
      </w:r>
      <w:r>
        <w:rPr>
          <w:rFonts w:ascii="Times New Roman" w:hAnsi="Times New Roman"/>
          <w:color w:val="221F1F"/>
          <w:sz w:val="20"/>
          <w:u w:val="single"/>
        </w:rPr>
        <w:t>Section 5.2</w:t>
      </w:r>
      <w:r>
        <w:rPr>
          <w:rFonts w:ascii="Times New Roman" w:hAnsi="Times New Roman"/>
          <w:color w:val="221F1F"/>
          <w:sz w:val="20"/>
        </w:rPr>
        <w:t xml:space="preserve"> so long as such Excess Occupancy Density complies with and is not greater than the density permitted by Applicable Laws and zoning requirements. Notwithstanding the foregoing, Tenant hereby acknowledges and agrees that in no event shall Landlord be obligated to make any changes to the Building Structure or Building Systems (as defined in </w:t>
      </w:r>
      <w:r>
        <w:rPr>
          <w:rFonts w:ascii="Times New Roman" w:hAnsi="Times New Roman"/>
          <w:color w:val="221F1F"/>
          <w:sz w:val="20"/>
          <w:u w:val="single"/>
        </w:rPr>
        <w:t>Article 7</w:t>
      </w:r>
      <w:r>
        <w:rPr>
          <w:rFonts w:ascii="Times New Roman" w:hAnsi="Times New Roman"/>
          <w:color w:val="221F1F"/>
          <w:sz w:val="20"/>
        </w:rPr>
        <w:t>) to accommodate Tenant’s Excess Occupancy Density and nothing set forth herein shall be construed as entitling Tenant or any Tenant Party to use more parking than the Parking Pass Ratio set forth in Section 9 of the Summary. In addition, any HVAC usage or other utility usage attributable to Tenant’s Excess Occupancy Density shall be deemed to be in excess of the Building standard to be provided by Landlord under this Lease and shall instead be at Tenant’s sole cost, pursuant to the terms of Section 6.2 below. Furthermore, Landlord shall not be obligated to make any changes to the Base Building or Common Areas to accommodate Tenant’s occupancy density. Tenant shall not do or permit anything to be done in or about the Premises which will in any way damage the reputation of the Project or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5.3 </w:t>
      </w:r>
      <w:r>
        <w:rPr>
          <w:rFonts w:ascii="Times New Roman" w:hAnsi="Times New Roman"/>
          <w:b/>
          <w:color w:val="000000"/>
          <w:sz w:val="20"/>
          <w:u w:val="single"/>
        </w:rPr>
        <w:t>Underlying Documents</w:t>
      </w:r>
      <w:r>
        <w:rPr>
          <w:rFonts w:ascii="Times New Roman" w:hAnsi="Times New Roman"/>
          <w:color w:val="000000"/>
          <w:sz w:val="20"/>
        </w:rPr>
        <w:t xml:space="preserve">. Tenant shall (i) be subject (and this Lease shall be subordinate) to all current or future (recorded and unrecorded) ground leases and master leases, development agreements, easements, licenses, operating agreements, declarations, restrictive covenants, covenants, conditions and restrictions affecting the Building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-19-</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5"/>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the Project (and any portion thereof), reciprocal easement agreements, parking licenses, and any agreements with transit agencies affecting the Building or the Project (all documents described in this item (i) and any additional provisions, exhibits, documents, rules and laws mentioned therein, are, collectively, “Underlying Documents”). (ii) comply with the requirements of the Underlying Documents, (iii) not perform any act or omission that would cause Landlord to be in violation of the Underlying Documents, (iv) be solely responsible for any amounts payable by Landlord resulting from Tenant’s failure to comply with this Section 5.3, and (v) within ten (10) days of request by Landlord, execute such further instruments or assurances as Landlord may reasonably deem necessary to evidence or confirm the subordination of this Lease to any Underlying Documents.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5.4 </w:t>
      </w:r>
      <w:r>
        <w:rPr>
          <w:rFonts w:ascii="Times New Roman" w:hAnsi="Times New Roman"/>
          <w:b/>
          <w:color w:val="000000"/>
          <w:sz w:val="20"/>
          <w:u w:val="single"/>
        </w:rPr>
        <w:t>Tenant’s Dogs</w:t>
      </w:r>
      <w:r>
        <w:rPr>
          <w:rFonts w:ascii="Times New Roman" w:hAnsi="Times New Roman"/>
          <w:b/>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5.4.1 </w:t>
      </w:r>
      <w:r>
        <w:rPr>
          <w:rFonts w:ascii="Times New Roman" w:hAnsi="Times New Roman"/>
          <w:b/>
          <w:color w:val="000000"/>
          <w:sz w:val="20"/>
          <w:u w:val="single"/>
        </w:rPr>
        <w:t>In General</w:t>
      </w:r>
      <w:r>
        <w:rPr>
          <w:rFonts w:ascii="Times New Roman" w:hAnsi="Times New Roman"/>
          <w:color w:val="000000"/>
          <w:sz w:val="20"/>
        </w:rPr>
        <w:t xml:space="preserve">. Subject to the provisions of this </w:t>
      </w:r>
      <w:r>
        <w:rPr>
          <w:rFonts w:ascii="Times New Roman" w:hAnsi="Times New Roman"/>
          <w:color w:val="000000"/>
          <w:sz w:val="20"/>
          <w:u w:val="single"/>
        </w:rPr>
        <w:t>Section 5.4</w:t>
      </w:r>
      <w:r>
        <w:rPr>
          <w:rFonts w:ascii="Times New Roman" w:hAnsi="Times New Roman"/>
          <w:color w:val="000000"/>
          <w:sz w:val="20"/>
        </w:rPr>
        <w:t xml:space="preserve"> and the Rules and Regulations, Tenant shall be permitted to bring up to a total of five (5) non-aggressive, well behaved, fully-trained, fully-domesticated and fully-vaccinated dogs of no less than one (1) year in age into the Premises; provided that, in no event shall more than three (3) dogs be permitted on any individual floor of the Premises at same time (which dogs are owned by Tenant or an officer or employee of Tenant) (“</w:t>
      </w:r>
      <w:r>
        <w:rPr>
          <w:rFonts w:ascii="Times New Roman" w:hAnsi="Times New Roman"/>
          <w:b/>
          <w:color w:val="000000"/>
          <w:sz w:val="20"/>
        </w:rPr>
        <w:t>Tenant’s Dogs</w:t>
      </w:r>
      <w:r>
        <w:rPr>
          <w:rFonts w:ascii="Times New Roman" w:hAnsi="Times New Roman"/>
          <w:color w:val="000000"/>
          <w:sz w:val="20"/>
        </w:rPr>
        <w:t>”). Tenant’s Dogs shall not include service animals (as defined under Applicable Laws and accompanying guidelines) (“</w:t>
      </w:r>
      <w:r>
        <w:rPr>
          <w:rFonts w:ascii="Times New Roman" w:hAnsi="Times New Roman"/>
          <w:b/>
          <w:color w:val="000000"/>
          <w:sz w:val="20"/>
        </w:rPr>
        <w:t>Service Animals</w:t>
      </w:r>
      <w:r>
        <w:rPr>
          <w:rFonts w:ascii="Times New Roman" w:hAnsi="Times New Roman"/>
          <w:color w:val="000000"/>
          <w:sz w:val="20"/>
        </w:rPr>
        <w:t xml:space="preserve">”) and this </w:t>
      </w:r>
      <w:r>
        <w:rPr>
          <w:rFonts w:ascii="Times New Roman" w:hAnsi="Times New Roman"/>
          <w:color w:val="000000"/>
          <w:sz w:val="20"/>
          <w:u w:val="single"/>
        </w:rPr>
        <w:t>Section 5.4</w:t>
      </w:r>
      <w:r>
        <w:rPr>
          <w:rFonts w:ascii="Times New Roman" w:hAnsi="Times New Roman"/>
          <w:color w:val="000000"/>
          <w:sz w:val="20"/>
        </w:rPr>
        <w:t xml:space="preserve"> shall not be applicable to such Service Animals unless expressly stated hereinbelow. Tenant’s Dogs must be on a leash that is no more than four feet (4’) in length while in any area of the Project outside of the Premises. In no event shall Tenant be permitted to bring any of Tenant’s Dogs into the restrooms of the Project. Within three (3) business days following Tenant’s receipt of Landlord’s request, Tenant shall provide Landlord with reasonably satisfactory evidence showing that all current vaccinations have been received by Tenant’s Dogs. Tenant’s Dogs shall not be brought to the Project if such dog is ill or contracts a disease that could potentially threaten the health or wellbeing of any tenant or occupant of the Building (which diseases may include, but shall not be limited to, rabies, leptospirosis and Lyme disease). While in the Building, Tenant’s Dogs must be taken directly to/from the Premises and Tenant shall use the Project’s freight elevators to bring Tenant’s Dogs to/from the Premises. Tenant shall not permit any objectionable dog related odors to emanate from the Premises, and in no event shall Tenant’s Dogs be at the Project overnight. All bodily waste generated by Tenant’s Dogs in or about the Project shall be promptly removed and disposed of in trash receptacles designated by Landlord, and any areas of the Project affected by such waste shall be cleaned and otherwise sanitized by Tenant. No less than one (1) time per calendar month during which any of Tenant’s Dogs are at the Premises, Tenant shall, at Tenant’s sole cost, clean all carpeted floor areas located within any portions of the Premises where Tenant’s Dogs have been located or have been allowed access. No Tenant’s Dog shall be permitted to enter the Project if such Tenant’s Dog previously exhibited dangerously aggressive behavior. Notwithstanding the foregoing, Landlord shall have the right, at any time, to prevent particular dogs from entering or accessing the Premises if such dogs are in violation of the terms of this </w:t>
      </w:r>
      <w:r>
        <w:rPr>
          <w:rFonts w:ascii="Times New Roman" w:hAnsi="Times New Roman"/>
          <w:color w:val="000000"/>
          <w:sz w:val="20"/>
          <w:u w:val="single"/>
        </w:rPr>
        <w:t>Section 5.4</w:t>
      </w:r>
      <w:r>
        <w:rPr>
          <w:rFonts w:ascii="Times New Roman" w:hAnsi="Times New Roman"/>
          <w:color w:val="000000"/>
          <w:sz w:val="20"/>
        </w:rPr>
        <w:t xml:space="preserve">, have previously been in violation of one or more of the terms of this </w:t>
      </w:r>
      <w:r>
        <w:rPr>
          <w:rFonts w:ascii="Times New Roman" w:hAnsi="Times New Roman"/>
          <w:color w:val="000000"/>
          <w:sz w:val="20"/>
          <w:u w:val="single"/>
        </w:rPr>
        <w:t>Section 5.4,</w:t>
      </w:r>
      <w:r>
        <w:rPr>
          <w:rFonts w:ascii="Times New Roman" w:hAnsi="Times New Roman"/>
          <w:color w:val="000000"/>
          <w:sz w:val="20"/>
        </w:rPr>
        <w:t xml:space="preserve"> or Landlord has received a complaint from any tenant or occupant regarding damage, disruption or nuisance caused by such dog in the Building or the Project, which complaint is, in Landlord’s reasonable business judgment, legitimate and not intended solely to harass or frustrate Tenant’s use and occupancy of the Premises or Tenant’s right to bring Tenant’s Dogs into the Premises in accordance with this </w:t>
      </w:r>
      <w:r>
        <w:rPr>
          <w:rFonts w:ascii="Times New Roman" w:hAnsi="Times New Roman"/>
          <w:color w:val="000000"/>
          <w:sz w:val="20"/>
          <w:u w:val="single"/>
        </w:rPr>
        <w:t>Section 5.4</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5.4.2 </w:t>
      </w:r>
      <w:r>
        <w:rPr>
          <w:rFonts w:ascii="Times New Roman" w:hAnsi="Times New Roman"/>
          <w:b/>
          <w:color w:val="000000"/>
          <w:sz w:val="20"/>
          <w:u w:val="single"/>
        </w:rPr>
        <w:t>Costs and Expenses</w:t>
      </w:r>
      <w:r>
        <w:rPr>
          <w:rFonts w:ascii="Times New Roman" w:hAnsi="Times New Roman"/>
          <w:color w:val="000000"/>
          <w:sz w:val="20"/>
        </w:rPr>
        <w:t>. Tenant shall pay to Landlord, within thirty (30) days after demand, all costs reasonably incurred by Landlord in connection with the presence of Tenant’s Dogs in the Building, Premises or Project, including, but not limited to, janitorial, waste disposal, landscaping, signage, repair, and legal costs and expenses. In the event Landlord receives any verbal or written complaints from any other tenant or occupant of the Project in connection with health-related issues (</w:t>
      </w:r>
      <w:r>
        <w:rPr>
          <w:rFonts w:ascii="Times New Roman" w:hAnsi="Times New Roman"/>
          <w:i/>
          <w:color w:val="000000"/>
          <w:sz w:val="20"/>
        </w:rPr>
        <w:t>e.g.</w:t>
      </w:r>
      <w:r>
        <w:rPr>
          <w:rFonts w:ascii="Times New Roman" w:hAnsi="Times New Roman"/>
          <w:color w:val="000000"/>
          <w:sz w:val="20"/>
        </w:rPr>
        <w:t>, allergies) related to the presence of Tenant’s Dogs in the Premises, the Building or the Project, Landlord and Tenant shall promptly meet and mutually confer, in good faith, to determine appropriate mitigation measures to eliminate the causes of such complaints (which mitigation measures may include, without limitation, additional and/or different air filters to be installed in the HVAC system for the Premises, or elsewhere in the Building), and Tenant shall cause such measures to be taken promptly at its sole cost or expense.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5.4.3 </w:t>
      </w:r>
      <w:r>
        <w:rPr>
          <w:rFonts w:ascii="Times New Roman" w:hAnsi="Times New Roman"/>
          <w:b/>
          <w:color w:val="000000"/>
          <w:sz w:val="20"/>
          <w:u w:val="single"/>
        </w:rPr>
        <w:t>Indemnity</w:t>
      </w:r>
      <w:r>
        <w:rPr>
          <w:rFonts w:ascii="Times New Roman" w:hAnsi="Times New Roman"/>
          <w:color w:val="000000"/>
          <w:sz w:val="20"/>
        </w:rPr>
        <w:t xml:space="preserve">. Tenant’s indemnities under </w:t>
      </w:r>
      <w:r>
        <w:rPr>
          <w:rFonts w:ascii="Times New Roman" w:hAnsi="Times New Roman"/>
          <w:color w:val="000000"/>
          <w:sz w:val="20"/>
          <w:u w:val="single"/>
        </w:rPr>
        <w:t>Section 10.1</w:t>
      </w:r>
      <w:r>
        <w:rPr>
          <w:rFonts w:ascii="Times New Roman" w:hAnsi="Times New Roman"/>
          <w:color w:val="000000"/>
          <w:sz w:val="20"/>
        </w:rPr>
        <w:t xml:space="preserve"> below shall apply to any loss, cost, damage, expense, liability, or claim relating to any of Tenant’s Dogs.</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-20-</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6"/>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5.4.4 </w:t>
      </w:r>
      <w:r>
        <w:rPr>
          <w:rFonts w:ascii="Times New Roman" w:hAnsi="Times New Roman"/>
          <w:b/>
          <w:color w:val="000000"/>
          <w:sz w:val="20"/>
          <w:u w:val="single"/>
        </w:rPr>
        <w:t>Rights Personal to Original Tenant</w:t>
      </w:r>
      <w:r>
        <w:rPr>
          <w:rFonts w:ascii="Times New Roman" w:hAnsi="Times New Roman"/>
          <w:color w:val="000000"/>
          <w:sz w:val="20"/>
        </w:rPr>
        <w:t xml:space="preserve">. The right to bring Tenant’s Dogs into the Premises pursuant to this </w:t>
      </w:r>
      <w:r>
        <w:rPr>
          <w:rFonts w:ascii="Times New Roman" w:hAnsi="Times New Roman"/>
          <w:color w:val="000000"/>
          <w:sz w:val="20"/>
          <w:u w:val="single"/>
        </w:rPr>
        <w:t>Section 5.4</w:t>
      </w:r>
      <w:r>
        <w:rPr>
          <w:rFonts w:ascii="Times New Roman" w:hAnsi="Times New Roman"/>
          <w:color w:val="000000"/>
          <w:sz w:val="20"/>
        </w:rPr>
        <w:t xml:space="preserve"> is personal to the Original Tenant and any Permitted Transferee. If Tenant assigns the Lease or sublets all or any portion of the Premises, then, as to the entire Premises, upon such assignment, or, as to the portion of the Premises sublet, upon such subletting and until the expiration of such sublease, the right to bring Tenant’s Dogs into such portion of the Premises shall automatically terminate and be of no further force or effect.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6</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SERVICES AND UTILITIES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6.1 </w:t>
      </w:r>
      <w:r>
        <w:rPr>
          <w:rFonts w:ascii="Times New Roman" w:hAnsi="Times New Roman"/>
          <w:b/>
          <w:color w:val="000000"/>
          <w:sz w:val="20"/>
          <w:u w:val="single"/>
        </w:rPr>
        <w:t>Standard Tenant Services</w:t>
      </w:r>
      <w:r>
        <w:rPr>
          <w:rFonts w:ascii="Times New Roman" w:hAnsi="Times New Roman"/>
          <w:color w:val="000000"/>
          <w:sz w:val="20"/>
        </w:rPr>
        <w:t>. Landlord shall provide the following services on all days (unless otherwise stated below) during the Lease Term.</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6.1.1 </w:t>
      </w:r>
      <w:r>
        <w:rPr>
          <w:rFonts w:ascii="Times New Roman" w:hAnsi="Times New Roman"/>
          <w:b/>
          <w:color w:val="000000"/>
          <w:sz w:val="20"/>
          <w:u w:val="single"/>
        </w:rPr>
        <w:t>HVAC</w:t>
      </w:r>
      <w:r>
        <w:rPr>
          <w:rFonts w:ascii="Times New Roman" w:hAnsi="Times New Roman"/>
          <w:color w:val="000000"/>
          <w:sz w:val="20"/>
        </w:rPr>
        <w:t>. Subject to reasonable changes implemented by Landlord and all governmental rules, regulations and guidelines applicable thereto, Landlord shall provide heating, ventilation and air conditioning (“</w:t>
      </w:r>
      <w:r>
        <w:rPr>
          <w:rFonts w:ascii="Times New Roman" w:hAnsi="Times New Roman"/>
          <w:b/>
          <w:color w:val="000000"/>
          <w:sz w:val="20"/>
        </w:rPr>
        <w:t>HVAC</w:t>
      </w:r>
      <w:r>
        <w:rPr>
          <w:rFonts w:ascii="Times New Roman" w:hAnsi="Times New Roman"/>
          <w:color w:val="000000"/>
          <w:sz w:val="20"/>
        </w:rPr>
        <w:t>”) when necessary for normal comfort for normal office use in the Premises from 8:00 A.M. to 6:00 P.M. Monday through Friday (collectively, the “</w:t>
      </w:r>
      <w:r>
        <w:rPr>
          <w:rFonts w:ascii="Times New Roman" w:hAnsi="Times New Roman"/>
          <w:b/>
          <w:color w:val="000000"/>
          <w:sz w:val="20"/>
        </w:rPr>
        <w:t>Building Hours</w:t>
      </w:r>
      <w:r>
        <w:rPr>
          <w:rFonts w:ascii="Times New Roman" w:hAnsi="Times New Roman"/>
          <w:color w:val="000000"/>
          <w:sz w:val="20"/>
        </w:rPr>
        <w:t>”), except for the date of observation of New Year’s Day, President’s Day, Memorial Day, Independence Day, Labor Day, Thanksgiving Day, Christmas Day and, at Landlord’s discretion, other locally or nationally recognized holidays (collectively, the “</w:t>
      </w:r>
      <w:r>
        <w:rPr>
          <w:rFonts w:ascii="Times New Roman" w:hAnsi="Times New Roman"/>
          <w:b/>
          <w:color w:val="000000"/>
          <w:sz w:val="20"/>
        </w:rPr>
        <w:t>Holidays</w:t>
      </w:r>
      <w:r>
        <w:rPr>
          <w:rFonts w:ascii="Times New Roman" w:hAnsi="Times New Roman"/>
          <w:color w:val="000000"/>
          <w:sz w:val="20"/>
        </w:rPr>
        <w:t>”). If Tenant desires to use HVAC during hours other than Building Hours, Tenant shall give Landlord such prior notice, if any, as Landlord shall from time to time establish as appropriate, of Tenant’s desired use in order to supply such HVAC, and Landlord shall supply such HVAC to Tenant at such hourly cost to Tenant (which shall be treated as Additional Rent) as Landlord shall from time to time establish. As of the date of this Lease, the prevailing rates for HVAC service outside of Building Hours is $160.00 per hour, per suite (subject to change from time to time in Landlord’s sole discretion), which service shall be for at least two (2) hours and thereafter is provided in one (1) hour increments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6.1.2 </w:t>
      </w:r>
      <w:r>
        <w:rPr>
          <w:rFonts w:ascii="Times New Roman" w:hAnsi="Times New Roman"/>
          <w:b/>
          <w:color w:val="000000"/>
          <w:sz w:val="20"/>
          <w:u w:val="single"/>
        </w:rPr>
        <w:t>Electricity</w:t>
      </w:r>
      <w:r>
        <w:rPr>
          <w:rFonts w:ascii="Times New Roman" w:hAnsi="Times New Roman"/>
          <w:color w:val="000000"/>
          <w:sz w:val="20"/>
        </w:rPr>
        <w:t>. Landlord shall provide adequate electrical wiring and facilities and power for normal general office use as determined by Landlord. Notwithstanding any provision to the contrary contained in this Lease, Tenant shall pay directly to Landlord pursuant to the separate electrical submeters, the cost of all electricity services provided to and/or consumed in the Premises (including normal and excess consumption and including the cost of electricity to operate the HVAC air handlers), which electricity shall be separately submetered as described above (or otherwise equitably allocated and directly charged by Landlord to Tenant). Tenant shall pay such electricity cost within ten (10) days after demand and as Additional Rent under this Lease (and not as part of the Operating Expenses). Landlord shall designate the utility provider from time to time.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6.1.3 </w:t>
      </w:r>
      <w:r>
        <w:rPr>
          <w:rFonts w:ascii="Times New Roman" w:hAnsi="Times New Roman"/>
          <w:b/>
          <w:color w:val="000000"/>
          <w:sz w:val="20"/>
          <w:u w:val="single"/>
        </w:rPr>
        <w:t>Lighting</w:t>
      </w:r>
      <w:r>
        <w:rPr>
          <w:rFonts w:ascii="Times New Roman" w:hAnsi="Times New Roman"/>
          <w:color w:val="000000"/>
          <w:sz w:val="20"/>
        </w:rPr>
        <w:t>. As part of Operating Expenses, Landlord shall replace lamps, starters and ballasts for Building standard lighting fixtures within the Premises. In addition, Tenant shall bear the cost of replacement of lamps, starters and ballasts for non-Building standard lighting fixtures within the Premises.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6.1.4 </w:t>
      </w:r>
      <w:r>
        <w:rPr>
          <w:rFonts w:ascii="Times New Roman" w:hAnsi="Times New Roman"/>
          <w:b/>
          <w:color w:val="000000"/>
          <w:sz w:val="20"/>
          <w:u w:val="single"/>
        </w:rPr>
        <w:t>Water</w:t>
      </w:r>
      <w:r>
        <w:rPr>
          <w:rFonts w:ascii="Times New Roman" w:hAnsi="Times New Roman"/>
          <w:color w:val="000000"/>
          <w:sz w:val="20"/>
        </w:rPr>
        <w:t>. Landlord shall provide city water from the regular Building outlets for drinking, lavatory and toilet purposes in the Building Common Areas.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6.1.5 </w:t>
      </w:r>
      <w:r>
        <w:rPr>
          <w:rFonts w:ascii="Times New Roman" w:hAnsi="Times New Roman"/>
          <w:b/>
          <w:color w:val="000000"/>
          <w:sz w:val="20"/>
          <w:u w:val="single"/>
        </w:rPr>
        <w:t>Janitorial</w:t>
      </w:r>
      <w:r>
        <w:rPr>
          <w:rFonts w:ascii="Times New Roman" w:hAnsi="Times New Roman"/>
          <w:color w:val="000000"/>
          <w:sz w:val="20"/>
        </w:rPr>
        <w:t>. Landlord shall provide janitorial services to the Common Areas of the Building (but not to the Premises), except the date of observation of the Holidays, in and about the Premises and window washing services in a manner consistent with other Comparable Buildings.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6.1.6 </w:t>
      </w:r>
      <w:r>
        <w:rPr>
          <w:rFonts w:ascii="Times New Roman" w:hAnsi="Times New Roman"/>
          <w:b/>
          <w:color w:val="000000"/>
          <w:sz w:val="20"/>
          <w:u w:val="single"/>
        </w:rPr>
        <w:t>Elevators</w:t>
      </w:r>
      <w:r>
        <w:rPr>
          <w:rFonts w:ascii="Times New Roman" w:hAnsi="Times New Roman"/>
          <w:color w:val="000000"/>
          <w:sz w:val="20"/>
        </w:rPr>
        <w:t>. Landlord shall provide nonexclusive, non-attended automatic passenger elevator service during the Building Hours, and shall have at least one elevator available at all other times. Landlord shall provide nonexclusive freight elevator service subject to scheduling by Landlord.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6.1.7 </w:t>
      </w:r>
      <w:r>
        <w:rPr>
          <w:rFonts w:ascii="Times New Roman" w:hAnsi="Times New Roman"/>
          <w:b/>
          <w:color w:val="000000"/>
          <w:sz w:val="20"/>
          <w:u w:val="single"/>
        </w:rPr>
        <w:t>Access Control</w:t>
      </w:r>
      <w:r>
        <w:rPr>
          <w:rFonts w:ascii="Times New Roman" w:hAnsi="Times New Roman"/>
          <w:color w:val="000000"/>
          <w:sz w:val="20"/>
        </w:rPr>
        <w:t>. Landlord shall provide reasonable access control services for the Building, including a lobby attendant, in a manner materially consistent with other Comparable Buildings. Notwithstanding the foregoing, Landlord shall in no event be liable for personal injury or property damage for any error with regard to the admission to or exclusion from the Building of any person.</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-21-</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7"/>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Tenant shall cooperate fully with Landlord at all times and abide by all regulations and requirements that Landlord may reasonably prescribe for the proper functioning and protection of the HVAC, electrical, mechanical and plumbing systems.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6.2 </w:t>
      </w:r>
      <w:r>
        <w:rPr>
          <w:rFonts w:ascii="Times New Roman" w:hAnsi="Times New Roman"/>
          <w:b/>
          <w:color w:val="000000"/>
          <w:sz w:val="20"/>
          <w:u w:val="single"/>
        </w:rPr>
        <w:t>Overstandard Tenant Use</w:t>
      </w:r>
      <w:r>
        <w:rPr>
          <w:rFonts w:ascii="Times New Roman" w:hAnsi="Times New Roman"/>
          <w:color w:val="000000"/>
          <w:sz w:val="20"/>
          <w:u w:val="single"/>
        </w:rPr>
        <w:t>.</w:t>
      </w:r>
      <w:r>
        <w:rPr>
          <w:rFonts w:ascii="Times New Roman" w:hAnsi="Times New Roman"/>
          <w:color w:val="000000"/>
          <w:sz w:val="20"/>
        </w:rPr>
        <w:t xml:space="preserve"> Tenant shall not, without Landlord’s prior written consent, use heat-generating machines, machines other than normal fractional horsepower office machines, or equipment or lighting other than Building standard lights in the Premises, which may affect the temperature otherwise maintained by the air conditioning system or increase the water normally furnished for the Premises by Landlord pursuant to the terms of </w:t>
      </w:r>
      <w:r>
        <w:rPr>
          <w:rFonts w:ascii="Times New Roman" w:hAnsi="Times New Roman"/>
          <w:color w:val="000000"/>
          <w:sz w:val="20"/>
          <w:u w:val="single"/>
        </w:rPr>
        <w:t>Section 6.1</w:t>
      </w:r>
      <w:r>
        <w:rPr>
          <w:rFonts w:ascii="Times New Roman" w:hAnsi="Times New Roman"/>
          <w:color w:val="000000"/>
          <w:sz w:val="20"/>
        </w:rPr>
        <w:t xml:space="preserve"> of this Lease. If such consent is given, Landlord shall have the right to require installation of supplementary air conditioning units or other facilities in the Premises, including supplementary or additional metering devices, and the cost thereof, including the cost of installation, operation and maintenance, increased wear and tear on existing equipment and other similar charges, shall be paid by Tenant to Landlord upon billing by Landlord. If Tenant uses water, electricity, heat or air conditioning in excess of that supplied by Landlord pursuant to </w:t>
      </w:r>
      <w:r>
        <w:rPr>
          <w:rFonts w:ascii="Times New Roman" w:hAnsi="Times New Roman"/>
          <w:color w:val="000000"/>
          <w:sz w:val="20"/>
          <w:u w:val="single"/>
        </w:rPr>
        <w:t>Section 6.1</w:t>
      </w:r>
      <w:r>
        <w:rPr>
          <w:rFonts w:ascii="Times New Roman" w:hAnsi="Times New Roman"/>
          <w:color w:val="000000"/>
          <w:sz w:val="20"/>
        </w:rPr>
        <w:t xml:space="preserve"> of this Lease (including, without limitation, as a result of any Excess Occupancy Density), Tenant shall pay to Landlord, upon billing, the cost of such excess consumption, the cost of the installation, operation, and maintenance of equipment which is installed in order to supply such excess consumption, and the cost of the increased wear and tear on existing equipment caused by such excess consumption; and Landlord may install devices to separately meter any increased use and in such event Tenant shall pay the increased cost directly to Landlord, including the cost of such additional metering devices. Tenant’s use of electricity shall never exceed the capacity of the feeders to the Project or the risers or wiring installation, and subject to the terms of </w:t>
      </w:r>
      <w:r>
        <w:rPr>
          <w:rFonts w:ascii="Times New Roman" w:hAnsi="Times New Roman"/>
          <w:color w:val="000000"/>
          <w:sz w:val="20"/>
          <w:u w:val="single"/>
        </w:rPr>
        <w:t>Section 29.32</w:t>
      </w:r>
      <w:r>
        <w:rPr>
          <w:rFonts w:ascii="Times New Roman" w:hAnsi="Times New Roman"/>
          <w:color w:val="000000"/>
          <w:sz w:val="20"/>
        </w:rPr>
        <w:t>, below, Tenant shall not install or use or permit the installation or use of any computer or electronic data processing equipment in the Premises, without the prior written consent of Landlord.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6.3 </w:t>
      </w:r>
      <w:r>
        <w:rPr>
          <w:rFonts w:ascii="Times New Roman" w:hAnsi="Times New Roman"/>
          <w:b/>
          <w:color w:val="000000"/>
          <w:sz w:val="20"/>
          <w:u w:val="single"/>
        </w:rPr>
        <w:t>Interruption of Use</w:t>
      </w:r>
      <w:r>
        <w:rPr>
          <w:rFonts w:ascii="Times New Roman" w:hAnsi="Times New Roman"/>
          <w:color w:val="000000"/>
          <w:sz w:val="20"/>
        </w:rPr>
        <w:t xml:space="preserve">. Subject to </w:t>
      </w:r>
      <w:r>
        <w:rPr>
          <w:rFonts w:ascii="Times New Roman" w:hAnsi="Times New Roman"/>
          <w:color w:val="000000"/>
          <w:sz w:val="20"/>
          <w:u w:val="single"/>
        </w:rPr>
        <w:t>Section 6.4</w:t>
      </w:r>
      <w:r>
        <w:rPr>
          <w:rFonts w:ascii="Times New Roman" w:hAnsi="Times New Roman"/>
          <w:color w:val="000000"/>
          <w:sz w:val="20"/>
        </w:rPr>
        <w:t xml:space="preserve">,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except to the extent provided below in </w:t>
      </w:r>
      <w:r>
        <w:rPr>
          <w:rFonts w:ascii="Times New Roman" w:hAnsi="Times New Roman"/>
          <w:color w:val="000000"/>
          <w:sz w:val="20"/>
          <w:u w:val="single"/>
        </w:rPr>
        <w:t>Section 6.4</w:t>
      </w:r>
      <w:r>
        <w:rPr>
          <w:rFonts w:ascii="Times New Roman" w:hAnsi="Times New Roman"/>
          <w:color w:val="000000"/>
          <w:sz w:val="20"/>
        </w:rPr>
        <w:t xml:space="preserv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Times New Roman" w:hAnsi="Times New Roman"/>
          <w:color w:val="000000"/>
          <w:sz w:val="20"/>
          <w:u w:val="single"/>
        </w:rPr>
        <w:t>Article 6</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6.4 </w:t>
      </w:r>
      <w:r>
        <w:rPr>
          <w:rFonts w:ascii="Times New Roman" w:hAnsi="Times New Roman"/>
          <w:b/>
          <w:color w:val="000000"/>
          <w:sz w:val="20"/>
          <w:u w:val="single"/>
        </w:rPr>
        <w:t>Abatement Event</w:t>
      </w:r>
      <w:r>
        <w:rPr>
          <w:rFonts w:ascii="Times New Roman" w:hAnsi="Times New Roman"/>
          <w:color w:val="000000"/>
          <w:sz w:val="20"/>
        </w:rPr>
        <w:t>. If (i) Landlord fails to perform the obligations required of Landlord under the TCCs of this Lease, (ii) such failure causes all or a portion of the Premises to be untenantable and unusable by Tenant, and (iii) such failure relates to (A) the nonfunctioning of the heat, ventilation, and air conditioning system in the Premises, the electricity in the Premises, the nonfunctioning of the elevator service to the Premises, or (B) a failure to provide access to the Premises, Tenant shall give Landlord notice (the “Initial Notice”), specifying such failure to perform by Landlord (the “Abatement Event”). If Landlord has not cured such Abatement Event within five (5) business days after the receipt of the Initial Notice, Tenant may deliver an additional notice to Landlord (the “Additional Notice”), specifying such Abatement Event and Tenant’s intention to abate the payment of Rent under this Lease. If Landlord does not cure such Abatement Event within five (5) business days of receipt of the Additional Notice, Tenant may, upon written notice to Landlord, immediately abate Rent payable under this Lease for that portion of the Premises rendered untenantable and not used by Tenant, for the period beginning on the date five (5) business days after the Initial Notice to the earlier of the date Landlord cures such Abatement Event or the date Tenant recommences the use of such portion of the Premises. Such right to abate Rent shall be Tenant’s sole and exclusive remedy at law or in equity for an Abatement Event. Except as provided in this Section 6.4, nothing contained herein shall be interpreted to mean that Tenant is excused from paying Rent due hereunder.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6.5 </w:t>
      </w:r>
      <w:r>
        <w:rPr>
          <w:rFonts w:ascii="Times New Roman" w:hAnsi="Times New Roman"/>
          <w:b/>
          <w:color w:val="000000"/>
          <w:sz w:val="20"/>
          <w:u w:val="single"/>
        </w:rPr>
        <w:t>Janitorial Service to the Premises</w:t>
      </w:r>
      <w:r>
        <w:rPr>
          <w:rFonts w:ascii="Times New Roman" w:hAnsi="Times New Roman"/>
          <w:color w:val="000000"/>
          <w:sz w:val="20"/>
        </w:rPr>
        <w:t xml:space="preserve">. </w:t>
      </w:r>
      <w:r>
        <w:rPr>
          <w:rFonts w:ascii="Times New Roman" w:hAnsi="Times New Roman"/>
          <w:color w:val="221F1F"/>
          <w:sz w:val="20"/>
        </w:rPr>
        <w:t xml:space="preserve">All cleaning and janitorial services for the Premises, including regular removal of trash and debris and the washing of all windows in the Premises, all in a manner consistent with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-22-</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8"/>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221F1F"/>
          <w:sz w:val="20"/>
        </w:rPr>
        <w:t xml:space="preserve">Landlord’s commercially reasonable janitorial standards established for the Building, shall be performed and obtained at Tenant’s sole cost and expense exclusively by or through Landlord’s janitorial contractors, or any other janitorial contractor selected by Tenant that is a union contractor and a Class A level provider. Prior to the Lease Commencement Date, Tenant shall contract directly with Landlord’s janitorial contractors for the Project and the janitorial contract for the same must be approved in writing by Landlord in advance. Landlord shall have the right, from time to time, to change its designated janitorial services provider for the Building, in which event Tenant shall terminate its contract with Landlord’s previously designated janitorial services provider and enter into a contract with Landlord’s newly designated janitorial services provider. Landlord shall have the right to inspect the Premises for purposes of confirming that Tenant is cleaning the Premises as required by this </w:t>
      </w:r>
      <w:r>
        <w:rPr>
          <w:rFonts w:ascii="Times New Roman" w:hAnsi="Times New Roman"/>
          <w:color w:val="221F1F"/>
          <w:sz w:val="20"/>
          <w:u w:val="single"/>
        </w:rPr>
        <w:t>Section 6.5</w:t>
      </w:r>
      <w:r>
        <w:rPr>
          <w:rFonts w:ascii="Times New Roman" w:hAnsi="Times New Roman"/>
          <w:color w:val="221F1F"/>
          <w:sz w:val="20"/>
        </w:rPr>
        <w:t xml:space="preserve">, and to require Tenant to provide additional cleaning, if necessary. In the event Tenant shall fail to provide any of the services described in this </w:t>
      </w:r>
      <w:r>
        <w:rPr>
          <w:rFonts w:ascii="Times New Roman" w:hAnsi="Times New Roman"/>
          <w:color w:val="221F1F"/>
          <w:sz w:val="20"/>
          <w:u w:val="single"/>
        </w:rPr>
        <w:t>Section 6.5</w:t>
      </w:r>
      <w:r>
        <w:rPr>
          <w:rFonts w:ascii="Times New Roman" w:hAnsi="Times New Roman"/>
          <w:color w:val="221F1F"/>
          <w:sz w:val="20"/>
        </w:rPr>
        <w:t xml:space="preserve"> within five (5) business days after notice from Landlord, which notice shall not be required in the event of an emergency, then Landlord shall have the right to provide such services and any charge or cost incurred by Landlord in connection therewith shall be deemed Additional Rent due and payable by Tenant upon receipt by Tenant of a written statement of cost from Landlord. Failure of Tenant to comply with any one or more of the foregoing provisions shall be deemed to be a default under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6.6 </w:t>
      </w:r>
      <w:r>
        <w:rPr>
          <w:rFonts w:ascii="Times New Roman" w:hAnsi="Times New Roman"/>
          <w:b/>
          <w:color w:val="000000"/>
          <w:sz w:val="20"/>
          <w:u w:val="single"/>
        </w:rPr>
        <w:t>Security Systems</w:t>
      </w:r>
      <w:r>
        <w:rPr>
          <w:rFonts w:ascii="Times New Roman" w:hAnsi="Times New Roman"/>
          <w:color w:val="000000"/>
          <w:sz w:val="20"/>
        </w:rPr>
        <w:t>. Tenant shall continue to have the right to utilize, repair and maintain its existing security system, which includes card-key entry and may include a remotely monitored camera security system, with cameras located in and directed at portions of the Premises where Tenant is the only Tenant on such floor (“</w:t>
      </w:r>
      <w:r>
        <w:rPr>
          <w:rFonts w:ascii="Times New Roman" w:hAnsi="Times New Roman"/>
          <w:b/>
          <w:color w:val="000000"/>
          <w:sz w:val="20"/>
        </w:rPr>
        <w:t>Tenant’s Security System</w:t>
      </w:r>
      <w:r>
        <w:rPr>
          <w:rFonts w:ascii="Times New Roman" w:hAnsi="Times New Roman"/>
          <w:color w:val="000000"/>
          <w:sz w:val="20"/>
        </w:rPr>
        <w:t xml:space="preserve">”). Any portion of Tenant’s Security System located outside of the Premises shall be deemed to be included in the definition of Tenant’s Off-Premises Equipment (as defined in </w:t>
      </w:r>
      <w:r>
        <w:rPr>
          <w:rFonts w:ascii="Times New Roman" w:hAnsi="Times New Roman"/>
          <w:color w:val="000000"/>
          <w:sz w:val="20"/>
          <w:u w:val="single"/>
        </w:rPr>
        <w:t>Section 7.1</w:t>
      </w:r>
      <w:r>
        <w:rPr>
          <w:rFonts w:ascii="Times New Roman" w:hAnsi="Times New Roman"/>
          <w:color w:val="000000"/>
          <w:sz w:val="20"/>
        </w:rPr>
        <w:t xml:space="preserve"> below). If Tenant desires to install a new Tenant’s Security System, the same shall be subject to Landlord’s prior review and approval (not to be unreasonably withheld, conditioned or delayed), and the installation thereof shall be deemed an Alteration and shall performed pursuant to </w:t>
      </w:r>
      <w:r>
        <w:rPr>
          <w:rFonts w:ascii="Times New Roman" w:hAnsi="Times New Roman"/>
          <w:color w:val="000000"/>
          <w:sz w:val="20"/>
          <w:u w:val="single"/>
        </w:rPr>
        <w:t>Article 8</w:t>
      </w:r>
      <w:r>
        <w:rPr>
          <w:rFonts w:ascii="Times New Roman" w:hAnsi="Times New Roman"/>
          <w:color w:val="000000"/>
          <w:sz w:val="20"/>
        </w:rPr>
        <w:t xml:space="preserve"> of this Lease, below. In addition, Tenant shall coordinate the selection, installation and operation of Tenant’s Security System (and shall coordinate the selection, installation and operation of any new Tenant’s Security System) with Landlord in order to ensure that Tenant’s Security System is compatible with Landlord’s current or future Project security systems and equipment, and to the extent that any new Tenant’s Security System that Tenant desires to install is not compatible with Landlord’s Project systems and equipment, Tenant shall not be entitled to install and/or operate such new Tenant’s Security System. Tenant shall be solely responsible, at Tenant’s sole cost and expense, for the installation, monitoring, operation and removal of Tenant’s Security System. Tenant shall furnish Landlord with a copy of all key codes or access cards and Tenant shall ensure that Landlord shall have access to the Premises and the Building at all times. In no event shall Landlord be liable for, and Tenant shall defend, indemnify, and hold harmless Landlord and its representatives and agents from and against any Losses arising from, such system or the malfunctioning thereof in accordance with Tenant’s indemnity contained in </w:t>
      </w:r>
      <w:r>
        <w:rPr>
          <w:rFonts w:ascii="Times New Roman" w:hAnsi="Times New Roman"/>
          <w:color w:val="000000"/>
          <w:sz w:val="20"/>
          <w:u w:val="single"/>
        </w:rPr>
        <w:t>Section 10.1</w:t>
      </w:r>
      <w:r>
        <w:rPr>
          <w:rFonts w:ascii="Times New Roman" w:hAnsi="Times New Roman"/>
          <w:color w:val="000000"/>
          <w:sz w:val="20"/>
        </w:rPr>
        <w:t xml:space="preserve"> hereof.</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7</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REPAIRS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7.1 </w:t>
      </w:r>
      <w:r>
        <w:rPr>
          <w:rFonts w:ascii="Times New Roman" w:hAnsi="Times New Roman"/>
          <w:b/>
          <w:color w:val="000000"/>
          <w:sz w:val="20"/>
          <w:u w:val="single"/>
        </w:rPr>
        <w:t>Tenant’s Repair and Maintenance Obligations</w:t>
      </w:r>
      <w:r>
        <w:rPr>
          <w:rFonts w:ascii="Times New Roman" w:hAnsi="Times New Roman"/>
          <w:color w:val="000000"/>
          <w:sz w:val="20"/>
        </w:rPr>
        <w:t>. Tenant shall, at Tenant’s own expense, maintain in good condition and operating order and keep in good repair and condition throughout the Lease Term the following (collectively, “</w:t>
      </w:r>
      <w:r>
        <w:rPr>
          <w:rFonts w:ascii="Times New Roman" w:hAnsi="Times New Roman"/>
          <w:b/>
          <w:color w:val="000000"/>
          <w:sz w:val="20"/>
        </w:rPr>
        <w:t>Tenant’s Repair Obligations</w:t>
      </w:r>
      <w:r>
        <w:rPr>
          <w:rFonts w:ascii="Times New Roman" w:hAnsi="Times New Roman"/>
          <w:color w:val="000000"/>
          <w:sz w:val="20"/>
        </w:rPr>
        <w:t>”): (i) the Premises, including all improvements, fixtures, equipment, interior window coverings, and furnishings therein (which obligation of Tenant shall include, without limitation, the prompt replacement or repair, as reasonably required, of all damaged, broken, or worn fixtures and appurtenances, which work shall be performed by Tenant under the supervision and subject to the prior approval of Landlord), (ii) any personal property or equipment (including, without limitation, furniture, business and trade fixtures, equipment, free-standing cabinet work, movable partitions, servers, telephones, and merchandise) installed by Tenant within the Premises (collectively, “</w:t>
      </w:r>
      <w:r>
        <w:rPr>
          <w:rFonts w:ascii="Times New Roman" w:hAnsi="Times New Roman"/>
          <w:b/>
          <w:color w:val="000000"/>
          <w:sz w:val="20"/>
        </w:rPr>
        <w:t>Tenant’s Property</w:t>
      </w:r>
      <w:r>
        <w:rPr>
          <w:rFonts w:ascii="Times New Roman" w:hAnsi="Times New Roman"/>
          <w:color w:val="000000"/>
          <w:sz w:val="20"/>
        </w:rPr>
        <w:t>”), (iii) any equipment installed by Tenant at the Project and located outside of the Premises, including, without limitation, any rooftop equipment, supplemental HVAC equipment (if located outside of the Premises), generators (if located outside of the Premises), and electric vehicle charging stations (collectively, “</w:t>
      </w:r>
      <w:r>
        <w:rPr>
          <w:rFonts w:ascii="Times New Roman" w:hAnsi="Times New Roman"/>
          <w:b/>
          <w:color w:val="000000"/>
          <w:sz w:val="20"/>
        </w:rPr>
        <w:t>Tenant’s Off-Premises Equipment</w:t>
      </w:r>
      <w:r>
        <w:rPr>
          <w:rFonts w:ascii="Times New Roman" w:hAnsi="Times New Roman"/>
          <w:color w:val="000000"/>
          <w:sz w:val="20"/>
        </w:rPr>
        <w:t>”), which Tenant’s Off-Premises Equipment may only be installed by Tenant with the prior written consent of Landlord (in Landlord’s sole and absolute discretion, except to the extent otherwise expressly permitted elsewhere in this Lease), and (iv) all areas, improvements and systems exclusively serving the Premises, including any communications or computer wires and cables (collectively, the “</w:t>
      </w:r>
      <w:r>
        <w:rPr>
          <w:rFonts w:ascii="Times New Roman" w:hAnsi="Times New Roman"/>
          <w:b/>
          <w:color w:val="000000"/>
          <w:sz w:val="20"/>
        </w:rPr>
        <w:t>Cabling</w:t>
      </w:r>
      <w:r>
        <w:rPr>
          <w:rFonts w:ascii="Times New Roman" w:hAnsi="Times New Roman"/>
          <w:color w:val="000000"/>
          <w:sz w:val="20"/>
        </w:rPr>
        <w:t xml:space="preserve">”) and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-23-</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9"/>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applicable branch lines of the plumbing, electrical and other Building Systems (but excluding those portions of the Building Systems situated behind the demising and other walls located on the perimeter of the Premises, and all items situated above the ceiling including without limitation the ceiling grid and fixtures, all of which shall be Landlord’s responsibility to maintain as described below). The performance of Tenant’s Repair Obligations shall comply with the terms of </w:t>
      </w:r>
      <w:r>
        <w:rPr>
          <w:rFonts w:ascii="Times New Roman" w:hAnsi="Times New Roman"/>
          <w:color w:val="000000"/>
          <w:sz w:val="20"/>
          <w:u w:val="single"/>
        </w:rPr>
        <w:t>Article 8</w:t>
      </w:r>
      <w:r>
        <w:rPr>
          <w:rFonts w:ascii="Times New Roman" w:hAnsi="Times New Roman"/>
          <w:color w:val="000000"/>
          <w:sz w:val="20"/>
        </w:rPr>
        <w:t xml:space="preserve"> below.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7.2 </w:t>
      </w:r>
      <w:r>
        <w:rPr>
          <w:rFonts w:ascii="Times New Roman" w:hAnsi="Times New Roman"/>
          <w:b/>
          <w:color w:val="000000"/>
          <w:sz w:val="20"/>
          <w:u w:val="single"/>
        </w:rPr>
        <w:t>Landlord’s Repair and Maintenance Obligations</w:t>
      </w:r>
      <w:r>
        <w:rPr>
          <w:rFonts w:ascii="Times New Roman" w:hAnsi="Times New Roman"/>
          <w:color w:val="000000"/>
          <w:sz w:val="20"/>
        </w:rPr>
        <w:t>. Landlord shall maintain in good condition and operating order and keep in good repair and condition throughout the Lease Term the following (collectively, “</w:t>
      </w:r>
      <w:r>
        <w:rPr>
          <w:rFonts w:ascii="Times New Roman" w:hAnsi="Times New Roman"/>
          <w:b/>
          <w:color w:val="000000"/>
          <w:sz w:val="20"/>
        </w:rPr>
        <w:t>Landlord’s Repair Obligations</w:t>
      </w:r>
      <w:r>
        <w:rPr>
          <w:rFonts w:ascii="Times New Roman" w:hAnsi="Times New Roman"/>
          <w:color w:val="000000"/>
          <w:sz w:val="20"/>
        </w:rPr>
        <w:t>”): (i) the structural portions of the Building, including the foundation, floor/ceiling slabs, roof structure, roof membrane, curtain wall, exterior glass and mullions, columns, beams, shafts (including elevator shafts), stairs, stairwells, elevator cab, Building mechanical, electrical and telephone closets (collectively, “</w:t>
      </w:r>
      <w:r>
        <w:rPr>
          <w:rFonts w:ascii="Times New Roman" w:hAnsi="Times New Roman"/>
          <w:b/>
          <w:color w:val="000000"/>
          <w:sz w:val="20"/>
        </w:rPr>
        <w:t>Building Structure</w:t>
      </w:r>
      <w:r>
        <w:rPr>
          <w:rFonts w:ascii="Times New Roman" w:hAnsi="Times New Roman"/>
          <w:color w:val="000000"/>
          <w:sz w:val="20"/>
        </w:rPr>
        <w:t>”), (ii) the mechanical, electrical, life safety, plumbing, sprinkler systems and HVAC systems that serve the Building generally, as opposed to Tenant or another tenant exclusively (collectively, the “</w:t>
      </w:r>
      <w:r>
        <w:rPr>
          <w:rFonts w:ascii="Times New Roman" w:hAnsi="Times New Roman"/>
          <w:b/>
          <w:color w:val="000000"/>
          <w:sz w:val="20"/>
        </w:rPr>
        <w:t>Building Systems</w:t>
      </w:r>
      <w:r>
        <w:rPr>
          <w:rFonts w:ascii="Times New Roman" w:hAnsi="Times New Roman"/>
          <w:color w:val="000000"/>
          <w:sz w:val="20"/>
        </w:rPr>
        <w:t>”) including without limitation those portions of the Building Systems situated behind the demising and other walls located on the perimeter of the Premises, and all items situated above the ceiling including without limitation the ceiling grid and fixtures, and (iii) the Common Areas, which shall include restrooms located on multi-tenant floors of the Building. The “</w:t>
      </w:r>
      <w:r>
        <w:rPr>
          <w:rFonts w:ascii="Times New Roman" w:hAnsi="Times New Roman"/>
          <w:b/>
          <w:color w:val="000000"/>
          <w:sz w:val="20"/>
        </w:rPr>
        <w:t>Base Building</w:t>
      </w:r>
      <w:r>
        <w:rPr>
          <w:rFonts w:ascii="Times New Roman" w:hAnsi="Times New Roman"/>
          <w:color w:val="000000"/>
          <w:sz w:val="20"/>
        </w:rPr>
        <w:t>” shall mean the Building Structure and the Building Systems. Notwithstanding anything in this Lease to the contrary, if any repairs that are Landlord’s Repair Obligations are required due to Tenant’s use of the Premises for other than normal and customary business office operations or required due to Tenant’s construction of Alterations, then Landlord shall make such repairs and replacements, at Tenant’s sole cost, including a percentage of the cost thereof (to be uniformly established for the Building and/or the Project) sufficient to reimburse Landlord for all overhead, general conditions, fees and other reasonable costs or expenses arising from Landlord’s involvement with such repairs and replacements forthwith upon being billed for same. In the event that the Premises has an “open ceiling plan”, then Landlord and third parties leasing or otherwise using/managing or servicing space on the floor immediately above the Premises shall have the right to install, maintain, repair and replace mechanical, electrical and plumbing fixtures, devices, piping, ductwork and all other improvements through the floor above the Premises (which may penetrate through the ceiling of the Premises and be visible within the Premises during the course of construction and upon completion thereof), as Landlord may determine in Landlord’s sole and absolute discretion and with no approval rights being afforded to Tenant with respect thereto. Notwithstanding Tenant’s occupancy of the Premises during the performance of any of Landlord’s Repair Obligations, the performance of Landlord’s Repair Obligations shall in no way constitute a constructive eviction of Tenant nor entitle Tenant to any abatement of Rent. Tenant shall promptly and diligently cooperate with Landlord and any of the third parties performing Landlord’s Repair Obligations in the Premises in order to facilitate the performance of such work in an efficient and timely manner. Landlord’s entry into the Premises to perform any repairs or maintenance hereunder shall be subject to Article 27 below. Tenant hereby waives any and all rights under and benefits of subsection 1 of Section 1932 and Sections 1941 and 1942 of the California Civil Code or under any similar law, statute, or ordinance now or hereafter in effect.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8</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ADDITIONS AND ALTERATIONS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8.1 </w:t>
      </w:r>
      <w:r>
        <w:rPr>
          <w:rFonts w:ascii="Times New Roman" w:hAnsi="Times New Roman"/>
          <w:b/>
          <w:color w:val="000000"/>
          <w:sz w:val="20"/>
          <w:u w:val="single"/>
        </w:rPr>
        <w:t>Landlord’s Consent to Alterations</w:t>
      </w:r>
      <w:r>
        <w:rPr>
          <w:rFonts w:ascii="Times New Roman" w:hAnsi="Times New Roman"/>
          <w:color w:val="000000"/>
          <w:sz w:val="20"/>
        </w:rPr>
        <w:t>. Tenant may not make any repairs, improvements, alterations, additions or changes to the Premises or any other portion of the Project, or install any Tenant’s Off-Premises Equipment (collectively, the “</w:t>
      </w:r>
      <w:r>
        <w:rPr>
          <w:rFonts w:ascii="Times New Roman" w:hAnsi="Times New Roman"/>
          <w:b/>
          <w:color w:val="000000"/>
          <w:sz w:val="20"/>
        </w:rPr>
        <w:t>Alterations</w:t>
      </w:r>
      <w:r>
        <w:rPr>
          <w:rFonts w:ascii="Times New Roman" w:hAnsi="Times New Roman"/>
          <w:color w:val="000000"/>
          <w:sz w:val="20"/>
        </w:rPr>
        <w:t>”) without the prior written consent of Landlord to such Alterations, which consent shall be requested by Tenant not less than fifteen (15) business days prior to the commencement thereof, and which consent shall not be unreasonably withheld by Landlord, provided it shall be deemed reasonable for Landlord to withhold its consent to any Alteration which constitutes a Design Problem (without limitation as to any other reasonable grounds for Landlord to withhold its consent to any particular Alterations). A “</w:t>
      </w:r>
      <w:r>
        <w:rPr>
          <w:rFonts w:ascii="Times New Roman" w:hAnsi="Times New Roman"/>
          <w:b/>
          <w:color w:val="000000"/>
          <w:sz w:val="20"/>
        </w:rPr>
        <w:t>Design Problem</w:t>
      </w:r>
      <w:r>
        <w:rPr>
          <w:rFonts w:ascii="Times New Roman" w:hAnsi="Times New Roman"/>
          <w:color w:val="000000"/>
          <w:sz w:val="20"/>
        </w:rPr>
        <w:t>” is defined as, and will be deemed to exist if such Alterations may (i) affect the exterior appearance of the Building; (ii) affect the Building Structure or adversely affect the Building Systems; (iii) fail to comply with Applicable Laws or applicable building codes (“</w:t>
      </w:r>
      <w:r>
        <w:rPr>
          <w:rFonts w:ascii="Times New Roman" w:hAnsi="Times New Roman"/>
          <w:b/>
          <w:color w:val="000000"/>
          <w:sz w:val="20"/>
        </w:rPr>
        <w:t>Code</w:t>
      </w:r>
      <w:r>
        <w:rPr>
          <w:rFonts w:ascii="Times New Roman" w:hAnsi="Times New Roman"/>
          <w:color w:val="000000"/>
          <w:sz w:val="20"/>
        </w:rPr>
        <w:t xml:space="preserve">”) or would cause any other portion of the Project to fail to comply with Applicable Laws or Code, (iv) be in conflict with Landlord’s Sustainability and Wellness Requirements (including, without limitation, by jeopardizing any Sustainability and Wellness Certification), (v) vitiate or otherwise negatively affect any warranty, guaranty, or insurance maintained by Landlord, (vi) materially increase Landlord’s Repair Obligations, (vii) be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-24-</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0"/>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unusually difficult or expensive to remove, (viii) interfere with any other tenant or occupant of the Project, (ix) affect the certificate of occupancy or its legal equivalent for the Project or any portion thereof, (x) fail to adhere to Landlord’s Building standard requirements for the Project, or (xi) impact any portion of the Project outside of the interior of the Premises (which shall include, without limitation, any Tenant’s Off-Premises Equipment). Notwithstanding the foregoing, Tenant shall be permitted to make Alterations following ten (10) business days’ notice to Landlord, but without Landlord’s prior consent, to the extent that such Alterations do not (A) adversely affect the systems and equipment of the Building, exterior appearance of the Building, or structural aspects of the Building, (B) adversely affect the value of the Premises or Building, (C) require a building or construction permit, or (D) cost more than Seventy-Five Thousand and 00/100 Dollars ($75,000.00) for a particular job of work (the “Cosmetic Alterations”). Removal requirements for Cosmetic Alterations are set forth in Section 8.5 below. In addition, notwithstanding anything to the contrary set forth above in this Section 8.1 or elsewhere in this Lease, Tenant shall have the right, subject to the terms of this Section 8.1, to install interconnecting stairs between the second (2nd) and third (3rd) floors of the Building, which work would include making floor cores and other openings in the floors (collectively, “Stairwell Installation Work”) subject to the following terms and conditions: (x) Tenant shall be required to obtain the prior written consent of Landlord to the Stairwell Installation Work in accordance with the foregoing provisions of this Section 8.2; (y) the Stairwell Installation Work can only be deemed to be a Design Problem under clauses (ii), (iii), (v), (vi) or (ix) of this Section 8.2, but only if and to the extent the criteria described in such clauses is applicable; and (z) prior to the expiration or sooner termination of the Lease Term, Tenant, at its sole cost and expense, shall remove the Stairwell Installation Work and restore the systems and premises affected by the Stairwell Installation Work to substantially the same condition as existed prior to the performance of the Stairwell Installation Work, reasonable wear and tear and repairs which are specifically made the responsibility of Landlord hereunder excepted, in a manner reasonably approved by Landlord and in compliance with all Applicable Laws and all Codes.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8.2 </w:t>
      </w:r>
      <w:r>
        <w:rPr>
          <w:rFonts w:ascii="Times New Roman" w:hAnsi="Times New Roman"/>
          <w:b/>
          <w:color w:val="000000"/>
          <w:sz w:val="20"/>
          <w:u w:val="single"/>
        </w:rPr>
        <w:t>Manner of Construction</w:t>
      </w:r>
      <w:r>
        <w:rPr>
          <w:rFonts w:ascii="Times New Roman" w:hAnsi="Times New Roman"/>
          <w:color w:val="000000"/>
          <w:sz w:val="20"/>
        </w:rPr>
        <w:t xml:space="preserve">. Landlord may impose, as a condition of its consent to any and all Alterations or repairs of the Premises or about the Premises, such requirements as Landlord in its reasonable discretion may deem desirable, including, but not limited to, the requirement that Tenant utilize for such purposes only contractors reasonably approved by Landlord, and any removal and/or restoration obligations required to be performed pursuant to the TCCs of </w:t>
      </w:r>
      <w:r>
        <w:rPr>
          <w:rFonts w:ascii="Times New Roman" w:hAnsi="Times New Roman"/>
          <w:color w:val="000000"/>
          <w:sz w:val="20"/>
          <w:u w:val="single"/>
        </w:rPr>
        <w:t>Section 8.5</w:t>
      </w:r>
      <w:r>
        <w:rPr>
          <w:rFonts w:ascii="Times New Roman" w:hAnsi="Times New Roman"/>
          <w:color w:val="000000"/>
          <w:sz w:val="20"/>
        </w:rPr>
        <w:t xml:space="preserve"> of this Lease. If Landlord shall give its consent, the consent shall be deemed conditioned upon Tenant acquiring a permit to do the work from appropriate governmental agencies, the furnishing of a copy of such permit to Landlord prior to the commencement of the work, and the compliance by Tenant with all conditions of said permit in a prompt and expeditious manner. If such Alterations will involve the use of or disturb hazardous materials or substances existing in the Premises, Tenant shall notify Landlord prior to performing such Alterations and comply with Landlord’s rules and regulations concerning such hazardous materials or substances. Tenant shall construct such Alterations and perform such repairs in a good and workmanlike manner, in conformance with any and all applicable federal, state, county, local or municipal laws, ordinances, rules and regulations and pursuant to a valid building permit (to the extent a building permit is required due to the nature of the Alterations being performed), issued by the city in which the Building is located (or other applicable governmental authority), all in conformance with Landlord’s construction rules and regulations; provided, however, that prior to commencing to construct any Alteration, Tenant shall meet with Landlord to discuss Landlord’s design parameters and code compliance issues. In the event Tenant performs any Alterations in the Premises which require or give rise to governmentally required changes to the “Base Building,” as that term is defined below, then Landlord shall, at Tenant’s expense, make such changes to the Base Building. The “Base Building” shall include the structural portions of the Building, and the public restrooms, elevators, exit stairwells and the systems and equipment located in the internal core of the Building on the floor or floors on which the Premises is located. In performing the work of any such Alterations, Tenant shall have the work performed in such manner so as not to obstruct access to the Project or any portion thereof, by any other tenant of the Project, and so as not to obstruct the business of Landlord or other tenants in the Project. Tenant shall retain any union trades to the extent designated by Landlord. Further,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In addition to Tenant’s obligations under Article 9 of this Lease, upon completion of any Alterations, Tenant agrees to cause a Notice of Completion to be recorded in the office of the Recorder of the City and County of San Francisco in accordance with Section 8182 of the Civil Code of the State of California or any successor statute, and as a condition precedent to the enforceability and validity of Landlord’s consent, Tenant shall deliver to the management office for the Project a reproducible copy of the “as built” and CAD drawings of the Alterations, to the extent applicable, as well as all permits, approvals and other documents issued by any governmental agency in connection with the Alterations.</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-25-</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1"/>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8.3 </w:t>
      </w:r>
      <w:r>
        <w:rPr>
          <w:rFonts w:ascii="Times New Roman" w:hAnsi="Times New Roman"/>
          <w:b/>
          <w:color w:val="000000"/>
          <w:sz w:val="20"/>
          <w:u w:val="single"/>
        </w:rPr>
        <w:t>Payment for Alterations</w:t>
      </w:r>
      <w:r>
        <w:rPr>
          <w:rFonts w:ascii="Times New Roman" w:hAnsi="Times New Roman"/>
          <w:color w:val="000000"/>
          <w:sz w:val="20"/>
        </w:rPr>
        <w:t>. With respect to payments to be made to Tenant’s contractors for any Alterations, Tenant shall (i) comply with Landlord’s requirements for final lien releases and waivers in connection with Tenant’s payment for work to contractors, and (ii) sign Landlord’s standard contractor’s rules and regulations. In addition, in connection with all Alterations, Tenant shall pay Landlord an oversight fee equal to three percent (3%) of the hard costs of the work (provided that such oversight fee shall not be payable with respect to any Cosmetic Alterations) and reimburse Landlord for Landlord’s reasonable, actual, out-of-pocket costs and expenses actually incurred in connection with Landlord’s review of such work.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8.4 </w:t>
      </w:r>
      <w:r>
        <w:rPr>
          <w:rFonts w:ascii="Times New Roman" w:hAnsi="Times New Roman"/>
          <w:b/>
          <w:color w:val="000000"/>
          <w:sz w:val="20"/>
          <w:u w:val="single"/>
        </w:rPr>
        <w:t>Construction Insurance</w:t>
      </w:r>
      <w:r>
        <w:rPr>
          <w:rFonts w:ascii="Times New Roman" w:hAnsi="Times New Roman"/>
          <w:color w:val="000000"/>
          <w:sz w:val="20"/>
        </w:rPr>
        <w:t xml:space="preserve">. In addition to the requirements of </w:t>
      </w:r>
      <w:r>
        <w:rPr>
          <w:rFonts w:ascii="Times New Roman" w:hAnsi="Times New Roman"/>
          <w:color w:val="000000"/>
          <w:sz w:val="20"/>
          <w:u w:val="single"/>
        </w:rPr>
        <w:t>Article 10</w:t>
      </w:r>
      <w:r>
        <w:rPr>
          <w:rFonts w:ascii="Times New Roman" w:hAnsi="Times New Roman"/>
          <w:color w:val="000000"/>
          <w:sz w:val="20"/>
        </w:rPr>
        <w:t xml:space="preserve"> of this Lease, in the event that Tenant makes any Alterations, prior to the commencement of such Alterations, Tenant shall provide Landlord with evidence that Tenant carries “Builder’s Risk” insurance in an amount reasonably approved by Landlord covering the construction of such Alterations, and such other insurance as Landlord may reasonably require, it being understood and agreed that all of such Alterations shall be insured by Tenant pursuant to </w:t>
      </w:r>
      <w:r>
        <w:rPr>
          <w:rFonts w:ascii="Times New Roman" w:hAnsi="Times New Roman"/>
          <w:color w:val="000000"/>
          <w:sz w:val="20"/>
          <w:u w:val="single"/>
        </w:rPr>
        <w:t>Article 10</w:t>
      </w:r>
      <w:r>
        <w:rPr>
          <w:rFonts w:ascii="Times New Roman" w:hAnsi="Times New Roman"/>
          <w:color w:val="000000"/>
          <w:sz w:val="20"/>
        </w:rPr>
        <w:t xml:space="preserve"> of this Lease immediately upon completion thereof. In addition, Landlord may, in its reasonable discretion, require Tenant to obtain a lien and completion bond or some alternate form of security satisfactory to Landlord in an amount sufficient to ensure the lien-free completion of such Alterations and naming Landlord as a co-obligee; provided, however, that Landlord shall only be entitled to require the Original Tenant to provide to Landlord a lien and completion bond or other such security in connection with any Alterations in the event that following Landlord’s evaluation of Tenant’s then- current financial condition and performance history, Landlord determines in its good faith, prudent business judgment that the same is reasonably and prudently required.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8.5 </w:t>
      </w:r>
      <w:r>
        <w:rPr>
          <w:rFonts w:ascii="Times New Roman" w:hAnsi="Times New Roman"/>
          <w:b/>
          <w:color w:val="000000"/>
          <w:sz w:val="20"/>
          <w:u w:val="single"/>
        </w:rPr>
        <w:t>Landlord’s Property</w:t>
      </w:r>
      <w:r>
        <w:rPr>
          <w:rFonts w:ascii="Times New Roman" w:hAnsi="Times New Roman"/>
          <w:color w:val="000000"/>
          <w:sz w:val="20"/>
        </w:rPr>
        <w:t>. Landlord and Tenant hereby acknowledge and agree that all Alterations, improvements, fixtures, equipment and/or appurtenances which may be installed or placed in or about the Premises (excluding Tenant’s removable trade fixtures, furniture or non- affixed office equipment), from time to time, shall be at the sole cost of Tenant and shall be and become part of the Premises and the property of Landlord. Furthermore, Landlord may, by written notice to Tenant at least sixty (60) days prior to the end of the Lease Term, or given following any earlier termination of this Lease, require Tenant, at Tenant’s expense, to remove any Alterations or improvements in the Premises installed by Tenant during the Lease Term, and to repair any damage to the Premises and Building caused by such removal and return the affected portion of the Premises to the condition the Premises was in as of the Lease Commencement Date, subject to reasonable wear and tear; provided, however, if, in connection with its notice to Landlord with respect to any such Alterations or Cosmetic Alterations, (x) Tenant requests Landlord’s decision with regard to the removal of such Alterations or Cosmetic Alterations, and (y) Landlord thereafter agrees in writing to waive the removal requirement with regard to such Alterations or Cosmetic Alterations, then Tenant shall not be required to so remove such Alterations or Cosmetic Alterations; provided further, however, that if Tenant requests such a determination from Landlord and Landlord, within ten (10) business days following Landlord’s receipt of such request from Tenant with respect to Alterations or Cosmetic Alterations, fails to address the removal requirement with regard to such Alterations or Cosmetic Alterations, Landlord shall be deemed to have required the removal requirement with regard to such Alterations or Cosmetic Alterations. If Tenant fails to complete such removal and/or to repair any damage caused by the removal of any Alterations or improvements in the Premises, and/or to return the affected portion of the Premises to a building standard improved condition as determined by Landlord, then at Landlord’s option, either (A) Tenant shall be deemed to be holding over in the Premises and Rent shall continue to accrue in accordance with the terms of Article 16, below, until such work shall be completed, and/or (B) Landlord may do so and may charge the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 For the avoidance of doubt, Tenant shall not be required to remove any of the alterations or improvements situated in the Premises as of the Lease Commencement Date.</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9</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COVENANT AGAINST LIENS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Tenant shall keep the Project and Premises free from any liens or encumbrances arising out of the work performed, materials furnished or obligations incurred by or on behalf of Tenant, and shall protect, defend, indemnify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-26-</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2"/>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and hold Landlord harmless from and against any Losses (as defined in </w:t>
      </w:r>
      <w:r>
        <w:rPr>
          <w:rFonts w:ascii="Times New Roman" w:hAnsi="Times New Roman"/>
          <w:color w:val="000000"/>
          <w:sz w:val="20"/>
          <w:u w:val="single"/>
        </w:rPr>
        <w:t>Section 10.1</w:t>
      </w:r>
      <w:r>
        <w:rPr>
          <w:rFonts w:ascii="Times New Roman" w:hAnsi="Times New Roman"/>
          <w:color w:val="000000"/>
          <w:sz w:val="20"/>
        </w:rPr>
        <w:t xml:space="preserve"> below)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five (5) days after notice by Landlord, and if Tenant shall fail to do so, Landlord may pay the 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10</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INDEMNIFICATION AND INSURANCE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10.1 </w:t>
      </w:r>
      <w:r>
        <w:rPr>
          <w:rFonts w:ascii="Times New Roman" w:hAnsi="Times New Roman"/>
          <w:b/>
          <w:color w:val="000000"/>
          <w:sz w:val="20"/>
          <w:u w:val="single"/>
        </w:rPr>
        <w:t>Indemnification and Waiver</w:t>
      </w:r>
      <w:r>
        <w:rPr>
          <w:rFonts w:ascii="Times New Roman" w:hAnsi="Times New Roman"/>
          <w:color w:val="000000"/>
          <w:sz w:val="20"/>
        </w:rPr>
        <w:t>. Tenant hereby assumes all risk of damage to property or injury to persons in, upon or about the Premises from any cause whatsoever and agrees that Landlord, its partners, subpartners and their respective officers, agents, servants, employees, and independent contractors (individually, a “</w:t>
      </w:r>
      <w:r>
        <w:rPr>
          <w:rFonts w:ascii="Times New Roman" w:hAnsi="Times New Roman"/>
          <w:b/>
          <w:color w:val="000000"/>
          <w:sz w:val="20"/>
        </w:rPr>
        <w:t>Landlord Party</w:t>
      </w:r>
      <w:r>
        <w:rPr>
          <w:rFonts w:ascii="Times New Roman" w:hAnsi="Times New Roman"/>
          <w:color w:val="000000"/>
          <w:sz w:val="20"/>
        </w:rPr>
        <w:t>” and collectively, “</w:t>
      </w:r>
      <w:r>
        <w:rPr>
          <w:rFonts w:ascii="Times New Roman" w:hAnsi="Times New Roman"/>
          <w:b/>
          <w:color w:val="000000"/>
          <w:sz w:val="20"/>
        </w:rPr>
        <w:t>Landlord Parties</w:t>
      </w:r>
      <w:r>
        <w:rPr>
          <w:rFonts w:ascii="Times New Roman" w:hAnsi="Times New Roman"/>
          <w:color w:val="000000"/>
          <w:sz w:val="20"/>
        </w:rPr>
        <w:t>”) shall not be liable for, and are hereby released from any responsibility for, any damage either to person or property or resulting from the loss of use thereof, which damage is sustained by Tenant or by other persons claiming through Tenant. Tenant shall indemnify, defend, protect, and hold harmless the Landlord Parties from and against any and all loss, cost, damage, expense and liability (including without limitation court costs and reasonable attorneys’ fees) (collectively, “</w:t>
      </w:r>
      <w:r>
        <w:rPr>
          <w:rFonts w:ascii="Times New Roman" w:hAnsi="Times New Roman"/>
          <w:b/>
          <w:color w:val="000000"/>
          <w:sz w:val="20"/>
        </w:rPr>
        <w:t>Losses</w:t>
      </w:r>
      <w:r>
        <w:rPr>
          <w:rFonts w:ascii="Times New Roman" w:hAnsi="Times New Roman"/>
          <w:color w:val="000000"/>
          <w:sz w:val="20"/>
        </w:rPr>
        <w:t>”)incurred in connection with or arising from: (a) any causes in, on or about the Premises; (b) the use or occupancy of the Premises by Tenant or any person claiming under Tenant; (c) any activity, work, or thing done, or permitted or suffered by Tenant in or about the Premises; (d) any acts, omission, or negligence of Tenant or any person claiming under Tenant, or the contractors, agents, employees, invitees, or visitors of Tenant or any such person, in, on or about the Project (collectively, “</w:t>
      </w:r>
      <w:r>
        <w:rPr>
          <w:rFonts w:ascii="Times New Roman" w:hAnsi="Times New Roman"/>
          <w:b/>
          <w:color w:val="000000"/>
          <w:sz w:val="20"/>
        </w:rPr>
        <w:t>Tenant Parties</w:t>
      </w:r>
      <w:r>
        <w:rPr>
          <w:rFonts w:ascii="Times New Roman" w:hAnsi="Times New Roman"/>
          <w:color w:val="000000"/>
          <w:sz w:val="20"/>
        </w:rPr>
        <w:t xml:space="preserve">”); (e) any breach, violation, or non-performance by Tenant or any person claiming under Tenant or the employees, agents, contractors, invitees, or visitors of Tenant or any such person of any term, covenant, or provision of this Lease or any law, ordinance, or governmental requirement of any kind; (f) any injury or damage to the person, property, or business of Tenant, its employees, agents, contractors, invitees, visitors, or any other person entering upon the Premises under the express or implied invitation of Tenant; (g) the placement of any Tenant’s Property or Tenant’s Off-Premises Equipment; or (h) the use of the Roof Decks (as defined in </w:t>
      </w:r>
      <w:r>
        <w:rPr>
          <w:rFonts w:ascii="Times New Roman" w:hAnsi="Times New Roman"/>
          <w:color w:val="000000"/>
          <w:sz w:val="20"/>
          <w:u w:val="single"/>
        </w:rPr>
        <w:t>Section 29.46</w:t>
      </w:r>
      <w:r>
        <w:rPr>
          <w:rFonts w:ascii="Times New Roman" w:hAnsi="Times New Roman"/>
          <w:color w:val="000000"/>
          <w:sz w:val="20"/>
        </w:rPr>
        <w:t xml:space="preserve">) by Tenant or any Tenant Parties.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appraisers’, accountants’ and attorneys’ fees. Further, Tenant’s agreement to indemnify Landlord pursuant to this </w:t>
      </w:r>
      <w:r>
        <w:rPr>
          <w:rFonts w:ascii="Times New Roman" w:hAnsi="Times New Roman"/>
          <w:color w:val="000000"/>
          <w:sz w:val="20"/>
          <w:u w:val="single"/>
        </w:rPr>
        <w:t>Section 10.1</w:t>
      </w:r>
      <w:r>
        <w:rPr>
          <w:rFonts w:ascii="Times New Roman" w:hAnsi="Times New Roman"/>
          <w:color w:val="000000"/>
          <w:sz w:val="20"/>
        </w:rPr>
        <w:t xml:space="preserve"> is not intended and shall not relieve any insurance carrier of its obligations under policies required to be carried by Tenant pursuant to the provisions of this Lease, to the extent such policies cover the matters subject to Tenant’s indemnification obligations; nor shall they supersede any inconsistent agreement of the parties set forth in any other provision of this Lease. The provisions of this </w:t>
      </w:r>
      <w:r>
        <w:rPr>
          <w:rFonts w:ascii="Times New Roman" w:hAnsi="Times New Roman"/>
          <w:color w:val="000000"/>
          <w:sz w:val="20"/>
          <w:u w:val="single"/>
        </w:rPr>
        <w:t>Section 10.1</w:t>
      </w:r>
      <w:r>
        <w:rPr>
          <w:rFonts w:ascii="Times New Roman" w:hAnsi="Times New Roman"/>
          <w:color w:val="000000"/>
          <w:sz w:val="20"/>
        </w:rPr>
        <w:t xml:space="preserve"> shall survive the expiration or sooner termination of this Lease with respect to any Losses arising in connection with any event occurring prior to such expiration or termination.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10.2 </w:t>
      </w:r>
      <w:r>
        <w:rPr>
          <w:rFonts w:ascii="Times New Roman" w:hAnsi="Times New Roman"/>
          <w:b/>
          <w:color w:val="000000"/>
          <w:sz w:val="20"/>
          <w:u w:val="single"/>
        </w:rPr>
        <w:t>Landlord’s Insurance</w:t>
      </w:r>
      <w:r>
        <w:rPr>
          <w:rFonts w:ascii="Times New Roman" w:hAnsi="Times New Roman"/>
          <w:color w:val="000000"/>
          <w:sz w:val="20"/>
        </w:rPr>
        <w:t>. Landlord shall maintain insurance against loss or damage with respect to the portions of the Project constituting Landlord’s Repair Obligations (collectively, “</w:t>
      </w:r>
      <w:r>
        <w:rPr>
          <w:rFonts w:ascii="Times New Roman" w:hAnsi="Times New Roman"/>
          <w:b/>
          <w:color w:val="000000"/>
          <w:sz w:val="20"/>
        </w:rPr>
        <w:t>Landlord’s Insured Property</w:t>
      </w:r>
      <w:r>
        <w:rPr>
          <w:rFonts w:ascii="Times New Roman" w:hAnsi="Times New Roman"/>
          <w:color w:val="000000"/>
          <w:sz w:val="20"/>
        </w:rPr>
        <w:t xml:space="preserve">”) on a Special Form or equivalent type insurance form, with customary exceptions, subject to such deductibles and self-insured retentions as Landlord may determine, in an amount equal to at least the replacement value of Landlord’s Insured Property. Such insurance shall be maintained with an insurance company selected by Landlord. Payment for Losses thereunder shall be made solely to Landlord. Landlord may maintain such additional insurance with respect to the Project, including, without limitation, earthquake insurance, terrorism insurance, flood insurance, liability insurance and/or rent insurance, as Landlord may in its sole discretion elect. Landlord may also maintain such other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-27-</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3"/>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insurance as may from time to time be required by a Mortgagee (as defined in </w:t>
      </w:r>
      <w:r>
        <w:rPr>
          <w:rFonts w:ascii="Times New Roman" w:hAnsi="Times New Roman"/>
          <w:color w:val="000000"/>
          <w:sz w:val="20"/>
          <w:u w:val="single"/>
        </w:rPr>
        <w:t>Article 18</w:t>
      </w:r>
      <w:r>
        <w:rPr>
          <w:rFonts w:ascii="Times New Roman" w:hAnsi="Times New Roman"/>
          <w:color w:val="000000"/>
          <w:sz w:val="20"/>
        </w:rPr>
        <w:t xml:space="preserve"> below). Any or all of Landlord’s insurance may be provided by blanket coverage maintained by Landlord or any affiliate of Landlord under its insurance program for its portfolio of properties, or by Landlord or any affiliate of Landlord under a program of self-insurance. Tenant shall, at Tenant’s expense, comply with Landlord’s insurance company requirements pertaining to the use of the Premises, to the extent that Tenant has been notified in writing of such requirements. If Tenant’s conduct or use (other than Building standard general office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10.3 </w:t>
      </w:r>
      <w:r>
        <w:rPr>
          <w:rFonts w:ascii="Times New Roman" w:hAnsi="Times New Roman"/>
          <w:b/>
          <w:color w:val="000000"/>
          <w:sz w:val="20"/>
          <w:u w:val="single"/>
        </w:rPr>
        <w:t>Tenant’s Insurance</w:t>
      </w:r>
      <w:r>
        <w:rPr>
          <w:rFonts w:ascii="Times New Roman" w:hAnsi="Times New Roman"/>
          <w:color w:val="000000"/>
          <w:sz w:val="20"/>
        </w:rPr>
        <w:t xml:space="preserve">. Throughout the Lease Term, Tenant shall maintain the following coverages in the following amounts. The required evidence of coverage must be delivered to Landlord on or before the date required under </w:t>
      </w:r>
      <w:r>
        <w:rPr>
          <w:rFonts w:ascii="Times New Roman" w:hAnsi="Times New Roman"/>
          <w:color w:val="000000"/>
          <w:sz w:val="20"/>
          <w:u w:val="single"/>
        </w:rPr>
        <w:t>Section 10.4(I) sub-sections (x)</w:t>
      </w:r>
      <w:r>
        <w:rPr>
          <w:rFonts w:ascii="Times New Roman" w:hAnsi="Times New Roman"/>
          <w:color w:val="000000"/>
          <w:sz w:val="20"/>
        </w:rPr>
        <w:t xml:space="preserve"> and </w:t>
      </w:r>
      <w:r>
        <w:rPr>
          <w:rFonts w:ascii="Times New Roman" w:hAnsi="Times New Roman"/>
          <w:color w:val="000000"/>
          <w:sz w:val="20"/>
          <w:u w:val="single"/>
        </w:rPr>
        <w:t>(y)</w:t>
      </w:r>
      <w:r>
        <w:rPr>
          <w:rFonts w:ascii="Times New Roman" w:hAnsi="Times New Roman"/>
          <w:color w:val="000000"/>
          <w:sz w:val="20"/>
        </w:rPr>
        <w:t xml:space="preserve">, or </w:t>
      </w:r>
      <w:r>
        <w:rPr>
          <w:rFonts w:ascii="Times New Roman" w:hAnsi="Times New Roman"/>
          <w:color w:val="000000"/>
          <w:sz w:val="20"/>
          <w:u w:val="single"/>
        </w:rPr>
        <w:t>Section 10.4(II)</w:t>
      </w:r>
      <w:r>
        <w:rPr>
          <w:rFonts w:ascii="Times New Roman" w:hAnsi="Times New Roman"/>
          <w:color w:val="000000"/>
          <w:sz w:val="20"/>
        </w:rPr>
        <w:t xml:space="preserve"> below (as applicable). Such policies shall be for a term of at least one (1) year, or the length of the remaining term of this Lease, whichever is less.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10.3.1 Commercial General Liability Insurance, including Broad Form contractual liability covering the insured against claims of bodily injury, personal injury and property damage (including loss of use thereof) based upon or arising out of Tenant’s operations, occupancy or maintenance of the Project and all areas appurtenant thereto. Such insurance shall be written on an “occurrence” basis. Landlord and any other party the Landlord so specifies in writing to Tenant that has a material financial interest in the Project, including Landlord’s managing agent, ground lessor and/or lender, if any, shall be named as additional insureds as their interests may appear using Insurance Service Organization’s form CG2011 or a comparable form approved by Landlord. Tenant shall provide an endorsement or policy excerpt showing that Tenant’s coverage is primary and any insurance carried by Landlord shall be excess and non-contributing. The coverage shall also be extended to include damage caused by heat, smoke or fumes from a hostile fire. The policy shall not contain any intra-insured exclusions as between insured persons or organizations. This policy shall include coverage for all Losses assumed under this Lease as an insured contract for the performance of all of Tenant’s indemnity obligations under this Lease. The limits of said insurance shall not, however, limit the liability of Tenant nor relieve Tenant of any obligation hereunder. Limits of liability insurance shall not be less than the following; provided, however, such limits may be achieved through the use of an Umbrella/Excess Policy:</w:t>
      </w:r>
    </w:p>
    <w:p>
      <w:pPr>
        <w:pStyle w:val="TextBody"/>
        <w:bidi w:val="0"/>
        <w:jc w:val="left"/>
        <w:rPr/>
      </w:pPr>
      <w:r>
        <w:rPr/>
        <w:t> </w:t>
      </w:r>
    </w:p>
    <w:tbl>
      <w:tblPr>
        <w:tblW w:w="7727" w:type="dxa"/>
        <w:jc w:val="left"/>
        <w:tblInd w:w="0" w:type="dxa"/>
        <w:tblLayout w:type="fixed"/>
        <w:tblCellMar>
          <w:top w:w="28" w:type="dxa"/>
          <w:left w:w="28" w:type="dxa"/>
          <w:bottom w:w="28" w:type="dxa"/>
          <w:right w:w="28" w:type="dxa"/>
        </w:tblCellMar>
      </w:tblPr>
      <w:tblGrid>
        <w:gridCol w:w="5041"/>
        <w:gridCol w:w="2686"/>
      </w:tblGrid>
      <w:tr>
        <w:trPr/>
        <w:tc>
          <w:tcPr>
            <w:tcW w:w="5041"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Bodily Injury and Property Damage Liability</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$5,000,000.00 each occurrence</w:t>
            </w:r>
          </w:p>
        </w:tc>
      </w:tr>
      <w:tr>
        <w:trPr/>
        <w:tc>
          <w:tcPr>
            <w:tcW w:w="50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Personal Injury and Advertising Liability</w:t>
            </w:r>
          </w:p>
        </w:tc>
        <w:tc>
          <w:tcPr>
            <w:tcW w:w="26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$5,000,000.00 each occurrence</w:t>
            </w:r>
          </w:p>
        </w:tc>
      </w:tr>
      <w:tr>
        <w:trPr/>
        <w:tc>
          <w:tcPr>
            <w:tcW w:w="50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Tenant Legal Liability/Damage to Rented Premises Liability</w:t>
            </w:r>
          </w:p>
        </w:tc>
        <w:tc>
          <w:tcPr>
            <w:tcW w:w="26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$5,000,000.00</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10.3.2 Property Insurance covering (i) Tenant’s Property and Tenant’s Off- Premises Equipment, (ii) any improvements which exist in the Premises as of the Lease Commencement Date (excluding the Base Building and Landlord’s Insured Property) (the “</w:t>
      </w:r>
      <w:r>
        <w:rPr>
          <w:rFonts w:ascii="Times New Roman" w:hAnsi="Times New Roman"/>
          <w:b/>
          <w:color w:val="000000"/>
          <w:sz w:val="20"/>
        </w:rPr>
        <w:t>Original Improvements</w:t>
      </w:r>
      <w:r>
        <w:rPr>
          <w:rFonts w:ascii="Times New Roman" w:hAnsi="Times New Roman"/>
          <w:color w:val="000000"/>
          <w:sz w:val="20"/>
        </w:rPr>
        <w:t>”), and (iii) all Alterations performed in the Premises (items (i), (ii) and (iii) are collectively, “</w:t>
      </w:r>
      <w:r>
        <w:rPr>
          <w:rFonts w:ascii="Times New Roman" w:hAnsi="Times New Roman"/>
          <w:b/>
          <w:color w:val="000000"/>
          <w:sz w:val="20"/>
        </w:rPr>
        <w:t>Tenant’s Insured Property</w:t>
      </w:r>
      <w:r>
        <w:rPr>
          <w:rFonts w:ascii="Times New Roman" w:hAnsi="Times New Roman"/>
          <w:color w:val="000000"/>
          <w:sz w:val="20"/>
        </w:rPr>
        <w:t>”). Such insurance shall be written on a Special Form basis, for the full replacement cost value (subject to reasonable deductible amounts), without deduction for depreciation of the covered items and in amounts that meet any co-insurance clauses of the policies of insurance and shall include coverage for (a) all perils included in the CP 10 30 04 02 Coverage Special Form, and (b) water damage from any cause whatsoever, including, but not limited to, sprinkler leakage, bursting, leaking or stoppage of any pipes, explosion, and backup or overflow from sewers or drains. Tenant shall use the proceeds from any such insurance for the replacement of Tenant’s Insured Property.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10.3.2.1 </w:t>
      </w:r>
      <w:r>
        <w:rPr>
          <w:rFonts w:ascii="Times New Roman" w:hAnsi="Times New Roman"/>
          <w:b/>
          <w:color w:val="000000"/>
          <w:sz w:val="20"/>
          <w:u w:val="single"/>
        </w:rPr>
        <w:t>Increase in Project’s Property Insurance</w:t>
      </w:r>
      <w:r>
        <w:rPr>
          <w:rFonts w:ascii="Times New Roman" w:hAnsi="Times New Roman"/>
          <w:color w:val="000000"/>
          <w:sz w:val="20"/>
        </w:rPr>
        <w:t xml:space="preserve">. Tenant shall pay for any increase in the premiums for the property insurance of the Project if said increase is caused by Tenant’s acts, omissions, use or occupancy of the Premises; provided that Landlord shall have delivered to Tenant reasonable supporting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-28-</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4"/>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documentation evidencing that such increased premium results from such acts, omissions, use or occupancy of the Premises by Tenant.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10.3.2.2 </w:t>
      </w:r>
      <w:r>
        <w:rPr>
          <w:rFonts w:ascii="Times New Roman" w:hAnsi="Times New Roman"/>
          <w:b/>
          <w:color w:val="000000"/>
          <w:sz w:val="20"/>
          <w:u w:val="single"/>
        </w:rPr>
        <w:t>Property Damage</w:t>
      </w:r>
      <w:r>
        <w:rPr>
          <w:rFonts w:ascii="Times New Roman" w:hAnsi="Times New Roman"/>
          <w:color w:val="000000"/>
          <w:sz w:val="20"/>
        </w:rPr>
        <w:t>. Tenant shall use the proceeds from any such insurance for the replacement of personal property, trade fixtures, Original Improvements and Alterations.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10.3.2.3 </w:t>
      </w:r>
      <w:r>
        <w:rPr>
          <w:rFonts w:ascii="Times New Roman" w:hAnsi="Times New Roman"/>
          <w:b/>
          <w:color w:val="000000"/>
          <w:sz w:val="20"/>
          <w:u w:val="single"/>
        </w:rPr>
        <w:t>No Representation of Adequate Coverage</w:t>
      </w:r>
      <w:r>
        <w:rPr>
          <w:rFonts w:ascii="Times New Roman" w:hAnsi="Times New Roman"/>
          <w:color w:val="000000"/>
          <w:sz w:val="20"/>
        </w:rPr>
        <w:t>. Landlord makes no representation that the limits or forms of coverage of insurance specified herein are adequate to cover Tenant’s property, business operations or obligations under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10.3.2.4 </w:t>
      </w:r>
      <w:r>
        <w:rPr>
          <w:rFonts w:ascii="Times New Roman" w:hAnsi="Times New Roman"/>
          <w:b/>
          <w:color w:val="000000"/>
          <w:sz w:val="20"/>
          <w:u w:val="single"/>
        </w:rPr>
        <w:t>Property Insurance Subrogation</w:t>
      </w:r>
      <w:r>
        <w:rPr>
          <w:rFonts w:ascii="Times New Roman" w:hAnsi="Times New Roman"/>
          <w:color w:val="000000"/>
          <w:sz w:val="20"/>
        </w:rPr>
        <w:t xml:space="preserve">. Landlord and Tenant intend that their respective property loss risks shall be borne by insurance carriers to the extent above provided (and, in the case of Tenant, by an insurance carrier satisfying the requirements of </w:t>
      </w:r>
      <w:r>
        <w:rPr>
          <w:rFonts w:ascii="Times New Roman" w:hAnsi="Times New Roman"/>
          <w:color w:val="000000"/>
          <w:sz w:val="20"/>
          <w:u w:val="single"/>
        </w:rPr>
        <w:t>Section 10.4(i)</w:t>
      </w:r>
      <w:r>
        <w:rPr>
          <w:rFonts w:ascii="Times New Roman" w:hAnsi="Times New Roman"/>
          <w:color w:val="000000"/>
          <w:sz w:val="20"/>
        </w:rPr>
        <w:t xml:space="preserve"> below),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Landlord and Tenant hereby represent and warrant that their respective “all risk” property insurance policies include a waiver of (i) subrogation by the insurers, and (ii) all rights based upon an assignment from its insured, against Landlord and/or any of the Landlord Parties or Tenant and/or any of the Tenant Parties (as the case may be) in connection with any property loss risk thereby insured against. Tenant will cause all subtenants and licensees of the Premises claiming by, under, or through Tenant to execute and deliver to Landlord a waiver of claims similar to the waiver in this </w:t>
      </w:r>
      <w:r>
        <w:rPr>
          <w:rFonts w:ascii="Times New Roman" w:hAnsi="Times New Roman"/>
          <w:color w:val="000000"/>
          <w:sz w:val="20"/>
          <w:u w:val="single"/>
        </w:rPr>
        <w:t>Section 10.3.2.4</w:t>
      </w:r>
      <w:r>
        <w:rPr>
          <w:rFonts w:ascii="Times New Roman" w:hAnsi="Times New Roman"/>
          <w:color w:val="000000"/>
          <w:sz w:val="20"/>
        </w:rPr>
        <w:t xml:space="preserve"> and to obtain such waiver of subrogation rights endorsements. If either party hereto fails to maintain the waivers set forth in items (i) and (ii) above, the party not maintaining the requisite waivers shall indemnify, defend, protect, and hold harmless the other party for, from and against any and all Losses arising out of, resulting from, or relating to, such failure.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10.3.3 Business Income Interruption for six (6) months plus Extra Expense insurance in such amounts as will reimburse Tenant for actual direct or indirect loss of earnings attributable to the risks outlined in </w:t>
      </w:r>
      <w:r>
        <w:rPr>
          <w:rFonts w:ascii="Times New Roman" w:hAnsi="Times New Roman"/>
          <w:color w:val="000000"/>
          <w:sz w:val="20"/>
          <w:u w:val="single"/>
        </w:rPr>
        <w:t>Section 10.3.2</w:t>
      </w:r>
      <w:r>
        <w:rPr>
          <w:rFonts w:ascii="Times New Roman" w:hAnsi="Times New Roman"/>
          <w:color w:val="000000"/>
          <w:sz w:val="20"/>
        </w:rPr>
        <w:t xml:space="preserve">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10.3.4 Worker’s Compensation or other similar insurance pursuant to all applicable state and local statutes and regulations, and Employer’s Liability with minimum limits of not less than $1,000,000 each accident/employee/disease.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10.3.5 Commercial Automobile Liability Insurance covering all Owned (if any), Hired, or Non-owned vehicles with limits not less than $1,000,000 combined single limit for bodily injury and property damage.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10.4 </w:t>
      </w:r>
      <w:r>
        <w:rPr>
          <w:rFonts w:ascii="Times New Roman" w:hAnsi="Times New Roman"/>
          <w:b/>
          <w:color w:val="000000"/>
          <w:sz w:val="20"/>
          <w:u w:val="single"/>
        </w:rPr>
        <w:t>Form of Policies</w:t>
      </w:r>
      <w:r>
        <w:rPr>
          <w:rFonts w:ascii="Times New Roman" w:hAnsi="Times New Roman"/>
          <w:color w:val="000000"/>
          <w:sz w:val="20"/>
        </w:rPr>
        <w:t xml:space="preserve">. The minimum limits of policies of insurance required of Tenant under this Lease shall in no event limit the liability of Tenant under this Lease. Such insurance shall (i) be issued by an insurance company having an AM Best rating of not less than A-VIII (or to the extent AM Best ratings are no longer available, then a similar rating from another comparable rating agency), or which is otherwise acceptable to Landlord and licensed to do business in the State of California, (ii) be in form and content reasonably acceptable to Landlord and complying with the requirements of </w:t>
      </w:r>
      <w:r>
        <w:rPr>
          <w:rFonts w:ascii="Times New Roman" w:hAnsi="Times New Roman"/>
          <w:color w:val="000000"/>
          <w:sz w:val="20"/>
          <w:u w:val="single"/>
        </w:rPr>
        <w:t>Section 10.3</w:t>
      </w:r>
      <w:r>
        <w:rPr>
          <w:rFonts w:ascii="Times New Roman" w:hAnsi="Times New Roman"/>
          <w:color w:val="000000"/>
          <w:sz w:val="20"/>
        </w:rPr>
        <w:t xml:space="preserve"> (including, </w:t>
      </w:r>
      <w:r>
        <w:rPr>
          <w:rFonts w:ascii="Times New Roman" w:hAnsi="Times New Roman"/>
          <w:color w:val="000000"/>
          <w:sz w:val="20"/>
          <w:u w:val="single"/>
        </w:rPr>
        <w:t>Sections 10.3.1</w:t>
      </w:r>
      <w:r>
        <w:rPr>
          <w:rFonts w:ascii="Times New Roman" w:hAnsi="Times New Roman"/>
          <w:color w:val="000000"/>
          <w:sz w:val="20"/>
        </w:rPr>
        <w:t xml:space="preserve"> through </w:t>
      </w:r>
      <w:r>
        <w:rPr>
          <w:rFonts w:ascii="Times New Roman" w:hAnsi="Times New Roman"/>
          <w:color w:val="000000"/>
          <w:sz w:val="20"/>
          <w:u w:val="single"/>
        </w:rPr>
        <w:t>10.3.5</w:t>
      </w:r>
      <w:r>
        <w:rPr>
          <w:rFonts w:ascii="Times New Roman" w:hAnsi="Times New Roman"/>
          <w:color w:val="000000"/>
          <w:sz w:val="20"/>
        </w:rPr>
        <w:t xml:space="preserve">), (iii) Tenant shall not do or permit to be done anything which invalidates the required insurance policies, and (iv) provide that said insurance shall not be canceled or coverage changed unless thirty (30) days’ prior written notice shall have been given to Landlord and any mortgagee of Landlord, the identity of whom has been provided to Tenant in writing. To the extent not already provided under the Existing Sublease, Tenant shall deliver certificates of said policies and applicable endorsements which meet the requirements of this </w:t>
      </w:r>
      <w:r>
        <w:rPr>
          <w:rFonts w:ascii="Times New Roman" w:hAnsi="Times New Roman"/>
          <w:color w:val="000000"/>
          <w:sz w:val="20"/>
          <w:u w:val="single"/>
        </w:rPr>
        <w:t>Article 10</w:t>
      </w:r>
      <w:r>
        <w:rPr>
          <w:rFonts w:ascii="Times New Roman" w:hAnsi="Times New Roman"/>
          <w:color w:val="000000"/>
          <w:sz w:val="20"/>
        </w:rPr>
        <w:t xml:space="preserve"> to Landlord on or before (I) the earlier to occur of: (x) the Lease Commencement Date, and (y) the date Tenant and/or its employees, contractors and/or agents first enter the Premises for occupancy, construction of improvements, alterations, or any other move-in activities, and (II) five (5) business days after the renewal of such policies. In the event Tenant shall fail to procure such insurance, or to deliver such policies or certificates and applicable endorsements, Landlord may, at its option, after written notice to Tenant and Tenant’s failure to obtain such insurance within five (5) days thereafter, procure such policies for the account of Tenant and the sole benefit of Landlord, and the cost thereof shall be paid to Landlord after delivery to Tenant of bills therefor.</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-29-</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5"/>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10.5 </w:t>
      </w:r>
      <w:r>
        <w:rPr>
          <w:rFonts w:ascii="Times New Roman" w:hAnsi="Times New Roman"/>
          <w:b/>
          <w:color w:val="000000"/>
          <w:sz w:val="20"/>
          <w:u w:val="single"/>
        </w:rPr>
        <w:t>Additional Insurance Obligations</w:t>
      </w:r>
      <w:r>
        <w:rPr>
          <w:rFonts w:ascii="Times New Roman" w:hAnsi="Times New Roman"/>
          <w:color w:val="000000"/>
          <w:sz w:val="20"/>
        </w:rPr>
        <w:t xml:space="preserve">. Tenant shall carry and maintain during the entire Lease Term, at Tenant’s sole cost and expense, increased amounts of the insurance required to be carried by Tenant pursuant to this </w:t>
      </w:r>
      <w:r>
        <w:rPr>
          <w:rFonts w:ascii="Times New Roman" w:hAnsi="Times New Roman"/>
          <w:color w:val="000000"/>
          <w:sz w:val="20"/>
          <w:u w:val="single"/>
        </w:rPr>
        <w:t>Article 10</w:t>
      </w:r>
      <w:r>
        <w:rPr>
          <w:rFonts w:ascii="Times New Roman" w:hAnsi="Times New Roman"/>
          <w:color w:val="000000"/>
          <w:sz w:val="20"/>
        </w:rPr>
        <w:t xml:space="preserve"> and such other reasonable types of insurance coverage and in such reasonable amounts covering the Premises and Tenant’s operations therein, as may be reasonably requested by Landlord, but only to the extent that either (a) tenants occupying space that is comparable in size and quality to the Premises in Comparable Buildings are being required by their respective landlords to carry such increased amounts of insurance or other types of insurance coverage, or (b) such increased amounts of insurance or other types of insurance coverage are required by Landlord’s mortgagee.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10.6 </w:t>
      </w:r>
      <w:r>
        <w:rPr>
          <w:rFonts w:ascii="Times New Roman" w:hAnsi="Times New Roman"/>
          <w:b/>
          <w:color w:val="000000"/>
          <w:sz w:val="20"/>
          <w:u w:val="single"/>
        </w:rPr>
        <w:t>Third-Party Contractors</w:t>
      </w:r>
      <w:r>
        <w:rPr>
          <w:rFonts w:ascii="Times New Roman" w:hAnsi="Times New Roman"/>
          <w:color w:val="000000"/>
          <w:sz w:val="20"/>
        </w:rPr>
        <w:t>. Tenant shall obtain and deliver to Landlord, Third Party Contractor’s certificates of insurance and applicable endorsements at least seven (7) business days prior to the commencement of work in or about the Premises by any vendor or any other third-party contractor who enter the Premises or Project to carry out work and/or perform services therein (including without limitation contractors performing any Alterations, and vendors delivering products or supplies to the Premises) (collectively, a “</w:t>
      </w:r>
      <w:r>
        <w:rPr>
          <w:rFonts w:ascii="Times New Roman" w:hAnsi="Times New Roman"/>
          <w:b/>
          <w:color w:val="000000"/>
          <w:sz w:val="20"/>
        </w:rPr>
        <w:t>Third Party Contractor</w:t>
      </w:r>
      <w:r>
        <w:rPr>
          <w:rFonts w:ascii="Times New Roman" w:hAnsi="Times New Roman"/>
          <w:color w:val="000000"/>
          <w:sz w:val="20"/>
        </w:rPr>
        <w:t xml:space="preserve">”). All such insurance shall (a) name Landlord as an additional insured under such party’s liability policies as required by </w:t>
      </w:r>
      <w:r>
        <w:rPr>
          <w:rFonts w:ascii="Times New Roman" w:hAnsi="Times New Roman"/>
          <w:color w:val="000000"/>
          <w:sz w:val="20"/>
          <w:u w:val="single"/>
        </w:rPr>
        <w:t>Section 10.3.1</w:t>
      </w:r>
      <w:r>
        <w:rPr>
          <w:rFonts w:ascii="Times New Roman" w:hAnsi="Times New Roman"/>
          <w:color w:val="000000"/>
          <w:sz w:val="20"/>
        </w:rPr>
        <w:t xml:space="preserve"> above and this </w:t>
      </w:r>
      <w:r>
        <w:rPr>
          <w:rFonts w:ascii="Times New Roman" w:hAnsi="Times New Roman"/>
          <w:color w:val="000000"/>
          <w:sz w:val="20"/>
          <w:u w:val="single"/>
        </w:rPr>
        <w:t>Section 10.6</w:t>
      </w:r>
      <w:r>
        <w:rPr>
          <w:rFonts w:ascii="Times New Roman" w:hAnsi="Times New Roman"/>
          <w:color w:val="000000"/>
          <w:sz w:val="20"/>
        </w:rPr>
        <w:t>, (b) provide a waiver of subrogation in favor of Landlord under such Third Party Contractor’s commercial general liability insurance, (c) be primary and any insurance carried by Landlord shall be excess and non- contributing, and (d) comply with Landlord’s minimum insurance requirements.</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DAMAGE AND DESTRUCTION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11.1 </w:t>
      </w:r>
      <w:r>
        <w:rPr>
          <w:rFonts w:ascii="Times New Roman" w:hAnsi="Times New Roman"/>
          <w:b/>
          <w:color w:val="000000"/>
          <w:sz w:val="20"/>
          <w:u w:val="single"/>
        </w:rPr>
        <w:t>Repair of Damage from Casualty</w:t>
      </w:r>
      <w:r>
        <w:rPr>
          <w:rFonts w:ascii="Times New Roman" w:hAnsi="Times New Roman"/>
          <w:color w:val="000000"/>
          <w:sz w:val="20"/>
        </w:rPr>
        <w:t>. If the Project (or any portion thereof) shall be damaged by a fire or any other casualty (collectively, a “</w:t>
      </w:r>
      <w:r>
        <w:rPr>
          <w:rFonts w:ascii="Times New Roman" w:hAnsi="Times New Roman"/>
          <w:b/>
          <w:color w:val="000000"/>
          <w:sz w:val="20"/>
        </w:rPr>
        <w:t>Casualty</w:t>
      </w:r>
      <w:r>
        <w:rPr>
          <w:rFonts w:ascii="Times New Roman" w:hAnsi="Times New Roman"/>
          <w:color w:val="000000"/>
          <w:sz w:val="20"/>
        </w:rPr>
        <w:t xml:space="preserve">”), (i) Landlord shall promptly and diligently restore Landlord’s Insured Property to substantially the same condition as existing prior to the Casualty, except for modifications required by Applicable Laws or the Underlying Documents, or any other modifications deemed desirable by Landlord, and (ii) except as set forth below, Tenant shall promptly and diligently restore Tenant’s Insured Property to substantially the same condition as existing prior to the Casualty, except for modifications required by Applicable Laws or the Underlying Documents, or any other modifications deemed desirable by Tenant and approved by Landlord pursuant to </w:t>
      </w:r>
      <w:r>
        <w:rPr>
          <w:rFonts w:ascii="Times New Roman" w:hAnsi="Times New Roman"/>
          <w:color w:val="000000"/>
          <w:sz w:val="20"/>
          <w:u w:val="single"/>
        </w:rPr>
        <w:t>Article 8</w:t>
      </w:r>
      <w:r>
        <w:rPr>
          <w:rFonts w:ascii="Times New Roman" w:hAnsi="Times New Roman"/>
          <w:color w:val="000000"/>
          <w:sz w:val="20"/>
        </w:rPr>
        <w:t>. Notwithstanding the foregoing, Landlord shall have the right, upon notice (the “</w:t>
      </w:r>
      <w:r>
        <w:rPr>
          <w:rFonts w:ascii="Times New Roman" w:hAnsi="Times New Roman"/>
          <w:b/>
          <w:color w:val="000000"/>
          <w:sz w:val="20"/>
        </w:rPr>
        <w:t>Landlord Repair Notice</w:t>
      </w:r>
      <w:r>
        <w:rPr>
          <w:rFonts w:ascii="Times New Roman" w:hAnsi="Times New Roman"/>
          <w:color w:val="000000"/>
          <w:sz w:val="20"/>
        </w:rPr>
        <w:t xml:space="preserve">”) to Tenant from Landlord within sixty (60) days following the date the Casualty becomes known to Landlord, to promptly and diligently restore the Original Improvements and Alterations, and, in such event Tenant shall assign to Landlord (or to any party designated by Landlord) all insurance proceeds payable to Tenant under Tenant’s insurance required under </w:t>
      </w:r>
      <w:r>
        <w:rPr>
          <w:rFonts w:ascii="Times New Roman" w:hAnsi="Times New Roman"/>
          <w:color w:val="000000"/>
          <w:sz w:val="20"/>
          <w:u w:val="single"/>
        </w:rPr>
        <w:t>Section 10.3</w:t>
      </w:r>
      <w:r>
        <w:rPr>
          <w:rFonts w:ascii="Times New Roman" w:hAnsi="Times New Roman"/>
          <w:color w:val="000000"/>
          <w:sz w:val="20"/>
        </w:rPr>
        <w:t xml:space="preserve"> of this Lease for the Original Improvements and Alterations; provided that if the cost of such repair by Landlord exceeds the amount of insurance proceeds received by Landlord from Tenant’s insurance carrier, as assigned by Tenant, the cost of such repairs shall be paid by Tenant to Landlord prior to Landlord’s commencement of repair of the damage. All work performed by Tenant pursuant to this </w:t>
      </w:r>
      <w:r>
        <w:rPr>
          <w:rFonts w:ascii="Times New Roman" w:hAnsi="Times New Roman"/>
          <w:color w:val="000000"/>
          <w:sz w:val="20"/>
          <w:u w:val="single"/>
        </w:rPr>
        <w:t>Section 11.1</w:t>
      </w:r>
      <w:r>
        <w:rPr>
          <w:rFonts w:ascii="Times New Roman" w:hAnsi="Times New Roman"/>
          <w:color w:val="000000"/>
          <w:sz w:val="20"/>
        </w:rPr>
        <w:t xml:space="preserve"> shall be performed in accordance with </w:t>
      </w:r>
      <w:r>
        <w:rPr>
          <w:rFonts w:ascii="Times New Roman" w:hAnsi="Times New Roman"/>
          <w:color w:val="000000"/>
          <w:sz w:val="20"/>
          <w:u w:val="single"/>
        </w:rPr>
        <w:t>Article 8</w:t>
      </w:r>
      <w:r>
        <w:rPr>
          <w:rFonts w:ascii="Times New Roman" w:hAnsi="Times New Roman"/>
          <w:color w:val="000000"/>
          <w:sz w:val="20"/>
        </w:rPr>
        <w:t xml:space="preserve"> of this Lease. At any time, from time to time, after the date occurring sixty (60) days after the date of the damage, Tenant may request that Landlord inform Tenant of Landlord’s reasonable opinion of the date of completion of the repairs and Landlord shall respond to such request within five (5) business days (“</w:t>
      </w:r>
      <w:r>
        <w:rPr>
          <w:rFonts w:ascii="Times New Roman" w:hAnsi="Times New Roman"/>
          <w:b/>
          <w:color w:val="000000"/>
          <w:sz w:val="20"/>
        </w:rPr>
        <w:t>Landlord’s Repair Estimate Notice</w:t>
      </w:r>
      <w:r>
        <w:rPr>
          <w:rFonts w:ascii="Times New Roman" w:hAnsi="Times New Roman"/>
          <w:color w:val="000000"/>
          <w:sz w:val="20"/>
        </w:rPr>
        <w:t xml:space="preserve">”). Notwithstanding any contrary provision of this </w:t>
      </w:r>
      <w:r>
        <w:rPr>
          <w:rFonts w:ascii="Times New Roman" w:hAnsi="Times New Roman"/>
          <w:color w:val="000000"/>
          <w:sz w:val="20"/>
          <w:u w:val="single"/>
        </w:rPr>
        <w:t>Article 11</w:t>
      </w:r>
      <w:r>
        <w:rPr>
          <w:rFonts w:ascii="Times New Roman" w:hAnsi="Times New Roman"/>
          <w:color w:val="000000"/>
          <w:sz w:val="20"/>
        </w:rPr>
        <w:t xml:space="preserve">, the parties hereby agree as follows: (a) the closure of the Project, the Building, the Common Areas, or any part thereof to protect public health shall not constitute a Casualty for purposes of this Lease, (b) Casualty covered by this </w:t>
      </w:r>
      <w:r>
        <w:rPr>
          <w:rFonts w:ascii="Times New Roman" w:hAnsi="Times New Roman"/>
          <w:color w:val="000000"/>
          <w:sz w:val="20"/>
          <w:u w:val="single"/>
        </w:rPr>
        <w:t>Article 11</w:t>
      </w:r>
      <w:r>
        <w:rPr>
          <w:rFonts w:ascii="Times New Roman" w:hAnsi="Times New Roman"/>
          <w:color w:val="000000"/>
          <w:sz w:val="20"/>
        </w:rPr>
        <w:t xml:space="preserve"> shall require that the physical or structural integrity of the Premises, the Project, the Building, or the Common Areas is degraded as a direct result of such occurrence, and (c) a Casualty under this </w:t>
      </w:r>
      <w:r>
        <w:rPr>
          <w:rFonts w:ascii="Times New Roman" w:hAnsi="Times New Roman"/>
          <w:color w:val="000000"/>
          <w:sz w:val="20"/>
          <w:u w:val="single"/>
        </w:rPr>
        <w:t>Article 11</w:t>
      </w:r>
      <w:r>
        <w:rPr>
          <w:rFonts w:ascii="Times New Roman" w:hAnsi="Times New Roman"/>
          <w:color w:val="000000"/>
          <w:sz w:val="20"/>
        </w:rPr>
        <w:t xml:space="preserve"> shall not be deemed to occur merely because Tenant is unable to productively use the Premises in the event that the physical and structural integrity of the Premises is undamaged.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11.2 </w:t>
      </w:r>
      <w:r>
        <w:rPr>
          <w:rFonts w:ascii="Times New Roman" w:hAnsi="Times New Roman"/>
          <w:b/>
          <w:color w:val="000000"/>
          <w:sz w:val="20"/>
          <w:u w:val="single"/>
        </w:rPr>
        <w:t>Casualty Rent Abatement</w:t>
      </w:r>
      <w:r>
        <w:rPr>
          <w:rFonts w:ascii="Times New Roman" w:hAnsi="Times New Roman"/>
          <w:color w:val="000000"/>
          <w:sz w:val="20"/>
        </w:rPr>
        <w:t>. If (i) the Premises or portions of the Common Area necessary for the conduct of Tenant’s business are damaged by Casualty, (ii) such Casualty causes all or a material portion of the Premises to be untenantable and unusable by Tenant and Tenant actually ceases to use all or such material portion of the Premises for more than five (5) business days, (iii) the Casualty is not the result of the willful misconduct and/or gross negligence of Tenant and/or other Tenant Parties, and (iv) no Event of Default then exists (items (i) through (iv) are, collectively, “</w:t>
      </w:r>
      <w:r>
        <w:rPr>
          <w:rFonts w:ascii="Times New Roman" w:hAnsi="Times New Roman"/>
          <w:b/>
          <w:color w:val="000000"/>
          <w:sz w:val="20"/>
        </w:rPr>
        <w:t>Casualty Conditions</w:t>
      </w:r>
      <w:r>
        <w:rPr>
          <w:rFonts w:ascii="Times New Roman" w:hAnsi="Times New Roman"/>
          <w:color w:val="000000"/>
          <w:sz w:val="20"/>
        </w:rPr>
        <w:t xml:space="preserve">”), Tenant may, upon written notice to Landlord, immediately abate Base Rent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-30-</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6"/>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Tenant’s Share of Direct Expenses payable under this Lease for that portion of the Premises rendered untenantable and not actually used by Tenant due to the Casualty, for the period beginning on the date of the Casualty through (a) if Landlord delivered the Landlord Repair Notice, the date Landlord substantially completes restoration of the Original Improvements and Alterations, such that the Premises are no longer untenantable (or such earlier date following the Casualty that Tenant conducts business from the Premises), or (b) if Landlord did not deliver the Landlord Repair Notice, the earlier of the date that Tenant substantially completes restoration of Tenant’s Insured Property (such that the Premises are no longer untenantable) and the date that Tenant would have substantially completed restoration of Tenant’s Insured Property if Tenant had used reasonable diligence (or such earlier date following the Casualty that Tenant conducts business from the Premises). Except for the foregoing Rent abatement, Landlord shall not be liable for any inconvenience or annoyance to Tenant or its visitors, or injury to Tenant’s business resulting in any way from a Casualty.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11.3 </w:t>
      </w:r>
      <w:r>
        <w:rPr>
          <w:rFonts w:ascii="Times New Roman" w:hAnsi="Times New Roman"/>
          <w:b/>
          <w:color w:val="000000"/>
          <w:sz w:val="20"/>
          <w:u w:val="single"/>
        </w:rPr>
        <w:t>Casualty Termination Rights</w:t>
      </w:r>
      <w:r>
        <w:rPr>
          <w:rFonts w:ascii="Times New Roman" w:hAnsi="Times New Roman"/>
          <w:b/>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11.3.1 </w:t>
      </w:r>
      <w:r>
        <w:rPr>
          <w:rFonts w:ascii="Times New Roman" w:hAnsi="Times New Roman"/>
          <w:b/>
          <w:color w:val="000000"/>
          <w:sz w:val="20"/>
          <w:u w:val="single"/>
        </w:rPr>
        <w:t>Landlord Termination Rights</w:t>
      </w:r>
      <w:r>
        <w:rPr>
          <w:rFonts w:ascii="Times New Roman" w:hAnsi="Times New Roman"/>
          <w:color w:val="000000"/>
          <w:sz w:val="20"/>
        </w:rPr>
        <w:t xml:space="preserve">. Notwithstanding the terms of </w:t>
      </w:r>
      <w:r>
        <w:rPr>
          <w:rFonts w:ascii="Times New Roman" w:hAnsi="Times New Roman"/>
          <w:color w:val="000000"/>
          <w:sz w:val="20"/>
          <w:u w:val="single"/>
        </w:rPr>
        <w:t>Section 11.1</w:t>
      </w:r>
      <w:r>
        <w:rPr>
          <w:rFonts w:ascii="Times New Roman" w:hAnsi="Times New Roman"/>
          <w:color w:val="000000"/>
          <w:sz w:val="20"/>
        </w:rPr>
        <w:t xml:space="preserve"> of this Lease, Landlord may elect not to rebuild and/or restore the Landlord’s Insured Property, and instead terminate this Lease, by notifying Tenant in writing of such termination within sixty (60) days after the date of discovery of the damage from Casualty, such notice to include a termination date giving Tenant ninety (90) days to vacate the Premises, if one or more of the following conditions is present: (i) in Landlord’s reasonable judgment, repairs cannot reasonably be completed within one hundred eighty (180) days after the date of discovery of the damage (when such repairs are made without the payment of overtime or other premiums); (ii) the Mortgagee shall require that the insurance proceeds or any portion thereof be used to retire or terminate the Mortgage; (iii) the damage is not fully covered by Landlord’s insurance policies; (iv) Landlord decides to rebuild the Building or Common Areas so that they will be substantially different structurally or architecturally; (v) the damage occurs during the last twelve (12) months of the Lease Term; or (vi) any owner of any other portion of the Project, other than Landlord, does not intend to repair the damage to such portion of the Project.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11.3.2 </w:t>
      </w:r>
      <w:r>
        <w:rPr>
          <w:rFonts w:ascii="Times New Roman" w:hAnsi="Times New Roman"/>
          <w:b/>
          <w:color w:val="000000"/>
          <w:sz w:val="20"/>
          <w:u w:val="single"/>
        </w:rPr>
        <w:t>Tenant Termination Rights</w:t>
      </w:r>
      <w:r>
        <w:rPr>
          <w:rFonts w:ascii="Times New Roman" w:hAnsi="Times New Roman"/>
          <w:color w:val="000000"/>
          <w:sz w:val="20"/>
        </w:rPr>
        <w:t xml:space="preserve">. If all of the Casualty Conditions are satisfied and either the repairs cannot, in the reasonable opinion of Landlord, be completed within one hundred eighty (180) days after being commenced or the damage occurs during the last twelve (12) months of the Lease Term,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In the event this Lease is terminated in accordance with the terms of this </w:t>
      </w:r>
      <w:r>
        <w:rPr>
          <w:rFonts w:ascii="Times New Roman" w:hAnsi="Times New Roman"/>
          <w:color w:val="000000"/>
          <w:sz w:val="20"/>
          <w:u w:val="single"/>
        </w:rPr>
        <w:t>Section 11.3</w:t>
      </w:r>
      <w:r>
        <w:rPr>
          <w:rFonts w:ascii="Times New Roman" w:hAnsi="Times New Roman"/>
          <w:color w:val="000000"/>
          <w:sz w:val="20"/>
        </w:rPr>
        <w:t xml:space="preserve">, Tenant shall assign to Landlord (or to any party designated by Landlord) all insurance proceeds payable to Tenant under Tenant’s insurance required under items (ii) and (iii) of </w:t>
      </w:r>
      <w:r>
        <w:rPr>
          <w:rFonts w:ascii="Times New Roman" w:hAnsi="Times New Roman"/>
          <w:color w:val="000000"/>
          <w:sz w:val="20"/>
          <w:u w:val="single"/>
        </w:rPr>
        <w:t>Section 10.3.2</w:t>
      </w:r>
      <w:r>
        <w:rPr>
          <w:rFonts w:ascii="Times New Roman" w:hAnsi="Times New Roman"/>
          <w:color w:val="000000"/>
          <w:sz w:val="20"/>
        </w:rPr>
        <w:t xml:space="preserve"> of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11.4 </w:t>
      </w:r>
      <w:r>
        <w:rPr>
          <w:rFonts w:ascii="Times New Roman" w:hAnsi="Times New Roman"/>
          <w:b/>
          <w:color w:val="000000"/>
          <w:sz w:val="20"/>
          <w:u w:val="single"/>
        </w:rPr>
        <w:t>Waiver of Statutory Provisions</w:t>
      </w:r>
      <w:r>
        <w:rPr>
          <w:rFonts w:ascii="Times New Roman" w:hAnsi="Times New Roman"/>
          <w:color w:val="000000"/>
          <w:sz w:val="20"/>
        </w:rPr>
        <w:t xml:space="preserve">. The provisions of this Lease, including this </w:t>
      </w:r>
      <w:r>
        <w:rPr>
          <w:rFonts w:ascii="Times New Roman" w:hAnsi="Times New Roman"/>
          <w:color w:val="000000"/>
          <w:sz w:val="20"/>
          <w:u w:val="single"/>
        </w:rPr>
        <w:t>Article 11</w:t>
      </w:r>
      <w:r>
        <w:rPr>
          <w:rFonts w:ascii="Times New Roman" w:hAnsi="Times New Roman"/>
          <w:color w:val="000000"/>
          <w:sz w:val="20"/>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NONWAIVER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-31-</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7"/>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13</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CONDEMNATION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If more than twenty-five percent (25%) of the rentable square feet of the Premises is taken, or if access to the Premises is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Times New Roman" w:hAnsi="Times New Roman"/>
          <w:color w:val="000000"/>
          <w:sz w:val="20"/>
          <w:u w:val="single"/>
        </w:rPr>
        <w:t>Article 13</w:t>
      </w:r>
      <w:r>
        <w:rPr>
          <w:rFonts w:ascii="Times New Roman" w:hAnsi="Times New Roman"/>
          <w:color w:val="000000"/>
          <w:sz w:val="20"/>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14</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ASSIGNMENT AND SUBLETTING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14.1 </w:t>
      </w:r>
      <w:r>
        <w:rPr>
          <w:rFonts w:ascii="Times New Roman" w:hAnsi="Times New Roman"/>
          <w:b/>
          <w:color w:val="000000"/>
          <w:sz w:val="20"/>
          <w:u w:val="single"/>
        </w:rPr>
        <w:t>Transfers</w:t>
      </w:r>
      <w:r>
        <w:rPr>
          <w:rFonts w:ascii="Times New Roman" w:hAnsi="Times New Roman"/>
          <w:color w:val="000000"/>
          <w:sz w:val="20"/>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Times New Roman" w:hAnsi="Times New Roman"/>
          <w:b/>
          <w:color w:val="000000"/>
          <w:sz w:val="20"/>
        </w:rPr>
        <w:t>Transfers</w:t>
      </w:r>
      <w:r>
        <w:rPr>
          <w:rFonts w:ascii="Times New Roman" w:hAnsi="Times New Roman"/>
          <w:color w:val="000000"/>
          <w:sz w:val="20"/>
        </w:rPr>
        <w:t>” and any person or entity to whom any Transfer is made or sought to be made is hereinafter sometimes referred to as a “</w:t>
      </w:r>
      <w:r>
        <w:rPr>
          <w:rFonts w:ascii="Times New Roman" w:hAnsi="Times New Roman"/>
          <w:b/>
          <w:color w:val="000000"/>
          <w:sz w:val="20"/>
        </w:rPr>
        <w:t>Transferee</w:t>
      </w:r>
      <w:r>
        <w:rPr>
          <w:rFonts w:ascii="Times New Roman" w:hAnsi="Times New Roman"/>
          <w:color w:val="000000"/>
          <w:sz w:val="20"/>
        </w:rPr>
        <w:t>”). If Tenant desires Landlord’s consent to any Transfer, Tenant shall notify Landlord in writing, which notice (the “</w:t>
      </w:r>
      <w:r>
        <w:rPr>
          <w:rFonts w:ascii="Times New Roman" w:hAnsi="Times New Roman"/>
          <w:b/>
          <w:color w:val="000000"/>
          <w:sz w:val="20"/>
        </w:rPr>
        <w:t>Transfer Notice</w:t>
      </w:r>
      <w:r>
        <w:rPr>
          <w:rFonts w:ascii="Times New Roman" w:hAnsi="Times New Roman"/>
          <w:color w:val="000000"/>
          <w:sz w:val="20"/>
        </w:rPr>
        <w:t>”) shall include (i) the proposed effective date of the Transfer, which shall not be less than twenty (20) days nor more than one hundred eighty (180) days after the date of delivery of the Transfer Notice, (ii) a description of the portion of the Premises to be transferred (the “</w:t>
      </w:r>
      <w:r>
        <w:rPr>
          <w:rFonts w:ascii="Times New Roman" w:hAnsi="Times New Roman"/>
          <w:b/>
          <w:color w:val="000000"/>
          <w:sz w:val="20"/>
        </w:rPr>
        <w:t>Subject Space</w:t>
      </w:r>
      <w:r>
        <w:rPr>
          <w:rFonts w:ascii="Times New Roman" w:hAnsi="Times New Roman"/>
          <w:color w:val="000000"/>
          <w:sz w:val="20"/>
        </w:rPr>
        <w:t xml:space="preserve">”), (iii) all of the terms of the proposed Transfer and the consideration therefor, including calculation of the “Transfer Premium”, as that term is defined in </w:t>
      </w:r>
      <w:r>
        <w:rPr>
          <w:rFonts w:ascii="Times New Roman" w:hAnsi="Times New Roman"/>
          <w:color w:val="000000"/>
          <w:sz w:val="20"/>
          <w:u w:val="single"/>
        </w:rPr>
        <w:t>Section 14.3</w:t>
      </w:r>
      <w:r>
        <w:rPr>
          <w:rFonts w:ascii="Times New Roman" w:hAnsi="Times New Roman"/>
          <w:color w:val="000000"/>
          <w:sz w:val="20"/>
        </w:rPr>
        <w:t xml:space="preserve"> below, in connection with such Transfer, the name and address of the proposed Transferee, and a copy of all existing executed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-32-</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8"/>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and/or proposed documentation pertaining to the proposed Transfer, including all existing operative documents to be executed to evidence such Transfer or the agreements incidental or related to such Transfer, provided that Landlord shall have the right to require Tenant to utilize Landlord’s standard Transfer documents in connection with the documentation of such Transfer, (iv) current financial statements of the proposed Transferee certified by an officer, partner or owner thereof, business credit and personal references and history of the proposed Transferee and any other information required by Landlord which will enable Landlord to determine the financial responsibility, character, and reputation of the proposed Transferee, nature of such Transferee’s business and proposed use of the Subject Space and (v) an executed estoppel certificate from Tenant in the form attached hereto as </w:t>
      </w:r>
      <w:r>
        <w:rPr>
          <w:rFonts w:ascii="Times New Roman" w:hAnsi="Times New Roman"/>
          <w:b/>
          <w:color w:val="000000"/>
          <w:sz w:val="20"/>
          <w:u w:val="single"/>
        </w:rPr>
        <w:t>Exhibit E</w:t>
      </w:r>
      <w:r>
        <w:rPr>
          <w:rFonts w:ascii="Times New Roman" w:hAnsi="Times New Roman"/>
          <w:color w:val="000000"/>
          <w:sz w:val="20"/>
        </w:rPr>
        <w:t>. Any Transfer made without Landlord’s prior written consent shall, at Landlord’s option, be null, void and of no effect, and shall, at Landlord’s option, constitute an Event of Default by Tenant under this Lease. Whether or not Landlord consents to any proposed Transfer, Tenant shall pay Landlord’s review and processing fees, as well as any reasonable actual professional fees (including, without limitation, attorneys’, accountants’, architects’, engineers’ and consultants’ fees) incurred by Landlord, within thirty (30) days after written request by Landlord; provided that such review and processing fees and attorneys’ fees and costs shall not exceed Two Thousand Five Hundred and No/100 Dollars ($2,500.00) in the aggregate for any one (1) particular Transfer in the ordinary course of business. Landlord and Tenant hereby agree that a proposed Transfer shall not be considered “in the ordinary course of business” if such particular proposed Transfer involves the review of documentation by Landlord on more than two (2) occasions.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14.2 </w:t>
      </w:r>
      <w:r>
        <w:rPr>
          <w:rFonts w:ascii="Times New Roman" w:hAnsi="Times New Roman"/>
          <w:b/>
          <w:color w:val="000000"/>
          <w:sz w:val="20"/>
          <w:u w:val="single"/>
        </w:rPr>
        <w:t>Landlord’s Consent</w:t>
      </w:r>
      <w:r>
        <w:rPr>
          <w:rFonts w:ascii="Times New Roman" w:hAnsi="Times New Roman"/>
          <w:color w:val="000000"/>
          <w:sz w:val="20"/>
        </w:rPr>
        <w:t>. Landlord shall not unreasonably withhold, condition or delay its consent to 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14.2.1 The Transferee is of a character or reputation or engaged in a business which is not consistent with the quality of the Building or the Project;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14.2.2 The Transferee intends to use the Subject Space for purposes which are not permitted under this 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14.2.3 The Transferee is either a governmental agency or instrumentality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14.2.4 The Transferee is not a party of reasonable financial worth and/or financial stability in light of the responsibilities to be undertaken in connection with the Transfer on the date consent is requested (taking into consideration that Tenant has a continuing liability to fulfill the obligations of the 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14.2.5 The proposed Transfer would cause a violation of another lease for space in the Project, or would give an occupant of the Project a right to cancel its 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14.2.6 The terms of the proposed Transfer will allow the Transferee to exercise a right of renewal, right of expansion, right of first offer, or other similar right held by Tenant (or will allow the Transferee to occupy any space at the Building pursuant to any such right that has not previously been exercised by Tenant);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14.2.7 Either the proposed Transferee, or any person or entity which directly or indirectly, controls, is controlled by, or is under common control with, the proposed Transferee,(i) occupies space in the Project at the time of the request for consent (provided that Landlord will not withhold its consent solely because the proposed Transferee is an occupant of the Project if Landlord does not have reasonably comparable space available for lease to such proposed Transferee in the Project within three (3) months of the anticipated commencement of the proposed Transfer), or (ii) is negotiating with Landlord to lease space in the Project at such time, or (iii) has negotiated with Landlord during the three (3)-month period immediately preceding the Transfer Notice;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14.2.8 The Transferee does not intend to occupy the entire Premises and conduct its business therefrom for a substantial portion of the term of the Transfer.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If Landlord consents to any Transfer pursuant to the terms of this </w:t>
      </w:r>
      <w:r>
        <w:rPr>
          <w:rFonts w:ascii="Times New Roman" w:hAnsi="Times New Roman"/>
          <w:color w:val="000000"/>
          <w:sz w:val="20"/>
          <w:u w:val="single"/>
        </w:rPr>
        <w:t>Section 14.2</w:t>
      </w:r>
      <w:r>
        <w:rPr>
          <w:rFonts w:ascii="Times New Roman" w:hAnsi="Times New Roman"/>
          <w:color w:val="000000"/>
          <w:sz w:val="20"/>
        </w:rPr>
        <w:t xml:space="preserve"> (and does not exercise any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-33-</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9"/>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recapture rights Landlord may have under </w:t>
      </w:r>
      <w:r>
        <w:rPr>
          <w:rFonts w:ascii="Times New Roman" w:hAnsi="Times New Roman"/>
          <w:color w:val="000000"/>
          <w:sz w:val="20"/>
          <w:u w:val="single"/>
        </w:rPr>
        <w:t>Section 14.4</w:t>
      </w:r>
      <w:r>
        <w:rPr>
          <w:rFonts w:ascii="Times New Roman" w:hAnsi="Times New Roman"/>
          <w:color w:val="000000"/>
          <w:sz w:val="20"/>
        </w:rPr>
        <w:t xml:space="preserve"> of this Lease), Tenant may within six (6) months after Landlord’s consent, but not later than the expiration of said six (6)-month period, enter into such Transfer of the Premises or portion thereof, upon substantially the same terms and conditions as are set forth in the Transfer Notice furnished by Tenant to Landlord pursuant to </w:t>
      </w:r>
      <w:r>
        <w:rPr>
          <w:rFonts w:ascii="Times New Roman" w:hAnsi="Times New Roman"/>
          <w:color w:val="000000"/>
          <w:sz w:val="20"/>
          <w:u w:val="single"/>
        </w:rPr>
        <w:t>Section 14.1</w:t>
      </w:r>
      <w:r>
        <w:rPr>
          <w:rFonts w:ascii="Times New Roman" w:hAnsi="Times New Roman"/>
          <w:color w:val="000000"/>
          <w:sz w:val="20"/>
        </w:rPr>
        <w:t xml:space="preserve"> of this Lease, provided that if there are any changes in the terms and conditions from those specified in the Transfer Notice (i) such that Landlord would initially have been entitled to refuse its consent to such Transfer under this </w:t>
      </w:r>
      <w:r>
        <w:rPr>
          <w:rFonts w:ascii="Times New Roman" w:hAnsi="Times New Roman"/>
          <w:color w:val="000000"/>
          <w:sz w:val="20"/>
          <w:u w:val="single"/>
        </w:rPr>
        <w:t>Section 14.2</w:t>
      </w:r>
      <w:r>
        <w:rPr>
          <w:rFonts w:ascii="Times New Roman" w:hAnsi="Times New Roman"/>
          <w:color w:val="000000"/>
          <w:sz w:val="20"/>
        </w:rPr>
        <w:t xml:space="preserve">, or (ii) which would cause the proposed Transfer to be more favorable to the Transferee than the terms set forth in Tenant’s original Transfer Notice, Tenant shall again submit the Transfer to Landlord for its approval and other action under this </w:t>
      </w:r>
      <w:r>
        <w:rPr>
          <w:rFonts w:ascii="Times New Roman" w:hAnsi="Times New Roman"/>
          <w:color w:val="000000"/>
          <w:sz w:val="20"/>
          <w:u w:val="single"/>
        </w:rPr>
        <w:t>Article 14</w:t>
      </w:r>
      <w:r>
        <w:rPr>
          <w:rFonts w:ascii="Times New Roman" w:hAnsi="Times New Roman"/>
          <w:color w:val="000000"/>
          <w:sz w:val="20"/>
        </w:rPr>
        <w:t xml:space="preserve"> (including Landlord’s right of recapture, if any, under </w:t>
      </w:r>
      <w:r>
        <w:rPr>
          <w:rFonts w:ascii="Times New Roman" w:hAnsi="Times New Roman"/>
          <w:color w:val="000000"/>
          <w:sz w:val="20"/>
          <w:u w:val="single"/>
        </w:rPr>
        <w:t>Section 14.4</w:t>
      </w:r>
      <w:r>
        <w:rPr>
          <w:rFonts w:ascii="Times New Roman" w:hAnsi="Times New Roman"/>
          <w:color w:val="000000"/>
          <w:sz w:val="20"/>
        </w:rPr>
        <w:t xml:space="preserve"> of this Lease). Notwithstanding anything to the contrary in this Lease, if Tenant or any proposed Transferee claims that Landlord has unreasonably withheld or delayed its consent under this </w:t>
      </w:r>
      <w:r>
        <w:rPr>
          <w:rFonts w:ascii="Times New Roman" w:hAnsi="Times New Roman"/>
          <w:color w:val="000000"/>
          <w:sz w:val="20"/>
          <w:u w:val="single"/>
        </w:rPr>
        <w:t>Section 14.2</w:t>
      </w:r>
      <w:r>
        <w:rPr>
          <w:rFonts w:ascii="Times New Roman" w:hAnsi="Times New Roman"/>
          <w:color w:val="000000"/>
          <w:sz w:val="20"/>
        </w:rPr>
        <w:t xml:space="preserve"> or otherwise has breached or acted unreasonably under this </w:t>
      </w:r>
      <w:r>
        <w:rPr>
          <w:rFonts w:ascii="Times New Roman" w:hAnsi="Times New Roman"/>
          <w:color w:val="000000"/>
          <w:sz w:val="20"/>
          <w:u w:val="single"/>
        </w:rPr>
        <w:t>Article 14</w:t>
      </w:r>
      <w:r>
        <w:rPr>
          <w:rFonts w:ascii="Times New Roman" w:hAnsi="Times New Roman"/>
          <w:color w:val="000000"/>
          <w:sz w:val="20"/>
        </w:rPr>
        <w:t>, their sole remedies shall be a declaratory judgment and an injunction for the relief sought without any monetary damages, and Tenant hereby waives the provisions of Section 1995.310 of the California Civil Code, or any successor statute, and all other remedies, including, without limitation, any right at law or equity to terminate this Lease, on its own behalf and, to the extent permitted under all applicable laws, on behalf of the proposed Transferee. Tenant shall indemnify, defend and hold harmless Landlord from any and all Losses involving any third party or parties (including without limitation Tenant’s proposed subtenant or assignee) who claim they were damaged by Landlord’s wrongful withholding or conditioning of Landlord’s consent.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14.3 </w:t>
      </w:r>
      <w:r>
        <w:rPr>
          <w:rFonts w:ascii="Times New Roman" w:hAnsi="Times New Roman"/>
          <w:b/>
          <w:color w:val="000000"/>
          <w:sz w:val="20"/>
          <w:u w:val="single"/>
        </w:rPr>
        <w:t>Transfer Premium</w:t>
      </w:r>
      <w:r>
        <w:rPr>
          <w:rFonts w:ascii="Times New Roman" w:hAnsi="Times New Roman"/>
          <w:color w:val="000000"/>
          <w:sz w:val="20"/>
        </w:rPr>
        <w:t xml:space="preserve">. If Landlord consents to a Transfer, as a condition thereto which the parties hereby agree is reasonable, Tenant shall pay to Landlord fifty percent (50%) of any “Transfer Premium,” as that term is defined in this </w:t>
      </w:r>
      <w:r>
        <w:rPr>
          <w:rFonts w:ascii="Times New Roman" w:hAnsi="Times New Roman"/>
          <w:color w:val="000000"/>
          <w:sz w:val="20"/>
          <w:u w:val="single"/>
        </w:rPr>
        <w:t>Section 14.3</w:t>
      </w:r>
      <w:r>
        <w:rPr>
          <w:rFonts w:ascii="Times New Roman" w:hAnsi="Times New Roman"/>
          <w:color w:val="000000"/>
          <w:sz w:val="20"/>
        </w:rPr>
        <w:t>, received by Tenant from such Transferee. “</w:t>
      </w:r>
      <w:r>
        <w:rPr>
          <w:rFonts w:ascii="Times New Roman" w:hAnsi="Times New Roman"/>
          <w:b/>
          <w:color w:val="000000"/>
          <w:sz w:val="20"/>
        </w:rPr>
        <w:t>Transfer Premium</w:t>
      </w:r>
      <w:r>
        <w:rPr>
          <w:rFonts w:ascii="Times New Roman" w:hAnsi="Times New Roman"/>
          <w:color w:val="000000"/>
          <w:sz w:val="20"/>
        </w:rPr>
        <w:t>” 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after deducting the reasonable expenses incurred by Tenant for (i) any changes, alterations and improvements to the Premises in connection with the Transfer, (ii) any free base rent or other economic concessions reasonably provided to the Transferee, and (iii) any brokerage commissions, marketing and advertising costs, and attorneys’ fees in connection with the Transfer. “Transfer Premium”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14.4 </w:t>
      </w:r>
      <w:r>
        <w:rPr>
          <w:rFonts w:ascii="Times New Roman" w:hAnsi="Times New Roman"/>
          <w:b/>
          <w:color w:val="000000"/>
          <w:sz w:val="20"/>
          <w:u w:val="single"/>
        </w:rPr>
        <w:t>Landlord’s Option as to Subject Space</w:t>
      </w:r>
      <w:r>
        <w:rPr>
          <w:rFonts w:ascii="Times New Roman" w:hAnsi="Times New Roman"/>
          <w:color w:val="000000"/>
          <w:sz w:val="20"/>
        </w:rPr>
        <w:t xml:space="preserve">. Notwithstanding anything to the contrary contained in this </w:t>
      </w:r>
      <w:r>
        <w:rPr>
          <w:rFonts w:ascii="Times New Roman" w:hAnsi="Times New Roman"/>
          <w:color w:val="000000"/>
          <w:sz w:val="20"/>
          <w:u w:val="single"/>
        </w:rPr>
        <w:t>Article 14</w:t>
      </w:r>
      <w:r>
        <w:rPr>
          <w:rFonts w:ascii="Times New Roman" w:hAnsi="Times New Roman"/>
          <w:color w:val="000000"/>
          <w:sz w:val="20"/>
        </w:rPr>
        <w:t xml:space="preserve">, Landlord shall have the option except in the case of a Transfer to a Permitted Transferee pursuant to </w:t>
      </w:r>
      <w:r>
        <w:rPr>
          <w:rFonts w:ascii="Times New Roman" w:hAnsi="Times New Roman"/>
          <w:color w:val="000000"/>
          <w:sz w:val="20"/>
          <w:u w:val="single"/>
        </w:rPr>
        <w:t>Section 14.8</w:t>
      </w:r>
      <w:r>
        <w:rPr>
          <w:rFonts w:ascii="Times New Roman" w:hAnsi="Times New Roman"/>
          <w:color w:val="000000"/>
          <w:sz w:val="20"/>
        </w:rPr>
        <w:t xml:space="preserve">, by giving written notice to Tenant within thirty (30) days after receipt of any Transfer Notice, in the event of a proposed assignment of this Lease or sublease that would (i) result in fifty percent (50%) or more of the Premises (when aggregated with all prior subleases then in effect) being subject to a sublease, or (ii) be for a term of more than fifty percent (50%) of the then-remaining Lease Term, or (iii) result in a full floor of the Premises being subject to a sublease for substantially all of the remaining Lease Term, to recapture the Subject Space. Such recapture notice shall cancel and terminate this Lease with respect to the Subject Space as of the date stated in the Transfer Notice as the effective date of the proposed Transfer until the last day of the term of the Transfer as set forth in the Transfer Notice (or at Landlord’s option, shall cause the Transfer to be made to Landlord or its agent, in which case the parties shall execute the Transfer documentation promptly thereafter).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the Subject Space under this </w:t>
      </w:r>
      <w:r>
        <w:rPr>
          <w:rFonts w:ascii="Times New Roman" w:hAnsi="Times New Roman"/>
          <w:color w:val="000000"/>
          <w:sz w:val="20"/>
          <w:u w:val="single"/>
        </w:rPr>
        <w:t>Section 14.4</w:t>
      </w:r>
      <w:r>
        <w:rPr>
          <w:rFonts w:ascii="Times New Roman" w:hAnsi="Times New Roman"/>
          <w:color w:val="000000"/>
          <w:sz w:val="20"/>
        </w:rPr>
        <w:t xml:space="preserve">, then, provided Landlord has consented to the proposed Transfer, Tenant shall be entitled to proceed to Transfer the Subject Space to the proposed Transferee, subject to provisions of this </w:t>
      </w:r>
      <w:r>
        <w:rPr>
          <w:rFonts w:ascii="Times New Roman" w:hAnsi="Times New Roman"/>
          <w:color w:val="000000"/>
          <w:sz w:val="20"/>
          <w:u w:val="single"/>
        </w:rPr>
        <w:t>Article 14</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14.5 </w:t>
      </w:r>
      <w:r>
        <w:rPr>
          <w:rFonts w:ascii="Times New Roman" w:hAnsi="Times New Roman"/>
          <w:b/>
          <w:color w:val="000000"/>
          <w:sz w:val="20"/>
          <w:u w:val="single"/>
        </w:rPr>
        <w:t>Effect of Transfer</w:t>
      </w:r>
      <w:r>
        <w:rPr>
          <w:rFonts w:ascii="Times New Roman" w:hAnsi="Times New Roman"/>
          <w:color w:val="000000"/>
          <w:sz w:val="20"/>
        </w:rPr>
        <w:t xml:space="preserve">. If Landlord consents to a Transfer, (i) the TCCs of this Lease shall in no way be deemed to have been waived or modified, (ii) such consent shall not be deemed consent to any further Transfer by either Tenant or a Transferee, (iii) Tenant shall deliver to Landlord, promptly after execution, an original executed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-34-</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40"/>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upon not less than five (5) business days’ advance written notice to Tenant, to audit the books, records and papers of Tenant relating to any Transfer, subject to the following limitations: (A) the audit must occur during the normal business hours of Tenant at Tenant’s office in the Building or at such other location as Tenant may reasonably designate in the San Francisco Bay Area; (B) the audit shall last no longer than one (1) business day; (C) Landlord and its authorized representatives shall have no right to make copies of Tenant’s books, records and papers; (D) Landlord shall not conduct any such audit more than once during any twelve (12) month period (provided, however, that the foregoing limitation shall no longer apply if the Transfer Premium is found at any time to be understated by more than five percent (5%)); and (E) Landlord shall enter into Landlord’s standard commercially reasonable form of confidentiality agreement with Tenant, which agreement shall cover confidential financial information provided by Tenant to Landlord in connection with such audit. If the Transfer Premium respecting any Transfer shall be found understated, Tenant shall, within thirty (30) days after demand, pay the deficiency, and if understated by more than five percent (5%), Tenant shall pay Landlord’s costs of such audit up to a maximum of Five Thousand Dollars ($5,000.00).</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14.6 </w:t>
      </w:r>
      <w:r>
        <w:rPr>
          <w:rFonts w:ascii="Times New Roman" w:hAnsi="Times New Roman"/>
          <w:b/>
          <w:color w:val="000000"/>
          <w:sz w:val="20"/>
          <w:u w:val="single"/>
        </w:rPr>
        <w:t>Additional Transfers</w:t>
      </w:r>
      <w:r>
        <w:rPr>
          <w:rFonts w:ascii="Times New Roman" w:hAnsi="Times New Roman"/>
          <w:color w:val="000000"/>
          <w:sz w:val="20"/>
        </w:rPr>
        <w:t>. For purposes of this Lease, the term “</w:t>
      </w:r>
      <w:r>
        <w:rPr>
          <w:rFonts w:ascii="Times New Roman" w:hAnsi="Times New Roman"/>
          <w:b/>
          <w:color w:val="000000"/>
          <w:sz w:val="20"/>
        </w:rPr>
        <w:t>Transfer</w:t>
      </w:r>
      <w:r>
        <w:rPr>
          <w:rFonts w:ascii="Times New Roman" w:hAnsi="Times New Roman"/>
          <w:color w:val="000000"/>
          <w:sz w:val="20"/>
        </w:rPr>
        <w:t>” shall also include (i) if Tenant is a partnership, the withdrawal or change, voluntary, involuntary or by operation of law, of more than fifty percent (50%) or more of the partners, or transfer of more than fifty percent (50%) or more of partnership interests, within a twelve (12)-month period, or the dissolution of the partnership without immediate reconstitution thereof, and (ii) if Tenant is a closely held corporation (</w:t>
      </w:r>
      <w:r>
        <w:rPr>
          <w:rFonts w:ascii="Times New Roman" w:hAnsi="Times New Roman"/>
          <w:i/>
          <w:color w:val="000000"/>
          <w:sz w:val="20"/>
        </w:rPr>
        <w:t>i.e.</w:t>
      </w:r>
      <w:r>
        <w:rPr>
          <w:rFonts w:ascii="Times New Roman" w:hAnsi="Times New Roman"/>
          <w:color w:val="000000"/>
          <w:sz w:val="20"/>
        </w:rPr>
        <w:t xml:space="preserve">, whose stock is not publicly held and not traded through an exchange or over the counter), (A) the dissolution, merger, consolidation or other reorganization of Tenant, subject to </w:t>
      </w:r>
      <w:r>
        <w:rPr>
          <w:rFonts w:ascii="Times New Roman" w:hAnsi="Times New Roman"/>
          <w:color w:val="000000"/>
          <w:sz w:val="20"/>
          <w:u w:val="single"/>
        </w:rPr>
        <w:t>Section 14.8</w:t>
      </w:r>
      <w:r>
        <w:rPr>
          <w:rFonts w:ascii="Times New Roman" w:hAnsi="Times New Roman"/>
          <w:color w:val="000000"/>
          <w:sz w:val="20"/>
        </w:rPr>
        <w:t xml:space="preserve"> below or (B) the sale or other transfer of an aggregate of more than fifty percent (50%) or more of the voting shares of Tenant (other than to immediate family members by reason of gift or death), within a twelve (12)-month period subject to </w:t>
      </w:r>
      <w:r>
        <w:rPr>
          <w:rFonts w:ascii="Times New Roman" w:hAnsi="Times New Roman"/>
          <w:color w:val="000000"/>
          <w:sz w:val="20"/>
          <w:u w:val="single"/>
        </w:rPr>
        <w:t>Section 14.8</w:t>
      </w:r>
      <w:r>
        <w:rPr>
          <w:rFonts w:ascii="Times New Roman" w:hAnsi="Times New Roman"/>
          <w:color w:val="000000"/>
          <w:sz w:val="20"/>
        </w:rPr>
        <w:t xml:space="preserve"> below, or (C) the sale, mortgage, hypothecation or pledge of an aggregate of more than fifty percent (50%) or more of the value of the unencumbered assets of Tenant within a twelve (12)-month period. Notwithstanding anything to the contrary set forth in this </w:t>
      </w:r>
      <w:r>
        <w:rPr>
          <w:rFonts w:ascii="Times New Roman" w:hAnsi="Times New Roman"/>
          <w:color w:val="000000"/>
          <w:sz w:val="20"/>
          <w:u w:val="single"/>
        </w:rPr>
        <w:t>Section 14.6</w:t>
      </w:r>
      <w:r>
        <w:rPr>
          <w:rFonts w:ascii="Times New Roman" w:hAnsi="Times New Roman"/>
          <w:color w:val="000000"/>
          <w:sz w:val="20"/>
        </w:rPr>
        <w:t xml:space="preserve"> and except as set forth in item (B) of </w:t>
      </w:r>
      <w:r>
        <w:rPr>
          <w:rFonts w:ascii="Times New Roman" w:hAnsi="Times New Roman"/>
          <w:color w:val="000000"/>
          <w:sz w:val="20"/>
          <w:u w:val="single"/>
        </w:rPr>
        <w:t>Section 14.8</w:t>
      </w:r>
      <w:r>
        <w:rPr>
          <w:rFonts w:ascii="Times New Roman" w:hAnsi="Times New Roman"/>
          <w:color w:val="000000"/>
          <w:sz w:val="20"/>
        </w:rPr>
        <w:t xml:space="preserve"> below), if Tenant is a corporation, so long as Tenant is publicly traded on a major over-the-counter stock exchange, the ordinary transfer of shares over the counter shall be deemed not to be a Transfer for purposes of this </w:t>
      </w:r>
      <w:r>
        <w:rPr>
          <w:rFonts w:ascii="Times New Roman" w:hAnsi="Times New Roman"/>
          <w:color w:val="000000"/>
          <w:sz w:val="20"/>
          <w:u w:val="single"/>
        </w:rPr>
        <w:t>Section 14.6</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14.7 </w:t>
      </w:r>
      <w:r>
        <w:rPr>
          <w:rFonts w:ascii="Times New Roman" w:hAnsi="Times New Roman"/>
          <w:b/>
          <w:color w:val="000000"/>
          <w:sz w:val="20"/>
          <w:u w:val="single"/>
        </w:rPr>
        <w:t>Occurrence of Default</w:t>
      </w:r>
      <w:r>
        <w:rPr>
          <w:rFonts w:ascii="Times New Roman" w:hAnsi="Times New Roman"/>
          <w:color w:val="000000"/>
          <w:sz w:val="20"/>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an Event of Default exists, Landlord is hereby irrevocably authorized, as Tenant’s agent and attorney-in-fact, to direct any Transferee to make all payments under or in connection with the Transfer directly to Landlord (which Landlord shall apply towards Tenant’s obligations under this Lease) until such Event of Default is cured. Such Transferee shall rely on any representation by Landlord that an Event of Default exists,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hAnsi="Times New Roman"/>
          <w:color w:val="000000"/>
          <w:sz w:val="20"/>
          <w:u w:val="single"/>
        </w:rPr>
        <w:t>Article 14</w:t>
      </w:r>
      <w:r>
        <w:rPr>
          <w:rFonts w:ascii="Times New Roman" w:hAnsi="Times New Roman"/>
          <w:color w:val="000000"/>
          <w:sz w:val="20"/>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14.8 </w:t>
      </w:r>
      <w:r>
        <w:rPr>
          <w:rFonts w:ascii="Times New Roman" w:hAnsi="Times New Roman"/>
          <w:b/>
          <w:color w:val="000000"/>
          <w:sz w:val="20"/>
          <w:u w:val="single"/>
        </w:rPr>
        <w:t>Deemed Consent Transfers</w:t>
      </w:r>
      <w:r>
        <w:rPr>
          <w:rFonts w:ascii="Times New Roman" w:hAnsi="Times New Roman"/>
          <w:color w:val="000000"/>
          <w:sz w:val="20"/>
        </w:rPr>
        <w:t xml:space="preserve">. Notwithstanding anything to the contrary contained in this Lease, (A) an assignment or subletting of all or a portion of the Premises to an affiliate of Tenant (an entity which is controlled by, controls, or is under common control with, Tenant as of the date of this Lease), (B) a sale of corporate shares of capital stock in Tenant in connection with an initial public offering of Tenant’s stock on a nationally-recognized stock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-35-</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1"/>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exchange, (C) an assignment of the Lease to an entity which acquires all or substantially all of the stock or assets of Tenant, or (D) an assignment of the Lease to an entity which is the resulting entity of a merger, consolidation or reorganization of Tenant during the Lease Term, shall not be deemed a Transfer requiring Landlord’s consent under this </w:t>
      </w:r>
      <w:r>
        <w:rPr>
          <w:rFonts w:ascii="Times New Roman" w:hAnsi="Times New Roman"/>
          <w:color w:val="000000"/>
          <w:sz w:val="20"/>
          <w:u w:val="single"/>
        </w:rPr>
        <w:t>Article 14</w:t>
      </w:r>
      <w:r>
        <w:rPr>
          <w:rFonts w:ascii="Times New Roman" w:hAnsi="Times New Roman"/>
          <w:color w:val="000000"/>
          <w:sz w:val="20"/>
        </w:rPr>
        <w:t xml:space="preserve"> (any such assignee or sublessee described in items (A) through (D) of this </w:t>
      </w:r>
      <w:r>
        <w:rPr>
          <w:rFonts w:ascii="Times New Roman" w:hAnsi="Times New Roman"/>
          <w:color w:val="000000"/>
          <w:sz w:val="20"/>
          <w:u w:val="single"/>
        </w:rPr>
        <w:t>Section 14.8</w:t>
      </w:r>
      <w:r>
        <w:rPr>
          <w:rFonts w:ascii="Times New Roman" w:hAnsi="Times New Roman"/>
          <w:color w:val="000000"/>
          <w:sz w:val="20"/>
        </w:rPr>
        <w:t xml:space="preserve"> hereinafter referred to as a “</w:t>
      </w:r>
      <w:r>
        <w:rPr>
          <w:rFonts w:ascii="Times New Roman" w:hAnsi="Times New Roman"/>
          <w:b/>
          <w:color w:val="000000"/>
          <w:sz w:val="20"/>
        </w:rPr>
        <w:t>Permitted Transferee</w:t>
      </w:r>
      <w:r>
        <w:rPr>
          <w:rFonts w:ascii="Times New Roman" w:hAnsi="Times New Roman"/>
          <w:color w:val="000000"/>
          <w:sz w:val="20"/>
        </w:rPr>
        <w:t>”), provided that (i) Tenant notifies Landlord at least thirty (30) days prior to the effective date of any such assignment or sublease and promptly supplies Landlord with any documents or information reasonably requested by Landlord regarding such Transfer or Permitted Transferee as set forth above (or promptly after such transaction if disclosure is prohibited by legally enforceable confidentiality requirements or Applicable Law), (ii) no Event of Default then exists, and such assignment or sublease is not a subterfuge by Tenant to avoid its obligations under this Lease, (iii) such Permitted Transferee shall be of a character and reputation consistent with the quality of the Building, (iv) such Permitted Transferee shall have a tangible net worth (not including goodwill as an asset) computed in accordance with generally accepted accounting principles (“</w:t>
      </w:r>
      <w:r>
        <w:rPr>
          <w:rFonts w:ascii="Times New Roman" w:hAnsi="Times New Roman"/>
          <w:b/>
          <w:color w:val="000000"/>
          <w:sz w:val="20"/>
        </w:rPr>
        <w:t>Net Worth</w:t>
      </w:r>
      <w:r>
        <w:rPr>
          <w:rFonts w:ascii="Times New Roman" w:hAnsi="Times New Roman"/>
          <w:color w:val="000000"/>
          <w:sz w:val="20"/>
        </w:rPr>
        <w:t>”) at least equal to Fifty Million Dollars ($50,000,000.00), (v) no assignment or sublease relating to this Lease, whether with or without Landlord’s consent, shall relieve Tenant from any liability under this Lease, and (vi) the liability of such Permitted Transferee under either an assignment or sublease shall be joint and several with Tenant. An assignee of Tenant’s entire interest in this Lease who qualifies as a Permitted Transferee may also be referred to herein as a “</w:t>
      </w:r>
      <w:r>
        <w:rPr>
          <w:rFonts w:ascii="Times New Roman" w:hAnsi="Times New Roman"/>
          <w:b/>
          <w:color w:val="000000"/>
          <w:sz w:val="20"/>
        </w:rPr>
        <w:t>Permitted Transferee Assignee</w:t>
      </w:r>
      <w:r>
        <w:rPr>
          <w:rFonts w:ascii="Times New Roman" w:hAnsi="Times New Roman"/>
          <w:color w:val="000000"/>
          <w:sz w:val="20"/>
        </w:rPr>
        <w:t xml:space="preserve">.” “Control,” as used in this </w:t>
      </w:r>
      <w:r>
        <w:rPr>
          <w:rFonts w:ascii="Times New Roman" w:hAnsi="Times New Roman"/>
          <w:color w:val="000000"/>
          <w:sz w:val="20"/>
          <w:u w:val="single"/>
        </w:rPr>
        <w:t>Section 14.8</w:t>
      </w:r>
      <w:r>
        <w:rPr>
          <w:rFonts w:ascii="Times New Roman" w:hAnsi="Times New Roman"/>
          <w:color w:val="000000"/>
          <w:sz w:val="20"/>
        </w:rPr>
        <w:t>, shall mean the ownership, directly or indirectly, of more than fifty percent (50%) of the voting securities of, or possession of the right to vote, in the ordinary direction of its affairs, of more than fifty percent (50%) of the voting interest in, any person or entity.</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15</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SURRENDER OF PREMISES; OWNERSHIP AND REMOVAL OF TRADE FIXTURES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15.1 </w:t>
      </w:r>
      <w:r>
        <w:rPr>
          <w:rFonts w:ascii="Times New Roman" w:hAnsi="Times New Roman"/>
          <w:b/>
          <w:color w:val="000000"/>
          <w:sz w:val="20"/>
          <w:u w:val="single"/>
        </w:rPr>
        <w:t>Surrender of Premises</w:t>
      </w:r>
      <w:r>
        <w:rPr>
          <w:rFonts w:ascii="Times New Roman" w:hAnsi="Times New Roman"/>
          <w:color w:val="000000"/>
          <w:sz w:val="20"/>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15.2 </w:t>
      </w:r>
      <w:r>
        <w:rPr>
          <w:rFonts w:ascii="Times New Roman" w:hAnsi="Times New Roman"/>
          <w:b/>
          <w:color w:val="000000"/>
          <w:sz w:val="20"/>
          <w:u w:val="single"/>
        </w:rPr>
        <w:t>Removal of Tenant Property by Tenant</w:t>
      </w:r>
      <w:r>
        <w:rPr>
          <w:rFonts w:ascii="Times New Roman" w:hAnsi="Times New Roman"/>
          <w:color w:val="000000"/>
          <w:sz w:val="20"/>
        </w:rPr>
        <w:t xml:space="preserve">. Upon the expiration of the Lease Term, or upon any earlier termination of this Lease, Tenant shall, subject to the provisions of this </w:t>
      </w:r>
      <w:r>
        <w:rPr>
          <w:rFonts w:ascii="Times New Roman" w:hAnsi="Times New Roman"/>
          <w:color w:val="000000"/>
          <w:sz w:val="20"/>
          <w:u w:val="single"/>
        </w:rPr>
        <w:t>Article 15</w:t>
      </w:r>
      <w:r>
        <w:rPr>
          <w:rFonts w:ascii="Times New Roman" w:hAnsi="Times New Roman"/>
          <w:color w:val="000000"/>
          <w:sz w:val="20"/>
        </w:rPr>
        <w:t xml:space="preserve">, quit and surrender possession of the Premises to Landlord in as good order and condition as existed as of the Lease Commencement Date and as thereafter improved by Landlord and/or Tenant, reasonable wear and tear and repairs which are specifically made the responsibility of Landlord hereunder excepted. Upon such expiration or termination, in addition to Tenant’s obligations under </w:t>
      </w:r>
      <w:r>
        <w:rPr>
          <w:rFonts w:ascii="Times New Roman" w:hAnsi="Times New Roman"/>
          <w:color w:val="000000"/>
          <w:sz w:val="20"/>
          <w:u w:val="single"/>
        </w:rPr>
        <w:t>Section 29.32</w:t>
      </w:r>
      <w:r>
        <w:rPr>
          <w:rFonts w:ascii="Times New Roman" w:hAnsi="Times New Roman"/>
          <w:color w:val="000000"/>
          <w:sz w:val="20"/>
        </w:rPr>
        <w:t>, below, Tenant shall, without expense to Landlord, remove or cause to be removed from the Premises all debris and rubbish, and such items of furniture, equipment, business and trade fixtures, free-standing cabinet work, server and telephone equipment,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16</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HOLDING OVER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Tenant holds over after the expiration of the Lease Term, with the express written consent of Landlord, such tenancy shall be from month-to-month only, and shall not constitute a renewal hereof or an extension for any further term, and in such case Base Rent shall be payable at a monthly rate equal to the product of (i) the Base Rent applicable during the last rental period of the Lease Term under this Lease, and (ii) a percentage equal to one hundred twenty-five percent (125%) for each of the first three (3) months of holdover and one hundred fifty percent (150%)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-36-</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42"/>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each month thereafter. Such month-to-month tenancy shall be subject to every other applicable term, covenant and agreement contained herein. If Tenant holds over after the expiration of the Lease Term without the express written consent of Landlord, such tenancy shall be a tenancy at sufferance, and shall not constitute a renewal hereof or an extension for any further term, and in such case daily damages in any action to recover possession of the Premises shall be calculated at a daily rate equal to the product of (i) the Base Rent applicable during the last rental period of the Lease Term under this Lease, and (ii) a percentage equal to one hundred twenty-five percent (125%) for each of the first three (3) months of holdover and one hundred fifty percent (150%) for each month thereafter. Nothing contained in this </w:t>
      </w:r>
      <w:r>
        <w:rPr>
          <w:rFonts w:ascii="Times New Roman" w:hAnsi="Times New Roman"/>
          <w:color w:val="000000"/>
          <w:sz w:val="20"/>
          <w:u w:val="single"/>
        </w:rPr>
        <w:t>Article 16</w:t>
      </w:r>
      <w:r>
        <w:rPr>
          <w:rFonts w:ascii="Times New Roman" w:hAnsi="Times New Roman"/>
          <w:color w:val="000000"/>
          <w:sz w:val="20"/>
        </w:rPr>
        <w:t xml:space="preserve"> shall be construed as consent by Landlord to any holding over by Tenant, and Landlord expressly reserves the right to require Tenant to vacate and deliver possession of the Premises to Landlord as provided in this Lease upon the expiration or other termination of this Lease. The provisions of this </w:t>
      </w:r>
      <w:r>
        <w:rPr>
          <w:rFonts w:ascii="Times New Roman" w:hAnsi="Times New Roman"/>
          <w:color w:val="000000"/>
          <w:sz w:val="20"/>
          <w:u w:val="single"/>
        </w:rPr>
        <w:t>Article 16</w:t>
      </w:r>
      <w:r>
        <w:rPr>
          <w:rFonts w:ascii="Times New Roman" w:hAnsi="Times New Roman"/>
          <w:color w:val="000000"/>
          <w:sz w:val="20"/>
        </w:rPr>
        <w:t xml:space="preserve"> shall not be deemed to limit or constitute a waiver of any other rights or remedies of Landlord provided herein or at law. If Tenant holds over without Landlord’s express written consent, and tenders payment of rent for any period beyond the expiration of the Lease Term by way of check (whether directly to Landlord, its agents, or to a lock box) or wire transfer, Tenant acknowledges and agrees that the cashing of such check or acceptance of such wire shall be considered inadvertent and not be construed as creating a month-to-month tenancy, provided Landlord refunds such payment to Tenant promptly upon learning that such check has been cashed or wire transfer received. Tenant acknowledges that any holding over without Landlord’s express written consent may compromise or otherwise affect Landlord’s ability to enter into new leases with prospective tenants regarding the Premises. Therefore, if Tenant fails to vacate and deliver the Premises upon the termination or expiration of this Lease within thirty (30) days after Landlord notifies Tenant that Landlord has entered into a lease for the Premises or has received a bona fide offer to lease the Premises, and that Landlord will be unable to deliver possession, or perform improvements, due to Tenant’s holdover, and Landlord did not give its express written consent to Tenant’s failure to vacate and deliver the Premises upon the termination or expiration of this Lease, then, in addition to any other Losses to Landlord accruing therefrom, Tenant shall protect, defend, indemnify and hold Landlord harmless from and against all claims made by any succeeding tenant founded upon such failure to vacate and deliver, and any losses suffered by Landlord, including lost profits, resulting from such failure to vacate and deliver. Tenant agrees that any proceedings necessary to recover possession of the Premises, whether before or after expiration of the Lease Term, shall be considered an action to enforce the terms of this Lease for purposes of the awarding of any attorney’s fees in connection therewith.</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17</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ESTOPPEL CERTIFICATES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Within ten (10) days following a request in writing by Landlord, Tenant shall execute, acknowledge and deliver to Landlord an estoppel certificate, which, as submitted by Landlord, shall be substantially in the form of </w:t>
      </w:r>
      <w:r>
        <w:rPr>
          <w:rFonts w:ascii="Times New Roman" w:hAnsi="Times New Roman"/>
          <w:b/>
          <w:color w:val="000000"/>
          <w:sz w:val="20"/>
          <w:u w:val="single"/>
        </w:rPr>
        <w:t>Exhibit E</w:t>
      </w:r>
      <w:r>
        <w:rPr>
          <w:rFonts w:ascii="Times New Roman" w:hAnsi="Times New Roman"/>
          <w:color w:val="000000"/>
          <w:sz w:val="20"/>
        </w:rPr>
        <w:t xml:space="preserve">,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Notwithstanding the foregoing, in connection with the Original Tenant only, in the event that (i) stock in the entity which constitutes Original Tenant under this Lease is publicly traded on a national stock exchange, and (ii) Original Tenant has its own, separate and distinct 10K and 10Q filing requirements (as opposed joint or cumulative filings with an entity that controls Original Tenant or with entities which are otherwise affiliates of Original Tenant), then Original Tenant’s obligation to provide Landlord with a copy of its most recent current financial statement shall be deemed satisfied. Failure of Tenant to timely execute, acknowledge and deliver such estoppel certificate or other instruments shall constitute an acceptance of the Premises and an acknowledgment by Tenant that statements included in the estoppel certificate are true and correct, without exception. Notwithstanding the foregoing, Landlord shall not request financial statements more than once in each consecutive one (1) year period during the Lease Term unless (i) an Event of Default exists, (ii) Landlord reasonably believes that there has been an adverse change in Tenant’s financial position since the last financial statement provided to Landlord,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-37-</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3"/>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(iii) requested in connection with a proposed financing, sale or transfer of any portion of Landlord’s interest in the Building or Project.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18</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SUBORDINATION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TCCs of this Lease to be observed and performed by Tenant. Landlord’s interest herein may be assigned as security at any time to any lienholder. Tenant shall, within ten (10) days of request by Landlord, execute such further reasonable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Landlord represents and warrants to Tenant that as of the date of this Lease, there is no mortgage, trust deed or ground lease in force against the Building or Project or any part thereof.</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19</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EVENTS OF DEFAULTS; REMEDIES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19.1 </w:t>
      </w:r>
      <w:r>
        <w:rPr>
          <w:rFonts w:ascii="Times New Roman" w:hAnsi="Times New Roman"/>
          <w:b/>
          <w:color w:val="000000"/>
          <w:sz w:val="20"/>
          <w:u w:val="single"/>
        </w:rPr>
        <w:t>Events of Default</w:t>
      </w:r>
      <w:r>
        <w:rPr>
          <w:rFonts w:ascii="Times New Roman" w:hAnsi="Times New Roman"/>
          <w:color w:val="000000"/>
          <w:sz w:val="20"/>
        </w:rPr>
        <w:t>. In addition to any other Events of Default specified elsewhere in this Lease, the occurrence of any of the following shall constitute an “</w:t>
      </w:r>
      <w:r>
        <w:rPr>
          <w:rFonts w:ascii="Times New Roman" w:hAnsi="Times New Roman"/>
          <w:b/>
          <w:color w:val="000000"/>
          <w:sz w:val="20"/>
        </w:rPr>
        <w:t>Event of Default</w:t>
      </w:r>
      <w:r>
        <w:rPr>
          <w:rFonts w:ascii="Times New Roman" w:hAnsi="Times New Roman"/>
          <w:color w:val="000000"/>
          <w:sz w:val="20"/>
        </w:rPr>
        <w:t>” by Tenant: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19.1.1 Any failure by Tenant to pay any Rent or any other charge required to be paid under this Lease, or any part thereof, when due unless such failure is cured within five (5) business days after notice; or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19.1.2 Except where a specific time period is otherwise set forth for Tenant’s performance in this Lease, in which event the failure to perform by Tenant within such time period shall be an Event of Default by Tenant under this </w:t>
      </w:r>
      <w:r>
        <w:rPr>
          <w:rFonts w:ascii="Times New Roman" w:hAnsi="Times New Roman"/>
          <w:color w:val="000000"/>
          <w:sz w:val="20"/>
          <w:u w:val="single"/>
        </w:rPr>
        <w:t>Section 19.1.2</w:t>
      </w:r>
      <w:r>
        <w:rPr>
          <w:rFonts w:ascii="Times New Roman" w:hAnsi="Times New Roman"/>
          <w:color w:val="000000"/>
          <w:sz w:val="20"/>
        </w:rPr>
        <w:t xml:space="preserve">,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no Event of Default shall be deemed to have occurred under this </w:t>
      </w:r>
      <w:r>
        <w:rPr>
          <w:rFonts w:ascii="Times New Roman" w:hAnsi="Times New Roman"/>
          <w:color w:val="000000"/>
          <w:sz w:val="20"/>
          <w:u w:val="single"/>
        </w:rPr>
        <w:t>Section 19.1.2</w:t>
      </w:r>
      <w:r>
        <w:rPr>
          <w:rFonts w:ascii="Times New Roman" w:hAnsi="Times New Roman"/>
          <w:color w:val="000000"/>
          <w:sz w:val="20"/>
        </w:rPr>
        <w:t xml:space="preserve"> if Tenant diligently commences such cure within such period and thereafter diligently proceeds to rectify and cure such default, but in no event exceeding a period of time in excess of ninety (90) days after written notice thereof from Landlord to Tenant;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19.1.3 To the extent permitted by law, (i) Tenant or any guarantor of this Lease being placed into receivership or conservatorship, or becoming subject to similar proceedings under Federal or State law, or (ii) a general assignment by Tenant or any guarantor of this Lease for the benefit of creditors, or (iii) the taking of any corporate action in furtherance of bankruptcy or dissolution whether or not there exists any proceeding under an insolvency or bankruptcy law, or (iv) the filing by or against Tenant or any guarantor of any proceeding under an insolvency or bankruptcy law, unless in the case of such a proceeding filed against Tenant or any guarantor the same is dismissed within sixty (60) days, or (v) the appointment of a trustee or receiver to take possession of all or substantially all of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-38-</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4"/>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assets of Tenant or any guarantor, unless possession is restored to Tenant or such guarantor within thirty (30) days, or (vi) any execution or other judicially authorized seizure of all or substantially all of Tenant’s assets located upon the Premises or of Tenant’s interest in this Lease, unless such seizure is discharged within thirty (30) days; or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19.1.4 Abandonment or vacation of all or a substantial portion of the Premises by Tenant (provided that temporarily vacating the Premises to facilitate remodeling, repairs, or a Transfer, or for a temporary shutdown of business, or due to an event of Force Majeure (as defined in </w:t>
      </w:r>
      <w:r>
        <w:rPr>
          <w:rFonts w:ascii="Times New Roman" w:hAnsi="Times New Roman"/>
          <w:color w:val="000000"/>
          <w:sz w:val="20"/>
          <w:u w:val="single"/>
        </w:rPr>
        <w:t>Section 29.16</w:t>
      </w:r>
      <w:r>
        <w:rPr>
          <w:rFonts w:ascii="Times New Roman" w:hAnsi="Times New Roman"/>
          <w:color w:val="000000"/>
          <w:sz w:val="20"/>
        </w:rPr>
        <w:t>) shall not constitute a default so long as Tenant continues to pay the Rent and otherwise complies with the TCCs under this Lease and so long as Tenant does not abandon the Premises or allow the Premises to appear abandoned or otherwise adversely impact the normal and customary operations of the Building or the Project (including, without limitation, creating any potential security risk or attractive nuisance); or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19.1.5 The failure by Tenant to observe or perform according to the provisions of </w:t>
      </w:r>
      <w:r>
        <w:rPr>
          <w:rFonts w:ascii="Times New Roman" w:hAnsi="Times New Roman"/>
          <w:color w:val="000000"/>
          <w:sz w:val="20"/>
          <w:u w:val="single"/>
        </w:rPr>
        <w:t>Articles 5, 14, 17 or 18</w:t>
      </w:r>
      <w:r>
        <w:rPr>
          <w:rFonts w:ascii="Times New Roman" w:hAnsi="Times New Roman"/>
          <w:color w:val="000000"/>
          <w:sz w:val="20"/>
        </w:rPr>
        <w:t xml:space="preserve"> of this Lease where such failure continues for more than two (2) business days after notice from Landlord; or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19.1.6 Tenant’s failure to occupy the Premises within one hundred fifty (150) days after the Lease Commencement Date; provided, however, that (i) Tenant shall be deemed to have occupied the Premises as of the date that at least one person is consistently working in the Premises during regular business days and hours for the building, and Tenant has received a certificate of occupancy, temporary certificate of occupancy, or signed off permit card (or their legal equivalent) allowing legal occupancy of the Premises and (ii) the one hundred fifty (150) day period shall be extended on a day-for-day basis for each day that Tenant is unable to occupy the Premises as the result of events or circumstances beyond its reasonable control, including without limitation, delays by the City and County of San Francisco or other governmental authorities or any event of Force Majeure, as defined in </w:t>
      </w:r>
      <w:r>
        <w:rPr>
          <w:rFonts w:ascii="Times New Roman" w:hAnsi="Times New Roman"/>
          <w:color w:val="000000"/>
          <w:sz w:val="20"/>
          <w:u w:val="single"/>
        </w:rPr>
        <w:t>Section 29.16</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notice periods provided herein are in lieu of, and not in addition to, any notice periods provided by law.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19.2 </w:t>
      </w:r>
      <w:r>
        <w:rPr>
          <w:rFonts w:ascii="Times New Roman" w:hAnsi="Times New Roman"/>
          <w:b/>
          <w:color w:val="000000"/>
          <w:sz w:val="20"/>
          <w:u w:val="single"/>
        </w:rPr>
        <w:t>Remedies Upon Event of Default</w:t>
      </w:r>
      <w:r>
        <w:rPr>
          <w:rFonts w:ascii="Times New Roman" w:hAnsi="Times New Roman"/>
          <w:color w:val="000000"/>
          <w:sz w:val="20"/>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19.2.1.1.1 The worth at the time of award of any unpaid rent which has been earned at the time of such termination; plus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19.2.1.1.2 The worth at the time of award of the amount by which the unpaid rent which would have been earned after termination until the time of award exceeds the amount of such rental loss that Tenant proves could have been reasonably avoided; plus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19.2.1.1.3 The worth at the time of award of the amount by which the unpaid rent for the balance of the Lease Term after the time of award exceeds the amount of such rental loss that Tenant proves could have been reasonably avoided; plus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19.2.1.1.4 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-39-</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5"/>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advertising expenses incurred, expenses of remodeling the Premises or any portion thereof for a new tenant, whether for the same or a different use, and any special concessions made to obtain a new tenant;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19.2.1.1.5 At Landlord’s election, such other amounts in addition to or in lieu of the foregoing as may be permitted from time to time by applicable law.</w:t>
      </w:r>
    </w:p>
    <w:p>
      <w:pPr>
        <w:pStyle w:val="TextBody"/>
        <w:bidi w:val="0"/>
        <w:spacing w:before="240" w:after="283"/>
        <w:jc w:val="both"/>
        <w:rPr>
          <w:rFonts w:ascii="Times New Roman" w:hAnsi="Times New Roman"/>
          <w:sz w:val="20"/>
        </w:rPr>
      </w:pPr>
      <w:r>
        <w:rPr>
          <w:rFonts w:ascii="Times New Roman" w:hAnsi="Times New Roman"/>
          <w:color w:val="000000"/>
          <w:sz w:val="20"/>
        </w:rPr>
        <w:t>The term “</w:t>
      </w:r>
      <w:r>
        <w:rPr>
          <w:rFonts w:ascii="Times New Roman" w:hAnsi="Times New Roman"/>
          <w:b/>
          <w:color w:val="000000"/>
          <w:sz w:val="20"/>
        </w:rPr>
        <w:t>rent</w:t>
      </w:r>
      <w:r>
        <w:rPr>
          <w:rFonts w:ascii="Times New Roman" w:hAnsi="Times New Roman"/>
          <w:color w:val="000000"/>
          <w:sz w:val="20"/>
        </w:rPr>
        <w:t xml:space="preserve">” as used in this </w:t>
      </w:r>
      <w:r>
        <w:rPr>
          <w:rFonts w:ascii="Times New Roman" w:hAnsi="Times New Roman"/>
          <w:color w:val="000000"/>
          <w:sz w:val="20"/>
          <w:u w:val="single"/>
        </w:rPr>
        <w:t>Section 19.2</w:t>
      </w:r>
      <w:r>
        <w:rPr>
          <w:rFonts w:ascii="Times New Roman" w:hAnsi="Times New Roman"/>
          <w:color w:val="000000"/>
          <w:sz w:val="20"/>
        </w:rPr>
        <w:t xml:space="preserve"> shall be deemed to be and to mean all sums of every nature required to be paid by Tenant pursuant to the terms of this Lease, whether to Landlord or to others. As used in </w:t>
      </w:r>
      <w:r>
        <w:rPr>
          <w:rFonts w:ascii="Times New Roman" w:hAnsi="Times New Roman"/>
          <w:color w:val="000000"/>
          <w:sz w:val="20"/>
          <w:u w:val="single"/>
        </w:rPr>
        <w:t>Sections 19.2.1(a) and (b)</w:t>
      </w:r>
      <w:r>
        <w:rPr>
          <w:rFonts w:ascii="Times New Roman" w:hAnsi="Times New Roman"/>
          <w:color w:val="000000"/>
          <w:sz w:val="20"/>
        </w:rPr>
        <w:t xml:space="preserve">, above, the “worth at the time of award” shall be computed by allowing interest at the Interest Rate. As used in </w:t>
      </w:r>
      <w:r>
        <w:rPr>
          <w:rFonts w:ascii="Times New Roman" w:hAnsi="Times New Roman"/>
          <w:color w:val="000000"/>
          <w:sz w:val="20"/>
          <w:u w:val="single"/>
        </w:rPr>
        <w:t>Section 19.2.1(c)</w:t>
      </w:r>
      <w:r>
        <w:rPr>
          <w:rFonts w:ascii="Times New Roman" w:hAnsi="Times New Roman"/>
          <w:color w:val="000000"/>
          <w:sz w:val="20"/>
        </w:rPr>
        <w:t>, above, the “worth at the time of award” shall be computed by discounting such amount at the discount rate of the Federal Reserve Bank of San Francisco at the time of award plus one percent (1%).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Event of Default by Tenant, Landlord may, from time to time, without terminating this Lease, enforce all of its rights and remedies under this Lease, including the right to recover all rent as it becomes due.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19.2.3 Landlord shall at all times have the rights and remedies (which shall be cumulative with each other and cumulative and in addition to those rights and remedies available under </w:t>
      </w:r>
      <w:r>
        <w:rPr>
          <w:rFonts w:ascii="Times New Roman" w:hAnsi="Times New Roman"/>
          <w:color w:val="000000"/>
          <w:sz w:val="20"/>
          <w:u w:val="single"/>
        </w:rPr>
        <w:t>Sections 19.2.1</w:t>
      </w:r>
      <w:r>
        <w:rPr>
          <w:rFonts w:ascii="Times New Roman" w:hAnsi="Times New Roman"/>
          <w:color w:val="000000"/>
          <w:sz w:val="20"/>
        </w:rPr>
        <w:t xml:space="preserve"> and </w:t>
      </w:r>
      <w:r>
        <w:rPr>
          <w:rFonts w:ascii="Times New Roman" w:hAnsi="Times New Roman"/>
          <w:color w:val="000000"/>
          <w:sz w:val="20"/>
          <w:u w:val="single"/>
        </w:rPr>
        <w:t>19.2.2</w:t>
      </w:r>
      <w:r>
        <w:rPr>
          <w:rFonts w:ascii="Times New Roman" w:hAnsi="Times New Roman"/>
          <w:color w:val="000000"/>
          <w:sz w:val="20"/>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19.3 </w:t>
      </w:r>
      <w:r>
        <w:rPr>
          <w:rFonts w:ascii="Times New Roman" w:hAnsi="Times New Roman"/>
          <w:b/>
          <w:color w:val="000000"/>
          <w:sz w:val="20"/>
          <w:u w:val="single"/>
        </w:rPr>
        <w:t>Subleases of Tenant</w:t>
      </w:r>
      <w:r>
        <w:rPr>
          <w:rFonts w:ascii="Times New Roman" w:hAnsi="Times New Roman"/>
          <w:color w:val="000000"/>
          <w:sz w:val="20"/>
        </w:rPr>
        <w:t xml:space="preserve">. Whether or not Landlord elects to terminate this Lease on account of any Event of Default by Tenant, as set forth in this </w:t>
      </w:r>
      <w:r>
        <w:rPr>
          <w:rFonts w:ascii="Times New Roman" w:hAnsi="Times New Roman"/>
          <w:color w:val="000000"/>
          <w:sz w:val="20"/>
          <w:u w:val="single"/>
        </w:rPr>
        <w:t>Article 19</w:t>
      </w:r>
      <w:r>
        <w:rPr>
          <w:rFonts w:ascii="Times New Roman" w:hAnsi="Times New Roman"/>
          <w:color w:val="000000"/>
          <w:sz w:val="20"/>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19.4 </w:t>
      </w:r>
      <w:r>
        <w:rPr>
          <w:rFonts w:ascii="Times New Roman" w:hAnsi="Times New Roman"/>
          <w:b/>
          <w:color w:val="000000"/>
          <w:sz w:val="20"/>
          <w:u w:val="single"/>
        </w:rPr>
        <w:t>Form of Payment After Default</w:t>
      </w:r>
      <w:r>
        <w:rPr>
          <w:rFonts w:ascii="Times New Roman" w:hAnsi="Times New Roman"/>
          <w:color w:val="000000"/>
          <w:sz w:val="20"/>
        </w:rPr>
        <w:t>. Following the occurrence of an event of default by Tenant, Landlord shall have the right to require that any or all subsequent amounts paid by Tenant to Landlord hereunder, whether to cure the default in question or otherwise, be paid in the form of cash, money order, cashier’s or certified check drawn on an institution acceptable to Landlord, or by other means approved by Landlord, notwithstanding any prior practice of accepting payments in any different form.</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19.5 </w:t>
      </w:r>
      <w:r>
        <w:rPr>
          <w:rFonts w:ascii="Times New Roman" w:hAnsi="Times New Roman"/>
          <w:b/>
          <w:color w:val="000000"/>
          <w:sz w:val="20"/>
          <w:u w:val="single"/>
        </w:rPr>
        <w:t>Efforts to Relet</w:t>
      </w:r>
      <w:r>
        <w:rPr>
          <w:rFonts w:ascii="Times New Roman" w:hAnsi="Times New Roman"/>
          <w:color w:val="000000"/>
          <w:sz w:val="20"/>
          <w:u w:val="single"/>
        </w:rPr>
        <w:t>.</w:t>
      </w:r>
      <w:r>
        <w:rPr>
          <w:rFonts w:ascii="Times New Roman" w:hAnsi="Times New Roman"/>
          <w:color w:val="000000"/>
          <w:sz w:val="20"/>
        </w:rPr>
        <w:t xml:space="preserve">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19.6 </w:t>
      </w:r>
      <w:r>
        <w:rPr>
          <w:rFonts w:ascii="Times New Roman" w:hAnsi="Times New Roman"/>
          <w:b/>
          <w:color w:val="000000"/>
          <w:sz w:val="20"/>
          <w:u w:val="single"/>
        </w:rPr>
        <w:t>Landlord Default</w:t>
      </w:r>
      <w:r>
        <w:rPr>
          <w:rFonts w:ascii="Times New Roman" w:hAnsi="Times New Roman"/>
          <w:color w:val="000000"/>
          <w:sz w:val="20"/>
        </w:rPr>
        <w:t xml:space="preserve">. Notwithstanding anything to the contrary set forth in this Lease, Landlord shall be in default in the performance of any obligation required to be performed by Landlord pursuant to this Lease if Landlord fails to perform such obligation within thirty (30) days after the receipt of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diligently pursues the same to completion. Upon any such default by Landlord under this Lease, Tenant may, except as otherwise specifically provided in this Lease to the contrary, exercise any of its rights provided at law or in equity. Any award from a court or arbitrator in favor of Tenant requiring payment by Landlord which is not paid by Landlord within the time period directed by such award, may be offset by Tenant from Rent next due and payable under this Lease; provided, however, Tenant may not deduct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-40-</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6"/>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of the award against more than fifty percent (50%) of Base Rent next due and owing (until such time as the entire amount of such judgment is deducted) to the extent following a foreclosure or a deed-in-lieu of foreclosure.</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20</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COVENANT OF QUIET ENJOYMENT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Landlord covenants that Tenant, on paying the Rent, charges for services and other payments herein reserved and on keeping, observing and performing all the other TCCs, provisions and agreements herein contained on the part of Tenant to be kept, observed and performed, shall, during the Lease Term, peaceably and quietly have, hold and enjoy the Premises subject to the TCCs, provisions and agreements hereof without interference by any persons lawfully claiming by or through Landlord. The foregoing covenant is in lieu of any other covenant express or implied.</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LETTER OF CREDIT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21.1 </w:t>
      </w:r>
      <w:r>
        <w:rPr>
          <w:rFonts w:ascii="Times New Roman" w:hAnsi="Times New Roman"/>
          <w:b/>
          <w:color w:val="000000"/>
          <w:sz w:val="20"/>
          <w:u w:val="single"/>
        </w:rPr>
        <w:t>Delivery of Letter of Credit</w:t>
      </w:r>
      <w:r>
        <w:rPr>
          <w:rFonts w:ascii="Times New Roman" w:hAnsi="Times New Roman"/>
          <w:color w:val="000000"/>
          <w:sz w:val="20"/>
          <w:u w:val="single"/>
        </w:rPr>
        <w:t>.</w:t>
      </w:r>
      <w:r>
        <w:rPr>
          <w:rFonts w:ascii="Times New Roman" w:hAnsi="Times New Roman"/>
          <w:color w:val="000000"/>
          <w:sz w:val="20"/>
        </w:rPr>
        <w:t xml:space="preserve"> Tenant shall cause the “Bank” (as that term is defined below) to deliver to Landlord, prior to the Lease Commencement Date, a standby letter of credit (the “</w:t>
      </w:r>
      <w:r>
        <w:rPr>
          <w:rFonts w:ascii="Times New Roman" w:hAnsi="Times New Roman"/>
          <w:b/>
          <w:color w:val="000000"/>
          <w:sz w:val="20"/>
        </w:rPr>
        <w:t>L-C</w:t>
      </w:r>
      <w:r>
        <w:rPr>
          <w:rFonts w:ascii="Times New Roman" w:hAnsi="Times New Roman"/>
          <w:color w:val="000000"/>
          <w:sz w:val="20"/>
        </w:rPr>
        <w:t xml:space="preserve">”) that complies in all respects with the requirements of this </w:t>
      </w:r>
      <w:r>
        <w:rPr>
          <w:rFonts w:ascii="Times New Roman" w:hAnsi="Times New Roman"/>
          <w:color w:val="000000"/>
          <w:sz w:val="20"/>
          <w:u w:val="single"/>
        </w:rPr>
        <w:t>Article 21</w:t>
      </w:r>
      <w:r>
        <w:rPr>
          <w:rFonts w:ascii="Times New Roman" w:hAnsi="Times New Roman"/>
          <w:color w:val="000000"/>
          <w:sz w:val="20"/>
        </w:rPr>
        <w:t xml:space="preserve"> in the amount set forth in </w:t>
      </w:r>
      <w:r>
        <w:rPr>
          <w:rFonts w:ascii="Times New Roman" w:hAnsi="Times New Roman"/>
          <w:color w:val="000000"/>
          <w:sz w:val="20"/>
          <w:u w:val="single"/>
        </w:rPr>
        <w:t>Section 8</w:t>
      </w:r>
      <w:r>
        <w:rPr>
          <w:rFonts w:ascii="Times New Roman" w:hAnsi="Times New Roman"/>
          <w:color w:val="000000"/>
          <w:sz w:val="20"/>
        </w:rPr>
        <w:t xml:space="preserve"> of the Summary (the “</w:t>
      </w:r>
      <w:r>
        <w:rPr>
          <w:rFonts w:ascii="Times New Roman" w:hAnsi="Times New Roman"/>
          <w:b/>
          <w:color w:val="000000"/>
          <w:sz w:val="20"/>
        </w:rPr>
        <w:t>L-C Amount</w:t>
      </w:r>
      <w:r>
        <w:rPr>
          <w:rFonts w:ascii="Times New Roman" w:hAnsi="Times New Roman"/>
          <w:color w:val="000000"/>
          <w:sz w:val="20"/>
        </w:rPr>
        <w:t xml:space="preserve">”). The L-C shall: (i) be issued by a Bank; (ii) be in the form attached hereto as </w:t>
      </w:r>
      <w:r>
        <w:rPr>
          <w:rFonts w:ascii="Times New Roman" w:hAnsi="Times New Roman"/>
          <w:b/>
          <w:color w:val="000000"/>
          <w:sz w:val="20"/>
          <w:u w:val="single"/>
        </w:rPr>
        <w:t>Exhibit F</w:t>
      </w:r>
      <w:r>
        <w:rPr>
          <w:rFonts w:ascii="Times New Roman" w:hAnsi="Times New Roman"/>
          <w:color w:val="000000"/>
          <w:sz w:val="20"/>
        </w:rPr>
        <w:t>; (iii) be irrevocable, unconditional, and payable upon demand; (iv) be maintained in effect, whether through renewal or extension, for the period commencing on the date of this Lease and continuing until the date (the “</w:t>
      </w:r>
      <w:r>
        <w:rPr>
          <w:rFonts w:ascii="Times New Roman" w:hAnsi="Times New Roman"/>
          <w:b/>
          <w:color w:val="000000"/>
          <w:sz w:val="20"/>
        </w:rPr>
        <w:t>L-C Expiration Date</w:t>
      </w:r>
      <w:r>
        <w:rPr>
          <w:rFonts w:ascii="Times New Roman" w:hAnsi="Times New Roman"/>
          <w:color w:val="000000"/>
          <w:sz w:val="20"/>
        </w:rPr>
        <w:t>”) that is no less than one hundred twenty (120) days following the expiration of the Lease Term, as the same may be extended, (v) be drawable in either Los Angeles or San Francisco, California, (vi) contain a provision that provides that the L-C shall be automatically renewed on an annual basis without amendment of the L-C unless the Bank delivers a written notice of cancellation to Landlord at least sixty (60) days prior to the expiration of the L-C, without any action whatsoever on the part of Landlord; (vii) be fully assignable by Landlord, its successors and assigns; (viii) permit partial draws and multiple presentations and drawings, and (ix) be otherwise subject to the International Standby Practices-ISP 98, International Chamber of Commerce Publication #590 or Uniform Customs and Practices for Documentary Credits, 2007 Revision, International Chamber of Commerce Publication No. 600. Tenant shall pay all expenses, points, and/or fees incurred by Tenant in obtaining and maintaining the L-C. The term “</w:t>
      </w:r>
      <w:r>
        <w:rPr>
          <w:rFonts w:ascii="Times New Roman" w:hAnsi="Times New Roman"/>
          <w:b/>
          <w:color w:val="000000"/>
          <w:sz w:val="20"/>
        </w:rPr>
        <w:t>Bank</w:t>
      </w:r>
      <w:r>
        <w:rPr>
          <w:rFonts w:ascii="Times New Roman" w:hAnsi="Times New Roman"/>
          <w:color w:val="000000"/>
          <w:sz w:val="20"/>
        </w:rPr>
        <w:t>” referred to herein shall mean a commercial, solvent, nationally recognized bank, approved by Landlord, that satisfies all of the following requirements (the “</w:t>
      </w:r>
      <w:r>
        <w:rPr>
          <w:rFonts w:ascii="Times New Roman" w:hAnsi="Times New Roman"/>
          <w:b/>
          <w:color w:val="000000"/>
          <w:sz w:val="20"/>
        </w:rPr>
        <w:t>Bank Requirements</w:t>
      </w:r>
      <w:r>
        <w:rPr>
          <w:rFonts w:ascii="Times New Roman" w:hAnsi="Times New Roman"/>
          <w:color w:val="000000"/>
          <w:sz w:val="20"/>
        </w:rPr>
        <w:t>”): (a) has a long-term, unsecured, and unsubordinated debt obligations rating of no less than “A” by Fitch Ratings Ltd. (“</w:t>
      </w:r>
      <w:r>
        <w:rPr>
          <w:rFonts w:ascii="Times New Roman" w:hAnsi="Times New Roman"/>
          <w:b/>
          <w:color w:val="000000"/>
          <w:sz w:val="20"/>
        </w:rPr>
        <w:t>Fitch</w:t>
      </w:r>
      <w:r>
        <w:rPr>
          <w:rFonts w:ascii="Times New Roman" w:hAnsi="Times New Roman"/>
          <w:color w:val="000000"/>
          <w:sz w:val="20"/>
        </w:rPr>
        <w:t>”) and a short term deposit rating of no less than “F1” by Fitch (or in the event such applicable Fitch ratings are no longer available, comparable ratings from Standard and Poor’s Professional Rating Service or Moody’s Professional Rating Service); (b) accepts deposits and maintains accounts; (c) is chartered under the laws of the United States, any state thereof, or the District of Columbia, and which is insured by the Federal Deposit Insurance Corporation; and (d) is not subject to the control or jurisdiction of any receiver, trustee, custodian, conservator, liquidator or similar official under any federal or state or common law. Landlord accepts First Citizens Bank and Trust Co., Santa Clara, CA as an acceptable issuing bank.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21.2 </w:t>
      </w:r>
      <w:r>
        <w:rPr>
          <w:rFonts w:ascii="Times New Roman" w:hAnsi="Times New Roman"/>
          <w:b/>
          <w:color w:val="000000"/>
          <w:sz w:val="20"/>
          <w:u w:val="single"/>
        </w:rPr>
        <w:t>L-C Draw Event</w:t>
      </w:r>
      <w:r>
        <w:rPr>
          <w:rFonts w:ascii="Times New Roman" w:hAnsi="Times New Roman"/>
          <w:color w:val="000000"/>
          <w:sz w:val="20"/>
        </w:rPr>
        <w:t>. Each of the following is an “</w:t>
      </w:r>
      <w:r>
        <w:rPr>
          <w:rFonts w:ascii="Times New Roman" w:hAnsi="Times New Roman"/>
          <w:b/>
          <w:color w:val="000000"/>
          <w:sz w:val="20"/>
        </w:rPr>
        <w:t>L-C Draw Event</w:t>
      </w:r>
      <w:r>
        <w:rPr>
          <w:rFonts w:ascii="Times New Roman" w:hAnsi="Times New Roman"/>
          <w:color w:val="000000"/>
          <w:sz w:val="20"/>
        </w:rPr>
        <w:t>”: (i) such amount is due to Landlord under the terms and conditions of this Lease; (ii) the Lease has terminated prior to the expiration of the Lease Term as a result of Tenant’s breach or default of any term or provision of the Lease; (iii) Tenant has filed a voluntary petition under the U.S. Bankruptcy Code or any state bankruptcy code (collectively, “</w:t>
      </w:r>
      <w:r>
        <w:rPr>
          <w:rFonts w:ascii="Times New Roman" w:hAnsi="Times New Roman"/>
          <w:b/>
          <w:color w:val="000000"/>
          <w:sz w:val="20"/>
        </w:rPr>
        <w:t>Bankruptcy Code</w:t>
      </w:r>
      <w:r>
        <w:rPr>
          <w:rFonts w:ascii="Times New Roman" w:hAnsi="Times New Roman"/>
          <w:color w:val="000000"/>
          <w:sz w:val="20"/>
        </w:rPr>
        <w:t>”); (iv) an involuntary petition has been filed against Tenant under the Bankruptcy Code; (v) the Lease has been rejected or disaffirmed, or is deemed rejected or disaffirmed, under Section 365 of the U.S. Bankruptcy Code or any similar federal or state or common law; (vi) the Bank has notified Landlord that the L-C will not be renewed or extended through the L-C Expiration Date; (vii) the Bank has failed to notify Landlord that the L-C will be renewed or extended on or before the date that is sixty (60) days before the then applicable L-C expiration date; (viii) Tenant is placed into receivership, liquidation, or conservatorship, or becomes subject to similar proceedings under federal or state law; (ix) Tenant executes an assignment for the benefit of creditors or commences an involuntary dissolution or becomes subject to an involuntary dissolution; or (x) the Bank no longer satisfies the Bank Requirements or there is otherwise a material adverse change in the financial condition of the Bank.</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-41-</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7"/>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21.3 </w:t>
      </w:r>
      <w:r>
        <w:rPr>
          <w:rFonts w:ascii="Times New Roman" w:hAnsi="Times New Roman"/>
          <w:b/>
          <w:color w:val="000000"/>
          <w:sz w:val="20"/>
          <w:u w:val="single"/>
        </w:rPr>
        <w:t>Application of L</w:t>
      </w:r>
      <w:r>
        <w:rPr>
          <w:rFonts w:ascii="Times New Roman" w:hAnsi="Times New Roman"/>
          <w:color w:val="000000"/>
          <w:sz w:val="20"/>
          <w:u w:val="single"/>
        </w:rPr>
        <w:t>-</w:t>
      </w:r>
      <w:r>
        <w:rPr>
          <w:rFonts w:ascii="Times New Roman" w:hAnsi="Times New Roman"/>
          <w:b/>
          <w:color w:val="000000"/>
          <w:sz w:val="20"/>
          <w:u w:val="single"/>
        </w:rPr>
        <w:t>C Proceeds</w:t>
      </w:r>
      <w:r>
        <w:rPr>
          <w:rFonts w:ascii="Times New Roman" w:hAnsi="Times New Roman"/>
          <w:color w:val="000000"/>
          <w:sz w:val="20"/>
        </w:rPr>
        <w:t xml:space="preserve">. In the event of any L-C Draw Event, Landlord may, but without obligation to do so, and without notice to Tenant (except in connection with an L-C Draw Event under </w:t>
      </w:r>
      <w:r>
        <w:rPr>
          <w:rFonts w:ascii="Times New Roman" w:hAnsi="Times New Roman"/>
          <w:color w:val="000000"/>
          <w:sz w:val="20"/>
          <w:u w:val="single"/>
        </w:rPr>
        <w:t>Section 21.2(x)</w:t>
      </w:r>
      <w:r>
        <w:rPr>
          <w:rFonts w:ascii="Times New Roman" w:hAnsi="Times New Roman"/>
          <w:color w:val="000000"/>
          <w:sz w:val="20"/>
        </w:rPr>
        <w:t xml:space="preserve"> above) draw upon the L-C, in part or in whole, and may, but is not obligated to, apply the proceeds of the L-C to any and all amounts due and owing under this Lease and to compensate Landlord for any and all damages or losses of any kind or nature sustained or which Landlord reasonably estimates that it will sustain resulting from Tenant’s breach or default of the Lease or other L-C Draw Event and/or to compensate Landlord for any and all damages or losses arising out of, or incurred in connection with, the termination of this Lease, including, without limitation, those specifically identified in Section 1951.2 of the California Civil Code. The use, application, or retention of the L-C proceeds, or any portion thereof, by Landlord shall not prevent Landlord from exercising any other right or remedy provided by this Lease or by any Applicable Laws, and Landlord shall not first be required to proceed against the L-C, and such L-C or the proceeds thereof shall not operate as a limitation on any recovery to which Landlord may otherwise be entitled. No condition or term of this Lease shall be deemed to render the L-C conditional to justify the issuer of the L-C in failing to honor a drawing upon such L-C in a timely manner. Tenant agrees and acknowledges that: (i) the L-C constitutes a separate and independent contract between Landlord and the Bank; (ii) Tenant is not a third party beneficiary of such contract; (iii) Tenant has no property interest whatsoever in the L-C or the proceeds thereof; and (iv) in the event Tenant becomes a debtor under any chapter of the Bankruptcy Code, Tenant is placed into receivership or conservatorship, there is an event of a receivership, conservatorship, or bankruptcy filing by, or on behalf of, Tenant, or Tenant executes an assignment for the benefit of creditors, neither Tenant, any trustee, receiver, conservator, assignee, nor Tenant’s bankruptcy estate shall have any right to restrict or limit Landlord’s claim or rights to the L-C or the proceeds thereof by application of Section 502(b)(6) of the U.S. Bankruptcy Code, any similar </w:t>
      </w:r>
      <w:r>
        <w:rPr>
          <w:rFonts w:ascii="Times New Roman" w:hAnsi="Times New Roman"/>
          <w:b/>
          <w:color w:val="000000"/>
          <w:sz w:val="20"/>
        </w:rPr>
        <w:t>s</w:t>
      </w:r>
      <w:r>
        <w:rPr>
          <w:rFonts w:ascii="Times New Roman" w:hAnsi="Times New Roman"/>
          <w:color w:val="000000"/>
          <w:sz w:val="20"/>
        </w:rPr>
        <w:t>tate or federal law, or otherwise.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21.4 </w:t>
      </w:r>
      <w:r>
        <w:rPr>
          <w:rFonts w:ascii="Times New Roman" w:hAnsi="Times New Roman"/>
          <w:b/>
          <w:color w:val="000000"/>
          <w:sz w:val="20"/>
          <w:u w:val="single"/>
        </w:rPr>
        <w:t>Replenishment, Renewal and Replacement of L-C</w:t>
      </w:r>
      <w:r>
        <w:rPr>
          <w:rFonts w:ascii="Times New Roman" w:hAnsi="Times New Roman"/>
          <w:color w:val="000000"/>
          <w:sz w:val="20"/>
        </w:rPr>
        <w:t xml:space="preserve">. Tenant shall have no right to replace the L-C without Landlord’s express written consent, which may be withheld in Landlord’s sole and absolute discretion. In the event Landlord consents to the replacement of the L-C for any reason, Landlord may require, as a condition of such consent, that the L-C remain in place with all existing rights thereunder for a period of one hundred ten (110) days following the delivery of the new L-C, and Tenant shall extend the original L-C as necessary to facilitate the same. The new L-C shall comply with all terms and conditions of this </w:t>
      </w:r>
      <w:r>
        <w:rPr>
          <w:rFonts w:ascii="Times New Roman" w:hAnsi="Times New Roman"/>
          <w:color w:val="000000"/>
          <w:sz w:val="20"/>
          <w:u w:val="single"/>
        </w:rPr>
        <w:t>Article 21</w:t>
      </w:r>
      <w:r>
        <w:rPr>
          <w:rFonts w:ascii="Times New Roman" w:hAnsi="Times New Roman"/>
          <w:color w:val="000000"/>
          <w:sz w:val="20"/>
        </w:rPr>
        <w:t xml:space="preserve">. If, as a result of any drawing by Landlord on the L-C pursuant to an L-C Draw Event, the amount of the L-C shall be less than the L-C Amount, Tenant shall, within ten (10) days after written notice thereof from Landlord, provide Landlord with (i) an amendment to the L-C restoring such L-C to the L-C Amount or (ii) an additional L-C in an amount equal to the deficiency, which additional L-C shall comply with all of the provisions of this </w:t>
      </w:r>
      <w:r>
        <w:rPr>
          <w:rFonts w:ascii="Times New Roman" w:hAnsi="Times New Roman"/>
          <w:color w:val="000000"/>
          <w:sz w:val="20"/>
          <w:u w:val="single"/>
        </w:rPr>
        <w:t>Article 21</w:t>
      </w:r>
      <w:r>
        <w:rPr>
          <w:rFonts w:ascii="Times New Roman" w:hAnsi="Times New Roman"/>
          <w:color w:val="000000"/>
          <w:sz w:val="20"/>
        </w:rPr>
        <w:t>. If the L-C expires earlier than the L-C Expiration Date, Tenant shall deliver a certificate of renewal or extension to Landlord at least sixty (60) days prior to the expiration of the L-C then held by Landlord, without any action whatsoever on the part of Landlord. In furtherance of the foregoing, if the L-C has an expiration date prior to the L-C Expiration Date, Landlord and Tenant agree that the L-C shall contain a so-called “evergreen provision,” whereby the L-C will automatically be renewed, without amendment, unless at least sixty (60) days’ prior written notice of non-renewal is provided by the issuer to Landlord. If the Bank fails to satisfy any of the Bank Requirements, Tenant shall deliver a replacement L-C to Landlord within ten (10) business days of Landlord’s request therefor. At any time that Tenant has failed to timely provide Landlord with a renewed L-C, amended L-C, additional L-C or replacement L-C as and when required under this Lease, then notwithstanding anything in this Lease to the contrary, Landlord shall have the right to declare that an Event of Default has occurred for which there shall be no notice or grace or cure periods applicable thereto. The L-C shall be honored by the Bank regardless of whether Tenant disputes Landlord’s right to draw upon the L-C. Tenant shall be responsible for the payment of any and all costs incurred by Landlord (including, without limitation, Landlord’s reasonable attorneys’ fees) relating to the review of any renewed, amended, additional or replacement L-C.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21.5 In the event that Landlord draws on the L-C pursuant to an L-C Draw Event, subject to </w:t>
      </w:r>
      <w:r>
        <w:rPr>
          <w:rFonts w:ascii="Times New Roman" w:hAnsi="Times New Roman"/>
          <w:color w:val="000000"/>
          <w:sz w:val="20"/>
          <w:u w:val="single"/>
        </w:rPr>
        <w:t>Section 21.10</w:t>
      </w:r>
      <w:r>
        <w:rPr>
          <w:rFonts w:ascii="Times New Roman" w:hAnsi="Times New Roman"/>
          <w:color w:val="000000"/>
          <w:sz w:val="20"/>
        </w:rPr>
        <w:t xml:space="preserve"> below, (i) any unused proceeds shall constitute the property of Landlord (and not Tenant’s property or, in the event of a receivership, conservatorship, or bankruptcy filing by, or on behalf of, Tenant, property of such receivership, conservatorship or Tenant’s bankruptcy estate) and need not be segregated from Landlord’s other assets, and (ii) Landlord agrees to pay to Tenant within thirty (30) days after the L-C Expiration Date the amount of any proceeds of the L-C received by Landlord and not applied as contemplated in this </w:t>
      </w:r>
      <w:r>
        <w:rPr>
          <w:rFonts w:ascii="Times New Roman" w:hAnsi="Times New Roman"/>
          <w:color w:val="000000"/>
          <w:sz w:val="20"/>
          <w:u w:val="single"/>
        </w:rPr>
        <w:t>Article 21</w:t>
      </w:r>
      <w:r>
        <w:rPr>
          <w:rFonts w:ascii="Times New Roman" w:hAnsi="Times New Roman"/>
          <w:color w:val="000000"/>
          <w:sz w:val="20"/>
        </w:rPr>
        <w:t xml:space="preserve">; provided, however, that if prior to the L-C Expiration Date a voluntary petition is filed by Tenant, or an involuntary petition is filed against Tenant by any of Tenant’s creditors, under the Bankruptcy Code or if Tenant executes an assignment for the benefit of creditors or is placed in receivership or liquidation, then Landlord shall not be obligated to make such payment in the amount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-42-</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8"/>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the unused L-C proceeds until either all preference issues relating to payments under this Lease have been resolved in such bankruptcy or reorganization case or such bankruptcy or reorganization case has been dismissed.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21.6 </w:t>
      </w:r>
      <w:r>
        <w:rPr>
          <w:rFonts w:ascii="Times New Roman" w:hAnsi="Times New Roman"/>
          <w:b/>
          <w:color w:val="000000"/>
          <w:sz w:val="20"/>
          <w:u w:val="single"/>
        </w:rPr>
        <w:t>Transfer and Encumbrance</w:t>
      </w:r>
      <w:r>
        <w:rPr>
          <w:rFonts w:ascii="Times New Roman" w:hAnsi="Times New Roman"/>
          <w:color w:val="000000"/>
          <w:sz w:val="20"/>
        </w:rPr>
        <w:t>. Tenant has no right to assign or encumber the L-C or any part thereof and neither Landlord nor its successors or assigns will be bound by any such assignment, encumbrance, attempted assignment or attempted encumbrance. In the event of an assignment by Tenant of its interest in the Lease (and irrespective of whether Landlord’s consent is required for such assignment), the acceptance of any replacement or substitute letter of credit by Landlord from the assignee shall be subject to Landlord’s prior written approval, in Landlord’s sole and absolute discretion. At any time and without notice to Tenant and without first obtaining Tenant’s consent thereto, Landlord may transfer (one or more times) all or any portion of its interest in and to the L-C to another party, person or entity, regardless of whether or not such transfer is from or as a part of the assignment by Landlord of its rights and interests in and to this Lease. In the event of a transfer of Landlord’s interest in this Lease, Landlord shall transfer the L- 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 provided that Landlord shall have the right (in its sole discretion), but not the obligation, to pay such fees on behalf of Tenant.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21.7 </w:t>
      </w:r>
      <w:r>
        <w:rPr>
          <w:rFonts w:ascii="Times New Roman" w:hAnsi="Times New Roman"/>
          <w:b/>
          <w:color w:val="000000"/>
          <w:sz w:val="20"/>
          <w:u w:val="single"/>
        </w:rPr>
        <w:t>L-C Not a Security Deposit</w:t>
      </w:r>
      <w:r>
        <w:rPr>
          <w:rFonts w:ascii="Times New Roman" w:hAnsi="Times New Roman"/>
          <w:color w:val="000000"/>
          <w:sz w:val="20"/>
        </w:rPr>
        <w:t>. In no event or circumstance shall the L-C, any renewal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Times New Roman" w:hAnsi="Times New Roman"/>
          <w:b/>
          <w:color w:val="000000"/>
          <w:sz w:val="20"/>
        </w:rPr>
        <w:t>Security Deposit Laws</w:t>
      </w:r>
      <w:r>
        <w:rPr>
          <w:rFonts w:ascii="Times New Roman" w:hAnsi="Times New Roman"/>
          <w:color w:val="000000"/>
          <w:sz w:val="20"/>
        </w:rPr>
        <w:t>”). The L-C (including any renewal thereof or substitute therefor or any proceeds thereof) is not intended to serve as a security deposit, and the Security Deposit Laws shall have no applicability or relevancy thereto. Landlord and Tenant hereby waive any and all rights, duties and obligations that any such party may now, or in the future will, have relating to or arising from the Security Deposit Laws</w:t>
      </w:r>
      <w:r>
        <w:rPr>
          <w:rFonts w:ascii="Times New Roman" w:hAnsi="Times New Roman"/>
          <w:i/>
          <w:color w:val="000000"/>
          <w:sz w:val="20"/>
        </w:rPr>
        <w:t xml:space="preserve">. </w:t>
      </w:r>
      <w:r>
        <w:rPr>
          <w:rFonts w:ascii="Times New Roman" w:hAnsi="Times New Roman"/>
          <w:color w:val="000000"/>
          <w:sz w:val="20"/>
        </w:rPr>
        <w:t>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21.8 </w:t>
      </w:r>
      <w:r>
        <w:rPr>
          <w:rFonts w:ascii="Times New Roman" w:hAnsi="Times New Roman"/>
          <w:b/>
          <w:color w:val="000000"/>
          <w:sz w:val="20"/>
          <w:u w:val="single"/>
        </w:rPr>
        <w:t>Non-Interference By Tenant</w:t>
      </w:r>
      <w:r>
        <w:rPr>
          <w:rFonts w:ascii="Times New Roman" w:hAnsi="Times New Roman"/>
          <w:color w:val="000000"/>
          <w:sz w:val="20"/>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 shall not request or instruct the Bank to refrain from paying sight draft(s) drawn under such L-C.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21.9 </w:t>
      </w:r>
      <w:r>
        <w:rPr>
          <w:rFonts w:ascii="Times New Roman" w:hAnsi="Times New Roman"/>
          <w:b/>
          <w:color w:val="000000"/>
          <w:sz w:val="20"/>
          <w:u w:val="single"/>
        </w:rPr>
        <w:t>Waiver of Certain Relief</w:t>
      </w:r>
      <w:r>
        <w:rPr>
          <w:rFonts w:ascii="Times New Roman" w:hAnsi="Times New Roman"/>
          <w:color w:val="000000"/>
          <w:sz w:val="20"/>
          <w:u w:val="single"/>
        </w:rPr>
        <w:t>.</w:t>
      </w:r>
      <w:r>
        <w:rPr>
          <w:rFonts w:ascii="Times New Roman" w:hAnsi="Times New Roman"/>
          <w:color w:val="000000"/>
          <w:sz w:val="20"/>
        </w:rPr>
        <w:t xml:space="preserve"> Tenant unconditionally and irrevocably waives (and as an independent covenant hereunder, covenants not to assert) any right to claim or obtain any of the following relief in connection with the L-C: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21.9.1 A temporary restraining order, temporary injunction, permanent injunction, or other order that would prevent, restrain or restrict the presentment of sight drafts drawn under the L-C or the Bank’s honoring or payment of sight draft(s);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21.9.2 Any attachment, garnishment, or levy in any manner upon either the proceeds of the L-C or the obligations of the Bank (either before or after the presentment to the Bank of sight drafts drawn under such L-C) based on any theory whatever.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21.10 </w:t>
      </w:r>
      <w:r>
        <w:rPr>
          <w:rFonts w:ascii="Times New Roman" w:hAnsi="Times New Roman"/>
          <w:b/>
          <w:color w:val="000000"/>
          <w:sz w:val="20"/>
          <w:u w:val="single"/>
        </w:rPr>
        <w:t>Remedy for Improper Drafts</w:t>
      </w:r>
      <w:r>
        <w:rPr>
          <w:rFonts w:ascii="Times New Roman" w:hAnsi="Times New Roman"/>
          <w:color w:val="000000"/>
          <w:sz w:val="20"/>
        </w:rPr>
        <w:t xml:space="preserve">. Tenant’s sole and exclusive remedy in connection with Landlord’s improper draw against the L-C or Landlord’s improper application or retention of any proceeds of the L-C shall be the right to obtain from Landlord a refund of the amount of any sight draft(s) that were improperly presented or the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-43-</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9"/>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proceeds of which were misapplied or wrongfully held, together with interest at the Interest Rate and reasonable actual out-of-pocket attorneys’ fees, provided that at the time of such refund, Tenant increases the amount of such L-C to the amount (if any) then required under the applicable provisions of this Lease. Tenant irrevocably waives any right to secondary, incidental, indirect or consequential damages in any way related to Landlord’s draw on the L-C. Tenant acknowledges that Landlord’s draw against the L-C, application or retention of any proceeds thereof, or the Bank’s payment under such L-C,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INTENTIONALLY OMITTED</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23</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SIGNS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23.1 </w:t>
      </w:r>
      <w:r>
        <w:rPr>
          <w:rFonts w:ascii="Times New Roman" w:hAnsi="Times New Roman"/>
          <w:b/>
          <w:color w:val="000000"/>
          <w:sz w:val="20"/>
          <w:u w:val="single"/>
        </w:rPr>
        <w:t>Full Floors</w:t>
      </w:r>
      <w:r>
        <w:rPr>
          <w:rFonts w:ascii="Times New Roman" w:hAnsi="Times New Roman"/>
          <w:color w:val="000000"/>
          <w:sz w:val="20"/>
        </w:rPr>
        <w:t>. Subject to Landlord’s prior written approval, in its sole discretion, and provided all signs are in keeping with the quality, design and style of the Building and Project, Tenant, if the Premises comprise an entire floor of the Building, at its sole cost and expense, may install identification signage anywhere in the Premises including in the elevator lobby of the Premises, provided that such signs must not be visible from the exterior of the Building.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23.2 </w:t>
      </w:r>
      <w:r>
        <w:rPr>
          <w:rFonts w:ascii="Times New Roman" w:hAnsi="Times New Roman"/>
          <w:b/>
          <w:color w:val="000000"/>
          <w:sz w:val="20"/>
          <w:u w:val="single"/>
        </w:rPr>
        <w:t>Multi-Tenant Floors</w:t>
      </w:r>
      <w:r>
        <w:rPr>
          <w:rFonts w:ascii="Times New Roman" w:hAnsi="Times New Roman"/>
          <w:color w:val="000000"/>
          <w:sz w:val="20"/>
        </w:rPr>
        <w:t>. If other tenants occupy space on the floor on which the Premises is located, Tenant’s identifying signage shall be provided by Landlord, and such signage shall be comparable to that used by Landlord for other similar floors in the Building and shall comply with Landlord’s Building standard signage program.</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23.3 </w:t>
      </w:r>
      <w:r>
        <w:rPr>
          <w:rFonts w:ascii="Times New Roman" w:hAnsi="Times New Roman"/>
          <w:b/>
          <w:color w:val="000000"/>
          <w:sz w:val="20"/>
          <w:u w:val="single"/>
        </w:rPr>
        <w:t>Building Directory</w:t>
      </w:r>
      <w:r>
        <w:rPr>
          <w:rFonts w:ascii="Times New Roman" w:hAnsi="Times New Roman"/>
          <w:color w:val="000000"/>
          <w:sz w:val="20"/>
        </w:rPr>
        <w:t>. A building directory is located in the lobby of the Building. Tenant shall have the right, at Landlord’s sole cost and expense as to Tenant’s initial name strip, to designate one (1) name strip on such directory, and any subsequent changes to Tenant’s name strip shall be at Tenant’s sole cost and expense following Tenant’s receipt of Landlord’s consent thereto (which consent may be withheld in Landlord’s sole and absolute discretion).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23.4 </w:t>
      </w:r>
      <w:r>
        <w:rPr>
          <w:rFonts w:ascii="Times New Roman" w:hAnsi="Times New Roman"/>
          <w:b/>
          <w:color w:val="000000"/>
          <w:sz w:val="20"/>
          <w:u w:val="single"/>
        </w:rPr>
        <w:t>Prohibited Signage and Other Items</w:t>
      </w:r>
      <w:r>
        <w:rPr>
          <w:rFonts w:ascii="Times New Roman" w:hAnsi="Times New Roman"/>
          <w:color w:val="000000"/>
          <w:sz w:val="20"/>
        </w:rPr>
        <w:t>. Any signs, notices, logos, pictures, names or advertisements which are installed and that have not been separately approved by Landlord may be removed without notice by Landlord at the sole expense of Tenant.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23.5 </w:t>
      </w:r>
      <w:r>
        <w:rPr>
          <w:rFonts w:ascii="Times New Roman" w:hAnsi="Times New Roman"/>
          <w:b/>
          <w:color w:val="000000"/>
          <w:sz w:val="20"/>
          <w:u w:val="single"/>
        </w:rPr>
        <w:t>Tenant’s Exterior Signage</w:t>
      </w:r>
      <w:r>
        <w:rPr>
          <w:rFonts w:ascii="Times New Roman" w:hAnsi="Times New Roman"/>
          <w:color w:val="000000"/>
          <w:sz w:val="20"/>
        </w:rPr>
        <w:t xml:space="preserve">. Subject to the terms and conditions of this </w:t>
      </w:r>
      <w:r>
        <w:rPr>
          <w:rFonts w:ascii="Times New Roman" w:hAnsi="Times New Roman"/>
          <w:color w:val="000000"/>
          <w:sz w:val="20"/>
          <w:u w:val="single"/>
        </w:rPr>
        <w:t>Section 23.5</w:t>
      </w:r>
      <w:r>
        <w:rPr>
          <w:rFonts w:ascii="Times New Roman" w:hAnsi="Times New Roman"/>
          <w:color w:val="000000"/>
          <w:sz w:val="20"/>
        </w:rPr>
        <w:t>, Tenant, at Tenant’s sole cost and expense, shall have the right to install, repair and maintain signage depicting Tenant’s name on the exterior of the Building (“</w:t>
      </w:r>
      <w:r>
        <w:rPr>
          <w:rFonts w:ascii="Times New Roman" w:hAnsi="Times New Roman"/>
          <w:b/>
          <w:color w:val="000000"/>
          <w:sz w:val="20"/>
        </w:rPr>
        <w:t>Tenant’s Exterior Signage</w:t>
      </w:r>
      <w:r>
        <w:rPr>
          <w:rFonts w:ascii="Times New Roman" w:hAnsi="Times New Roman"/>
          <w:color w:val="000000"/>
          <w:sz w:val="20"/>
        </w:rPr>
        <w:t>”), consisting of one (1) exterior elevation of the Building, which elevation shall be at a location mutually agreeable to Landlord and Tenant; provided, however, that such Tenant’s Exterior Signage shall be smaller and not installed in the same location as the existing “Capital One” sign located on the exterior of the Building. The graphics, materials, color, design, lettering, lighting, size, illumination, specifications and exact location of Tenant’s Exterior Signage shall be subject to the prior written approval of Landlord, which approval shall not be unreasonably withheld, conditioned or delayed; provided, however, without limiting other reasons for which Landlord may reasonably withhold its approval, it shall be deemed reasonable for Landlord to withhold its approval of Tenant’s Exterior Signage if the same is inconsistent with, or otherwise not compatible with the quality, design and style of the Project, the Project-wide signage program (the “</w:t>
      </w:r>
      <w:r>
        <w:rPr>
          <w:rFonts w:ascii="Times New Roman" w:hAnsi="Times New Roman"/>
          <w:b/>
          <w:color w:val="000000"/>
          <w:sz w:val="20"/>
        </w:rPr>
        <w:t>Signage Program</w:t>
      </w:r>
      <w:r>
        <w:rPr>
          <w:rFonts w:ascii="Times New Roman" w:hAnsi="Times New Roman"/>
          <w:color w:val="000000"/>
          <w:sz w:val="20"/>
        </w:rPr>
        <w:t xml:space="preserve">”) (as approved by the city in which the Building is located), or if such signage unreasonably interferes with the Building’s exterior window cleaning systems. Tenant’s Exterior Signage shall otherwise be constructed as an Alteration or Improvement, as applicable. In addition, Tenant’s Exterior Signage shall be subject to Tenant’s receipt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-44-</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50"/>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all required governmental permits and approvals and shall be subject to all Applicable Laws, and the Signage Program. Notwithstanding Landlord’s approval of Tenant’s Exterior Signage, Landlord has made no representation or warranty to Tenant with respect to the probability of obtaining all necessary governmental approvals and permits for Tenant’s Exterior Signage. Tenant shall install Tenant’s Exterior Signage within eighteen (18) months following the Lease Commencement Date, or Tenant’s rights to install Tenant’s Exterior Signage shall expire. Tenant’s Exterior Signage shall constitute Tenant’s Off-Premises Equipment. If the Tenant’s Exterior Signage uses any electricity, Tenant shall pay for the cost to purchase and install electrical submeter equipment and wiring, and thereafter Tenant shall pay to Landlord the monthly electrical submeter charges throughout the Lease Term.</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23.5.1 </w:t>
      </w:r>
      <w:r>
        <w:rPr>
          <w:rFonts w:ascii="Times New Roman" w:hAnsi="Times New Roman"/>
          <w:b/>
          <w:color w:val="000000"/>
          <w:sz w:val="20"/>
          <w:u w:val="single"/>
        </w:rPr>
        <w:t>Objectionable Name or Logo</w:t>
      </w:r>
      <w:r>
        <w:rPr>
          <w:rFonts w:ascii="Times New Roman" w:hAnsi="Times New Roman"/>
          <w:color w:val="000000"/>
          <w:sz w:val="20"/>
        </w:rPr>
        <w:t>. Any Tenant name and/or logo shall not have a name which relates to an entity which is of a character or reputation, or is associated with a political faction or orientation, which is inconsistent with the quality of the Project, or which would otherwise be reasonably objectionable to a landlord of a Comparable Building (an “</w:t>
      </w:r>
      <w:r>
        <w:rPr>
          <w:rFonts w:ascii="Times New Roman" w:hAnsi="Times New Roman"/>
          <w:b/>
          <w:color w:val="000000"/>
          <w:sz w:val="20"/>
        </w:rPr>
        <w:t>Objectionable Name</w:t>
      </w:r>
      <w:r>
        <w:rPr>
          <w:rFonts w:ascii="Times New Roman" w:hAnsi="Times New Roman"/>
          <w:color w:val="000000"/>
          <w:sz w:val="20"/>
        </w:rPr>
        <w:t>”). The parties hereby agree that the name Amplitude, Inc. or any reasonable derivation thereof, shall not be deemed an Objectionable Name. Any changes to Tenant’s Exterior Signage shall be at Tenant’s sole cost and expense, and subject to Landlord’s approval.</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23.5.2 </w:t>
      </w:r>
      <w:r>
        <w:rPr>
          <w:rFonts w:ascii="Times New Roman" w:hAnsi="Times New Roman"/>
          <w:b/>
          <w:color w:val="000000"/>
          <w:sz w:val="20"/>
          <w:u w:val="single"/>
        </w:rPr>
        <w:t>Termination of Tenant’s Exterior Signage</w:t>
      </w:r>
      <w:r>
        <w:rPr>
          <w:rFonts w:ascii="Times New Roman" w:hAnsi="Times New Roman"/>
          <w:color w:val="000000"/>
          <w:sz w:val="20"/>
        </w:rPr>
        <w:t>. Tenant’s Exterior Signage rights are not transferrable, except to a Permitted Transferee Assignee. Tenant shall not have the right to Tenant’s Exterior Signage, and Tenant’s Exterior Signage right shall terminate upon the earliest to occur of (a) Tenant’s assignment of this Lease, other than to a Permitted Transferee Assignee, (b) Tenant’s sublease of more than fifty percent (50%) or more of the entire then- existing Premises, other than to a Permitted Transferee for substantially the remaining Lease Term, (c) [Intentionally Deleted] and (d) the occurrence of the second (2</w:t>
      </w:r>
      <w:r>
        <w:rPr>
          <w:rFonts w:ascii="Times New Roman" w:hAnsi="Times New Roman"/>
          <w:color w:val="000000"/>
          <w:sz w:val="13"/>
        </w:rPr>
        <w:t>nd</w:t>
      </w:r>
      <w:r>
        <w:rPr>
          <w:rFonts w:ascii="Times New Roman" w:hAnsi="Times New Roman"/>
          <w:color w:val="000000"/>
          <w:sz w:val="20"/>
        </w:rPr>
        <w:t>) Event of Default. If Tenant’s Exterior Signage rights terminate prior to the expiration of the Lease Term, Tenant shall comply with the removal and restoration terms of this Lease, as if the Lease Term were expiration as of the date of such early termination.</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24</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COMPLIANCE WITH LAW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24.1 </w:t>
      </w:r>
      <w:r>
        <w:rPr>
          <w:rFonts w:ascii="Times New Roman" w:hAnsi="Times New Roman"/>
          <w:b/>
          <w:color w:val="000000"/>
          <w:sz w:val="20"/>
          <w:u w:val="single"/>
        </w:rPr>
        <w:t>Tenant’s Compliance Obligations</w:t>
      </w:r>
      <w:r>
        <w:rPr>
          <w:rFonts w:ascii="Times New Roman" w:hAnsi="Times New Roman"/>
          <w:color w:val="000000"/>
          <w:sz w:val="20"/>
        </w:rPr>
        <w:t>. Tenant shall not do anything or suffer anything to be done in or about the Premises or the Project which will in any way conflict with any law, statute, ordinance or other rule, directive, order, regulation, guideline, or requirement of any governmental entity or governmental agency now in force or which may hereafter be enacted or promulgated (collectively, “</w:t>
      </w:r>
      <w:r>
        <w:rPr>
          <w:rFonts w:ascii="Times New Roman" w:hAnsi="Times New Roman"/>
          <w:b/>
          <w:color w:val="000000"/>
          <w:sz w:val="20"/>
        </w:rPr>
        <w:t>Applicable Laws</w:t>
      </w:r>
      <w:r>
        <w:rPr>
          <w:rFonts w:ascii="Times New Roman" w:hAnsi="Times New Roman"/>
          <w:color w:val="000000"/>
          <w:sz w:val="20"/>
        </w:rPr>
        <w:t>”). At its sole cost and expense, Tenant shall promptly comply with all Applicable Laws (including the making of any alterations to the Premises required by Applicable Laws) which relate to (i) Tenant’s use of, or requirements to cease or reduce Tenant’s business operations in or Tenant’s use of, the Premises, (ii) Tenant’s Repair Obligations, and (iii) Tenant’s Insured Property.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at its sole cost and expense, shall comply promptly with such standards or regulations. The judgment of any court of competent jurisdiction or the admission of Tenant in any judicial action, regardless of whether Landlord is a party thereto, that Tenant has violated any of said governmental measures, shall be conclusive of that fact as between Landlord and Tenant.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24.2 </w:t>
      </w:r>
      <w:r>
        <w:rPr>
          <w:rFonts w:ascii="Times New Roman" w:hAnsi="Times New Roman"/>
          <w:b/>
          <w:color w:val="000000"/>
          <w:sz w:val="20"/>
          <w:u w:val="single"/>
        </w:rPr>
        <w:t>Landlord’s Compliance Obligations</w:t>
      </w:r>
      <w:r>
        <w:rPr>
          <w:rFonts w:ascii="Times New Roman" w:hAnsi="Times New Roman"/>
          <w:color w:val="000000"/>
          <w:sz w:val="20"/>
        </w:rPr>
        <w:t xml:space="preserve">. Landlord shall comply with all Applicable Laws relating to Landlord’s Repair Obligations and Landlord’s Insured Property to the extent that Landlord’s failure to comply therewith would prohibit Tenant from obtaining or maintaining a certificate of occupancy for the Premises allowing for general office use, or would unreasonably and materially affect the safety of Tenant’s employees or create a significant health hazard for Tenant’s employees. If any changes are required to areas of the Project that are subject to Landlord’s Repair Obligations or Landlord’s Insured Property as a result of Tenant’s Alterations or use of the Premises for non-general office use or Tenant’s use of the Premises with an above- standard occupancy density, then Landlord shall make such changes at Tenant’s sole cost and expense, including Landlord’s standard supervision fee (or, at Landlord’s election, Tenant shall not be permitted to proceed with the Alterations, or use of the Premises that has or will trigger such changes). Landlord shall be permitted to include in Operating Expenses any costs or expenses incurred by Landlord under this </w:t>
      </w:r>
      <w:r>
        <w:rPr>
          <w:rFonts w:ascii="Times New Roman" w:hAnsi="Times New Roman"/>
          <w:color w:val="000000"/>
          <w:sz w:val="20"/>
          <w:u w:val="single"/>
        </w:rPr>
        <w:t>Article 24</w:t>
      </w:r>
      <w:r>
        <w:rPr>
          <w:rFonts w:ascii="Times New Roman" w:hAnsi="Times New Roman"/>
          <w:color w:val="000000"/>
          <w:sz w:val="20"/>
        </w:rPr>
        <w:t xml:space="preserve"> to the extent not prohibited by the terms of </w:t>
      </w:r>
      <w:r>
        <w:rPr>
          <w:rFonts w:ascii="Times New Roman" w:hAnsi="Times New Roman"/>
          <w:color w:val="000000"/>
          <w:sz w:val="20"/>
          <w:u w:val="single"/>
        </w:rPr>
        <w:t>Article 4</w:t>
      </w:r>
      <w:r>
        <w:rPr>
          <w:rFonts w:ascii="Times New Roman" w:hAnsi="Times New Roman"/>
          <w:color w:val="000000"/>
          <w:sz w:val="20"/>
        </w:rPr>
        <w:t xml:space="preserve"> above.</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-45-</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51"/>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24.3 </w:t>
      </w:r>
      <w:r>
        <w:rPr>
          <w:rFonts w:ascii="Times New Roman" w:hAnsi="Times New Roman"/>
          <w:b/>
          <w:color w:val="000000"/>
          <w:sz w:val="20"/>
          <w:u w:val="single"/>
        </w:rPr>
        <w:t>Certified Access Specialist</w:t>
      </w:r>
      <w:r>
        <w:rPr>
          <w:rFonts w:ascii="Times New Roman" w:hAnsi="Times New Roman"/>
          <w:color w:val="000000"/>
          <w:sz w:val="20"/>
        </w:rPr>
        <w:t xml:space="preserve">. For purposes of Section 1938 of the California Civil Code, Landlord hereby discloses to Tenant, and Tenant hereby acknowledges, that the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(i) any CASp inspection requested by Tenant shall be conducted, at Tenant’s sole cost and expense, by a CASp designated by Landlord, subject to Landlord’s reasonable rules and requirements; and (ii) Tenant’s and Landlord’s respective obligations for making any improvements or repairs to correct violations of construction-related accessibility standards shall be as set forth in </w:t>
      </w:r>
      <w:r>
        <w:rPr>
          <w:rFonts w:ascii="Times New Roman" w:hAnsi="Times New Roman"/>
          <w:color w:val="000000"/>
          <w:sz w:val="20"/>
          <w:u w:val="single"/>
        </w:rPr>
        <w:t>Sections 24.1</w:t>
      </w:r>
      <w:r>
        <w:rPr>
          <w:rFonts w:ascii="Times New Roman" w:hAnsi="Times New Roman"/>
          <w:color w:val="000000"/>
          <w:sz w:val="20"/>
        </w:rPr>
        <w:t xml:space="preserve"> and </w:t>
      </w:r>
      <w:r>
        <w:rPr>
          <w:rFonts w:ascii="Times New Roman" w:hAnsi="Times New Roman"/>
          <w:color w:val="000000"/>
          <w:sz w:val="20"/>
          <w:u w:val="single"/>
        </w:rPr>
        <w:t>24.2</w:t>
      </w:r>
      <w:r>
        <w:rPr>
          <w:rFonts w:ascii="Times New Roman" w:hAnsi="Times New Roman"/>
          <w:color w:val="000000"/>
          <w:sz w:val="20"/>
        </w:rPr>
        <w:t xml:space="preserve"> above; and (iii) if anything done by or for Tenant in its use or occupancy of the Premises shall require any improvements or repairs to the Building or Project (outside the Premises) to correct violations of construction-related accessibility standards, then Tenant shall reimburse Landlord upon demand, as Additional Rent, for the cost to Landlord of performing such improvements or repairs.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24.4 </w:t>
      </w:r>
      <w:r>
        <w:rPr>
          <w:rFonts w:ascii="Times New Roman" w:hAnsi="Times New Roman"/>
          <w:b/>
          <w:color w:val="000000"/>
          <w:sz w:val="20"/>
        </w:rPr>
        <w:t>First Source Hiring Program</w:t>
      </w:r>
      <w:r>
        <w:rPr>
          <w:rFonts w:ascii="Times New Roman" w:hAnsi="Times New Roman"/>
          <w:color w:val="000000"/>
          <w:sz w:val="20"/>
        </w:rPr>
        <w:t>. Tenant has been informed by Landlord that there is a City-wide “First Source Hiring Program” (FSHP) (adopted by the City and County of San Francisco on August 3, 1998, Ordinance No. 264-98; codified at San Francisco Administrative Code Sections 83.1-83.1(8)). Tenant hereby acknowledges that its activities at the Premises and the Project may be subject to the FSHP. Accordingly, Tenant shall, at Tenant’s sole cost and expense, comply with any provisions of the FSHP that are applicable to the Premises or any construction in, or use or development of, the Premises by Tenant.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25</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LATE CHARGES</w:t>
      </w:r>
    </w:p>
    <w:p>
      <w:pPr>
        <w:pStyle w:val="TextBody"/>
        <w:bidi w:val="0"/>
        <w:spacing w:before="240" w:after="283"/>
        <w:jc w:val="both"/>
        <w:rPr>
          <w:rFonts w:ascii="Times New Roman" w:hAnsi="Times New Roman"/>
          <w:sz w:val="20"/>
        </w:rPr>
      </w:pPr>
      <w:r>
        <w:rPr>
          <w:rFonts w:ascii="Times New Roman" w:hAnsi="Times New Roman"/>
          <w:color w:val="000000"/>
          <w:sz w:val="20"/>
        </w:rPr>
        <w:t>If any installment of Rent or any other sum due from Tenant shall not be received by Landlord or Landlord’s designee when due, then Tenant shall pay to Landlord a late charge equal to five percent (5%) of the overdue amount plus any attorneys’ fees incurred by Landlord by reason of Tenant’s failure to pay Rent and/or other charges when due hereunder; provided, however, with regard to the first such failure in any twelve (12) month period, Landlord will waive such late charge to the extent Tenant cures such failure within five (5) business days following Tenant’s receipt of written notice from Landlord that the same was not received when due.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the “Interest Rate.” For purposes of this Lease, the “</w:t>
      </w:r>
      <w:r>
        <w:rPr>
          <w:rFonts w:ascii="Times New Roman" w:hAnsi="Times New Roman"/>
          <w:b/>
          <w:color w:val="000000"/>
          <w:sz w:val="20"/>
        </w:rPr>
        <w:t>Interest Rate</w:t>
      </w:r>
      <w:r>
        <w:rPr>
          <w:rFonts w:ascii="Times New Roman" w:hAnsi="Times New Roman"/>
          <w:color w:val="000000"/>
          <w:sz w:val="20"/>
        </w:rPr>
        <w:t>” shall be an annual rate equal to the lesser of (i) the annual “</w:t>
      </w:r>
      <w:r>
        <w:rPr>
          <w:rFonts w:ascii="Times New Roman" w:hAnsi="Times New Roman"/>
          <w:b/>
          <w:color w:val="000000"/>
          <w:sz w:val="20"/>
        </w:rPr>
        <w:t>Bank Prime Loan</w:t>
      </w:r>
      <w:r>
        <w:rPr>
          <w:rFonts w:ascii="Times New Roman" w:hAnsi="Times New Roman"/>
          <w:color w:val="000000"/>
          <w:sz w:val="20"/>
        </w:rPr>
        <w:t>” rate cited in the Federal Reserve Statistical Release Publication H.15(519), published weekly (or such other comparable index as Landlord and Tenant shall reasonably agree upon if such rate ceases to be published), plus four (4) percentage points, and (ii) the highest rate permitted by applicable law.</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-46-</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52"/>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26</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LANDLORD’S RIGHT TO CURE DEFAULT; PAYMENTS BY TENANT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26.1 </w:t>
      </w:r>
      <w:r>
        <w:rPr>
          <w:rFonts w:ascii="Times New Roman" w:hAnsi="Times New Roman"/>
          <w:b/>
          <w:color w:val="000000"/>
          <w:sz w:val="20"/>
          <w:u w:val="single"/>
        </w:rPr>
        <w:t>Landlord’s Cure</w:t>
      </w:r>
      <w:r>
        <w:rPr>
          <w:rFonts w:ascii="Times New Roman" w:hAnsi="Times New Roman"/>
          <w:color w:val="000000"/>
          <w:sz w:val="20"/>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Times New Roman" w:hAnsi="Times New Roman"/>
          <w:color w:val="000000"/>
          <w:sz w:val="20"/>
          <w:u w:val="single"/>
        </w:rPr>
        <w:t>Section 19.1.2</w:t>
      </w:r>
      <w:r>
        <w:rPr>
          <w:rFonts w:ascii="Times New Roman" w:hAnsi="Times New Roman"/>
          <w:color w:val="000000"/>
          <w:sz w:val="20"/>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26.2 </w:t>
      </w:r>
      <w:r>
        <w:rPr>
          <w:rFonts w:ascii="Times New Roman" w:hAnsi="Times New Roman"/>
          <w:b/>
          <w:color w:val="000000"/>
          <w:sz w:val="20"/>
          <w:u w:val="single"/>
        </w:rPr>
        <w:t>Tenant’s Reimbursement</w:t>
      </w:r>
      <w:r>
        <w:rPr>
          <w:rFonts w:ascii="Times New Roman" w:hAnsi="Times New Roman"/>
          <w:color w:val="000000"/>
          <w:sz w:val="20"/>
          <w:u w:val="single"/>
        </w:rPr>
        <w:t>.</w:t>
      </w:r>
      <w:r>
        <w:rPr>
          <w:rFonts w:ascii="Times New Roman" w:hAnsi="Times New Roman"/>
          <w:color w:val="000000"/>
          <w:sz w:val="20"/>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Times New Roman" w:hAnsi="Times New Roman"/>
          <w:color w:val="000000"/>
          <w:sz w:val="20"/>
          <w:u w:val="single"/>
        </w:rPr>
        <w:t>Section 26.1</w:t>
      </w:r>
      <w:r>
        <w:rPr>
          <w:rFonts w:ascii="Times New Roman" w:hAnsi="Times New Roman"/>
          <w:color w:val="000000"/>
          <w:sz w:val="20"/>
        </w:rPr>
        <w:t xml:space="preserve">; (ii) sums equal to all Losses referred to in </w:t>
      </w:r>
      <w:r>
        <w:rPr>
          <w:rFonts w:ascii="Times New Roman" w:hAnsi="Times New Roman"/>
          <w:color w:val="000000"/>
          <w:sz w:val="20"/>
          <w:u w:val="single"/>
        </w:rPr>
        <w:t>Article 10</w:t>
      </w:r>
      <w:r>
        <w:rPr>
          <w:rFonts w:ascii="Times New Roman" w:hAnsi="Times New Roman"/>
          <w:color w:val="000000"/>
          <w:sz w:val="20"/>
        </w:rPr>
        <w:t xml:space="preserve"> of this Lease; and (iii) sums equal to all reasonable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Times New Roman" w:hAnsi="Times New Roman"/>
          <w:color w:val="000000"/>
          <w:sz w:val="20"/>
          <w:u w:val="single"/>
        </w:rPr>
        <w:t>Section 26.2</w:t>
      </w:r>
      <w:r>
        <w:rPr>
          <w:rFonts w:ascii="Times New Roman" w:hAnsi="Times New Roman"/>
          <w:color w:val="000000"/>
          <w:sz w:val="20"/>
        </w:rPr>
        <w:t xml:space="preserve"> shall survive the expiration or sooner termination of the Lease Term.</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27</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ENTRY BY LANDLORD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Landlord reserves the right at all reasonable times (during Building Hours with respect to items (i) and (ii) below) and upon at least twenty-four (24) hours prior notice to Tenant (except in the case of an emergency) to enter the Premises to (i) inspect them; (ii) show the Premises to prospective purchasers, or to current or prospective mortgagees, ground or underlying lessors or insurers, or to prospective tenants (provided that Landlord agrees that except in the event (a) Event of Default is then occurring under this Lease, (b) Landlord and Tenant are negotiating for or have agreed to an early termination of this Lease or Landlord intends to relocate Tenant, or (c) Landlord and Tenant otherwise mutually agree to the contrary, Landlord shall not show the Premises to prospective tenants except during the last nine (9) months of the then current Lease Term; (iii) post notices of nonresponsibility; or (iv) alter, improve or repair the Premises or the Building, or for structural alterations, repairs or improvements to the Building or the Building’s systems and equipment. Notwithstanding anything to the contrary contained in this </w:t>
      </w:r>
      <w:r>
        <w:rPr>
          <w:rFonts w:ascii="Times New Roman" w:hAnsi="Times New Roman"/>
          <w:color w:val="000000"/>
          <w:sz w:val="20"/>
          <w:u w:val="single"/>
        </w:rPr>
        <w:t>Article 27</w:t>
      </w:r>
      <w:r>
        <w:rPr>
          <w:rFonts w:ascii="Times New Roman" w:hAnsi="Times New Roman"/>
          <w:color w:val="000000"/>
          <w:sz w:val="20"/>
        </w:rPr>
        <w:t>, Landlord may enter the Premises at any time to (A) perform services required of Landlord, including janitorial service; (B) take possession due to any breach of this Lease in the manner provided herein; and (C) perform any covenants of Tenant which Tenant fails to perform. Landlord may make any such entries without the abatement of Rent, except as otherwise provided in this Lease, and may take such reasonable steps as required to accomplish the stated purposes; provided, however, except for (</w:t>
      </w:r>
      <w:r>
        <w:rPr>
          <w:rFonts w:ascii="Times New Roman" w:hAnsi="Times New Roman"/>
          <w:i/>
          <w:color w:val="000000"/>
          <w:sz w:val="20"/>
        </w:rPr>
        <w:t>x</w:t>
      </w:r>
      <w:r>
        <w:rPr>
          <w:rFonts w:ascii="Times New Roman" w:hAnsi="Times New Roman"/>
          <w:color w:val="000000"/>
          <w:sz w:val="20"/>
        </w:rPr>
        <w:t>) emergencies, (</w:t>
      </w:r>
      <w:r>
        <w:rPr>
          <w:rFonts w:ascii="Times New Roman" w:hAnsi="Times New Roman"/>
          <w:i/>
          <w:color w:val="000000"/>
          <w:sz w:val="20"/>
        </w:rPr>
        <w:t>y</w:t>
      </w:r>
      <w:r>
        <w:rPr>
          <w:rFonts w:ascii="Times New Roman" w:hAnsi="Times New Roman"/>
          <w:color w:val="000000"/>
          <w:sz w:val="20"/>
        </w:rPr>
        <w:t>) repairs, alterations, improvements or additions required by governmental or quasi-governmental authorities or court order or decree, or (</w:t>
      </w:r>
      <w:r>
        <w:rPr>
          <w:rFonts w:ascii="Times New Roman" w:hAnsi="Times New Roman"/>
          <w:i/>
          <w:color w:val="000000"/>
          <w:sz w:val="20"/>
        </w:rPr>
        <w:t>z</w:t>
      </w:r>
      <w:r>
        <w:rPr>
          <w:rFonts w:ascii="Times New Roman" w:hAnsi="Times New Roman"/>
          <w:color w:val="000000"/>
          <w:sz w:val="20"/>
        </w:rPr>
        <w:t>) repairs which are the obligation of Tenant hereunder, any such entry shall be performed in a manner so as not to unreasonably interfere with Tenant’s use of the Premises and shall be performed after normal business hours if reasonably practical. With respect to items (</w:t>
      </w:r>
      <w:r>
        <w:rPr>
          <w:rFonts w:ascii="Times New Roman" w:hAnsi="Times New Roman"/>
          <w:i/>
          <w:color w:val="000000"/>
          <w:sz w:val="20"/>
        </w:rPr>
        <w:t>y</w:t>
      </w:r>
      <w:r>
        <w:rPr>
          <w:rFonts w:ascii="Times New Roman" w:hAnsi="Times New Roman"/>
          <w:color w:val="000000"/>
          <w:sz w:val="20"/>
        </w:rPr>
        <w:t>) and (</w:t>
      </w:r>
      <w:r>
        <w:rPr>
          <w:rFonts w:ascii="Times New Roman" w:hAnsi="Times New Roman"/>
          <w:i/>
          <w:color w:val="000000"/>
          <w:sz w:val="20"/>
        </w:rPr>
        <w:t>z</w:t>
      </w:r>
      <w:r>
        <w:rPr>
          <w:rFonts w:ascii="Times New Roman" w:hAnsi="Times New Roman"/>
          <w:color w:val="000000"/>
          <w:sz w:val="20"/>
        </w:rPr>
        <w:t xml:space="preserve">) above, Landlord shall use commercially reasonable efforts to not materially interfere with Tenant’s use of, or access to, the Premises. Tenant hereby waives any Losses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 Except in the case of an emergency, Tenant shall be entitled to have an employee of Tenant accompany the person(s) entering the Premises, provided Tenant makes such employee available at the time Landlord or such other party desires to enter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-47-</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53"/>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Premises, and, except in the case of an emergency, Landlord shall use commercially reasonable efforts to comply with Tenant’s reasonable security measures of which Landlord is notified in advance in writing which may include requiring that the person(s) entering the Premises and any third parties (such as prospective lenders, purchasers or tenants) execute Tenant’s standard confidentiality agreement upon sign-in to the Premises, provided Tenant makes such confidentiality agreement available at the time Landlord or such other party desires to enter the Premises, and further provided that such confidentiality agreement is in a standard form that Tenant requires all non-employee entrants to the Premises to execute prior to entry to the Premises and is on commercially reasonable terms. If Tenant requires a confidentiality agreement from any such party requiring access to space, Landlord shall not be responsible for any delays that occur in Landlord’s response to Tenant’s request for repairs or services. Nothing in the foregoing shall prohibit Landlord from accessing the Premises with a third party without such an agreement in an event of emergency or, following a reasonable period in which Landlord allows Tenant to seek such an agreement, to the extent reasonably necessary to perform maintenance and repairs to the Premises and the Project.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28</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TENANT PARKING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Tenant shall be entitled to rent, on a monthly basis throughout the Lease Term, commencing on the Lease Commencement Date, the amount of unreserved parking passes set forth in </w:t>
      </w:r>
      <w:r>
        <w:rPr>
          <w:rFonts w:ascii="Times New Roman" w:hAnsi="Times New Roman"/>
          <w:color w:val="000000"/>
          <w:sz w:val="20"/>
          <w:u w:val="single"/>
        </w:rPr>
        <w:t>Section 9</w:t>
      </w:r>
      <w:r>
        <w:rPr>
          <w:rFonts w:ascii="Times New Roman" w:hAnsi="Times New Roman"/>
          <w:color w:val="000000"/>
          <w:sz w:val="20"/>
        </w:rPr>
        <w:t xml:space="preserve"> of the Summary, which parking passes shall pertain to the Project parking structure. During the Lease Term and subject to availability, if Tenant desires to rent additional parking passes (the “</w:t>
      </w:r>
      <w:r>
        <w:rPr>
          <w:rFonts w:ascii="Times New Roman" w:hAnsi="Times New Roman"/>
          <w:b/>
          <w:color w:val="000000"/>
          <w:sz w:val="20"/>
        </w:rPr>
        <w:t>Additional Passes</w:t>
      </w:r>
      <w:r>
        <w:rPr>
          <w:rFonts w:ascii="Times New Roman" w:hAnsi="Times New Roman"/>
          <w:color w:val="000000"/>
          <w:sz w:val="20"/>
        </w:rPr>
        <w:t xml:space="preserve">”), Tenant may request upon no less than thirty (30) days prior written notice to Landlord, to rent unreserved parking passes in the Project parking structure on a month to month basis at Landlord’s then prevailing rates for such parking passes; provided that the foregoing shall not be construed as any guaranty that parking passes shall be available for Tenant’s use. In the event that, due to unavailability of parking passes, Landlord is unable to provide Tenant with such Additional Passes for rent or if Landlord requires such Additional Passes for other users of the Project parking structure at any time, the unavailability of such Additional Passes shall not subject Landlord to any liability for any loss or damage resulting therefrom or entitle Tenant to any credit, abatement or adjustment of Rent or other sums payable under this Lease. Either Landlord or Tenant may terminate the use of such Additional Passes by providing no less than thirty (30) days prior written notice to the other party. Tenant shall pay to Landlord (or its designee) for the parking passes rented by Tenant on a monthly basis at the prevailing rate charged from time to time at the location of such parking passes. In addition to any fees that may be charged to Tenant in connection with its parking of automobiles in the Project parking structure, Tenant shall be responsible for the full amount of any taxes imposed by any governmental authority in connection with the renting of such parking passes by Tenant or the use of the parking facility by Tenant. Tenant’s continued right to use the parking passes is conditioned upon Tenant abiding by all rules and regulations which are prescribed from time to time for the orderly operation and use of the parking facility where the parking passes are located, including any sticker or other identification system established by Landlord, Tenant’s cooperation in seeing that Tenant’s employees and visitors also comply with such rules and regulations and no Event of Default is then occurring under this Lease. Landlord specifically reserves the right to change the size, configuration, design, layout and all other aspects of the Project parking facility at any time and Tenant acknowledges and agrees that Landlord may, without incurring any liability to Tenant and without any abatement of Rent under this Lease, from time to time, close-off or restrict access to the Project parking facility for purposes of permitting or facilitating any such construction, alteration or improvements. Landlord may delegate its responsibilities hereunder to a parking operator in which case such parking operator shall have all the rights of control attributed hereby to the Landlord. The parking passes rented by Tenant pursuant to this </w:t>
      </w:r>
      <w:r>
        <w:rPr>
          <w:rFonts w:ascii="Times New Roman" w:hAnsi="Times New Roman"/>
          <w:color w:val="000000"/>
          <w:sz w:val="20"/>
          <w:u w:val="single"/>
        </w:rPr>
        <w:t>Article 28</w:t>
      </w:r>
      <w:r>
        <w:rPr>
          <w:rFonts w:ascii="Times New Roman" w:hAnsi="Times New Roman"/>
          <w:color w:val="000000"/>
          <w:sz w:val="20"/>
        </w:rPr>
        <w:t xml:space="preserve"> are provided to Tenant solely for use by Tenant’s own personnel and such passes may not be transferred, assigned, subleased or otherwise alienated by Tenant without Landlord’s prior approval.</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ARTICLE 29</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MISCELLANEOUS PROVISIONS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 </w:t>
      </w:r>
      <w:r>
        <w:rPr>
          <w:rFonts w:ascii="Times New Roman" w:hAnsi="Times New Roman"/>
          <w:b/>
          <w:color w:val="000000"/>
          <w:sz w:val="20"/>
          <w:u w:val="single"/>
        </w:rPr>
        <w:t>Terms; Captions</w:t>
      </w:r>
      <w:r>
        <w:rPr>
          <w:rFonts w:ascii="Times New Roman" w:hAnsi="Times New Roman"/>
          <w:color w:val="000000"/>
          <w:sz w:val="20"/>
        </w:rPr>
        <w:t xml:space="preserve">.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-48-</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54"/>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case fully expressed. The captions of Articles and Sections are for convenience only and shall not be deemed to limit, construe, affect or alter the meaning of such Articles and Sections.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 </w:t>
      </w:r>
      <w:r>
        <w:rPr>
          <w:rFonts w:ascii="Times New Roman" w:hAnsi="Times New Roman"/>
          <w:b/>
          <w:color w:val="000000"/>
          <w:sz w:val="20"/>
          <w:u w:val="single"/>
        </w:rPr>
        <w:t>Binding Effect</w:t>
      </w:r>
      <w:r>
        <w:rPr>
          <w:rFonts w:ascii="Times New Roman" w:hAnsi="Times New Roman"/>
          <w:color w:val="000000"/>
          <w:sz w:val="20"/>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hAnsi="Times New Roman"/>
          <w:color w:val="000000"/>
          <w:sz w:val="20"/>
          <w:u w:val="single"/>
        </w:rPr>
        <w:t>Article 14</w:t>
      </w:r>
      <w:r>
        <w:rPr>
          <w:rFonts w:ascii="Times New Roman" w:hAnsi="Times New Roman"/>
          <w:color w:val="000000"/>
          <w:sz w:val="20"/>
        </w:rPr>
        <w:t xml:space="preserve"> of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 </w:t>
      </w:r>
      <w:r>
        <w:rPr>
          <w:rFonts w:ascii="Times New Roman" w:hAnsi="Times New Roman"/>
          <w:b/>
          <w:color w:val="000000"/>
          <w:sz w:val="20"/>
          <w:u w:val="single"/>
        </w:rPr>
        <w:t>No Air Rights</w:t>
      </w:r>
      <w:r>
        <w:rPr>
          <w:rFonts w:ascii="Times New Roman" w:hAnsi="Times New Roman"/>
          <w:color w:val="000000"/>
          <w:sz w:val="20"/>
        </w:rPr>
        <w:t>. No rights to any view or to light or air over any property, whether belonging to Landlord or any other person, are granted to Tenant by this Lease. If at any time any windows of the Premises is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29.4 </w:t>
      </w:r>
      <w:r>
        <w:rPr>
          <w:rFonts w:ascii="Times New Roman" w:hAnsi="Times New Roman"/>
          <w:b/>
          <w:color w:val="000000"/>
          <w:sz w:val="20"/>
          <w:u w:val="single"/>
        </w:rPr>
        <w:t>Modification of Lease</w:t>
      </w:r>
      <w:r>
        <w:rPr>
          <w:rFonts w:ascii="Times New Roman" w:hAnsi="Times New Roman"/>
          <w:color w:val="000000"/>
          <w:sz w:val="20"/>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days following a request therefor. At the request of Landlord or any mortgagee or ground lessor, Tenant agrees to execute a short form of Lease and deliver the same to Landlord within ten (10) days following the request therefor.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29.5 </w:t>
      </w:r>
      <w:r>
        <w:rPr>
          <w:rFonts w:ascii="Times New Roman" w:hAnsi="Times New Roman"/>
          <w:b/>
          <w:color w:val="000000"/>
          <w:sz w:val="20"/>
          <w:u w:val="single"/>
        </w:rPr>
        <w:t>Transfer of Landlord’s Interest</w:t>
      </w:r>
      <w:r>
        <w:rPr>
          <w:rFonts w:ascii="Times New Roman" w:hAnsi="Times New Roman"/>
          <w:color w:val="000000"/>
          <w:sz w:val="20"/>
        </w:rPr>
        <w:t>. Tenant acknowledges that Landlord has the right to transfer all or any portion of its interest in the Project or Building and in this Lease, and Tenant agrees that in the event of any such transfer (including the transfer by Landlord of the Security Deposit or L-C (if applicable) to such transferee), Landlord shall automatically be released from all liability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or letter of credit, and Tenant shall attorn to such transferee.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29.6 </w:t>
      </w:r>
      <w:r>
        <w:rPr>
          <w:rFonts w:ascii="Times New Roman" w:hAnsi="Times New Roman"/>
          <w:b/>
          <w:color w:val="000000"/>
          <w:sz w:val="20"/>
          <w:u w:val="single"/>
        </w:rPr>
        <w:t>Prohibition Against Recording or Publication</w:t>
      </w:r>
      <w:r>
        <w:rPr>
          <w:rFonts w:ascii="Times New Roman" w:hAnsi="Times New Roman"/>
          <w:color w:val="000000"/>
          <w:sz w:val="20"/>
        </w:rPr>
        <w:t>. Neither this Lease, nor any memorandum, affidavit or other writing with respect thereto, shall be recorded or otherwise published by Tenant or by anyone acting through, under or on behalf of Tenant.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29.7 </w:t>
      </w:r>
      <w:r>
        <w:rPr>
          <w:rFonts w:ascii="Times New Roman" w:hAnsi="Times New Roman"/>
          <w:b/>
          <w:color w:val="000000"/>
          <w:sz w:val="20"/>
          <w:u w:val="single"/>
        </w:rPr>
        <w:t>Landlord’s Title</w:t>
      </w:r>
      <w:r>
        <w:rPr>
          <w:rFonts w:ascii="Times New Roman" w:hAnsi="Times New Roman"/>
          <w:color w:val="000000"/>
          <w:sz w:val="20"/>
        </w:rPr>
        <w:t>. Landlord’s title is and always shall be paramount to the title of Tenant. Nothing herein contained shall empower Tenant to do any act which can, shall or may encumber the title of Landlord.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29.8 </w:t>
      </w:r>
      <w:r>
        <w:rPr>
          <w:rFonts w:ascii="Times New Roman" w:hAnsi="Times New Roman"/>
          <w:b/>
          <w:color w:val="000000"/>
          <w:sz w:val="20"/>
          <w:u w:val="single"/>
        </w:rPr>
        <w:t>Relationship of Parties</w:t>
      </w:r>
      <w:r>
        <w:rPr>
          <w:rFonts w:ascii="Times New Roman" w:hAnsi="Times New Roman"/>
          <w:color w:val="000000"/>
          <w:sz w:val="20"/>
        </w:rPr>
        <w:t>. Nothing contained in this Lease shall be deemed or construed by the parties hereto or by any third party to create the relationship of principal and agent, partnership, joint venturer or any association between Landlord and Tenant.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29.9 </w:t>
      </w:r>
      <w:r>
        <w:rPr>
          <w:rFonts w:ascii="Times New Roman" w:hAnsi="Times New Roman"/>
          <w:b/>
          <w:color w:val="000000"/>
          <w:sz w:val="20"/>
          <w:u w:val="single"/>
        </w:rPr>
        <w:t>Application of Payments</w:t>
      </w:r>
      <w:r>
        <w:rPr>
          <w:rFonts w:ascii="Times New Roman" w:hAnsi="Times New Roman"/>
          <w:color w:val="000000"/>
          <w:sz w:val="20"/>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29.10 </w:t>
      </w:r>
      <w:r>
        <w:rPr>
          <w:rFonts w:ascii="Times New Roman" w:hAnsi="Times New Roman"/>
          <w:b/>
          <w:color w:val="000000"/>
          <w:sz w:val="20"/>
          <w:u w:val="single"/>
        </w:rPr>
        <w:t>Time of Essence</w:t>
      </w:r>
      <w:r>
        <w:rPr>
          <w:rFonts w:ascii="Times New Roman" w:hAnsi="Times New Roman"/>
          <w:color w:val="000000"/>
          <w:sz w:val="20"/>
        </w:rPr>
        <w:t>. Time is of the essence with respect to the performance of every provision of this Lease in which time of performance is a factor.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29.11 </w:t>
      </w:r>
      <w:r>
        <w:rPr>
          <w:rFonts w:ascii="Times New Roman" w:hAnsi="Times New Roman"/>
          <w:b/>
          <w:color w:val="000000"/>
          <w:sz w:val="20"/>
          <w:u w:val="single"/>
        </w:rPr>
        <w:t>Partial Invalidity</w:t>
      </w:r>
      <w:r>
        <w:rPr>
          <w:rFonts w:ascii="Times New Roman" w:hAnsi="Times New Roman"/>
          <w:color w:val="000000"/>
          <w:sz w:val="20"/>
        </w:rPr>
        <w:t xml:space="preserve">.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-49-</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5"/>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each and every other term, provision and condition of this Lease shall be valid and enforceable to the fullest extent possible permitted by law.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29.12 </w:t>
      </w:r>
      <w:r>
        <w:rPr>
          <w:rFonts w:ascii="Times New Roman" w:hAnsi="Times New Roman"/>
          <w:b/>
          <w:color w:val="000000"/>
          <w:sz w:val="20"/>
          <w:u w:val="single"/>
        </w:rPr>
        <w:t>No Warranty</w:t>
      </w:r>
      <w:r>
        <w:rPr>
          <w:rFonts w:ascii="Times New Roman" w:hAnsi="Times New Roman"/>
          <w:color w:val="000000"/>
          <w:sz w:val="20"/>
          <w:u w:val="single"/>
        </w:rPr>
        <w:t>.</w:t>
      </w:r>
      <w:r>
        <w:rPr>
          <w:rFonts w:ascii="Times New Roman" w:hAnsi="Times New Roman"/>
          <w:color w:val="000000"/>
          <w:sz w:val="20"/>
        </w:rPr>
        <w:t xml:space="preserve">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 Tenant agrees that neither Landlord nor any agent of Landlord has made any representation or warranty with respect to the physical condition of the Building, the Project, the land upon which the Building or the Project are located, or the Premises, or the expenses of operation of the Premises, the Building or the Project, or any other matter or thing affecting or related to the Premises, except as herein expressly set forth in the provisions of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29.13 </w:t>
      </w:r>
      <w:r>
        <w:rPr>
          <w:rFonts w:ascii="Times New Roman" w:hAnsi="Times New Roman"/>
          <w:b/>
          <w:color w:val="000000"/>
          <w:sz w:val="20"/>
          <w:u w:val="single"/>
        </w:rPr>
        <w:t>Landlord Exculpation</w:t>
      </w:r>
      <w:r>
        <w:rPr>
          <w:rFonts w:ascii="Times New Roman" w:hAnsi="Times New Roman"/>
          <w:color w:val="000000"/>
          <w:sz w:val="20"/>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lesser of (a) the interest of Landlord in the Building or (b) the equity interest Landlord would have in the Building if the Building were encumbered by third-party debt in an amount equal to eighty percent (80%) of the value of the Building (as such value is determined by Landlord), provided that in no event shall such liability extend to any insurance proceeds received by Landlord or the Landlord Parties in connection with the Project, Building or Premises or any sales proceeds received by Landlord or the Landlord Parties in connection with the Project, Building or Premises after distribution of same to any partner, member, or shareholder of Landlord or any other third party.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hAnsi="Times New Roman"/>
          <w:color w:val="000000"/>
          <w:sz w:val="20"/>
          <w:u w:val="single"/>
        </w:rPr>
        <w:t>Section 29.13</w:t>
      </w:r>
      <w:r>
        <w:rPr>
          <w:rFonts w:ascii="Times New Roman" w:hAnsi="Times New Roman"/>
          <w:color w:val="000000"/>
          <w:sz w:val="20"/>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29.14 </w:t>
      </w:r>
      <w:r>
        <w:rPr>
          <w:rFonts w:ascii="Times New Roman" w:hAnsi="Times New Roman"/>
          <w:b/>
          <w:color w:val="000000"/>
          <w:sz w:val="20"/>
          <w:u w:val="single"/>
        </w:rPr>
        <w:t>Entire Agreement</w:t>
      </w:r>
      <w:r>
        <w:rPr>
          <w:rFonts w:ascii="Times New Roman" w:hAnsi="Times New Roman"/>
          <w:color w:val="000000"/>
          <w:sz w:val="20"/>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(including, without limitation, any confidentiality agreement, letter of intent, request for proposal, or similar agreement previously entered into between Landlord and Tenant in anticipation of this Lease)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29.15 </w:t>
      </w:r>
      <w:r>
        <w:rPr>
          <w:rFonts w:ascii="Times New Roman" w:hAnsi="Times New Roman"/>
          <w:b/>
          <w:color w:val="000000"/>
          <w:sz w:val="20"/>
          <w:u w:val="single"/>
        </w:rPr>
        <w:t>Right to Lease</w:t>
      </w:r>
      <w:r>
        <w:rPr>
          <w:rFonts w:ascii="Times New Roman" w:hAnsi="Times New Roman"/>
          <w:color w:val="000000"/>
          <w:sz w:val="20"/>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29.16 </w:t>
      </w:r>
      <w:r>
        <w:rPr>
          <w:rFonts w:ascii="Times New Roman" w:hAnsi="Times New Roman"/>
          <w:b/>
          <w:color w:val="000000"/>
          <w:sz w:val="20"/>
          <w:u w:val="single"/>
        </w:rPr>
        <w:t>Force Majeure</w:t>
      </w:r>
      <w:r>
        <w:rPr>
          <w:rFonts w:ascii="Times New Roman" w:hAnsi="Times New Roman"/>
          <w:color w:val="000000"/>
          <w:sz w:val="20"/>
        </w:rPr>
        <w:t xml:space="preserve">. Any prevention, delay or stoppage due to strikes, lockouts, labor disputes, acts of God,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and except as to Tenant’s obligations under </w:t>
      </w:r>
      <w:r>
        <w:rPr>
          <w:rFonts w:ascii="Times New Roman" w:hAnsi="Times New Roman"/>
          <w:color w:val="000000"/>
          <w:sz w:val="20"/>
          <w:u w:val="single"/>
        </w:rPr>
        <w:t>Articles 5 and 24</w:t>
      </w:r>
      <w:r>
        <w:rPr>
          <w:rFonts w:ascii="Times New Roman" w:hAnsi="Times New Roman"/>
          <w:color w:val="000000"/>
          <w:sz w:val="20"/>
        </w:rPr>
        <w:t xml:space="preserve"> of this Lease (collectively, a “</w:t>
      </w:r>
      <w:r>
        <w:rPr>
          <w:rFonts w:ascii="Times New Roman" w:hAnsi="Times New Roman"/>
          <w:b/>
          <w:color w:val="000000"/>
          <w:sz w:val="20"/>
        </w:rPr>
        <w:t>Force Majeure</w:t>
      </w:r>
      <w:r>
        <w:rPr>
          <w:rFonts w:ascii="Times New Roman" w:hAnsi="Times New Roman"/>
          <w:color w:val="000000"/>
          <w:sz w:val="20"/>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-50-</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6"/>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29.17 </w:t>
      </w:r>
      <w:r>
        <w:rPr>
          <w:rFonts w:ascii="Times New Roman" w:hAnsi="Times New Roman"/>
          <w:b/>
          <w:color w:val="000000"/>
          <w:sz w:val="20"/>
          <w:u w:val="single"/>
        </w:rPr>
        <w:t>Waiver of Redemption by Tenant</w:t>
      </w:r>
      <w:r>
        <w:rPr>
          <w:rFonts w:ascii="Times New Roman" w:hAnsi="Times New Roman"/>
          <w:color w:val="000000"/>
          <w:sz w:val="20"/>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29.18 </w:t>
      </w:r>
      <w:r>
        <w:rPr>
          <w:rFonts w:ascii="Times New Roman" w:hAnsi="Times New Roman"/>
          <w:b/>
          <w:color w:val="000000"/>
          <w:sz w:val="20"/>
          <w:u w:val="single"/>
        </w:rPr>
        <w:t>Notices</w:t>
      </w:r>
      <w:r>
        <w:rPr>
          <w:rFonts w:ascii="Times New Roman" w:hAnsi="Times New Roman"/>
          <w:color w:val="000000"/>
          <w:sz w:val="20"/>
        </w:rPr>
        <w:t>. All notices, demands, statements or communications (collectively, “</w:t>
      </w:r>
      <w:r>
        <w:rPr>
          <w:rFonts w:ascii="Times New Roman" w:hAnsi="Times New Roman"/>
          <w:b/>
          <w:color w:val="000000"/>
          <w:sz w:val="20"/>
        </w:rPr>
        <w:t>Notices</w:t>
      </w:r>
      <w:r>
        <w:rPr>
          <w:rFonts w:ascii="Times New Roman" w:hAnsi="Times New Roman"/>
          <w:color w:val="000000"/>
          <w:sz w:val="20"/>
        </w:rPr>
        <w:t xml:space="preserve">”) given or required to be given by either party to the other hereunder shall be in writing, shall be (A) delivered by a nationally recognized overnight courier, or (B) delivered personally, or (C) delivered via email transmission, so long as such transmission is followed within one (1) business day by delivery utilizing one of the methods described in clauses (A) or (B) above. Any such Notice shall be delivered (i) to Tenant at the appropriate address or email address (as applicable) set forth in </w:t>
      </w:r>
      <w:r>
        <w:rPr>
          <w:rFonts w:ascii="Times New Roman" w:hAnsi="Times New Roman"/>
          <w:color w:val="000000"/>
          <w:sz w:val="20"/>
          <w:u w:val="single"/>
        </w:rPr>
        <w:t>Section 10</w:t>
      </w:r>
      <w:r>
        <w:rPr>
          <w:rFonts w:ascii="Times New Roman" w:hAnsi="Times New Roman"/>
          <w:color w:val="000000"/>
          <w:sz w:val="20"/>
        </w:rPr>
        <w:t xml:space="preserve"> of the Summary, or to such other place as Tenant may from time to time designate in a Notice to Landlord; or (ii) to Landlord at the addresses or email address (as applicable) set forth in </w:t>
      </w:r>
      <w:r>
        <w:rPr>
          <w:rFonts w:ascii="Times New Roman" w:hAnsi="Times New Roman"/>
          <w:color w:val="000000"/>
          <w:sz w:val="20"/>
          <w:u w:val="single"/>
        </w:rPr>
        <w:t>Section 11</w:t>
      </w:r>
      <w:r>
        <w:rPr>
          <w:rFonts w:ascii="Times New Roman" w:hAnsi="Times New Roman"/>
          <w:color w:val="000000"/>
          <w:sz w:val="20"/>
        </w:rPr>
        <w:t xml:space="preserve"> of the Summary, or to such other firm or to such other place as Landlord may from time to time designate in a Notice to Tenant. Any Notice will be deemed given on the date of receipted delivery, of refusal to accept delivery, or when delivery is first attempted but cannot be made due to a change of address for which no Notice was given, or (for notices sent via email) upon transmission, if given before 5:00 p.m. Pacific time on a business day, but if such email is not given before 5:00 p.m. Pacific time on a business day, then the Notice will be deemed given on the next business day. If Tenant is notified of the identity and address of Landlord’s mortgagee or ground or underlying lessor, Tenant shall give to such mortgagee or ground or underlying lessor written notice of any default by Landlord under the terms of this Lease by registered or certified mail, and such mortgagee or ground or underlying lessor shall be given a reasonable opportunity to cure such default prior to Tenant’s exercising any remedy available to Tenant. The party delivering Notice shall use commercially reasonable efforts to provide a courtesy copy of each such Notice to the receiving party via electronic mail.</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29.19 </w:t>
      </w:r>
      <w:r>
        <w:rPr>
          <w:rFonts w:ascii="Times New Roman" w:hAnsi="Times New Roman"/>
          <w:b/>
          <w:color w:val="000000"/>
          <w:sz w:val="20"/>
          <w:u w:val="single"/>
        </w:rPr>
        <w:t>Joint and Several</w:t>
      </w:r>
      <w:r>
        <w:rPr>
          <w:rFonts w:ascii="Times New Roman" w:hAnsi="Times New Roman"/>
          <w:color w:val="000000"/>
          <w:sz w:val="20"/>
        </w:rPr>
        <w:t>. If there is more than one Tenant, the obligations imposed upon Tenant under this Lease shall be joint and several.</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29.20 </w:t>
      </w:r>
      <w:r>
        <w:rPr>
          <w:rFonts w:ascii="Times New Roman" w:hAnsi="Times New Roman"/>
          <w:b/>
          <w:color w:val="000000"/>
          <w:sz w:val="20"/>
          <w:u w:val="single"/>
        </w:rPr>
        <w:t>Authority</w:t>
      </w:r>
      <w:r>
        <w:rPr>
          <w:rFonts w:ascii="Times New Roman" w:hAnsi="Times New Roman"/>
          <w:color w:val="000000"/>
          <w:sz w:val="20"/>
        </w:rPr>
        <w:t>. If Tenant is a corporation, trust or partnership, Tenant hereby represents and warrants that Tenant is a duly formed and existing entity qualified to do business in California and that Tenant has full right and authority to execute and deliver this Lease and that each person signing on behalf of Tenant is authorized to do so. In such event, Tenant shall, within ten (10) days after Landlord’s written request in connection with Tenant’s execution and delivery of this Lease and any amendment or modification to this Lease or as otherwise may be reasonable required by Landlord, deliver to Landlord satisfactory evidence of such authority (“</w:t>
      </w:r>
      <w:r>
        <w:rPr>
          <w:rFonts w:ascii="Times New Roman" w:hAnsi="Times New Roman"/>
          <w:b/>
          <w:color w:val="000000"/>
          <w:sz w:val="20"/>
        </w:rPr>
        <w:t>Evidence of Authority</w:t>
      </w:r>
      <w:r>
        <w:rPr>
          <w:rFonts w:ascii="Times New Roman" w:hAnsi="Times New Roman"/>
          <w:color w:val="000000"/>
          <w:sz w:val="20"/>
        </w:rPr>
        <w:t>”) and, if a corporation, upon demand by Landlord, also deliver to Landlord satisfactory evidence of (i) good standing in Tenant’s state of incorporation and (ii) qualification to do business in California. Landlord acknowledges and agrees that Tenant shall not be required to provide more than one (1) Evidence of Authority for this Lease, or for each such amendment or modification or other agreement pertaining to this Lease or for any assignment agreement, sublease or other documentation pertaining to a Transfer; and that for purposes of Tenant’s execution of this Lease, the Evidence of Authority shall be a corporate resolution of Tenant.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29.21 </w:t>
      </w:r>
      <w:r>
        <w:rPr>
          <w:rFonts w:ascii="Times New Roman" w:hAnsi="Times New Roman"/>
          <w:b/>
          <w:color w:val="000000"/>
          <w:sz w:val="20"/>
          <w:u w:val="single"/>
        </w:rPr>
        <w:t>Attorneys’ Fees</w:t>
      </w:r>
      <w:r>
        <w:rPr>
          <w:rFonts w:ascii="Times New Roman" w:hAnsi="Times New Roman"/>
          <w:color w:val="000000"/>
          <w:sz w:val="20"/>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29.22 </w:t>
      </w:r>
      <w:r>
        <w:rPr>
          <w:rFonts w:ascii="Times New Roman" w:hAnsi="Times New Roman"/>
          <w:b/>
          <w:color w:val="000000"/>
          <w:sz w:val="20"/>
          <w:u w:val="single"/>
        </w:rPr>
        <w:t>Governing Law; WAIVER OF TRIAL BY JURY</w:t>
      </w:r>
      <w:r>
        <w:rPr>
          <w:rFonts w:ascii="Times New Roman" w:hAnsi="Times New Roman"/>
          <w:color w:val="000000"/>
          <w:sz w:val="20"/>
        </w:rPr>
        <w:t xml:space="preserve">.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-51-</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7"/>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29.23 </w:t>
      </w:r>
      <w:r>
        <w:rPr>
          <w:rFonts w:ascii="Times New Roman" w:hAnsi="Times New Roman"/>
          <w:b/>
          <w:color w:val="000000"/>
          <w:sz w:val="20"/>
          <w:u w:val="single"/>
        </w:rPr>
        <w:t>Submission of Lease</w:t>
      </w:r>
      <w:r>
        <w:rPr>
          <w:rFonts w:ascii="Times New Roman" w:hAnsi="Times New Roman"/>
          <w:color w:val="000000"/>
          <w:sz w:val="20"/>
        </w:rPr>
        <w:t>. Submission of this instrument for examination or signature by Tenant does not constitute a reservation of, option for or option to lease, and it is not effective as a lease or otherwise until execution and delivery by both Landlord and Tenant.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29.24 </w:t>
      </w:r>
      <w:r>
        <w:rPr>
          <w:rFonts w:ascii="Times New Roman" w:hAnsi="Times New Roman"/>
          <w:b/>
          <w:color w:val="000000"/>
          <w:sz w:val="20"/>
          <w:u w:val="single"/>
        </w:rPr>
        <w:t>Brokers</w:t>
      </w:r>
      <w:r>
        <w:rPr>
          <w:rFonts w:ascii="Times New Roman" w:hAnsi="Times New Roman"/>
          <w:color w:val="000000"/>
          <w:sz w:val="20"/>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hAnsi="Times New Roman"/>
          <w:color w:val="000000"/>
          <w:sz w:val="20"/>
          <w:u w:val="single"/>
        </w:rPr>
        <w:t>Section 12</w:t>
      </w:r>
      <w:r>
        <w:rPr>
          <w:rFonts w:ascii="Times New Roman" w:hAnsi="Times New Roman"/>
          <w:color w:val="000000"/>
          <w:sz w:val="20"/>
        </w:rPr>
        <w:t xml:space="preserve"> of the Summary (the “</w:t>
      </w:r>
      <w:r>
        <w:rPr>
          <w:rFonts w:ascii="Times New Roman" w:hAnsi="Times New Roman"/>
          <w:b/>
          <w:color w:val="000000"/>
          <w:sz w:val="20"/>
        </w:rPr>
        <w:t>Brokers</w:t>
      </w:r>
      <w:r>
        <w:rPr>
          <w:rFonts w:ascii="Times New Roman" w:hAnsi="Times New Roman"/>
          <w:color w:val="000000"/>
          <w:sz w:val="20"/>
        </w:rPr>
        <w:t>”), and that they know of no other real estate broker or agent who is entitled to a commission in connection with this Lease. Landlord shall pay the Brokers pursuant to the terms of separate commission agreements. Each party agrees to indemnify and defend the other party against and hold the other party harmless from any and all Losses with respect to any leasing commission or equivalent compensation alleged to be owing on account of any dealings with any real estate broker or agent, other than the Brokers, occurring by, through, or under the indemnifying party.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29.25 </w:t>
      </w:r>
      <w:r>
        <w:rPr>
          <w:rFonts w:ascii="Times New Roman" w:hAnsi="Times New Roman"/>
          <w:b/>
          <w:color w:val="000000"/>
          <w:sz w:val="20"/>
          <w:u w:val="single"/>
        </w:rPr>
        <w:t>Independent Covenants</w:t>
      </w:r>
      <w:r>
        <w:rPr>
          <w:rFonts w:ascii="Times New Roman" w:hAnsi="Times New Roman"/>
          <w:color w:val="000000"/>
          <w:sz w:val="20"/>
          <w:u w:val="single"/>
        </w:rPr>
        <w:t>.</w:t>
      </w:r>
      <w:r>
        <w:rPr>
          <w:rFonts w:ascii="Times New Roman" w:hAnsi="Times New Roman"/>
          <w:color w:val="000000"/>
          <w:sz w:val="20"/>
        </w:rPr>
        <w:t xml:space="preserve">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 except to the extent that abatement of Rent is expressly permitted under the terms of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29.26 </w:t>
      </w:r>
      <w:r>
        <w:rPr>
          <w:rFonts w:ascii="Times New Roman" w:hAnsi="Times New Roman"/>
          <w:b/>
          <w:color w:val="000000"/>
          <w:sz w:val="20"/>
          <w:u w:val="single"/>
        </w:rPr>
        <w:t>Project or Building Name and Signage</w:t>
      </w:r>
      <w:r>
        <w:rPr>
          <w:rFonts w:ascii="Times New Roman" w:hAnsi="Times New Roman"/>
          <w:color w:val="000000"/>
          <w:sz w:val="20"/>
        </w:rPr>
        <w:t>. Landlord shall have the right at any time to change the name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29.27 </w:t>
      </w:r>
      <w:r>
        <w:rPr>
          <w:rFonts w:ascii="Times New Roman" w:hAnsi="Times New Roman"/>
          <w:b/>
          <w:color w:val="000000"/>
          <w:sz w:val="20"/>
          <w:u w:val="single"/>
        </w:rPr>
        <w:t>Counterparts</w:t>
      </w:r>
      <w:r>
        <w:rPr>
          <w:rFonts w:ascii="Times New Roman" w:hAnsi="Times New Roman"/>
          <w:color w:val="000000"/>
          <w:sz w:val="20"/>
        </w:rPr>
        <w:t>. This Lease may be executed in counterparts with the same effect as if both parties hereto had executed the same document. Both counterparts shall be construed together and shall constitute a single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29.28 </w:t>
      </w:r>
      <w:r>
        <w:rPr>
          <w:rFonts w:ascii="Times New Roman" w:hAnsi="Times New Roman"/>
          <w:b/>
          <w:color w:val="000000"/>
          <w:sz w:val="20"/>
          <w:u w:val="single"/>
        </w:rPr>
        <w:t>Confidentiality; Press Releases</w:t>
      </w:r>
      <w:r>
        <w:rPr>
          <w:rFonts w:ascii="Times New Roman" w:hAnsi="Times New Roman"/>
          <w:color w:val="000000"/>
          <w:sz w:val="20"/>
        </w:rPr>
        <w:t xml:space="preserve">. The content of this Lease and any related amendments, agreements and documents are confidential information. Landlord and Tenant shall keep such information strictly confidential and shall not disclose such confidential information to any person or entity other than (i) such party’s respective financial, legal, space planning and construction consultants, and such party’s parent, subsidiary or other affiliated companies, their partners, lenders, banks, auditors, underwriters, and attorneys and similar professionals, (ii) as may be required to enforce the provisions of this Lease, or (iii) as may be required to comply with Applicable Laws. In addition, notwithstanding the foregoing or anything to the contrary herein, Landlord shall be entitled to (a) disclose information relating to this Lease to the extent necessary to comply with the disclosure or regulatory requirements of the S.E.C., IRS or similar entities, or in connection with other S.E.C., IRS or other regulatory filings customarily made by publicly traded REIT entities; (b) disclose information relating to this Lease on earnings calls and/or at investor meetings as customarily disclosed by publicly traded REIT entities; and (c) issue press releases with respect to the fact that this Lease has been entered into, the size and location of the Premises, the length of term, and the identity of Tenant (among other information commonly found in press releases announcing new lease transactions). In addition, notwithstanding the foregoing or anything to the contrary herein, so long as Tenant is publicly traded on an over-the-counter stock exchange, Tenant shall be entitled to (x) disclose information relating to this Lease to the extent necessary to comply with the disclosure or regulatory requirements of the S.E.C., IRS or similar entities, or in connection with other S.E.C., IRS or other regulatory filings customarily made by publicly traded companies; and (y)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-52-</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8"/>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 information relating to this Lease on earnings calls and/or at investor meetings as customarily disclosed by publicly traded companies.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29.29 </w:t>
      </w:r>
      <w:r>
        <w:rPr>
          <w:rFonts w:ascii="Times New Roman" w:hAnsi="Times New Roman"/>
          <w:b/>
          <w:color w:val="000000"/>
          <w:sz w:val="20"/>
          <w:u w:val="single"/>
        </w:rPr>
        <w:t>Transportation Management</w:t>
      </w:r>
      <w:r>
        <w:rPr>
          <w:rFonts w:ascii="Times New Roman" w:hAnsi="Times New Roman"/>
          <w:color w:val="000000"/>
          <w:sz w:val="20"/>
        </w:rPr>
        <w:t>. Tenant shall fully comply with all present or future programs intended to manage parking, transportation or traffic in and around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29.30 </w:t>
      </w:r>
      <w:r>
        <w:rPr>
          <w:rFonts w:ascii="Times New Roman" w:hAnsi="Times New Roman"/>
          <w:b/>
          <w:color w:val="000000"/>
          <w:sz w:val="20"/>
          <w:u w:val="single"/>
        </w:rPr>
        <w:t>Building Renovations</w:t>
      </w:r>
      <w:r>
        <w:rPr>
          <w:rFonts w:ascii="Times New Roman" w:hAnsi="Times New Roman"/>
          <w:color w:val="000000"/>
          <w:sz w:val="20"/>
        </w:rPr>
        <w:t>. It is specifically understood and agreed that Landlord has made no representation or warranty to Tenant and has no obligation and has made no promises to alter, remodel, improve, renovate, repair or decorate the Premises, Building, or any part thereof and that no representations respecting the condition of the Premises or the Building have been made by Landlord to Tenant except as specifically set forth herein. However, Tenant hereby acknowledges that Landlord is currently renovating or may during the Lease Term renovate, improve, alter, or modify (collectively, the “</w:t>
      </w:r>
      <w:r>
        <w:rPr>
          <w:rFonts w:ascii="Times New Roman" w:hAnsi="Times New Roman"/>
          <w:b/>
          <w:color w:val="000000"/>
          <w:sz w:val="20"/>
        </w:rPr>
        <w:t>Renovations</w:t>
      </w:r>
      <w:r>
        <w:rPr>
          <w:rFonts w:ascii="Times New Roman" w:hAnsi="Times New Roman"/>
          <w:color w:val="000000"/>
          <w:sz w:val="20"/>
        </w:rPr>
        <w:t>”) the Project, the Building and/or the Premises including without limitation the parking structure, common areas, systems and equipment, roof, and structural portions of the same, which Renovations may include, without limitation, (i) installing sprinklers in the Building common areas and tenant spaces, (ii) modifying the common areas and tenant spaces to comply with applicable laws and regulations, including regulations relating to the physically disabled, seismic conditions, and building safety and security, and (iii) installing new floor covering, lighting, and wall coverings in the Building common areas, and in connection with any Renovations, Landlord may, among other things, erect scaffolding or other necessary structures in the Building, limit or eliminate access to portions of the Project, including portions of the common areas, or perform work in the Building, which work may create noise, dust or leave debris in the Building. Tenant hereby agrees that such Renovations and Landlord’s actions in connection with such Renovations shall in no way constitute a constructive eviction of Tenant nor entitle Tenant to any abatement of Rent. Except in the case of an emergency, Landlord shall use commercially reasonable efforts to minimize interference with Tenant’s use of and access to the Premises in connection with the performance of any Renovations.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Landlord’s actions in connection with such Renovations, or for any inconvenience or annoyance occasioned by such Renovations or Landlord’s actions.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29.31 </w:t>
      </w:r>
      <w:r>
        <w:rPr>
          <w:rFonts w:ascii="Times New Roman" w:hAnsi="Times New Roman"/>
          <w:b/>
          <w:color w:val="000000"/>
          <w:sz w:val="20"/>
          <w:u w:val="single"/>
        </w:rPr>
        <w:t>No Violation</w:t>
      </w:r>
      <w:r>
        <w:rPr>
          <w:rFonts w:ascii="Times New Roman" w:hAnsi="Times New Roman"/>
          <w:color w:val="000000"/>
          <w:sz w:val="20"/>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from and against any Losses arising from Tenant’s breach of this warranty and representation.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29.32 </w:t>
      </w:r>
      <w:r>
        <w:rPr>
          <w:rFonts w:ascii="Times New Roman" w:hAnsi="Times New Roman"/>
          <w:b/>
          <w:color w:val="000000"/>
          <w:sz w:val="20"/>
          <w:u w:val="single"/>
        </w:rPr>
        <w:t>Communications and Computer Lines</w:t>
      </w:r>
      <w:r>
        <w:rPr>
          <w:rFonts w:ascii="Times New Roman" w:hAnsi="Times New Roman"/>
          <w:color w:val="000000"/>
          <w:sz w:val="20"/>
        </w:rPr>
        <w:t>. Tenant may install, maintain, replace, remove or use any communications or computer wires and cables (collectively, the “</w:t>
      </w:r>
      <w:r>
        <w:rPr>
          <w:rFonts w:ascii="Times New Roman" w:hAnsi="Times New Roman"/>
          <w:b/>
          <w:color w:val="000000"/>
          <w:sz w:val="20"/>
        </w:rPr>
        <w:t>Lines</w:t>
      </w:r>
      <w:r>
        <w:rPr>
          <w:rFonts w:ascii="Times New Roman" w:hAnsi="Times New Roman"/>
          <w:color w:val="000000"/>
          <w:sz w:val="20"/>
        </w:rPr>
        <w:t xml:space="preserve">”) at the Project in or serving the Premises, provided that (i) Tenant shall obtain Landlord’s prior written consent, use Landlord’s designated contractor for provision of cabling and riser management services (or, if Landlord does not have a designated contractor, then an experienced and qualified contractor reasonably approved in writing by Landlord), and comply with all of the other provisions of </w:t>
      </w:r>
      <w:r>
        <w:rPr>
          <w:rFonts w:ascii="Times New Roman" w:hAnsi="Times New Roman"/>
          <w:color w:val="000000"/>
          <w:sz w:val="20"/>
          <w:u w:val="single"/>
        </w:rPr>
        <w:t>Articles 7 and 8</w:t>
      </w:r>
      <w:r>
        <w:rPr>
          <w:rFonts w:ascii="Times New Roman" w:hAnsi="Times New Roman"/>
          <w:color w:val="000000"/>
          <w:sz w:val="20"/>
        </w:rPr>
        <w:t xml:space="preserve"> of this Lease, (ii) an acceptable number of spare Lines and space for additional Lines shall be maintained for existing and future occupants of the Project, as determined in Landlord’s reasonable opinion, (iii) the Lines therefor (including riser cables) shall be (x) appropriately insulated to prevent excessive electromagnetic fields or radiation, (y) surrounded by a protective conduit reasonably acceptable to Landlord, and (z) identified in accordance with the “Identification Requirements,” as that term is set forth hereinbelow, (iv) any new or existing Lines servicing the Premises shall comply with all applicable governmental laws and regulations, (v) as a condition to permitting the installation of new Lines, Tenant shall remove existing Lines located in or serving the Premises and repair any damage in connection with such removal, and (vi) Tenant shall pay all costs in connection therewith. All Lines shall be clearly marked with adhesive plastic labels (or plastic tags attached to such Lines with wire) to show Tenant’s name, suite 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Times New Roman" w:hAnsi="Times New Roman"/>
          <w:b/>
          <w:color w:val="000000"/>
          <w:sz w:val="20"/>
        </w:rPr>
        <w:t>Identification Requirements</w:t>
      </w:r>
      <w:r>
        <w:rPr>
          <w:rFonts w:ascii="Times New Roman" w:hAnsi="Times New Roman"/>
          <w:color w:val="000000"/>
          <w:sz w:val="20"/>
        </w:rPr>
        <w:t xml:space="preserve">”). Upon the expiration of the Lease Term, or immediately following any earlier termination of this Lease, Tenant shall, at Tenant’s sole cost and expense, remove all Lines installed by Tenant, and repair any damage caused by such removal. In the event that Tenant fails to complete such removal and/or fails to repair any damage caused by the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-53-</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9"/>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removal of any Lines, Landlord may do so and may charge the cost thereof to Tenant. Landlord reserves the right to require that Tenant remove any Lines located in or serving the Premises which are installed in violation of these provisions, or which are at any time (1) are in violation of any Applicable Laws, (2) are inconsistent with then-existing industry standards (such as the standards promulgated by the National Fire Protection Association (e.g., such organization’s “2002 National Electrical Code”)), or (3) otherwise represent a dangerous or potentially dangerous condition.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29.33 </w:t>
      </w:r>
      <w:r>
        <w:rPr>
          <w:rFonts w:ascii="Times New Roman" w:hAnsi="Times New Roman"/>
          <w:b/>
          <w:color w:val="000000"/>
          <w:sz w:val="20"/>
          <w:u w:val="single"/>
        </w:rPr>
        <w:t>Hazardous Materials</w:t>
      </w:r>
      <w:r>
        <w:rPr>
          <w:rFonts w:ascii="Times New Roman" w:hAnsi="Times New Roman"/>
          <w:color w:val="000000"/>
          <w:sz w:val="20"/>
        </w:rPr>
        <w:t>. Tenant: (i) except for Permitted Chemicals (as defined below), shall not cause or suffer to occur, the release, discharge, escape or emission of any Hazardous Materials at, upon, under or within the Project; (ii) shall not engage in activities at the Project that could result in, give rise to, or lead to the imposition of liability upon Tenant or Landlord or the creation of a lien upon the Project; (iii) shall notify Landlord promptly following receipt of any knowledge with respect to any actual release, discharge, escape or emission (whether past or present) of any Hazardous Materials at, upon, under or within the Premises; and (iv) shall promptly forward to Landlord copies of all orders, notices, permits, applications and other communications and reports in connection with any release, discharge, escape or emission of any Hazardous Materials at, upon, under or within the Premises or any contiguous or adjacent premises.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29.33.1 </w:t>
      </w:r>
      <w:r>
        <w:rPr>
          <w:rFonts w:ascii="Times New Roman" w:hAnsi="Times New Roman"/>
          <w:b/>
          <w:color w:val="000000"/>
          <w:sz w:val="20"/>
          <w:u w:val="single"/>
        </w:rPr>
        <w:t>Definitions</w:t>
      </w:r>
      <w:r>
        <w:rPr>
          <w:rFonts w:ascii="Times New Roman" w:hAnsi="Times New Roman"/>
          <w:color w:val="000000"/>
          <w:sz w:val="20"/>
        </w:rPr>
        <w:t>. “</w:t>
      </w:r>
      <w:r>
        <w:rPr>
          <w:rFonts w:ascii="Times New Roman" w:hAnsi="Times New Roman"/>
          <w:b/>
          <w:color w:val="000000"/>
          <w:sz w:val="20"/>
        </w:rPr>
        <w:t>Hazardous Material(s)</w:t>
      </w:r>
      <w:r>
        <w:rPr>
          <w:rFonts w:ascii="Times New Roman" w:hAnsi="Times New Roman"/>
          <w:color w:val="000000"/>
          <w:sz w:val="20"/>
        </w:rPr>
        <w:t>” shall mean any solid, liquid or gaseous substance or material that is described or characterized as a toxic or hazardous substance, waste, material, pollutant, contaminant or infectious waste, or any substance or material that in certain specified quantities would be injurious to the public health or welfare, or words of similar import, in any of the “Environmental Laws,” as defined below, or any other words which are intended to define, list or classify substances by reason of deleterious properties such as ignitability, corrosivity, reactivity, carcinogenicity, toxicity or reproductive toxicity and includes, without limitation, asbestos, petroleum (including crude oil or any fraction thereof, natural gas, natural gas liquids, liquefied natural gas, or synthetic gas usable for fuel, or any mixture thereof), petroleum products, polychlorinated biphenyls, urea formaldehyde, radon gas, nuclear or radioactive matter, medical waste, soot, vapors, fumes, acids, alkalis, chemicals, microbial matters (such as molds, fungi or other bacterial matters), biological agents and chemicals which may cause adverse health effects, including but not limited to, cancers and /or toxicity. “</w:t>
      </w:r>
      <w:r>
        <w:rPr>
          <w:rFonts w:ascii="Times New Roman" w:hAnsi="Times New Roman"/>
          <w:b/>
          <w:color w:val="000000"/>
          <w:sz w:val="20"/>
        </w:rPr>
        <w:t>Environmental Laws</w:t>
      </w:r>
      <w:r>
        <w:rPr>
          <w:rFonts w:ascii="Times New Roman" w:hAnsi="Times New Roman"/>
          <w:color w:val="000000"/>
          <w:sz w:val="20"/>
        </w:rPr>
        <w:t>” shall mean any and all federal, state, local or quasi-governmental laws (whether under common law, statute or otherwise), ordinances, decrees, codes, rulings, awards, rules, regulations or guidance or policy documents now or hereafter enacted or promulgated and as amended from time to time, in any way relating to (i) the protection of the environment, the health and safety of persons (including employees), property or the public welfare from actual or potential release, discharge, escape or emission (whether past or present) of any Hazardous Materials or (ii) the manufacture, processing, distribution, use, treatment, storage, disposal, transport or handling of any Hazardous Materials.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29.33.2 </w:t>
      </w:r>
      <w:r>
        <w:rPr>
          <w:rFonts w:ascii="Times New Roman" w:hAnsi="Times New Roman"/>
          <w:b/>
          <w:color w:val="000000"/>
          <w:sz w:val="20"/>
          <w:u w:val="single"/>
        </w:rPr>
        <w:t>Permitted Chemicals</w:t>
      </w:r>
      <w:r>
        <w:rPr>
          <w:rFonts w:ascii="Times New Roman" w:hAnsi="Times New Roman"/>
          <w:color w:val="000000"/>
          <w:sz w:val="20"/>
          <w:u w:val="single"/>
        </w:rPr>
        <w:t>.</w:t>
      </w:r>
      <w:r>
        <w:rPr>
          <w:rFonts w:ascii="Times New Roman" w:hAnsi="Times New Roman"/>
          <w:color w:val="000000"/>
          <w:sz w:val="20"/>
        </w:rPr>
        <w:t xml:space="preserve"> Notwithstanding the foregoing, Tenant may use, store and properly dispose of commonly available household cleaners and chemicals, in reasonable quantities, to maintain the Premises and Tenant’s routine office operations (such as printer toner and copier toner) (collectively, the “</w:t>
      </w:r>
      <w:r>
        <w:rPr>
          <w:rFonts w:ascii="Times New Roman" w:hAnsi="Times New Roman"/>
          <w:b/>
          <w:color w:val="000000"/>
          <w:sz w:val="20"/>
        </w:rPr>
        <w:t>Permitted Chemicals</w:t>
      </w:r>
      <w:r>
        <w:rPr>
          <w:rFonts w:ascii="Times New Roman" w:hAnsi="Times New Roman"/>
          <w:color w:val="000000"/>
          <w:sz w:val="20"/>
        </w:rPr>
        <w:t xml:space="preserve">”). Landlord and Tenant acknowledge that any or all of the Permitted Chemicals described in this paragraph may constitute Hazardous Materials. However, Tenant may use, store and dispose of same, provided that in doing so, all Permitted Chemicals are stored, properly packaged and labeled, disposed of and/or used in accordance with applicable Environmental Laws, and provided that Tenant fully complies with all Environmental Laws and TCC’s of this </w:t>
      </w:r>
      <w:r>
        <w:rPr>
          <w:rFonts w:ascii="Times New Roman" w:hAnsi="Times New Roman"/>
          <w:color w:val="000000"/>
          <w:sz w:val="20"/>
          <w:u w:val="single"/>
        </w:rPr>
        <w:t>Article 29</w:t>
      </w:r>
      <w:r>
        <w:rPr>
          <w:rFonts w:ascii="Times New Roman" w:hAnsi="Times New Roman"/>
          <w:color w:val="000000"/>
          <w:sz w:val="20"/>
        </w:rPr>
        <w:t xml:space="preserve"> and of </w:t>
      </w:r>
      <w:r>
        <w:rPr>
          <w:rFonts w:ascii="Times New Roman" w:hAnsi="Times New Roman"/>
          <w:color w:val="000000"/>
          <w:sz w:val="20"/>
          <w:u w:val="single"/>
        </w:rPr>
        <w:t>Article 24</w:t>
      </w:r>
      <w:r>
        <w:rPr>
          <w:rFonts w:ascii="Times New Roman" w:hAnsi="Times New Roman"/>
          <w:color w:val="000000"/>
          <w:sz w:val="20"/>
        </w:rPr>
        <w:t xml:space="preserve"> above.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29.33.3 </w:t>
      </w:r>
      <w:r>
        <w:rPr>
          <w:rFonts w:ascii="Times New Roman" w:hAnsi="Times New Roman"/>
          <w:b/>
          <w:color w:val="000000"/>
          <w:sz w:val="20"/>
          <w:u w:val="single"/>
        </w:rPr>
        <w:t>Tenant Hazardous Materials</w:t>
      </w:r>
      <w:r>
        <w:rPr>
          <w:rFonts w:ascii="Times New Roman" w:hAnsi="Times New Roman"/>
          <w:b/>
          <w:color w:val="000000"/>
          <w:sz w:val="20"/>
        </w:rPr>
        <w:t xml:space="preserve">. </w:t>
      </w:r>
      <w:r>
        <w:rPr>
          <w:rFonts w:ascii="Times New Roman" w:hAnsi="Times New Roman"/>
          <w:color w:val="000000"/>
          <w:sz w:val="20"/>
        </w:rPr>
        <w:t>On or before the Lease Commencement Date and on each annual anniversary of the Lease Commencement Date thereafter, as well as at any other time following Tenant’s receipt of a reasonable request from Landlord, Tenant shall deliver to Landlord a list of all Hazardous Materials anticipated to be used by Tenant in the Premises and the quantities thereof. At any time following Tenant’s receipt of a request from Landlord, Tenant shall promptly complete an “environmental questionnaire” using the form then- provided by Landlord.</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-54-</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60"/>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29.33.4 </w:t>
      </w:r>
      <w:r>
        <w:rPr>
          <w:rFonts w:ascii="Times New Roman" w:hAnsi="Times New Roman"/>
          <w:b/>
          <w:color w:val="000000"/>
          <w:sz w:val="20"/>
          <w:u w:val="single"/>
        </w:rPr>
        <w:t>Landlord’s Right of Environmental Audit</w:t>
      </w:r>
      <w:r>
        <w:rPr>
          <w:rFonts w:ascii="Times New Roman" w:hAnsi="Times New Roman"/>
          <w:color w:val="000000"/>
          <w:sz w:val="20"/>
        </w:rPr>
        <w:t>. Landlord may, upon reasonable notice to Tenant, be granted access to and enter the Premises no more than once annually to perform or cause to have performed an environmental inspection, site assessment or audit. Such environmental inspector or auditor may be chosen by Landlord, in its sole discretion, and be performed at Landlord’s sole expense. To the extent that the report prepared upon such inspection, assessment or audit, indicates the presence of Hazardous Materials in violation of Environmental Laws, or provides recommendations or suggestions to prohibit the release, discharge, escape or emission of any Hazardous Materials at, upon, under or within the Premises, or to comply with any Environmental Laws, Tenant shall promptly, at Tenant’s sole expense, comply with such recommendations or suggestions, including, but not limited to performing such additional investigative or subsurface investigations or remediation(s) as recommended by such inspector or auditor. Notwithstanding the above, if at any time, Landlord has actual notice or reasonable cause to believe that Tenant has violated, or permitted any violations of any Environmental Law, then Landlord will be entitled to perform its environmental inspection, assessment or audit at any time, notwithstanding the above mentioned annual limitation, and Tenant must reimburse Landlord for the cost or fees incurred for such as Additional Rent.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29.33.5 </w:t>
      </w:r>
      <w:r>
        <w:rPr>
          <w:rFonts w:ascii="Times New Roman" w:hAnsi="Times New Roman"/>
          <w:b/>
          <w:color w:val="000000"/>
          <w:sz w:val="20"/>
          <w:u w:val="single"/>
        </w:rPr>
        <w:t>Indemnification</w:t>
      </w:r>
      <w:r>
        <w:rPr>
          <w:rFonts w:ascii="Times New Roman" w:hAnsi="Times New Roman"/>
          <w:color w:val="000000"/>
          <w:sz w:val="20"/>
        </w:rPr>
        <w:t>. Tenant shall indemnify, defend, protect and hold harmless the Landlord Parties from and against any Losses resulting directly or indirectly from any use, presence, removal or disposal of any Hazardous Materials or breach of any provision of this section, to the extent such Losses were a result of actions caused or permitted by Tenant or any Tenant Party. Landlord agrees to indemnify, defend, protect and hold harmless the Tenant Parties from and against any Losses resulting directly or indirectly from any use, presence, removal or disposal of any Hazardous Materials to the extent such Losses were a result of actions caused or knowingly permitted by Landlord or a Landlord Party.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29.34 </w:t>
      </w:r>
      <w:r>
        <w:rPr>
          <w:rFonts w:ascii="Times New Roman" w:hAnsi="Times New Roman"/>
          <w:b/>
          <w:color w:val="000000"/>
          <w:sz w:val="20"/>
          <w:u w:val="single"/>
        </w:rPr>
        <w:t>Office and Communications Services</w:t>
      </w:r>
      <w:r>
        <w:rPr>
          <w:rFonts w:ascii="Times New Roman" w:hAnsi="Times New Roman"/>
          <w:b/>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29.34.1 </w:t>
      </w:r>
      <w:r>
        <w:rPr>
          <w:rFonts w:ascii="Times New Roman" w:hAnsi="Times New Roman"/>
          <w:b/>
          <w:color w:val="000000"/>
          <w:sz w:val="20"/>
          <w:u w:val="single"/>
        </w:rPr>
        <w:t>The Provider</w:t>
      </w:r>
      <w:r>
        <w:rPr>
          <w:rFonts w:ascii="Times New Roman" w:hAnsi="Times New Roman"/>
          <w:color w:val="000000"/>
          <w:sz w:val="20"/>
        </w:rPr>
        <w:t>. Landlord has advised Tenant that certain office and communications services (which may include, without limitation, cable or satellite television service) may be offered to tenants of the Building by a concessionaire (which may or may not have exclusive rights to offer such services in the Building) under contract to Landlord (“</w:t>
      </w:r>
      <w:r>
        <w:rPr>
          <w:rFonts w:ascii="Times New Roman" w:hAnsi="Times New Roman"/>
          <w:b/>
          <w:color w:val="000000"/>
          <w:sz w:val="20"/>
        </w:rPr>
        <w:t>Provider</w:t>
      </w:r>
      <w:r>
        <w:rPr>
          <w:rFonts w:ascii="Times New Roman" w:hAnsi="Times New Roman"/>
          <w:color w:val="000000"/>
          <w:sz w:val="20"/>
        </w:rPr>
        <w:t>”). Tenant shall be permitted to contract with Provider for the provision of any or all of such services on such terms and conditions as Tenant and Provider may agree.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29.34.2 </w:t>
      </w:r>
      <w:r>
        <w:rPr>
          <w:rFonts w:ascii="Times New Roman" w:hAnsi="Times New Roman"/>
          <w:b/>
          <w:color w:val="000000"/>
          <w:sz w:val="20"/>
          <w:u w:val="single"/>
        </w:rPr>
        <w:t>Other Terms</w:t>
      </w:r>
      <w:r>
        <w:rPr>
          <w:rFonts w:ascii="Times New Roman" w:hAnsi="Times New Roman"/>
          <w:color w:val="000000"/>
          <w:sz w:val="20"/>
        </w:rPr>
        <w:t>. Tenant acknowledges and agrees that: (i) Landlord has made no warranty or representation to Tenant with respect to the availability of any such services, or the quality, reliability or suitability thereof; (ii) the Provider is not acting as the agent or representative of Landlord in the provision of such services, and Landlord shall have no liability or responsibility for any failure or inadequacy of such services, or any equipment or facilities used in the furnishing thereof, or any act or omission of Provider, or its agents, employees, representatives, officers or contractors; (iii) Landlord shall have no responsibility or liability for the installation, alteration, repair, maintenance, furnishing, operation, adjustment or removal of any such services, equipment or facilities; and (iv) any contract or other agreement between Tenant and Provider shall be independent of this Lease, the obligations of Tenant hereunder, and the rights of Landlord hereunder, and, without limiting the foregoing, no default or failure of Provider with respect to any such services, equipment or facilities, or under any contract or agreement relating thereto, shall have any effect on this Lease or give to Tenant any offset or defense to the full and timely performance of its obligations hereunder, or entitle Tenant to any abatement of rent or additional rent or any other payment required to be made by Tenant hereunder, or constitute any accrual or constructive eviction of Tenant, or otherwise give rise to any other claim of any nature against Landlord.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29.35 </w:t>
      </w:r>
      <w:r>
        <w:rPr>
          <w:rFonts w:ascii="Times New Roman" w:hAnsi="Times New Roman"/>
          <w:b/>
          <w:color w:val="000000"/>
          <w:sz w:val="20"/>
          <w:u w:val="single"/>
        </w:rPr>
        <w:t>Water Sensors</w:t>
      </w:r>
      <w:r>
        <w:rPr>
          <w:rFonts w:ascii="Times New Roman" w:hAnsi="Times New Roman"/>
          <w:color w:val="000000"/>
          <w:sz w:val="20"/>
        </w:rPr>
        <w:t>. Tenant shall, at Tenant’s sole cost and expense, be responsible for promptly installing web-enabled wireless water leak sensor devices designed to alert the Tenant on a twenty-four (24) hour seven (7) day per week basis if a water leak is occurring in the Premises (which water sensor device(s) located in the Premises shall be referred to herein as “</w:t>
      </w:r>
      <w:r>
        <w:rPr>
          <w:rFonts w:ascii="Times New Roman" w:hAnsi="Times New Roman"/>
          <w:b/>
          <w:color w:val="000000"/>
          <w:sz w:val="20"/>
        </w:rPr>
        <w:t>Water Sensors</w:t>
      </w:r>
      <w:r>
        <w:rPr>
          <w:rFonts w:ascii="Times New Roman" w:hAnsi="Times New Roman"/>
          <w:color w:val="000000"/>
          <w:sz w:val="20"/>
        </w:rPr>
        <w:t>”). The Water Sensors shall be installed in any areas in the Premises where water is utilized (such as sinks, pipes, faucets, water heaters, coffee machines, ice machines, water dispensers and water fountains), and in locations that may be designated from time to time by Landlord (the “</w:t>
      </w:r>
      <w:r>
        <w:rPr>
          <w:rFonts w:ascii="Times New Roman" w:hAnsi="Times New Roman"/>
          <w:b/>
          <w:color w:val="000000"/>
          <w:sz w:val="20"/>
        </w:rPr>
        <w:t>Sensor Areas</w:t>
      </w:r>
      <w:r>
        <w:rPr>
          <w:rFonts w:ascii="Times New Roman" w:hAnsi="Times New Roman"/>
          <w:color w:val="000000"/>
          <w:sz w:val="20"/>
        </w:rPr>
        <w:t xml:space="preserve">”). In connection with any Alterations affecting or relating to any Sensor Areas, Landlord may require Water Sensors to be installed or updated in Landlord’s sole and absolute discretion. With respect to the installation of any such Water Sensors, Tenant shall obtain Landlord’s prior written consent, use an experienced and qualified contractor reasonably designated by Landlord, and comply with all of the other provisions of </w:t>
      </w:r>
      <w:r>
        <w:rPr>
          <w:rFonts w:ascii="Times New Roman" w:hAnsi="Times New Roman"/>
          <w:color w:val="000000"/>
          <w:sz w:val="20"/>
          <w:u w:val="single"/>
        </w:rPr>
        <w:t>Article 8</w:t>
      </w:r>
      <w:r>
        <w:rPr>
          <w:rFonts w:ascii="Times New Roman" w:hAnsi="Times New Roman"/>
          <w:color w:val="000000"/>
          <w:sz w:val="20"/>
        </w:rPr>
        <w:t xml:space="preserve"> of this Lease. Tenant shall, at Tenant’s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-55-</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61"/>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sole cost and expense, pursuant to </w:t>
      </w:r>
      <w:r>
        <w:rPr>
          <w:rFonts w:ascii="Times New Roman" w:hAnsi="Times New Roman"/>
          <w:color w:val="000000"/>
          <w:sz w:val="20"/>
          <w:u w:val="single"/>
        </w:rPr>
        <w:t>Article 7</w:t>
      </w:r>
      <w:r>
        <w:rPr>
          <w:rFonts w:ascii="Times New Roman" w:hAnsi="Times New Roman"/>
          <w:color w:val="000000"/>
          <w:sz w:val="20"/>
        </w:rPr>
        <w:t xml:space="preserve"> of this Lease keep any Water Sensors located in the Premises (whether installed by Tenant or someone else) in good working order, repair and condition at all times during the Lease Term and comply with all of the other provisions of </w:t>
      </w:r>
      <w:r>
        <w:rPr>
          <w:rFonts w:ascii="Times New Roman" w:hAnsi="Times New Roman"/>
          <w:color w:val="000000"/>
          <w:sz w:val="20"/>
          <w:u w:val="single"/>
        </w:rPr>
        <w:t>Article 7</w:t>
      </w:r>
      <w:r>
        <w:rPr>
          <w:rFonts w:ascii="Times New Roman" w:hAnsi="Times New Roman"/>
          <w:color w:val="000000"/>
          <w:sz w:val="20"/>
        </w:rPr>
        <w:t xml:space="preserve"> of this Lease. Notwithstanding any provision to the contrary contained herein, Landlord has neither an obligation to monitor, repair or otherwise maintain the Water Sensors, nor an obligation to respond to any alerts it may receive from the Water Sensors or which may be generated from the Water Sensors. Upon the expiration of the Lease Term (so long as Landlord gives written notice to Tenant at least thirty (30) days prior to the expiration of the Lease Term), or immediately following any earlier termination of this Lease, Landlord reserves the right to require Tenant, at Tenant’s sole cost and expense, to remove all Water Sensors installed by Tenant, and repair any damage caused by such removal; provided, however, if the Landlord does not require the Tenant to remove the Water Sensors as contemplated by the foregoing, then Tenant shall leave the Water Sensors in place together with all necessary user information such that the same may be used by a future occupant of the Premises (</w:t>
      </w:r>
      <w:r>
        <w:rPr>
          <w:rFonts w:ascii="Times New Roman" w:hAnsi="Times New Roman"/>
          <w:i/>
          <w:color w:val="000000"/>
          <w:sz w:val="20"/>
        </w:rPr>
        <w:t>e.g.</w:t>
      </w:r>
      <w:r>
        <w:rPr>
          <w:rFonts w:ascii="Times New Roman" w:hAnsi="Times New Roman"/>
          <w:color w:val="000000"/>
          <w:sz w:val="20"/>
        </w:rPr>
        <w:t>, the Water Sensors shall be unblocked and ready for use by a third-party). If Tenant is required to remove the Water Sensors pursuant to the foregoing and Tenant fails to complete such removal and/or fails to repair any damage caused by the removal of any Water Sensors, Landlord may do so and may charge the cost thereof to Tenant.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29.36 </w:t>
      </w:r>
      <w:r>
        <w:rPr>
          <w:rFonts w:ascii="Times New Roman" w:hAnsi="Times New Roman"/>
          <w:b/>
          <w:color w:val="000000"/>
          <w:sz w:val="20"/>
          <w:u w:val="single"/>
        </w:rPr>
        <w:t>No Discrimination</w:t>
      </w:r>
      <w:r>
        <w:rPr>
          <w:rFonts w:ascii="Times New Roman" w:hAnsi="Times New Roman"/>
          <w:color w:val="000000"/>
          <w:sz w:val="20"/>
        </w:rPr>
        <w:t>. Tenant covenants by and for itself, its heirs, executors, administrators and assigns, and all persons claiming under or through Tenant, and this Lease is made and accepted upon and subject to the following conditions: that there shall be no discrimination against or segregation of any person or group of persons, on account of race, color, creed, sex, religion, marital status, ancestry or national origin in the leasing, subleasing, transferring, use, or enjoyment of the Premises, nor shall Tenant itself, or any person claiming under or through Tenant, establish or permit such practice or practices of discrimination or segregation with reference to the selection, location, number, use or occupancy, of tenants, lessees, sublessees, subtenants or vendees in the Premises.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29.37 </w:t>
      </w:r>
      <w:r>
        <w:rPr>
          <w:rFonts w:ascii="Times New Roman" w:hAnsi="Times New Roman"/>
          <w:b/>
          <w:color w:val="000000"/>
          <w:sz w:val="20"/>
          <w:u w:val="single"/>
        </w:rPr>
        <w:t>Sustainability and Wellness</w:t>
      </w:r>
      <w:r>
        <w:rPr>
          <w:rFonts w:ascii="Times New Roman" w:hAnsi="Times New Roman"/>
          <w:b/>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29.37.1 </w:t>
      </w:r>
      <w:r>
        <w:rPr>
          <w:rFonts w:ascii="Times New Roman" w:hAnsi="Times New Roman"/>
          <w:b/>
          <w:color w:val="000000"/>
          <w:sz w:val="20"/>
          <w:u w:val="single"/>
        </w:rPr>
        <w:t>Sustainability and Wellness Requirements</w:t>
      </w:r>
      <w:r>
        <w:rPr>
          <w:rFonts w:ascii="Times New Roman" w:hAnsi="Times New Roman"/>
          <w:color w:val="000000"/>
          <w:sz w:val="20"/>
        </w:rPr>
        <w:t>. Landlord’s ownership and operation of the Project is informed by an awareness of best practices within the commercial real estate industry concerning sustainability and wellness of the Building and its occupants. In connection therewith, Landlord may, in its sole and absolute discretion, (i) implement a green cleaning program, a recycling program (which may include, without limitation, a requirement that Tenant separate waste appropriately so that it can be efficiently processed by Landlord’s particular recycling contractors), Building wellness program, energy efficiency program, or other standards for efficient operation and management of the Building or Project (collectively, as the same may be updated by Landlord from time to time, “</w:t>
      </w:r>
      <w:r>
        <w:rPr>
          <w:rFonts w:ascii="Times New Roman" w:hAnsi="Times New Roman"/>
          <w:b/>
          <w:color w:val="000000"/>
          <w:sz w:val="20"/>
        </w:rPr>
        <w:t>Sustainability and Wellness Programs</w:t>
      </w:r>
      <w:r>
        <w:rPr>
          <w:rFonts w:ascii="Times New Roman" w:hAnsi="Times New Roman"/>
          <w:color w:val="000000"/>
          <w:sz w:val="20"/>
        </w:rPr>
        <w:t>”), and (ii) pursue and/or maintain certification(s) for the Building and/or Project (or any portion thereof) under the U.S. Green Building Council’s Leadership in Energy and Environmental Design (“</w:t>
      </w:r>
      <w:r>
        <w:rPr>
          <w:rFonts w:ascii="Times New Roman" w:hAnsi="Times New Roman"/>
          <w:b/>
          <w:color w:val="000000"/>
          <w:sz w:val="20"/>
        </w:rPr>
        <w:t>LEED</w:t>
      </w:r>
      <w:r>
        <w:rPr>
          <w:rFonts w:ascii="Times New Roman" w:hAnsi="Times New Roman"/>
          <w:color w:val="000000"/>
          <w:sz w:val="20"/>
        </w:rPr>
        <w:t>”), Fitwel, WELL, and/or ENERGY STAR certification or other applicable certification agency (any of the foregoing, a “</w:t>
      </w:r>
      <w:r>
        <w:rPr>
          <w:rFonts w:ascii="Times New Roman" w:hAnsi="Times New Roman"/>
          <w:b/>
          <w:color w:val="000000"/>
          <w:sz w:val="20"/>
        </w:rPr>
        <w:t>Sustainability and Wellness Certification</w:t>
      </w:r>
      <w:r>
        <w:rPr>
          <w:rFonts w:ascii="Times New Roman" w:hAnsi="Times New Roman"/>
          <w:color w:val="000000"/>
          <w:sz w:val="20"/>
        </w:rPr>
        <w:t>”). The Sustainability and Wellness Programs and Sustainability and Wellness Certifications are, collectively, the “</w:t>
      </w:r>
      <w:r>
        <w:rPr>
          <w:rFonts w:ascii="Times New Roman" w:hAnsi="Times New Roman"/>
          <w:b/>
          <w:color w:val="000000"/>
          <w:sz w:val="20"/>
        </w:rPr>
        <w:t>Sustainability and Wellness Initiatives</w:t>
      </w:r>
      <w:r>
        <w:rPr>
          <w:rFonts w:ascii="Times New Roman" w:hAnsi="Times New Roman"/>
          <w:color w:val="000000"/>
          <w:sz w:val="20"/>
        </w:rPr>
        <w:t>”, and any sustainability and wellness practices and requirements with respect to the Building and/or the Project established by Landlord to implement the Sustainability and Wellness Initiatives are, collectively, as the same may be updated by Landlord from time to time, “</w:t>
      </w:r>
      <w:r>
        <w:rPr>
          <w:rFonts w:ascii="Times New Roman" w:hAnsi="Times New Roman"/>
          <w:b/>
          <w:color w:val="000000"/>
          <w:sz w:val="20"/>
        </w:rPr>
        <w:t>Sustainability and Wellness Requirements</w:t>
      </w:r>
      <w:r>
        <w:rPr>
          <w:rFonts w:ascii="Times New Roman" w:hAnsi="Times New Roman"/>
          <w:color w:val="000000"/>
          <w:sz w:val="20"/>
        </w:rPr>
        <w:t xml:space="preserve">”. Nothing contained in this </w:t>
      </w:r>
      <w:r>
        <w:rPr>
          <w:rFonts w:ascii="Times New Roman" w:hAnsi="Times New Roman"/>
          <w:color w:val="000000"/>
          <w:sz w:val="20"/>
          <w:u w:val="single"/>
        </w:rPr>
        <w:t>Section 29.37</w:t>
      </w:r>
      <w:r>
        <w:rPr>
          <w:rFonts w:ascii="Times New Roman" w:hAnsi="Times New Roman"/>
          <w:color w:val="000000"/>
          <w:sz w:val="20"/>
        </w:rPr>
        <w:t xml:space="preserve"> shall obligate Landlord to incur any costs or expenses that are not otherwise an obligation of Landlord pursuant to the other TCCs of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29.37.2 </w:t>
      </w:r>
      <w:r>
        <w:rPr>
          <w:rFonts w:ascii="Times New Roman" w:hAnsi="Times New Roman"/>
          <w:b/>
          <w:color w:val="000000"/>
          <w:sz w:val="20"/>
          <w:u w:val="single"/>
        </w:rPr>
        <w:t>Tenant’s Compliance</w:t>
      </w:r>
      <w:r>
        <w:rPr>
          <w:rFonts w:ascii="Times New Roman" w:hAnsi="Times New Roman"/>
          <w:color w:val="000000"/>
          <w:sz w:val="20"/>
        </w:rPr>
        <w:t xml:space="preserve">. Tenant shall, at Tenant’s sole cost and expense, comply with (and cause its employees, vendors, and contractors to comply with) all Sustainability and Wellness Requirements and the terms of any Sustainability and Wellness Initiatives and otherwise cooperate with Landlord in connection with Landlord’s efforts in connection therewith, which compliance and cooperation may include, without limitation, (i) Tenant’s compliance with certain standards pertaining to the purchase of materials used in connection with the performance of Tenant’s Repair Obligations and/or any Alterations undertaken by the Tenant in the Project, and (ii) Tenant sharing with Landlord documentation pertaining to any of Tenant’s Repair Obligations, Alterations undertaken by Tenant in the Project, Tenant’s billing information pertaining to trash removal and recycling related to Tenant’s operations in the Project, and otherwise providing Landlord with any documentation Landlord may need in order to obtain or maintain any Sustainability and Wellness Certification(s). A description of Landlord’s then-existing Sustainability and Wellness Initiatives for the Project, and the terms of any Sustainability and Wellness Requirements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-56-</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62"/>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will be provided to Tenant upon written request, and any inquiries from Tenant concerning Sustainability and Wellness Requirements or Landlord’s sustainability efforts in general may be directed to sustainability@kilroyrealty.com. To the extent Tenant fails to comply with any of Landlord’s Sustainability and Wellness Requirements and Sustainability and Wellness Initiatives, Tenant shall be required to pay any reasonable fees or charges incurred by Landlord related to such non-compliance. Notwithstanding anything to the contrary set forth above in this </w:t>
      </w:r>
      <w:r>
        <w:rPr>
          <w:rFonts w:ascii="Times New Roman" w:hAnsi="Times New Roman"/>
          <w:color w:val="000000"/>
          <w:sz w:val="20"/>
          <w:u w:val="single"/>
        </w:rPr>
        <w:t>Section 29.37.2</w:t>
      </w:r>
      <w:r>
        <w:rPr>
          <w:rFonts w:ascii="Times New Roman" w:hAnsi="Times New Roman"/>
          <w:color w:val="000000"/>
          <w:sz w:val="20"/>
        </w:rPr>
        <w:t xml:space="preserve"> or elsewhere in this Lease, except as required by Applicable Laws, Tenant shall not be required to incur material and unreasonable costs or expenses in complying with any Sustainability and Wellness Requirements to the extent the same are materially in excess of the requirements imposed on tenants of other Comparable Buildings.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29.38 </w:t>
      </w:r>
      <w:r>
        <w:rPr>
          <w:rFonts w:ascii="Times New Roman" w:hAnsi="Times New Roman"/>
          <w:b/>
          <w:color w:val="000000"/>
          <w:sz w:val="20"/>
          <w:u w:val="single"/>
        </w:rPr>
        <w:t>Utility Billing Information</w:t>
      </w:r>
      <w:r>
        <w:rPr>
          <w:rFonts w:ascii="Times New Roman" w:hAnsi="Times New Roman"/>
          <w:color w:val="000000"/>
          <w:sz w:val="20"/>
        </w:rPr>
        <w:t>. In the event that the Tenant is permitted to contract directly for the provision of electricity, gas and/or water services to the Premises with the third- party provider thereof (all in Landlord’s sole and absolute discretion), Tenant shall promptly, but in no event more than five (5) business days following its receipt of each and every invoice for such items from the applicable provider, provide Landlord with a copy of each such invoice. Tenant acknowledges that pursuant to California Public Resources Code Section 25402.10 and the regulations adopted pursuant thereto (collectively the “</w:t>
      </w:r>
      <w:r>
        <w:rPr>
          <w:rFonts w:ascii="Times New Roman" w:hAnsi="Times New Roman"/>
          <w:b/>
          <w:color w:val="000000"/>
          <w:sz w:val="20"/>
        </w:rPr>
        <w:t>Energy Disclosure Requirements</w:t>
      </w:r>
      <w:r>
        <w:rPr>
          <w:rFonts w:ascii="Times New Roman" w:hAnsi="Times New Roman"/>
          <w:color w:val="000000"/>
          <w:sz w:val="20"/>
        </w:rPr>
        <w:t>”), Landlord may be required to disclose information concerning Tenant’s energy usage at the Building to certain third parties, including, without limitation, prospective purchasers, lenders and tenants of the Building (the “</w:t>
      </w:r>
      <w:r>
        <w:rPr>
          <w:rFonts w:ascii="Times New Roman" w:hAnsi="Times New Roman"/>
          <w:b/>
          <w:color w:val="000000"/>
          <w:sz w:val="20"/>
        </w:rPr>
        <w:t>Tenant Energy Use Disclosure</w:t>
      </w:r>
      <w:r>
        <w:rPr>
          <w:rFonts w:ascii="Times New Roman" w:hAnsi="Times New Roman"/>
          <w:color w:val="000000"/>
          <w:sz w:val="20"/>
        </w:rPr>
        <w:t xml:space="preserve">”).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Times New Roman" w:hAnsi="Times New Roman"/>
          <w:color w:val="000000"/>
          <w:sz w:val="20"/>
          <w:u w:val="single"/>
        </w:rPr>
        <w:t>Section 29.38</w:t>
      </w:r>
      <w:r>
        <w:rPr>
          <w:rFonts w:ascii="Times New Roman" w:hAnsi="Times New Roman"/>
          <w:color w:val="000000"/>
          <w:sz w:val="20"/>
        </w:rPr>
        <w:t xml:space="preserve"> shall survive the expiration or earlier termination of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29.39 </w:t>
      </w:r>
      <w:r>
        <w:rPr>
          <w:rFonts w:ascii="Times New Roman" w:hAnsi="Times New Roman"/>
          <w:b/>
          <w:color w:val="000000"/>
          <w:sz w:val="20"/>
          <w:u w:val="single"/>
        </w:rPr>
        <w:t>Green Cleaning/Recycling</w:t>
      </w:r>
      <w:r>
        <w:rPr>
          <w:rFonts w:ascii="Times New Roman" w:hAnsi="Times New Roman"/>
          <w:color w:val="000000"/>
          <w:sz w:val="20"/>
        </w:rPr>
        <w:t>. To the extent a “green cleaning program” and/or a recycling program is implemented by Landlord in the Building and/or Project (each in Landlord’s sole and absolute discretion), Tenant shall, at Tenant’s sole cost and expense, comply with the provisions of each of the foregoing programs (e.g., Tenant shall separate waste appropriately so that it can be efficiently processed by Landlord’s particular recycling contractors). To the extent Tenant fails to comply with any of Landlord’s recycling programs contemplated by the foregoing, Tenant shall be required to pay any contamination charges related to such non-compliance.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29.40 </w:t>
      </w:r>
      <w:r>
        <w:rPr>
          <w:rFonts w:ascii="Times New Roman" w:hAnsi="Times New Roman"/>
          <w:b/>
          <w:color w:val="000000"/>
          <w:sz w:val="20"/>
          <w:u w:val="single"/>
        </w:rPr>
        <w:t>Shuttle Service</w:t>
      </w:r>
      <w:r>
        <w:rPr>
          <w:rFonts w:ascii="Times New Roman" w:hAnsi="Times New Roman"/>
          <w:color w:val="000000"/>
          <w:sz w:val="20"/>
        </w:rPr>
        <w:t xml:space="preserve">. Subject to the provisions of this </w:t>
      </w:r>
      <w:r>
        <w:rPr>
          <w:rFonts w:ascii="Times New Roman" w:hAnsi="Times New Roman"/>
          <w:color w:val="000000"/>
          <w:sz w:val="20"/>
          <w:u w:val="single"/>
        </w:rPr>
        <w:t>Section 29.40</w:t>
      </w:r>
      <w:r>
        <w:rPr>
          <w:rFonts w:ascii="Times New Roman" w:hAnsi="Times New Roman"/>
          <w:color w:val="000000"/>
          <w:sz w:val="20"/>
        </w:rPr>
        <w:t>, so long as Tenant is not in default under this Lease, and so long as Landlord, in Landlord’s sole and absolute discretion, permits a shuttle service (the “</w:t>
      </w:r>
      <w:r>
        <w:rPr>
          <w:rFonts w:ascii="Times New Roman" w:hAnsi="Times New Roman"/>
          <w:b/>
          <w:color w:val="000000"/>
          <w:sz w:val="20"/>
        </w:rPr>
        <w:t>Shuttle Service</w:t>
      </w:r>
      <w:r>
        <w:rPr>
          <w:rFonts w:ascii="Times New Roman" w:hAnsi="Times New Roman"/>
          <w:color w:val="000000"/>
          <w:sz w:val="20"/>
        </w:rPr>
        <w:t>”) to operate at the Project, Tenant’s employees (“</w:t>
      </w:r>
      <w:r>
        <w:rPr>
          <w:rFonts w:ascii="Times New Roman" w:hAnsi="Times New Roman"/>
          <w:b/>
          <w:color w:val="000000"/>
          <w:sz w:val="20"/>
        </w:rPr>
        <w:t>Shuttle Service Riders</w:t>
      </w:r>
      <w:r>
        <w:rPr>
          <w:rFonts w:ascii="Times New Roman" w:hAnsi="Times New Roman"/>
          <w:color w:val="000000"/>
          <w:sz w:val="20"/>
        </w:rPr>
        <w:t xml:space="preserve">”) shall be entitled to use the Shuttle Service operated at the Project. The use of the Shuttle Service shall be subject to the reasonable rules and regulations (including rules regarding hours of use) established from time to time by Landlord, in its sole and absolute discretion, and/or the operator of the Shuttle Service. Landlord and Tenant acknowledge that the use of the Shuttle Service by the Shuttle Service Riders shall be at their own risk and that the terms and provisions of </w:t>
      </w:r>
      <w:r>
        <w:rPr>
          <w:rFonts w:ascii="Times New Roman" w:hAnsi="Times New Roman"/>
          <w:color w:val="000000"/>
          <w:sz w:val="20"/>
          <w:u w:val="single"/>
        </w:rPr>
        <w:t>Section 10.1</w:t>
      </w:r>
      <w:r>
        <w:rPr>
          <w:rFonts w:ascii="Times New Roman" w:hAnsi="Times New Roman"/>
          <w:color w:val="000000"/>
          <w:sz w:val="20"/>
        </w:rPr>
        <w:t xml:space="preserve"> of this Lease shall apply to Tenant and the Shuttle Service Rider’s use of the Shuttle Service. The costs of operating, maintaining and repairing the Shuttle Service shall be included as part of Operating Expenses. Tenant acknowledges that the provisions of this </w:t>
      </w:r>
      <w:r>
        <w:rPr>
          <w:rFonts w:ascii="Times New Roman" w:hAnsi="Times New Roman"/>
          <w:color w:val="000000"/>
          <w:sz w:val="20"/>
          <w:u w:val="single"/>
        </w:rPr>
        <w:t>Section 29.40</w:t>
      </w:r>
      <w:r>
        <w:rPr>
          <w:rFonts w:ascii="Times New Roman" w:hAnsi="Times New Roman"/>
          <w:color w:val="000000"/>
          <w:sz w:val="20"/>
        </w:rPr>
        <w:t xml:space="preserve"> shall not be deemed to be a representation by Landlord that Landlord shall continuously maintain the Shuttle Service (or any other shuttle service) throughout the Lease Term, and Landlord shall have the right, at Landlord’s sole discretion, to expand, contract, eliminate or otherwise modify all Shuttle Services provided by it. Landlord or the operator of the Shuttle Service shall have a right to charge a fee to the users of the Shuttle Service. No expansion, contraction, elimination or modification of any or all Shuttle Services, and no termination of Tenant’s or the Shuttle Service Rider’s rights to the Shuttle Service shall entitle Tenant to an abatement or reduction in Rent, constitute a constructive eviction, or result in an event of default by Landlord under this Lease.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29.41 </w:t>
      </w:r>
      <w:r>
        <w:rPr>
          <w:rFonts w:ascii="Times New Roman" w:hAnsi="Times New Roman"/>
          <w:b/>
          <w:color w:val="000000"/>
          <w:sz w:val="20"/>
          <w:u w:val="single"/>
        </w:rPr>
        <w:t>Open-Ceiling Plan</w:t>
      </w:r>
      <w:r>
        <w:rPr>
          <w:rFonts w:ascii="Times New Roman" w:hAnsi="Times New Roman"/>
          <w:color w:val="000000"/>
          <w:sz w:val="20"/>
        </w:rPr>
        <w:t>. In the event that the Premises has an “open ceiling plan”, then Landlord and third parties leasing or otherwise using/managing or servicing space on the floor immediately above the Premises shall have the right to install, maintain, repair and replace mechanical, electrical and plumbing fixtures, devices, piping, ductwork and all other improvements through the floor above the Premises (which may penetrate through the ceiling of the Premises and be visible within the Premises during the course of construction and upon completion thereof) (as applicable, the “</w:t>
      </w:r>
      <w:r>
        <w:rPr>
          <w:rFonts w:ascii="Times New Roman" w:hAnsi="Times New Roman"/>
          <w:b/>
          <w:color w:val="000000"/>
          <w:sz w:val="20"/>
        </w:rPr>
        <w:t>Penetrating Work</w:t>
      </w:r>
      <w:r>
        <w:rPr>
          <w:rFonts w:ascii="Times New Roman" w:hAnsi="Times New Roman"/>
          <w:color w:val="000000"/>
          <w:sz w:val="20"/>
        </w:rPr>
        <w:t xml:space="preserve">”), as Landlord may determine in Landlord’s sole and absolute discretion and with no approval rights being afforded to Tenant with respect thereto. Moreover, there shall be no obligation by Landlord or any such third party to enclose or otherwise screen any of such Penetrating Work from view within the Premises,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-57-</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63"/>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whether during the course of construction or upon completion thereof. Since Tenant is anticipated to be occupying the Premises at the time the Penetrating Work is being performed, Landlord agrees that it shall (and shall cause third parties to) use commercially reasonable efforts to perform the Penetrating Work in a manner so as to attempt to minimize interference with Tenant’s use of the Premises; provided, however, such Penetrating Work may be performed during normal business hours, without any obligation to pay overtime or other premiums. Tenant hereby acknowledges that, notwithstanding Tenant’s occupancy of the Premises during the performance of any such Penetrating Work, Tenant hereby agrees that the performance of such Penetrating Work shall in no way constitute a constructive eviction of Tenant nor entitle Tenant to any abatement of rent. Neither Landlord nor any of the Landlord Parties or any third parties performing the Penetrating Work shall be responsible for any direct or indirect injury to or interference with Tenant’s business arising from the performance of such Penetrating Work, nor shall Tenant be entitled to any compensation or damages from Landlord or any of the Landlord Parties or any third parties performing the Penetrating Work for loss of the use of the whole or any part of the Premises or of Tenant’s personal property or improvements resulting from the performance of the Penetrating Work, or for any inconvenience or annoyance occasioned by the Penetrating Work. In addition, Tenant hereby agrees to promptly and diligently cooperate with Landlord and any of the third parties performing the Penetrating Work in order to facilitate the applicable party’s performance of the particular Penetrating Work in an efficient and timely manner.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29.42 </w:t>
      </w:r>
      <w:r>
        <w:rPr>
          <w:rFonts w:ascii="Times New Roman" w:hAnsi="Times New Roman"/>
          <w:b/>
          <w:color w:val="000000"/>
          <w:sz w:val="20"/>
          <w:u w:val="single"/>
        </w:rPr>
        <w:t>Prohibited Persons; Foreign Corrupt Practices Act and Anti-Money Laundering</w:t>
      </w:r>
      <w:r>
        <w:rPr>
          <w:rFonts w:ascii="Times New Roman" w:hAnsi="Times New Roman"/>
          <w:color w:val="000000"/>
          <w:sz w:val="20"/>
        </w:rPr>
        <w:t>. Neither Tenant nor any of its affiliates, nor any of their respective members, partners or other equity holders, and none of their respective officers, directors or managers is, nor prior to or during the Lease Term, will they become a person or entity with whom U.S. persons or entities are restricted from doing business under (a) the Patriot Act (as defined below), (b) any other requirements contained in the rules and regulations of the Office of Foreign Assets Control, Department of the Treasury (“</w:t>
      </w:r>
      <w:r>
        <w:rPr>
          <w:rFonts w:ascii="Times New Roman" w:hAnsi="Times New Roman"/>
          <w:b/>
          <w:color w:val="000000"/>
          <w:sz w:val="20"/>
        </w:rPr>
        <w:t>OFAC</w:t>
      </w:r>
      <w:r>
        <w:rPr>
          <w:rFonts w:ascii="Times New Roman" w:hAnsi="Times New Roman"/>
          <w:color w:val="000000"/>
          <w:sz w:val="20"/>
        </w:rPr>
        <w:t>”) (including any “blocked” person or entity listed in the Annex to Executive Order Nos. 12947, 13099 and 13224 and any modifications thereto or thereof or any other person or entity named on OFAC’s Specially Designated Blocked Persons List) or (c) any other U.S. statute, Executive Order (including the September 24, 2001, Executive Order Blocking Property and Prohibiting Transactions with Persons Who Commit, Threaten to Commit or Support Terrorism) or other governmental action (collectively, “</w:t>
      </w:r>
      <w:r>
        <w:rPr>
          <w:rFonts w:ascii="Times New Roman" w:hAnsi="Times New Roman"/>
          <w:b/>
          <w:color w:val="000000"/>
          <w:sz w:val="20"/>
        </w:rPr>
        <w:t>Prohibited Persons</w:t>
      </w:r>
      <w:r>
        <w:rPr>
          <w:rFonts w:ascii="Times New Roman" w:hAnsi="Times New Roman"/>
          <w:color w:val="000000"/>
          <w:sz w:val="20"/>
        </w:rPr>
        <w:t>”). Prior to and during the Lease Term, Tenant, and to Tenant’s knowledge, its employees and any person acting on its behalf have at all times fully complied with, and are currently in full compliance with, the Foreign Corrupt Practices Act of 1977 and any other applicable anti-bribery or anti-corruption laws. Tenant is not entering into this Lease, directly or indirectly, in violation of any laws relating to drug trafficking, money laundering or predicate crimes to money laundering. As used herein, “</w:t>
      </w:r>
      <w:r>
        <w:rPr>
          <w:rFonts w:ascii="Times New Roman" w:hAnsi="Times New Roman"/>
          <w:b/>
          <w:color w:val="000000"/>
          <w:sz w:val="20"/>
        </w:rPr>
        <w:t>Patriot Act</w:t>
      </w:r>
      <w:r>
        <w:rPr>
          <w:rFonts w:ascii="Times New Roman" w:hAnsi="Times New Roman"/>
          <w:color w:val="000000"/>
          <w:sz w:val="20"/>
        </w:rPr>
        <w:t>” shall mean the USA Patriot Act of 2001, 107 Public Law 56 (October 26, 2001) and all other statutes, orders, rules and regulations of the U.S. government and its various executive departments, agencies and offices interpreting and implementing the Patriot Act.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29.43 </w:t>
      </w:r>
      <w:r>
        <w:rPr>
          <w:rFonts w:ascii="Times New Roman" w:hAnsi="Times New Roman"/>
          <w:b/>
          <w:color w:val="000000"/>
          <w:sz w:val="20"/>
          <w:u w:val="single"/>
        </w:rPr>
        <w:t>Counterparts; Electronic Signatures</w:t>
      </w:r>
      <w:r>
        <w:rPr>
          <w:rFonts w:ascii="Times New Roman" w:hAnsi="Times New Roman"/>
          <w:color w:val="000000"/>
          <w:sz w:val="20"/>
        </w:rPr>
        <w:t>. This Lease may be executed in counterparts with the same effect as of both parties hereto had executed the same document. Landlord and Tenant agree that (i) this Lease may be signed electronically, (ii) any electronic signatures on this Lease shall have the same validity, enforceability, and admissibility as handwritten signatures, and (iii) the electronic record of this signed Lease shall be legally binding to the same extent as a paper copy bearing handwritten signatures.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29.44 </w:t>
      </w:r>
      <w:r>
        <w:rPr>
          <w:rFonts w:ascii="Times New Roman" w:hAnsi="Times New Roman"/>
          <w:b/>
          <w:color w:val="000000"/>
          <w:sz w:val="20"/>
          <w:u w:val="single"/>
        </w:rPr>
        <w:t>Bicycle Storage Area</w:t>
      </w:r>
      <w:r>
        <w:rPr>
          <w:rFonts w:ascii="Times New Roman" w:hAnsi="Times New Roman"/>
          <w:color w:val="000000"/>
          <w:sz w:val="20"/>
        </w:rPr>
        <w:t xml:space="preserve">. Subject to the provisions of this </w:t>
      </w:r>
      <w:r>
        <w:rPr>
          <w:rFonts w:ascii="Times New Roman" w:hAnsi="Times New Roman"/>
          <w:color w:val="000000"/>
          <w:sz w:val="20"/>
          <w:u w:val="single"/>
        </w:rPr>
        <w:t>Section 29.44</w:t>
      </w:r>
      <w:r>
        <w:rPr>
          <w:rFonts w:ascii="Times New Roman" w:hAnsi="Times New Roman"/>
          <w:color w:val="000000"/>
          <w:sz w:val="20"/>
        </w:rPr>
        <w:t>, so long as this Lease remains in effect and Landlord, in Landlord’s sole and absolute discretion, provides a storage area for bicycles in the Project parking structure for tenants of the Building (the “</w:t>
      </w:r>
      <w:r>
        <w:rPr>
          <w:rFonts w:ascii="Times New Roman" w:hAnsi="Times New Roman"/>
          <w:b/>
          <w:color w:val="000000"/>
          <w:sz w:val="20"/>
        </w:rPr>
        <w:t>Bicycle Storage Area</w:t>
      </w:r>
      <w:r>
        <w:rPr>
          <w:rFonts w:ascii="Times New Roman" w:hAnsi="Times New Roman"/>
          <w:color w:val="000000"/>
          <w:sz w:val="20"/>
        </w:rPr>
        <w:t xml:space="preserve">”), Tenant’s employees shall be entitled to use the unsecured Bicycle Storage Area on an un-reserved, first-come, first served basis during the Lease Term. The use of the Bicycle Storage Area shall be subject to the rules and regulations (including rules regarding hours of use) established from time to time by Landlord and/or by the operator of the parking structure, and shall be further subject to compliance with the Building’s standard security procedures. Bicycles shall not be stored overnight in the Bicycle Storage Area. Landlord may refuse to permit any person who violates such rules and regulations to use the Bicycle Storage Area, and any violation of the rules and regulations shall subject the bicycle to removal from the Bicycle Storage Area. Notwithstanding the foregoing, in the event Landlord determines in its sole discretion that the area in which the Bicycle Storage Area is located is needed for another purpose, Landlord may remove the Bicycle Storage Area and cease to provide such amenity for tenants’ use. In addition, Landlord shall have the right to relocate, from time to time, the location of the Bicycle Storage Area or reconfigure the Bicycle Storage Area. Tenant acknowledges that the Bicycle Storage Area may be closed entirely or in part in order to make repairs or perform maintenance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-58-</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64"/>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services, or to alter, modify or renovate the Building or the Bicycle Storage Area, if required by casualty, strike, condemnation, act of God, governmental law or requirement or other reason beyond Landlord’s reasonable control or for any other reason whatsoever. No expansion, contraction, elimination, unavailability or modification of the Bicycle Storage Area, shall entitle Tenant to an abatement or reduction in Rent or constitute a constructive eviction or an event of default by Landlord under this Lease. Tenant hereby acknowledges that the Bicycle Storage Area is unsecured and that the use of the Bicycle Storage Area shall be at the sole risk of Tenant and any Tenant Parties and neither Landlord nor any Landlord Parties shall have any liability for any personal injury or damage to or theft of any bicycles or other property occurring in, on or about the Bicycle Storage Area or otherwise in connection with any use of the Bicycle Storage Area by Tenant or any Tenant Parties. Tenant hereby waives all claims against Landlord and the Landlord Parties relating to the Bicycle Storage Area and the use thereof by Tenant or any Tenant Parties. Tenant’s indemnity obligations pursuant to </w:t>
      </w:r>
      <w:r>
        <w:rPr>
          <w:rFonts w:ascii="Times New Roman" w:hAnsi="Times New Roman"/>
          <w:color w:val="000000"/>
          <w:sz w:val="20"/>
          <w:u w:val="single"/>
        </w:rPr>
        <w:t>Section 10.1</w:t>
      </w:r>
      <w:r>
        <w:rPr>
          <w:rFonts w:ascii="Times New Roman" w:hAnsi="Times New Roman"/>
          <w:color w:val="000000"/>
          <w:sz w:val="20"/>
        </w:rPr>
        <w:t xml:space="preserve"> of this Lease shall apply to the use of the Bicycle Storage Area by Tenant or any Tenant Parties. The costs of operating, maintaining and repairing the Bicycle Storage Area shall be included as part of Operating Expenses. The right to use the Bicycle Storage Area set forth herein shall be personal to the Original Tenant and any Permitted Transferee Assignee and shall in no event be transferable to any other party.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29.45 </w:t>
      </w:r>
      <w:r>
        <w:rPr>
          <w:rFonts w:ascii="Times New Roman" w:hAnsi="Times New Roman"/>
          <w:b/>
          <w:color w:val="000000"/>
          <w:sz w:val="20"/>
          <w:u w:val="single"/>
        </w:rPr>
        <w:t>Premises Storage of Bicycles</w:t>
      </w:r>
      <w:r>
        <w:rPr>
          <w:rFonts w:ascii="Times New Roman" w:hAnsi="Times New Roman"/>
          <w:color w:val="000000"/>
          <w:sz w:val="20"/>
        </w:rPr>
        <w:t xml:space="preserve">. Subject to the provisions of this </w:t>
      </w:r>
      <w:r>
        <w:rPr>
          <w:rFonts w:ascii="Times New Roman" w:hAnsi="Times New Roman"/>
          <w:color w:val="000000"/>
          <w:sz w:val="20"/>
          <w:u w:val="single"/>
        </w:rPr>
        <w:t>Section 29.45</w:t>
      </w:r>
      <w:r>
        <w:rPr>
          <w:rFonts w:ascii="Times New Roman" w:hAnsi="Times New Roman"/>
          <w:color w:val="000000"/>
          <w:sz w:val="20"/>
        </w:rPr>
        <w:t xml:space="preserve">, so long as this Lease remains in effect and there exists no default under this Lease, Tenant’s employees may bring to and store within the Premises up to twenty (20) non-motorized, standard and customary bicycles; provided, however, that if Landlord permanently removes the Bicycle Storage Area and ceases to provide such amenity for tenants’ use for any reason other than any violation of the terms of </w:t>
      </w:r>
      <w:r>
        <w:rPr>
          <w:rFonts w:ascii="Times New Roman" w:hAnsi="Times New Roman"/>
          <w:color w:val="000000"/>
          <w:sz w:val="20"/>
          <w:u w:val="single"/>
        </w:rPr>
        <w:t>Section 29.44</w:t>
      </w:r>
      <w:r>
        <w:rPr>
          <w:rFonts w:ascii="Times New Roman" w:hAnsi="Times New Roman"/>
          <w:color w:val="000000"/>
          <w:sz w:val="20"/>
        </w:rPr>
        <w:t xml:space="preserve"> by Tenant or any Tenant Parties, then Tenant’s employees may bring to and store within the Premises up to fifty (50) non-motorized, standard and customary bicycles so long as the storage of such additional bicycles complies with all Applicable Laws including without limitation, applicable fire codes and the terms of this </w:t>
      </w:r>
      <w:r>
        <w:rPr>
          <w:rFonts w:ascii="Times New Roman" w:hAnsi="Times New Roman"/>
          <w:color w:val="000000"/>
          <w:sz w:val="20"/>
          <w:u w:val="single"/>
        </w:rPr>
        <w:t>Section 29.45</w:t>
      </w:r>
      <w:r>
        <w:rPr>
          <w:rFonts w:ascii="Times New Roman" w:hAnsi="Times New Roman"/>
          <w:color w:val="000000"/>
          <w:sz w:val="20"/>
        </w:rPr>
        <w:t xml:space="preserve">. Such bicycles may only be brought to the Premises by use of the Building’s freight elevator and in no event shall bicycles be ridden in the Building or any Common Areas, or brought into the Building’s passenger elevators at any time. Tenant’s storage of bicycles in the Premises pursuant to this </w:t>
      </w:r>
      <w:r>
        <w:rPr>
          <w:rFonts w:ascii="Times New Roman" w:hAnsi="Times New Roman"/>
          <w:color w:val="000000"/>
          <w:sz w:val="20"/>
          <w:u w:val="single"/>
        </w:rPr>
        <w:t>Section 29.45</w:t>
      </w:r>
      <w:r>
        <w:rPr>
          <w:rFonts w:ascii="Times New Roman" w:hAnsi="Times New Roman"/>
          <w:color w:val="000000"/>
          <w:sz w:val="20"/>
        </w:rPr>
        <w:t xml:space="preserve"> shall at all times comply with the rules and regulations promulgated by Landlord from time to time and such bicycles shall be stored and/or kept in designated areas as reasonably required by Landlord and in compliance with all Applicable Laws. Such bicycle storage within the Premises shall be reasonable, organized and safe, and shall not adversely impact other tenants or occupants of the Building or Landlord’s management and operation of the Building. Landlord reserves the right to revoke Tenant’s right to store bicycles at the Premises pursuant to this </w:t>
      </w:r>
      <w:r>
        <w:rPr>
          <w:rFonts w:ascii="Times New Roman" w:hAnsi="Times New Roman"/>
          <w:color w:val="000000"/>
          <w:sz w:val="20"/>
          <w:u w:val="single"/>
        </w:rPr>
        <w:t>Section 29.45</w:t>
      </w:r>
      <w:r>
        <w:rPr>
          <w:rFonts w:ascii="Times New Roman" w:hAnsi="Times New Roman"/>
          <w:color w:val="000000"/>
          <w:sz w:val="20"/>
        </w:rPr>
        <w:t xml:space="preserve"> if Landlord determines that such bicycles are interfering with other tenants’ or Landlord’s use, occupancy and operation of the Building. Tenant shall be liable for all costs and expenses arising in connection with Tenant’s and its employees’ bicycle storage at the Premises, including without limitation, any costs incurred by Landlord to repair any damage to or additional cleaning of the Premises, Building or Project caused thereby. Landlord and Tenant acknowledge that the storage of bicycles in the Premises shall be at the sole risk of Tenant and any Tenant Parties and neither Landlord nor any Landlord Parties shall have any liability for any personal injury or damage to or theft of any bicycles or other property occurring in, on or about the Premises or otherwise in connection with any storage of bicycles in the Premises by Tenant or any Tenant Parties. Tenant’s indemnity obligations pursuant to </w:t>
      </w:r>
      <w:r>
        <w:rPr>
          <w:rFonts w:ascii="Times New Roman" w:hAnsi="Times New Roman"/>
          <w:color w:val="000000"/>
          <w:sz w:val="20"/>
          <w:u w:val="single"/>
        </w:rPr>
        <w:t>Section 10.1</w:t>
      </w:r>
      <w:r>
        <w:rPr>
          <w:rFonts w:ascii="Times New Roman" w:hAnsi="Times New Roman"/>
          <w:color w:val="000000"/>
          <w:sz w:val="20"/>
        </w:rPr>
        <w:t xml:space="preserve"> of this Lease shall apply to the storage of bicycles in the Premises hereunder.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29.46 </w:t>
      </w:r>
      <w:r>
        <w:rPr>
          <w:rFonts w:ascii="Times New Roman" w:hAnsi="Times New Roman"/>
          <w:b/>
          <w:color w:val="000000"/>
          <w:sz w:val="20"/>
          <w:u w:val="single"/>
        </w:rPr>
        <w:t>Roof Decks</w:t>
      </w:r>
      <w:r>
        <w:rPr>
          <w:rFonts w:ascii="Times New Roman" w:hAnsi="Times New Roman"/>
          <w:color w:val="000000"/>
          <w:sz w:val="20"/>
        </w:rPr>
        <w:t xml:space="preserve">. So long as no Event of Default then exists under this Lease and subject to the terms and conditions set forth in </w:t>
      </w:r>
      <w:r>
        <w:rPr>
          <w:rFonts w:ascii="Times New Roman" w:hAnsi="Times New Roman"/>
          <w:color w:val="000000"/>
          <w:sz w:val="20"/>
          <w:u w:val="single"/>
        </w:rPr>
        <w:t>Section 29.46.1</w:t>
      </w:r>
      <w:r>
        <w:rPr>
          <w:rFonts w:ascii="Times New Roman" w:hAnsi="Times New Roman"/>
          <w:color w:val="000000"/>
          <w:sz w:val="20"/>
        </w:rPr>
        <w:t xml:space="preserve"> below, then during the Lease Term and subject to availability, Tenant shall have the right to (i) hold up to four (4) private events per calendar year of the Lease Term for Tenant’s employees and clients at the roof deck (the “</w:t>
      </w:r>
      <w:r>
        <w:rPr>
          <w:rFonts w:ascii="Times New Roman" w:hAnsi="Times New Roman"/>
          <w:b/>
          <w:color w:val="000000"/>
          <w:sz w:val="20"/>
        </w:rPr>
        <w:t>201 Third Street Roof Deck</w:t>
      </w:r>
      <w:r>
        <w:rPr>
          <w:rFonts w:ascii="Times New Roman" w:hAnsi="Times New Roman"/>
          <w:color w:val="000000"/>
          <w:sz w:val="20"/>
        </w:rPr>
        <w:t>”) of the Building and (ii) hold up to four (4) private events per calendar year of the Lease Term for Tenant’s employees and clients at the roof deck (the “</w:t>
      </w:r>
      <w:r>
        <w:rPr>
          <w:rFonts w:ascii="Times New Roman" w:hAnsi="Times New Roman"/>
          <w:b/>
          <w:color w:val="000000"/>
          <w:sz w:val="20"/>
        </w:rPr>
        <w:t>360 Third Street Roof Deck</w:t>
      </w:r>
      <w:r>
        <w:rPr>
          <w:rFonts w:ascii="Times New Roman" w:hAnsi="Times New Roman"/>
          <w:color w:val="000000"/>
          <w:sz w:val="20"/>
        </w:rPr>
        <w:t>”) of the building located at 360 Third Street, San Francisco, California (the, “</w:t>
      </w:r>
      <w:r>
        <w:rPr>
          <w:rFonts w:ascii="Times New Roman" w:hAnsi="Times New Roman"/>
          <w:b/>
          <w:color w:val="000000"/>
          <w:sz w:val="20"/>
        </w:rPr>
        <w:t>360 Third Street Building</w:t>
      </w:r>
      <w:r>
        <w:rPr>
          <w:rFonts w:ascii="Times New Roman" w:hAnsi="Times New Roman"/>
          <w:color w:val="000000"/>
          <w:sz w:val="20"/>
        </w:rPr>
        <w:t>”) that is currently owned Landlord’s affiliate (together with any other affiliate of Landlord that may at any time during the Lease Term own the 360 Third Street Building, “</w:t>
      </w:r>
      <w:r>
        <w:rPr>
          <w:rFonts w:ascii="Times New Roman" w:hAnsi="Times New Roman"/>
          <w:b/>
          <w:color w:val="000000"/>
          <w:sz w:val="20"/>
        </w:rPr>
        <w:t>Landlord’s Affiliate</w:t>
      </w:r>
      <w:r>
        <w:rPr>
          <w:rFonts w:ascii="Times New Roman" w:hAnsi="Times New Roman"/>
          <w:color w:val="000000"/>
          <w:sz w:val="20"/>
        </w:rPr>
        <w:t xml:space="preserve">”). Tenant’s right to use the 360 Third Street Roof Deck pursuant to this </w:t>
      </w:r>
      <w:r>
        <w:rPr>
          <w:rFonts w:ascii="Times New Roman" w:hAnsi="Times New Roman"/>
          <w:color w:val="000000"/>
          <w:sz w:val="20"/>
          <w:u w:val="single"/>
        </w:rPr>
        <w:t>Section 29.46</w:t>
      </w:r>
      <w:r>
        <w:rPr>
          <w:rFonts w:ascii="Times New Roman" w:hAnsi="Times New Roman"/>
          <w:color w:val="000000"/>
          <w:sz w:val="20"/>
        </w:rPr>
        <w:t xml:space="preserve"> shall only apply for so long as Landlord’s Affiliate owns the 360 Third Street Building and Landlord and/or Landlord’s Affiliate permit tenants of the Building to use the 360 Third Street Roof Deck. The 201 Third Street Roof Deck and 360 Third Street Roof Deck are collectively referred to herein as the “</w:t>
      </w:r>
      <w:r>
        <w:rPr>
          <w:rFonts w:ascii="Times New Roman" w:hAnsi="Times New Roman"/>
          <w:b/>
          <w:color w:val="000000"/>
          <w:sz w:val="20"/>
        </w:rPr>
        <w:t>Roof Decks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29.46.1 </w:t>
      </w:r>
      <w:r>
        <w:rPr>
          <w:rFonts w:ascii="Times New Roman" w:hAnsi="Times New Roman"/>
          <w:b/>
          <w:color w:val="000000"/>
          <w:sz w:val="20"/>
          <w:u w:val="single"/>
        </w:rPr>
        <w:t>Terms of Use</w:t>
      </w:r>
      <w:r>
        <w:rPr>
          <w:rFonts w:ascii="Times New Roman" w:hAnsi="Times New Roman"/>
          <w:color w:val="000000"/>
          <w:sz w:val="20"/>
        </w:rPr>
        <w:t xml:space="preserve">. Tenant shall pay all out of pocket costs incurred by Landlord and/or Landlord’s Affiliate for such use of the Roof Decks by Tenant hereunder, including without limitation, janitorial, </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-59-</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5"/>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security and insurance costs. Tenant shall provide Landlord with not less than thirty (30) days’ and no more than sixty (60) days’ prior written notice to Landlord of Tenant’s request to use of the Roof Decks and Tenant shall comply with the reservation system for the Roof Decks established by Landlord and/or Landlord’s Affiliate from time to time. Tenant’s use of the Roof Decks shall be further subject to the rules and regulations (including rules regarding hours of use and priorities for the tenants of the 360 Third Street Building, set up and clean up charges, etc.) established from time to time by Landlord and/or Landlord’s Affiliate for the Roof Decks. Tenant acknowledges that Landlord or Landlord’s Affiliate may from time to time establish a standard license agreement (the “</w:t>
      </w:r>
      <w:r>
        <w:rPr>
          <w:rFonts w:ascii="Times New Roman" w:hAnsi="Times New Roman"/>
          <w:b/>
          <w:color w:val="000000"/>
          <w:sz w:val="20"/>
        </w:rPr>
        <w:t>License Agreement</w:t>
      </w:r>
      <w:r>
        <w:rPr>
          <w:rFonts w:ascii="Times New Roman" w:hAnsi="Times New Roman"/>
          <w:color w:val="000000"/>
          <w:sz w:val="20"/>
        </w:rPr>
        <w:t xml:space="preserve">”) with respect to the use of Roof Decks by tenants of the Building. Tenant, upon request of Landlord and as a condition to Tenant’s right to use the Roof Decks pursuant to this </w:t>
      </w:r>
      <w:r>
        <w:rPr>
          <w:rFonts w:ascii="Times New Roman" w:hAnsi="Times New Roman"/>
          <w:color w:val="000000"/>
          <w:sz w:val="20"/>
          <w:u w:val="single"/>
        </w:rPr>
        <w:t>Section 29.46.1</w:t>
      </w:r>
      <w:r>
        <w:rPr>
          <w:rFonts w:ascii="Times New Roman" w:hAnsi="Times New Roman"/>
          <w:color w:val="000000"/>
          <w:sz w:val="20"/>
        </w:rPr>
        <w:t xml:space="preserve">, shall enter into such License Agreement and fully comply with the terms and conditions set forth in the License Agreement. Tenant’s waiver and indemnity obligations pursuant to </w:t>
      </w:r>
      <w:r>
        <w:rPr>
          <w:rFonts w:ascii="Times New Roman" w:hAnsi="Times New Roman"/>
          <w:color w:val="000000"/>
          <w:sz w:val="20"/>
          <w:u w:val="single"/>
        </w:rPr>
        <w:t>Section 10.1</w:t>
      </w:r>
      <w:r>
        <w:rPr>
          <w:rFonts w:ascii="Times New Roman" w:hAnsi="Times New Roman"/>
          <w:color w:val="000000"/>
          <w:sz w:val="20"/>
        </w:rPr>
        <w:t xml:space="preserve"> of this Lease shall apply to Tenant’s use of the Roof Decks; provided that for purposes of </w:t>
      </w:r>
      <w:r>
        <w:rPr>
          <w:rFonts w:ascii="Times New Roman" w:hAnsi="Times New Roman"/>
          <w:color w:val="000000"/>
          <w:sz w:val="20"/>
          <w:u w:val="single"/>
        </w:rPr>
        <w:t>Section 10.1</w:t>
      </w:r>
      <w:r>
        <w:rPr>
          <w:rFonts w:ascii="Times New Roman" w:hAnsi="Times New Roman"/>
          <w:color w:val="000000"/>
          <w:sz w:val="20"/>
        </w:rPr>
        <w:t xml:space="preserve">, Landlord’s Affiliate shall be deemed to be a Landlord Party. Tenant’s insurance required pursuant to </w:t>
      </w:r>
      <w:r>
        <w:rPr>
          <w:rFonts w:ascii="Times New Roman" w:hAnsi="Times New Roman"/>
          <w:color w:val="000000"/>
          <w:sz w:val="20"/>
          <w:u w:val="single"/>
        </w:rPr>
        <w:t>Section 10.3</w:t>
      </w:r>
      <w:r>
        <w:rPr>
          <w:rFonts w:ascii="Times New Roman" w:hAnsi="Times New Roman"/>
          <w:color w:val="000000"/>
          <w:sz w:val="20"/>
        </w:rPr>
        <w:t xml:space="preserve"> above shall apply to the use of the Roof Decks by Tenant and any Tenant Parties. In the event that alcohol is served or utilized at the Roof Decks, subject to Applicable Laws, Tenant shall provide Landlord with written notice thereof and obtain and maintain at its expense, host liquor liability insurance or dram shop liability insurance (as applicable) with combined single limits of not less than $5,000,000 per occurrence and such additional or higher insurance coverage as may be required pursuant to the License Agreement, covering any claims relating to the manufacture, storage, sale, use or giving away of any alcoholic or other intoxicating liquor or beverage, which claims could be asserted against Landlord, Landlord’s Affiliate, Tenant, the Building or the 360 Third Street Building. In addition to Landlord and the Landlord Parties, Landlord’s Affiliate and any other party designated by Landlord shall be named as an additional insured with respect to Tenant’s insurance as required under </w:t>
      </w:r>
      <w:r>
        <w:rPr>
          <w:rFonts w:ascii="Times New Roman" w:hAnsi="Times New Roman"/>
          <w:color w:val="000000"/>
          <w:sz w:val="20"/>
          <w:u w:val="single"/>
        </w:rPr>
        <w:t>Section 10.3.1</w:t>
      </w:r>
      <w:r>
        <w:rPr>
          <w:rFonts w:ascii="Times New Roman" w:hAnsi="Times New Roman"/>
          <w:color w:val="000000"/>
          <w:sz w:val="20"/>
        </w:rPr>
        <w:t xml:space="preserve"> and this </w:t>
      </w:r>
      <w:r>
        <w:rPr>
          <w:rFonts w:ascii="Times New Roman" w:hAnsi="Times New Roman"/>
          <w:color w:val="000000"/>
          <w:sz w:val="20"/>
          <w:u w:val="single"/>
        </w:rPr>
        <w:t>Section 29.46.1</w:t>
      </w:r>
      <w:r>
        <w:rPr>
          <w:rFonts w:ascii="Times New Roman" w:hAnsi="Times New Roman"/>
          <w:color w:val="000000"/>
          <w:sz w:val="20"/>
        </w:rPr>
        <w:t xml:space="preserve"> and as a condition to Tenant’s use of Roof Decks, Tenant shall provide Landlord with insurance certificates acceptable to Landlord, evidencing that Tenant’s insurance required under this Lease and pursuant to the License Agreement covers Tenant’s use of the Roof Decks, the Building and the 360 Third Street Building. None of Landlord, any Landlord Parties or Landlord’s Affiliate shall have any liability whatsoever with respect to the existence, condition or availability of the Roof Decks for Tenant’s use nor shall Landlord, any Landlord Parties or Landlord’s Affiliate have any obligation whatsoever to ensure the availability or suitability of the Roof Decks for Tenant’s use and Tenant hereby expressly waives all claims against Landlord, the Landlord Parties and Landlord’s Affiliate with respect to same. Tenant shall reimburse Landlord for all out-of-pocket costs incurred by Landlord and/or Landlord’s Affiliate in connection with Tenant’s use of the Roof Decks pursuant to this </w:t>
      </w:r>
      <w:r>
        <w:rPr>
          <w:rFonts w:ascii="Times New Roman" w:hAnsi="Times New Roman"/>
          <w:color w:val="000000"/>
          <w:sz w:val="20"/>
          <w:u w:val="single"/>
        </w:rPr>
        <w:t>Section 29.46</w:t>
      </w:r>
      <w:r>
        <w:rPr>
          <w:rFonts w:ascii="Times New Roman" w:hAnsi="Times New Roman"/>
          <w:color w:val="000000"/>
          <w:sz w:val="20"/>
        </w:rPr>
        <w:t xml:space="preserve">, which costs shall be paid to Landlord as Additional Rent under this Lease within ten (10) days following Landlord’s demand therefor. Tenant acknowledges that the provisions of this </w:t>
      </w:r>
      <w:r>
        <w:rPr>
          <w:rFonts w:ascii="Times New Roman" w:hAnsi="Times New Roman"/>
          <w:color w:val="000000"/>
          <w:sz w:val="20"/>
          <w:u w:val="single"/>
        </w:rPr>
        <w:t>Section 29.46</w:t>
      </w:r>
      <w:r>
        <w:rPr>
          <w:rFonts w:ascii="Times New Roman" w:hAnsi="Times New Roman"/>
          <w:color w:val="000000"/>
          <w:sz w:val="20"/>
        </w:rPr>
        <w:t xml:space="preserve"> shall not be deemed to be a representation by Landlord that Landlord’s Affiliate shall permit the use of the Roof Decks throughout the Lease Term or a guaranty by Landlord that neither Landlord nor the Landlord’s Affiliate will not contract, eliminate or otherwise modify the Roof Decks. In addition, at such time as Landlord’s Affiliate no longer owns the 360 Third Street Building, the rights of Tenant to use the 360 Third Street Roof Deck set forth herein shall automatically terminate. No expansion, contraction, elimination, unavailability or modification of the Roof Decks, and no termination of or interference with Tenant’s rights to the Roof Decks, shall entitle Tenant to an abatement or reduction in Rent or constitute a constructive eviction or a default by Landlord under this Lease. The right to use the Roof Decks pursuant to this </w:t>
      </w:r>
      <w:r>
        <w:rPr>
          <w:rFonts w:ascii="Times New Roman" w:hAnsi="Times New Roman"/>
          <w:color w:val="000000"/>
          <w:sz w:val="20"/>
          <w:u w:val="single"/>
        </w:rPr>
        <w:t>Section 29.46</w:t>
      </w:r>
      <w:r>
        <w:rPr>
          <w:rFonts w:ascii="Times New Roman" w:hAnsi="Times New Roman"/>
          <w:color w:val="000000"/>
          <w:sz w:val="20"/>
        </w:rPr>
        <w:t xml:space="preserve"> is personal to the Original Tenant and any Permitted Transferee Assignee and shall not be transferable to any other party.</w:t>
      </w:r>
    </w:p>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Signatures follow on next page</w:t>
      </w:r>
      <w:r>
        <w:rPr>
          <w:rFonts w:ascii="Times New Roman" w:hAnsi="Times New Roman"/>
          <w:color w:val="000000"/>
          <w:sz w:val="20"/>
        </w:rPr>
        <w:t>]</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-60-</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6"/>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WITNESS WHEREOF, Landlord and Tenant have caused this Lease to be executed the day and date first above written.</w:t>
      </w:r>
    </w:p>
    <w:p>
      <w:pPr>
        <w:pStyle w:val="TextBody"/>
        <w:bidi w:val="0"/>
        <w:jc w:val="left"/>
        <w:rPr/>
      </w:pPr>
      <w:r>
        <w:rPr/>
        <w:t> </w:t>
      </w:r>
    </w:p>
    <w:tbl>
      <w:tblPr>
        <w:tblW w:w="4814" w:type="dxa"/>
        <w:jc w:val="left"/>
        <w:tblInd w:w="0" w:type="dxa"/>
        <w:tblLayout w:type="fixed"/>
        <w:tblCellMar>
          <w:top w:w="28" w:type="dxa"/>
          <w:left w:w="28" w:type="dxa"/>
          <w:bottom w:w="28" w:type="dxa"/>
          <w:right w:w="28" w:type="dxa"/>
        </w:tblCellMar>
      </w:tblPr>
      <w:tblGrid>
        <w:gridCol w:w="421"/>
        <w:gridCol w:w="146"/>
        <w:gridCol w:w="631"/>
        <w:gridCol w:w="361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4814" w:type="dxa"/>
            <w:gridSpan w:val="4"/>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b/>
                <w:color w:val="000000"/>
                <w:sz w:val="20"/>
              </w:rPr>
              <w:t>LANDLORD”: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4" w:type="dxa"/>
            <w:gridSpan w:val="4"/>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KR 201 THIRD STREET OWNER, LLC,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Delaware limited liability company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7"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Kilroy Realty Corporation, 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 corporation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Partner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1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John Osmond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Name:</w:t>
            </w:r>
          </w:p>
        </w:tc>
        <w:tc>
          <w:tcPr>
            <w:tcW w:w="361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John Osmond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Its:</w:t>
            </w:r>
          </w:p>
        </w:tc>
        <w:tc>
          <w:tcPr>
            <w:tcW w:w="361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EVP, Asset Management</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1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Michael Schmidt</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Name:</w:t>
            </w:r>
          </w:p>
        </w:tc>
        <w:tc>
          <w:tcPr>
            <w:tcW w:w="361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Michael Schmidt</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Its:</w:t>
            </w:r>
          </w:p>
        </w:tc>
        <w:tc>
          <w:tcPr>
            <w:tcW w:w="361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SVP, Leasing - Northern California Region</w:t>
            </w:r>
          </w:p>
        </w:tc>
      </w:tr>
    </w:tbl>
    <w:p>
      <w:pPr>
        <w:pStyle w:val="TextBody"/>
        <w:bidi w:val="0"/>
        <w:jc w:val="left"/>
        <w:rPr/>
      </w:pPr>
      <w:r>
        <w:rPr/>
        <w:t> </w:t>
      </w:r>
    </w:p>
    <w:tbl>
      <w:tblPr>
        <w:tblW w:w="2503" w:type="dxa"/>
        <w:jc w:val="left"/>
        <w:tblInd w:w="0" w:type="dxa"/>
        <w:tblLayout w:type="fixed"/>
        <w:tblCellMar>
          <w:top w:w="28" w:type="dxa"/>
          <w:left w:w="28" w:type="dxa"/>
          <w:bottom w:w="28" w:type="dxa"/>
          <w:right w:w="28" w:type="dxa"/>
        </w:tblCellMar>
      </w:tblPr>
      <w:tblGrid>
        <w:gridCol w:w="646"/>
        <w:gridCol w:w="146"/>
        <w:gridCol w:w="17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2503"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b/>
                <w:color w:val="000000"/>
                <w:sz w:val="20"/>
              </w:rPr>
              <w:t>TENANT”:</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AMPLITUDE, INC,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Delaware corporation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Elizabeth Fisher</w:t>
            </w:r>
          </w:p>
        </w:tc>
      </w:tr>
      <w:tr>
        <w:trPr/>
        <w:tc>
          <w:tcPr>
            <w:tcW w:w="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71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Elizabeth Fisher</w:t>
            </w:r>
          </w:p>
        </w:tc>
      </w:tr>
      <w:tr>
        <w:trPr/>
        <w:tc>
          <w:tcPr>
            <w:tcW w:w="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71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General Counsel</w:t>
            </w:r>
          </w:p>
        </w:tc>
      </w:tr>
    </w:tbl>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NOTE:</w:t>
      </w:r>
    </w:p>
    <w:p>
      <w:pPr>
        <w:pStyle w:val="TextBody"/>
        <w:bidi w:val="0"/>
        <w:jc w:val="left"/>
        <w:rPr>
          <w:rFonts w:ascii="Times New Roman" w:hAnsi="Times New Roman"/>
          <w:sz w:val="20"/>
        </w:rPr>
      </w:pPr>
      <w:r>
        <w:rPr>
          <w:rFonts w:ascii="Times New Roman" w:hAnsi="Times New Roman"/>
          <w:b/>
          <w:color w:val="000000"/>
          <w:sz w:val="20"/>
        </w:rPr>
        <w:t>If Tenant is a California corporation</w:t>
      </w:r>
      <w:r>
        <w:rPr>
          <w:rFonts w:ascii="Times New Roman" w:hAnsi="Times New Roman"/>
          <w:color w:val="000000"/>
          <w:sz w:val="20"/>
        </w:rPr>
        <w:t>, then one of the following alternative requirements must be satisfied:</w:t>
      </w:r>
    </w:p>
    <w:p>
      <w:pPr>
        <w:pStyle w:val="TextBody"/>
        <w:bidi w:val="0"/>
        <w:jc w:val="left"/>
        <w:rPr>
          <w:rFonts w:ascii="Times New Roman" w:hAnsi="Times New Roman"/>
          <w:color w:val="000000"/>
          <w:sz w:val="20"/>
        </w:rPr>
      </w:pPr>
      <w:r>
        <w:rPr>
          <w:rFonts w:ascii="Times New Roman" w:hAnsi="Times New Roman"/>
          <w:color w:val="000000"/>
          <w:sz w:val="20"/>
        </w:rPr>
        <w:t>(A) This Lease must be signed by two (2) officers of such corporation: one being the chairman of the board, the president or a vice president, and the other being the secretary, an assistant secretary, the chief financial officer or an assistant treasurer. If one (1) individual is signing in two (2) of the foregoing capacities, that individual must identify the two (2) capacities.</w:t>
      </w:r>
    </w:p>
    <w:p>
      <w:pPr>
        <w:pStyle w:val="TextBody"/>
        <w:bidi w:val="0"/>
        <w:jc w:val="left"/>
        <w:rPr>
          <w:rFonts w:ascii="Times New Roman" w:hAnsi="Times New Roman"/>
          <w:color w:val="000000"/>
          <w:sz w:val="20"/>
        </w:rPr>
      </w:pPr>
      <w:r>
        <w:rPr>
          <w:rFonts w:ascii="Times New Roman" w:hAnsi="Times New Roman"/>
          <w:color w:val="000000"/>
          <w:sz w:val="20"/>
        </w:rPr>
        <w:t>(B) If the requirements of (A) above are not satisfied, then Tenant shall deliver to Landlord evidence in a form reasonably acceptable to Landlord that the signatory(ies) is (are) authorized to execute this Lease.</w:t>
      </w:r>
    </w:p>
    <w:p>
      <w:pPr>
        <w:pStyle w:val="TextBody"/>
        <w:bidi w:val="0"/>
        <w:jc w:val="left"/>
        <w:rPr>
          <w:rFonts w:ascii="Times New Roman" w:hAnsi="Times New Roman"/>
          <w:sz w:val="20"/>
        </w:rPr>
      </w:pPr>
      <w:r>
        <w:rPr>
          <w:rFonts w:ascii="Times New Roman" w:hAnsi="Times New Roman"/>
          <w:b/>
          <w:color w:val="000000"/>
          <w:sz w:val="20"/>
        </w:rPr>
        <w:t>If Tenant is a corporation incorporated in a state other than California</w:t>
      </w:r>
      <w:r>
        <w:rPr>
          <w:rFonts w:ascii="Times New Roman" w:hAnsi="Times New Roman"/>
          <w:color w:val="000000"/>
          <w:sz w:val="20"/>
        </w:rPr>
        <w:t>, then Tenant shall deliver to Landlord evidence in a form reasonably acceptable to Landlord that the signatory(ies) is (are) authorized to execute this Lease.</w:t>
      </w:r>
    </w:p>
    <w:p>
      <w:pPr>
        <w:pStyle w:val="TextBody"/>
        <w:bidi w:val="0"/>
        <w:jc w:val="center"/>
        <w:rPr/>
      </w:pPr>
      <w:r>
        <w:rPr/>
        <w:t> </w:t>
      </w:r>
    </w:p>
    <w:tbl>
      <w:tblPr>
        <w:tblW w:w="2825" w:type="dxa"/>
        <w:jc w:val="left"/>
        <w:tblInd w:w="0" w:type="dxa"/>
        <w:tblLayout w:type="fixed"/>
        <w:tblCellMar>
          <w:top w:w="28" w:type="dxa"/>
          <w:left w:w="28" w:type="dxa"/>
          <w:bottom w:w="28" w:type="dxa"/>
          <w:right w:w="28" w:type="dxa"/>
        </w:tblCellMar>
      </w:tblPr>
      <w:tblGrid>
        <w:gridCol w:w="181"/>
        <w:gridCol w:w="456"/>
        <w:gridCol w:w="126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456" w:type="dxa"/>
            <w:tcBorders/>
            <w:tcMar>
              <w:top w:w="0" w:type="dxa"/>
              <w:left w:w="0" w:type="dxa"/>
              <w:bottom w:w="0" w:type="dxa"/>
              <w:right w:w="0" w:type="dxa"/>
            </w:tcMar>
            <w:vAlign w:val="center"/>
          </w:tcPr>
          <w:p>
            <w:pPr>
              <w:pStyle w:val="TableContents"/>
              <w:bidi w:val="0"/>
              <w:spacing w:before="13" w:after="283"/>
              <w:ind w:left="0" w:right="0" w:firstLine="20"/>
              <w:jc w:val="center"/>
              <w:rPr>
                <w:rFonts w:ascii="Times New Roman" w:hAnsi="Times New Roman"/>
                <w:color w:val="000000"/>
                <w:sz w:val="20"/>
              </w:rPr>
            </w:pPr>
            <w:r>
              <w:rPr>
                <w:rFonts w:ascii="Times New Roman" w:hAnsi="Times New Roman"/>
                <w:color w:val="000000"/>
                <w:sz w:val="20"/>
              </w:rPr>
              <w:t>-61-</w:t>
            </w:r>
          </w:p>
        </w:tc>
        <w:tc>
          <w:tcPr>
            <w:tcW w:w="1266" w:type="dxa"/>
            <w:tcBorders/>
            <w:tcMar>
              <w:top w:w="0" w:type="dxa"/>
              <w:left w:w="0" w:type="dxa"/>
              <w:bottom w:w="0" w:type="dxa"/>
              <w:right w:w="0" w:type="dxa"/>
            </w:tcMar>
            <w:vAlign w:val="center"/>
          </w:tcPr>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spacing w:before="13" w:after="283"/>
              <w:ind w:left="0" w:right="0" w:firstLine="2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ind w:left="0" w:right="0" w:firstLine="20"/>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7"/>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201 THIRD STREET</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OUTLINE OF PREMISES</w:t>
      </w:r>
    </w:p>
    <w:p>
      <w:pPr>
        <w:pStyle w:val="TextBody"/>
        <w:bidi w:val="0"/>
        <w:jc w:val="left"/>
        <w:rPr/>
      </w:pPr>
      <w:r>
        <w:rPr/>
        <w:t> </w:t>
      </w:r>
    </w:p>
    <w:tbl>
      <w:tblPr>
        <w:tblW w:w="3400" w:type="dxa"/>
        <w:jc w:val="left"/>
        <w:tblInd w:w="0" w:type="dxa"/>
        <w:tblLayout w:type="fixed"/>
        <w:tblCellMar>
          <w:top w:w="28" w:type="dxa"/>
          <w:left w:w="28" w:type="dxa"/>
          <w:bottom w:w="28" w:type="dxa"/>
          <w:right w:w="28" w:type="dxa"/>
        </w:tblCellMar>
      </w:tblPr>
      <w:tblGrid>
        <w:gridCol w:w="181"/>
        <w:gridCol w:w="1051"/>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EXHIBIT A</w:t>
            </w:r>
          </w:p>
          <w:p>
            <w:pPr>
              <w:pStyle w:val="TableContents"/>
              <w:bidi w:val="0"/>
              <w:spacing w:before="13" w:after="283"/>
              <w:jc w:val="center"/>
              <w:rPr>
                <w:rFonts w:ascii="Times New Roman" w:hAnsi="Times New Roman"/>
                <w:color w:val="000000"/>
                <w:sz w:val="20"/>
              </w:rPr>
            </w:pPr>
            <w:r>
              <w:rPr>
                <w:rFonts w:ascii="Times New Roman" w:hAnsi="Times New Roman"/>
                <w:color w:val="000000"/>
                <w:sz w:val="20"/>
              </w:rPr>
              <w:t>-1-</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3"/>
              </w:rPr>
            </w:pPr>
            <w:r>
              <w:rPr>
                <w:rFonts w:ascii="Times New Roman" w:hAnsi="Times New Roman"/>
                <w:color w:val="000000"/>
                <w:sz w:val="13"/>
              </w:rPr>
              <w:t xml:space="preserve">KILROY REALTY </w:t>
            </w:r>
          </w:p>
          <w:p>
            <w:pPr>
              <w:pStyle w:val="TableContents"/>
              <w:bidi w:val="0"/>
              <w:jc w:val="right"/>
              <w:rPr>
                <w:rFonts w:ascii="Times New Roman" w:hAnsi="Times New Roman"/>
                <w:color w:val="000000"/>
                <w:sz w:val="13"/>
              </w:rPr>
            </w:pPr>
            <w:r>
              <w:rPr>
                <w:rFonts w:ascii="Times New Roman" w:hAnsi="Times New Roman"/>
                <w:color w:val="000000"/>
                <w:sz w:val="13"/>
              </w:rPr>
              <w:t>201 THIRD STREET</w:t>
            </w:r>
          </w:p>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8"/>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201 THIRD STREET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INTENTIONALLY OMITTED</w:t>
      </w:r>
    </w:p>
    <w:p>
      <w:pPr>
        <w:pStyle w:val="TextBody"/>
        <w:bidi w:val="0"/>
        <w:jc w:val="left"/>
        <w:rPr/>
      </w:pPr>
      <w:r>
        <w:rPr/>
        <w:t> </w:t>
      </w:r>
    </w:p>
    <w:tbl>
      <w:tblPr>
        <w:tblW w:w="3400" w:type="dxa"/>
        <w:jc w:val="left"/>
        <w:tblInd w:w="0" w:type="dxa"/>
        <w:tblLayout w:type="fixed"/>
        <w:tblCellMar>
          <w:top w:w="28" w:type="dxa"/>
          <w:left w:w="28" w:type="dxa"/>
          <w:bottom w:w="28" w:type="dxa"/>
          <w:right w:w="28" w:type="dxa"/>
        </w:tblCellMar>
      </w:tblPr>
      <w:tblGrid>
        <w:gridCol w:w="181"/>
        <w:gridCol w:w="1051"/>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EXHIBIT B</w:t>
            </w:r>
          </w:p>
          <w:p>
            <w:pPr>
              <w:pStyle w:val="TableContents"/>
              <w:bidi w:val="0"/>
              <w:spacing w:before="13" w:after="283"/>
              <w:jc w:val="center"/>
              <w:rPr>
                <w:rFonts w:ascii="Times New Roman" w:hAnsi="Times New Roman"/>
                <w:color w:val="000000"/>
                <w:sz w:val="20"/>
              </w:rPr>
            </w:pPr>
            <w:r>
              <w:rPr>
                <w:rFonts w:ascii="Times New Roman" w:hAnsi="Times New Roman"/>
                <w:color w:val="000000"/>
                <w:sz w:val="20"/>
              </w:rPr>
              <w:t>-1-</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3"/>
              </w:rPr>
            </w:pPr>
            <w:r>
              <w:rPr>
                <w:rFonts w:ascii="Times New Roman" w:hAnsi="Times New Roman"/>
                <w:color w:val="000000"/>
                <w:sz w:val="13"/>
              </w:rPr>
              <w:t xml:space="preserve">KILROY REALTY </w:t>
            </w:r>
          </w:p>
          <w:p>
            <w:pPr>
              <w:pStyle w:val="TableContents"/>
              <w:bidi w:val="0"/>
              <w:jc w:val="right"/>
              <w:rPr>
                <w:rFonts w:ascii="Times New Roman" w:hAnsi="Times New Roman"/>
                <w:color w:val="000000"/>
                <w:sz w:val="13"/>
              </w:rPr>
            </w:pPr>
            <w:r>
              <w:rPr>
                <w:rFonts w:ascii="Times New Roman" w:hAnsi="Times New Roman"/>
                <w:color w:val="000000"/>
                <w:sz w:val="13"/>
              </w:rPr>
              <w:t>201 THIRD STREET</w:t>
            </w:r>
          </w:p>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9"/>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C</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201 THIRD STREET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NOTICE OF LEASE TERM DATES</w:t>
      </w:r>
    </w:p>
    <w:p>
      <w:pPr>
        <w:pStyle w:val="TextBody"/>
        <w:bidi w:val="0"/>
        <w:jc w:val="left"/>
        <w:rPr/>
      </w:pPr>
      <w:r>
        <w:rPr/>
        <w:t> </w:t>
      </w:r>
    </w:p>
    <w:p>
      <w:pPr>
        <w:pStyle w:val="TextBody"/>
        <w:bidi w:val="0"/>
        <w:jc w:val="left"/>
        <w:rPr/>
      </w:pPr>
      <w:r>
        <w:rPr/>
        <w:t> </w:t>
      </w:r>
    </w:p>
    <w:tbl>
      <w:tblPr>
        <w:tblW w:w="3400" w:type="dxa"/>
        <w:jc w:val="left"/>
        <w:tblInd w:w="0" w:type="dxa"/>
        <w:tblLayout w:type="fixed"/>
        <w:tblCellMar>
          <w:top w:w="28" w:type="dxa"/>
          <w:left w:w="28" w:type="dxa"/>
          <w:bottom w:w="28" w:type="dxa"/>
          <w:right w:w="28" w:type="dxa"/>
        </w:tblCellMar>
      </w:tblPr>
      <w:tblGrid>
        <w:gridCol w:w="181"/>
        <w:gridCol w:w="1051"/>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EXHIBIT C</w:t>
            </w:r>
          </w:p>
          <w:p>
            <w:pPr>
              <w:pStyle w:val="TableContents"/>
              <w:bidi w:val="0"/>
              <w:spacing w:before="13" w:after="283"/>
              <w:jc w:val="center"/>
              <w:rPr>
                <w:rFonts w:ascii="Times New Roman" w:hAnsi="Times New Roman"/>
                <w:color w:val="000000"/>
                <w:sz w:val="20"/>
              </w:rPr>
            </w:pPr>
            <w:r>
              <w:rPr>
                <w:rFonts w:ascii="Times New Roman" w:hAnsi="Times New Roman"/>
                <w:color w:val="000000"/>
                <w:sz w:val="20"/>
              </w:rPr>
              <w:t>-1-</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3"/>
              </w:rPr>
            </w:pPr>
            <w:r>
              <w:rPr>
                <w:rFonts w:ascii="Times New Roman" w:hAnsi="Times New Roman"/>
                <w:color w:val="000000"/>
                <w:sz w:val="13"/>
              </w:rPr>
              <w:t xml:space="preserve">KILROY REALTY </w:t>
            </w:r>
          </w:p>
          <w:p>
            <w:pPr>
              <w:pStyle w:val="TableContents"/>
              <w:bidi w:val="0"/>
              <w:jc w:val="right"/>
              <w:rPr>
                <w:rFonts w:ascii="Times New Roman" w:hAnsi="Times New Roman"/>
                <w:color w:val="000000"/>
                <w:sz w:val="13"/>
              </w:rPr>
            </w:pPr>
            <w:r>
              <w:rPr>
                <w:rFonts w:ascii="Times New Roman" w:hAnsi="Times New Roman"/>
                <w:color w:val="000000"/>
                <w:sz w:val="13"/>
              </w:rPr>
              <w:t>201 THIRD STREET</w:t>
            </w:r>
          </w:p>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70"/>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D</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201 THIRD STREET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RULES AND REGULATIONS</w:t>
      </w:r>
    </w:p>
    <w:p>
      <w:pPr>
        <w:pStyle w:val="TextBody"/>
        <w:bidi w:val="0"/>
        <w:jc w:val="left"/>
        <w:rPr/>
      </w:pPr>
      <w:r>
        <w:rPr/>
        <w:t> </w:t>
      </w:r>
    </w:p>
    <w:tbl>
      <w:tblPr>
        <w:tblW w:w="3400" w:type="dxa"/>
        <w:jc w:val="left"/>
        <w:tblInd w:w="0" w:type="dxa"/>
        <w:tblLayout w:type="fixed"/>
        <w:tblCellMar>
          <w:top w:w="28" w:type="dxa"/>
          <w:left w:w="28" w:type="dxa"/>
          <w:bottom w:w="28" w:type="dxa"/>
          <w:right w:w="28" w:type="dxa"/>
        </w:tblCellMar>
      </w:tblPr>
      <w:tblGrid>
        <w:gridCol w:w="181"/>
        <w:gridCol w:w="1051"/>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EXHIBIT D</w:t>
            </w:r>
          </w:p>
          <w:p>
            <w:pPr>
              <w:pStyle w:val="TableContents"/>
              <w:bidi w:val="0"/>
              <w:spacing w:before="13" w:after="283"/>
              <w:jc w:val="center"/>
              <w:rPr>
                <w:rFonts w:ascii="Times New Roman" w:hAnsi="Times New Roman"/>
                <w:color w:val="000000"/>
                <w:sz w:val="20"/>
              </w:rPr>
            </w:pPr>
            <w:r>
              <w:rPr>
                <w:rFonts w:ascii="Times New Roman" w:hAnsi="Times New Roman"/>
                <w:color w:val="000000"/>
                <w:sz w:val="20"/>
              </w:rPr>
              <w:t>-1-</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3"/>
              </w:rPr>
            </w:pPr>
            <w:r>
              <w:rPr>
                <w:rFonts w:ascii="Times New Roman" w:hAnsi="Times New Roman"/>
                <w:color w:val="000000"/>
                <w:sz w:val="13"/>
              </w:rPr>
              <w:t xml:space="preserve">KILROY REALTY </w:t>
            </w:r>
          </w:p>
          <w:p>
            <w:pPr>
              <w:pStyle w:val="TableContents"/>
              <w:bidi w:val="0"/>
              <w:jc w:val="right"/>
              <w:rPr>
                <w:rFonts w:ascii="Times New Roman" w:hAnsi="Times New Roman"/>
                <w:color w:val="000000"/>
                <w:sz w:val="13"/>
              </w:rPr>
            </w:pPr>
            <w:r>
              <w:rPr>
                <w:rFonts w:ascii="Times New Roman" w:hAnsi="Times New Roman"/>
                <w:color w:val="000000"/>
                <w:sz w:val="13"/>
              </w:rPr>
              <w:t>201 THIRD STREET</w:t>
            </w:r>
          </w:p>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71"/>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E</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201 THIRD STREET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FORM OF TENANT’S ESTOPPEL CERTIFICATE</w:t>
      </w:r>
    </w:p>
    <w:p>
      <w:pPr>
        <w:pStyle w:val="TextBody"/>
        <w:bidi w:val="0"/>
        <w:jc w:val="left"/>
        <w:rPr/>
      </w:pPr>
      <w:r>
        <w:rPr/>
        <w:t> </w:t>
      </w:r>
    </w:p>
    <w:tbl>
      <w:tblPr>
        <w:tblW w:w="3385" w:type="dxa"/>
        <w:jc w:val="left"/>
        <w:tblInd w:w="0" w:type="dxa"/>
        <w:tblLayout w:type="fixed"/>
        <w:tblCellMar>
          <w:top w:w="28" w:type="dxa"/>
          <w:left w:w="28" w:type="dxa"/>
          <w:bottom w:w="28" w:type="dxa"/>
          <w:right w:w="28" w:type="dxa"/>
        </w:tblCellMar>
      </w:tblPr>
      <w:tblGrid>
        <w:gridCol w:w="181"/>
        <w:gridCol w:w="1036"/>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EXHIBIT E</w:t>
            </w:r>
          </w:p>
          <w:p>
            <w:pPr>
              <w:pStyle w:val="TableContents"/>
              <w:bidi w:val="0"/>
              <w:spacing w:before="13" w:after="283"/>
              <w:jc w:val="center"/>
              <w:rPr>
                <w:rFonts w:ascii="Times New Roman" w:hAnsi="Times New Roman"/>
                <w:color w:val="000000"/>
                <w:sz w:val="20"/>
              </w:rPr>
            </w:pPr>
            <w:r>
              <w:rPr>
                <w:rFonts w:ascii="Times New Roman" w:hAnsi="Times New Roman"/>
                <w:color w:val="000000"/>
                <w:sz w:val="20"/>
              </w:rPr>
              <w:t>-1-</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3"/>
              </w:rPr>
            </w:pPr>
            <w:r>
              <w:rPr>
                <w:rFonts w:ascii="Times New Roman" w:hAnsi="Times New Roman"/>
                <w:color w:val="000000"/>
                <w:sz w:val="13"/>
              </w:rPr>
              <w:t xml:space="preserve">KILROY REALTY </w:t>
            </w:r>
          </w:p>
          <w:p>
            <w:pPr>
              <w:pStyle w:val="TableContents"/>
              <w:bidi w:val="0"/>
              <w:jc w:val="right"/>
              <w:rPr>
                <w:rFonts w:ascii="Times New Roman" w:hAnsi="Times New Roman"/>
                <w:color w:val="000000"/>
                <w:sz w:val="13"/>
              </w:rPr>
            </w:pPr>
            <w:r>
              <w:rPr>
                <w:rFonts w:ascii="Times New Roman" w:hAnsi="Times New Roman"/>
                <w:color w:val="000000"/>
                <w:sz w:val="13"/>
              </w:rPr>
              <w:t>201 THIRD STREET</w:t>
            </w:r>
          </w:p>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72"/>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F</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201 THIRD STREET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FORM OF LETTER OF CREDIT</w:t>
      </w:r>
    </w:p>
    <w:p>
      <w:pPr>
        <w:pStyle w:val="TextBody"/>
        <w:bidi w:val="0"/>
        <w:jc w:val="left"/>
        <w:rPr/>
      </w:pPr>
      <w:r>
        <w:rPr/>
        <w:t> </w:t>
      </w:r>
    </w:p>
    <w:p>
      <w:pPr>
        <w:pStyle w:val="TextBody"/>
        <w:bidi w:val="0"/>
        <w:spacing w:before="1" w:after="283"/>
        <w:jc w:val="left"/>
        <w:rPr/>
      </w:pPr>
      <w:r>
        <w:rPr/>
        <w:t> </w:t>
      </w:r>
    </w:p>
    <w:tbl>
      <w:tblPr>
        <w:tblW w:w="3370" w:type="dxa"/>
        <w:jc w:val="left"/>
        <w:tblInd w:w="0" w:type="dxa"/>
        <w:tblLayout w:type="fixed"/>
        <w:tblCellMar>
          <w:top w:w="28" w:type="dxa"/>
          <w:left w:w="28" w:type="dxa"/>
          <w:bottom w:w="28" w:type="dxa"/>
          <w:right w:w="28" w:type="dxa"/>
        </w:tblCellMar>
      </w:tblPr>
      <w:tblGrid>
        <w:gridCol w:w="181"/>
        <w:gridCol w:w="1021"/>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10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EXHIBIT F</w:t>
            </w:r>
          </w:p>
          <w:p>
            <w:pPr>
              <w:pStyle w:val="TableContents"/>
              <w:bidi w:val="0"/>
              <w:spacing w:before="13" w:after="283"/>
              <w:jc w:val="center"/>
              <w:rPr>
                <w:rFonts w:ascii="Times New Roman" w:hAnsi="Times New Roman"/>
                <w:color w:val="000000"/>
                <w:sz w:val="20"/>
              </w:rPr>
            </w:pPr>
            <w:r>
              <w:rPr>
                <w:rFonts w:ascii="Times New Roman" w:hAnsi="Times New Roman"/>
                <w:color w:val="000000"/>
                <w:sz w:val="20"/>
              </w:rPr>
              <w:t>-1-</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73"/>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G</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201 THIRD STREET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FIRST OFFER SPACE</w:t>
      </w:r>
    </w:p>
    <w:p>
      <w:pPr>
        <w:pStyle w:val="TextBody"/>
        <w:bidi w:val="0"/>
        <w:jc w:val="left"/>
        <w:rPr/>
      </w:pPr>
      <w:r>
        <w:rPr/>
        <w:t> </w:t>
      </w:r>
    </w:p>
    <w:tbl>
      <w:tblPr>
        <w:tblW w:w="3400" w:type="dxa"/>
        <w:jc w:val="left"/>
        <w:tblInd w:w="0" w:type="dxa"/>
        <w:tblLayout w:type="fixed"/>
        <w:tblCellMar>
          <w:top w:w="28" w:type="dxa"/>
          <w:left w:w="28" w:type="dxa"/>
          <w:bottom w:w="28" w:type="dxa"/>
          <w:right w:w="28" w:type="dxa"/>
        </w:tblCellMar>
      </w:tblPr>
      <w:tblGrid>
        <w:gridCol w:w="181"/>
        <w:gridCol w:w="1051"/>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EXHIBIT G</w:t>
            </w:r>
          </w:p>
          <w:p>
            <w:pPr>
              <w:pStyle w:val="TableContents"/>
              <w:bidi w:val="0"/>
              <w:spacing w:before="13" w:after="283"/>
              <w:jc w:val="center"/>
              <w:rPr>
                <w:rFonts w:ascii="Times New Roman" w:hAnsi="Times New Roman"/>
                <w:color w:val="000000"/>
                <w:sz w:val="20"/>
              </w:rPr>
            </w:pPr>
            <w:r>
              <w:rPr>
                <w:rFonts w:ascii="Times New Roman" w:hAnsi="Times New Roman"/>
                <w:color w:val="000000"/>
                <w:sz w:val="20"/>
              </w:rPr>
              <w:t>-1-</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74"/>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H</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201 THIRD STREET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MARKET RENT DETERMINATION FACTORS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400" w:type="dxa"/>
        <w:jc w:val="left"/>
        <w:tblInd w:w="0" w:type="dxa"/>
        <w:tblLayout w:type="fixed"/>
        <w:tblCellMar>
          <w:top w:w="28" w:type="dxa"/>
          <w:left w:w="28" w:type="dxa"/>
          <w:bottom w:w="28" w:type="dxa"/>
          <w:right w:w="28" w:type="dxa"/>
        </w:tblCellMar>
      </w:tblPr>
      <w:tblGrid>
        <w:gridCol w:w="181"/>
        <w:gridCol w:w="1051"/>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p>
            <w:pPr>
              <w:pStyle w:val="TableContents"/>
              <w:bidi w:val="0"/>
              <w:spacing w:before="13" w:after="283"/>
              <w:ind w:left="0" w:right="0" w:firstLine="20"/>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EXHIBIT H</w:t>
            </w:r>
          </w:p>
          <w:p>
            <w:pPr>
              <w:pStyle w:val="TableContents"/>
              <w:bidi w:val="0"/>
              <w:spacing w:before="13" w:after="283"/>
              <w:jc w:val="center"/>
              <w:rPr>
                <w:rFonts w:ascii="Times New Roman" w:hAnsi="Times New Roman"/>
                <w:color w:val="000000"/>
                <w:sz w:val="20"/>
              </w:rPr>
            </w:pPr>
            <w:r>
              <w:rPr>
                <w:rFonts w:ascii="Times New Roman" w:hAnsi="Times New Roman"/>
                <w:color w:val="000000"/>
                <w:sz w:val="20"/>
              </w:rPr>
              <w:t>-1-</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5"/>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OFFICE LEASE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u w:val="single"/>
        </w:rPr>
        <w:t>KILROY REALTY</w:t>
      </w:r>
      <w:r>
        <w:rPr>
          <w:rFonts w:ascii="Times New Roman" w:hAnsi="Times New Roman"/>
          <w:color w:val="000000"/>
          <w:sz w:val="20"/>
        </w:rPr>
        <w:t xml:space="preserve">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201 THIRD STREET</w:t>
      </w:r>
    </w:p>
    <w:p>
      <w:pPr>
        <w:pStyle w:val="TextBody"/>
        <w:bidi w:val="0"/>
        <w:spacing w:before="28" w:after="283"/>
        <w:jc w:val="center"/>
        <w:rPr>
          <w:rFonts w:ascii="Times New Roman" w:hAnsi="Times New Roman"/>
          <w:sz w:val="20"/>
        </w:rPr>
      </w:pPr>
      <w:r>
        <w:rPr>
          <w:rFonts w:ascii="Times New Roman" w:hAnsi="Times New Roman"/>
          <w:b/>
          <w:smallCaps/>
          <w:color w:val="000000"/>
          <w:sz w:val="20"/>
        </w:rPr>
        <w:t>KR 201 Third Street Owner, LLC</w:t>
      </w:r>
      <w:r>
        <w:rPr>
          <w:rFonts w:ascii="Times New Roman" w:hAnsi="Times New Roman"/>
          <w:color w:val="000000"/>
          <w:sz w:val="20"/>
        </w:rPr>
        <w:t>,</w:t>
      </w:r>
    </w:p>
    <w:p>
      <w:pPr>
        <w:pStyle w:val="TextBody"/>
        <w:bidi w:val="0"/>
        <w:spacing w:before="28" w:after="283"/>
        <w:jc w:val="center"/>
        <w:rPr>
          <w:rFonts w:ascii="Times New Roman" w:hAnsi="Times New Roman"/>
          <w:color w:val="000000"/>
          <w:sz w:val="20"/>
        </w:rPr>
      </w:pPr>
      <w:r>
        <w:rPr>
          <w:rFonts w:ascii="Times New Roman" w:hAnsi="Times New Roman"/>
          <w:color w:val="000000"/>
          <w:sz w:val="20"/>
        </w:rPr>
        <w:t xml:space="preserve">a Delaware limited liability company, </w:t>
      </w:r>
    </w:p>
    <w:p>
      <w:pPr>
        <w:pStyle w:val="TextBody"/>
        <w:bidi w:val="0"/>
        <w:spacing w:before="28" w:after="283"/>
        <w:jc w:val="center"/>
        <w:rPr>
          <w:rFonts w:ascii="Times New Roman" w:hAnsi="Times New Roman"/>
          <w:color w:val="000000"/>
          <w:sz w:val="20"/>
        </w:rPr>
      </w:pPr>
      <w:r>
        <w:rPr>
          <w:rFonts w:ascii="Times New Roman" w:hAnsi="Times New Roman"/>
          <w:color w:val="000000"/>
          <w:sz w:val="20"/>
        </w:rPr>
        <w:t>as Landlord,</w:t>
      </w:r>
    </w:p>
    <w:p>
      <w:pPr>
        <w:pStyle w:val="TextBody"/>
        <w:bidi w:val="0"/>
        <w:spacing w:before="28" w:after="283"/>
        <w:jc w:val="center"/>
        <w:rPr>
          <w:rFonts w:ascii="Times New Roman" w:hAnsi="Times New Roman"/>
          <w:color w:val="000000"/>
          <w:sz w:val="20"/>
        </w:rPr>
      </w:pPr>
      <w:r>
        <w:rPr>
          <w:rFonts w:ascii="Times New Roman" w:hAnsi="Times New Roman"/>
          <w:color w:val="000000"/>
          <w:sz w:val="20"/>
        </w:rPr>
        <w:t>and</w:t>
      </w:r>
    </w:p>
    <w:p>
      <w:pPr>
        <w:pStyle w:val="TextBody"/>
        <w:bidi w:val="0"/>
        <w:spacing w:before="28"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w:t>
      </w:r>
    </w:p>
    <w:p>
      <w:pPr>
        <w:pStyle w:val="TextBody"/>
        <w:bidi w:val="0"/>
        <w:spacing w:before="28" w:after="283"/>
        <w:jc w:val="center"/>
        <w:rPr>
          <w:rFonts w:ascii="Times New Roman" w:hAnsi="Times New Roman"/>
          <w:color w:val="000000"/>
          <w:sz w:val="20"/>
        </w:rPr>
      </w:pPr>
      <w:r>
        <w:rPr>
          <w:rFonts w:ascii="Times New Roman" w:hAnsi="Times New Roman"/>
          <w:color w:val="000000"/>
          <w:sz w:val="20"/>
        </w:rPr>
        <w:t xml:space="preserve">a Delaware corporation, </w:t>
      </w:r>
    </w:p>
    <w:p>
      <w:pPr>
        <w:pStyle w:val="TextBody"/>
        <w:bidi w:val="0"/>
        <w:spacing w:before="28" w:after="283"/>
        <w:jc w:val="center"/>
        <w:rPr>
          <w:rFonts w:ascii="Times New Roman" w:hAnsi="Times New Roman"/>
          <w:color w:val="000000"/>
          <w:sz w:val="20"/>
        </w:rPr>
      </w:pPr>
      <w:r>
        <w:rPr>
          <w:rFonts w:ascii="Times New Roman" w:hAnsi="Times New Roman"/>
          <w:color w:val="000000"/>
          <w:sz w:val="20"/>
        </w:rPr>
        <w:t>as Tenant.</w:t>
      </w:r>
    </w:p>
    <w:p>
      <w:pPr>
        <w:pStyle w:val="TextBody"/>
        <w:bidi w:val="0"/>
        <w:jc w:val="left"/>
        <w:rPr/>
      </w:pPr>
      <w:r>
        <w:rPr/>
        <w:t> </w:t>
      </w:r>
    </w:p>
    <w:tbl>
      <w:tblPr>
        <w:tblW w:w="2495" w:type="dxa"/>
        <w:jc w:val="left"/>
        <w:tblInd w:w="0" w:type="dxa"/>
        <w:tblLayout w:type="fixed"/>
        <w:tblCellMar>
          <w:top w:w="28" w:type="dxa"/>
          <w:left w:w="28" w:type="dxa"/>
          <w:bottom w:w="28" w:type="dxa"/>
          <w:right w:w="28" w:type="dxa"/>
        </w:tblCellMar>
      </w:tblPr>
      <w:tblGrid>
        <w:gridCol w:w="181"/>
        <w:gridCol w:w="146"/>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p>
            <w:pPr>
              <w:pStyle w:val="TableContents"/>
              <w:bidi w:val="0"/>
              <w:spacing w:before="13" w:after="283"/>
              <w:ind w:left="0" w:right="0" w:firstLine="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6"/>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TABLE OF CONTENTS</w:t>
      </w:r>
    </w:p>
    <w:p>
      <w:pPr>
        <w:pStyle w:val="TextBody"/>
        <w:bidi w:val="0"/>
        <w:jc w:val="center"/>
        <w:rPr/>
      </w:pPr>
      <w:r>
        <w:rPr/>
        <w:t> </w:t>
      </w:r>
    </w:p>
    <w:p>
      <w:pPr>
        <w:pStyle w:val="TextBody"/>
        <w:bidi w:val="0"/>
        <w:jc w:val="center"/>
        <w:rPr/>
      </w:pPr>
      <w:r>
        <w:rPr/>
        <w:t> </w:t>
      </w:r>
    </w:p>
    <w:tbl>
      <w:tblPr>
        <w:tblW w:w="8898" w:type="dxa"/>
        <w:jc w:val="left"/>
        <w:tblInd w:w="0" w:type="dxa"/>
        <w:tblLayout w:type="fixed"/>
        <w:tblCellMar>
          <w:top w:w="28" w:type="dxa"/>
          <w:left w:w="28" w:type="dxa"/>
          <w:bottom w:w="28" w:type="dxa"/>
          <w:right w:w="28" w:type="dxa"/>
        </w:tblCellMar>
      </w:tblPr>
      <w:tblGrid>
        <w:gridCol w:w="1201"/>
        <w:gridCol w:w="7126"/>
        <w:gridCol w:w="571"/>
      </w:tblGrid>
      <w:tr>
        <w:trPr/>
        <w:tc>
          <w:tcPr>
            <w:tcW w:w="1201" w:type="dxa"/>
            <w:tcBorders/>
            <w:vAlign w:val="center"/>
          </w:tcPr>
          <w:p>
            <w:pPr>
              <w:pStyle w:val="TableContents"/>
              <w:bidi w:val="0"/>
              <w:spacing w:before="0" w:after="283"/>
              <w:jc w:val="left"/>
              <w:rPr>
                <w:sz w:val="4"/>
                <w:szCs w:val="4"/>
              </w:rPr>
            </w:pPr>
            <w:r>
              <w:rPr>
                <w:sz w:val="4"/>
                <w:szCs w:val="4"/>
              </w:rPr>
            </w:r>
          </w:p>
        </w:tc>
        <w:tc>
          <w:tcPr>
            <w:tcW w:w="71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712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Page</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PREMISES, BUILDING, PROJECT, AND COMMON AREAS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 OPTION TERM</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3</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RENT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4</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RENT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5</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OF PREMISES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6</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UTILITIES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7</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REPAIRS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8</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AND ALTERATIONS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9</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 AGAINST LIENS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10</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AND INSURANCE</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11</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DAMAGE AND DESTRUCTION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12</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NONWAIVER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13</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CONDEMNATION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14</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ASSIGNMENT AND SUBLETTING</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15</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SURRENDER OF PREMISES; OWNERSHIP AND REMOVAL OF TRADE FIXTURES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16</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HOLDING OVER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17</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ESTOPPEL CERTIFICATES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18</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19</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OF DEFAULTS; REMEDIES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20</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 OF QUIET ENJOYMENT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21</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LETTER OF CREDIT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22</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INTENTIONALLY OMITTED</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23</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24</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WITH LAW</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25</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LATE CHARGES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26</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LANDLORD’S RIGHT TO CURE DEFAULT; PAYMENTS BY TENANT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27</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ENTRY BY LANDLORD</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28</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PARKING</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29</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PROVISIONS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bl>
    <w:p>
      <w:pPr>
        <w:pStyle w:val="TextBody"/>
        <w:bidi w:val="0"/>
        <w:jc w:val="left"/>
        <w:rPr/>
      </w:pPr>
      <w:r>
        <w:rPr/>
        <w:t> </w:t>
      </w:r>
    </w:p>
    <w:p>
      <w:pPr>
        <w:pStyle w:val="TextBody"/>
        <w:bidi w:val="0"/>
        <w:jc w:val="left"/>
        <w:rPr/>
      </w:pPr>
      <w:r>
        <w:rPr/>
        <w:t> </w:t>
      </w:r>
    </w:p>
    <w:tbl>
      <w:tblPr>
        <w:tblW w:w="2635" w:type="dxa"/>
        <w:jc w:val="left"/>
        <w:tblInd w:w="0" w:type="dxa"/>
        <w:tblLayout w:type="fixed"/>
        <w:tblCellMar>
          <w:top w:w="28" w:type="dxa"/>
          <w:left w:w="28" w:type="dxa"/>
          <w:bottom w:w="28" w:type="dxa"/>
          <w:right w:w="28" w:type="dxa"/>
        </w:tblCellMar>
      </w:tblPr>
      <w:tblGrid>
        <w:gridCol w:w="181"/>
        <w:gridCol w:w="286"/>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p>
            <w:pPr>
              <w:pStyle w:val="TableContents"/>
              <w:bidi w:val="0"/>
              <w:spacing w:before="13" w:after="283"/>
              <w:ind w:left="0" w:right="0" w:firstLine="20"/>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7"/>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827" w:type="dxa"/>
        <w:jc w:val="left"/>
        <w:tblInd w:w="0" w:type="dxa"/>
        <w:tblLayout w:type="fixed"/>
        <w:tblCellMar>
          <w:top w:w="28" w:type="dxa"/>
          <w:left w:w="28" w:type="dxa"/>
          <w:bottom w:w="28" w:type="dxa"/>
          <w:right w:w="28" w:type="dxa"/>
        </w:tblCellMar>
      </w:tblPr>
      <w:tblGrid>
        <w:gridCol w:w="3061"/>
        <w:gridCol w:w="766"/>
      </w:tblGrid>
      <w:tr>
        <w:trPr/>
        <w:tc>
          <w:tcPr>
            <w:tcW w:w="306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8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INDEX</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Page(s)</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Abatement Event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Accountant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Notice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Passes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Rent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Advocate Arbitrators.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Arbitration Agreement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Period</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Prime Loan</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Building</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Rent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Rent Abatement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Rent Abatement Period</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Year</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Bicycle Storage Area</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Briefs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Brokers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1, 4</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Common Areas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Hours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Areas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Area</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Buildings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Transactions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Control,</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Cosmetic Alterations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Expenses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Disclosure Requirements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Laws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 Statement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Excess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Notice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Year</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Rebuttals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Force Majeure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Hazardous Material(s)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Holidays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HVAC</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Identification Requirements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Notice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Landlord</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Landlord Parties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Landlord Response Notice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Landlord’s Initial Statement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Landlord’s Option Rent Calculation</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Commencement Date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Expiration Date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Month</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bl>
    <w:tbl>
      <w:tblPr>
        <w:tblW w:w="2695" w:type="dxa"/>
        <w:jc w:val="left"/>
        <w:tblInd w:w="0" w:type="dxa"/>
        <w:tblLayout w:type="fixed"/>
        <w:tblCellMar>
          <w:top w:w="28" w:type="dxa"/>
          <w:left w:w="28" w:type="dxa"/>
          <w:bottom w:w="28" w:type="dxa"/>
          <w:right w:w="28" w:type="dxa"/>
        </w:tblCellMar>
      </w:tblPr>
      <w:tblGrid>
        <w:gridCol w:w="181"/>
        <w:gridCol w:w="346"/>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p>
            <w:pPr>
              <w:pStyle w:val="TableContents"/>
              <w:bidi w:val="0"/>
              <w:spacing w:before="13" w:after="283"/>
              <w:ind w:left="0" w:right="0" w:firstLine="20"/>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8"/>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242" w:type="dxa"/>
        <w:jc w:val="left"/>
        <w:tblInd w:w="0" w:type="dxa"/>
        <w:tblLayout w:type="fixed"/>
        <w:tblCellMar>
          <w:top w:w="28" w:type="dxa"/>
          <w:left w:w="28" w:type="dxa"/>
          <w:bottom w:w="28" w:type="dxa"/>
          <w:right w:w="28" w:type="dxa"/>
        </w:tblCellMar>
      </w:tblPr>
      <w:tblGrid>
        <w:gridCol w:w="2881"/>
        <w:gridCol w:w="361"/>
      </w:tblGrid>
      <w:tr>
        <w:trPr/>
        <w:tc>
          <w:tcPr>
            <w:tcW w:w="28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Year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Agreement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Rate Schedule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Rent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Rent,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Worth</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Neutral Arbitrator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OFAC</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Rent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Term</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Improvements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Tenant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Agreement Date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Patriot Act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Penetrating Work</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Permitted Chemicals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Permitted Transferee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Permitted Transferee Assignee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Permitted Use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Premises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Prohibited Persons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Common Areas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Renewal Allowance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Renovations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Ruling</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Rebuttals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Sensor Areas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Shuttle Service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Shuttle Service Riders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Subject Space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Summary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Expenses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TCCs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Energy Use Disclosure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Tenant’s Initial Statement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Tenant’s Option Rent Calculation</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Tenant’s Rebuttal Statement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Tenant’s Share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 Contractor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Notice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Premium</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Transferee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 Sensors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bl>
    <w:tbl>
      <w:tblPr>
        <w:tblW w:w="2755" w:type="dxa"/>
        <w:jc w:val="left"/>
        <w:tblInd w:w="0" w:type="dxa"/>
        <w:tblLayout w:type="fixed"/>
        <w:tblCellMar>
          <w:top w:w="28" w:type="dxa"/>
          <w:left w:w="28" w:type="dxa"/>
          <w:bottom w:w="28" w:type="dxa"/>
          <w:right w:w="28" w:type="dxa"/>
        </w:tblCellMar>
      </w:tblPr>
      <w:tblGrid>
        <w:gridCol w:w="181"/>
        <w:gridCol w:w="406"/>
        <w:gridCol w:w="1246"/>
        <w:gridCol w:w="146"/>
        <w:gridCol w:w="776"/>
      </w:tblGrid>
      <w:tr>
        <w:trPr/>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13" w:after="283"/>
              <w:ind w:left="0" w:right="0" w:firstLine="20"/>
              <w:jc w:val="left"/>
              <w:rPr/>
            </w:pPr>
            <w:r>
              <w:rPr/>
              <w:t> </w:t>
            </w:r>
          </w:p>
          <w:p>
            <w:pPr>
              <w:pStyle w:val="TableContents"/>
              <w:bidi w:val="0"/>
              <w:spacing w:before="13" w:after="283"/>
              <w:ind w:left="0" w:right="0" w:firstLine="20"/>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24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4"/>
              </w:rPr>
            </w:pPr>
            <w:r>
              <w:rPr>
                <w:rFonts w:ascii="Times New Roman" w:hAnsi="Times New Roman"/>
                <w:color w:val="000000"/>
                <w:sz w:val="14"/>
              </w:rPr>
              <w:t xml:space="preserve">KILROY REALTY </w:t>
            </w:r>
          </w:p>
          <w:p>
            <w:pPr>
              <w:pStyle w:val="TableContents"/>
              <w:bidi w:val="0"/>
              <w:jc w:val="right"/>
              <w:rPr>
                <w:rFonts w:ascii="Times New Roman" w:hAnsi="Times New Roman"/>
                <w:color w:val="000000"/>
                <w:sz w:val="14"/>
              </w:rPr>
            </w:pPr>
            <w:r>
              <w:rPr>
                <w:rFonts w:ascii="Times New Roman" w:hAnsi="Times New Roman"/>
                <w:color w:val="000000"/>
                <w:sz w:val="14"/>
              </w:rPr>
              <w:t>201 THIRD STREET</w:t>
            </w:r>
          </w:p>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Amplitude,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857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9"/>
                          <a:stretch>
                            <a:fillRect/>
                          </a:stretch>
                        </pic:blipFill>
                        <pic:spPr bwMode="auto">
                          <a:xfrm>
                            <a:off x="0" y="0"/>
                            <a:ext cx="409575" cy="4857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mpl-ex31_1.htm"/>
      <w:bookmarkStart w:id="26" w:name="ksampl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Spenser Skates,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636"/>
        <w:gridCol w:w="109"/>
        <w:gridCol w:w="406"/>
        <w:gridCol w:w="250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mpl-ex31_2.htm"/>
      <w:bookmarkStart w:id="28" w:name="ksampl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Casey,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22" w:type="dxa"/>
        <w:jc w:val="left"/>
        <w:tblInd w:w="0" w:type="dxa"/>
        <w:tblLayout w:type="fixed"/>
        <w:tblCellMar>
          <w:top w:w="28" w:type="dxa"/>
          <w:left w:w="28" w:type="dxa"/>
          <w:bottom w:w="28" w:type="dxa"/>
          <w:right w:w="28" w:type="dxa"/>
        </w:tblCellMar>
      </w:tblPr>
      <w:tblGrid>
        <w:gridCol w:w="1636"/>
        <w:gridCol w:w="109"/>
        <w:gridCol w:w="406"/>
        <w:gridCol w:w="38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Casey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mpl-ex32_1.htm"/>
      <w:bookmarkStart w:id="30" w:name="ksampl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Amplitude, Inc. (the “Company”) on Form 10-Q for the quarter ended March 31, 2025 as filed with the Securities and Exchange Commission on the date hereof (the “Report”), I certify, pursuant to 18 U.S.C. § 1350, as adopted pursuant to § 906 of the Sarbanes-Oxley Act of 2002, as amended,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636"/>
        <w:gridCol w:w="109"/>
        <w:gridCol w:w="406"/>
        <w:gridCol w:w="250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ampl-ex32_2.htm"/>
      <w:bookmarkStart w:id="32" w:name="ksamplex32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Amplitude, Inc. (the “Company”) on Form 10-Q for the quarter ended March 31, 2025 as filed with the Securities and Exchange Commission on the date hereof (the “Report”), I certify, pursuant to 18 U.S.C. § 1350, as adopted pursuant to § 906 of the Sarbanes-Oxley Act of 2002, as amended,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22" w:type="dxa"/>
        <w:jc w:val="left"/>
        <w:tblInd w:w="0" w:type="dxa"/>
        <w:tblLayout w:type="fixed"/>
        <w:tblCellMar>
          <w:top w:w="28" w:type="dxa"/>
          <w:left w:w="28" w:type="dxa"/>
          <w:bottom w:w="28" w:type="dxa"/>
          <w:right w:w="28" w:type="dxa"/>
        </w:tblCellMar>
      </w:tblPr>
      <w:tblGrid>
        <w:gridCol w:w="1636"/>
        <w:gridCol w:w="109"/>
        <w:gridCol w:w="406"/>
        <w:gridCol w:w="38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Casey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6692/000119312524159934/d806887dex31.htm" TargetMode="External"/><Relationship Id="rId3" Type="http://schemas.openxmlformats.org/officeDocument/2006/relationships/hyperlink" Target="https://www.sec.gov/Archives/edgar/data/1866692/000119312521278308/d93786dex32.htm" TargetMode="External"/><Relationship Id="rId4" Type="http://schemas.openxmlformats.org/officeDocument/2006/relationships/hyperlink" Target="https://www.sec.gov/Archives/edgar/data/1866692/000119312521260696/d143868dex42.htm" TargetMode="External"/><Relationship Id="rId5" Type="http://schemas.openxmlformats.org/officeDocument/2006/relationships/hyperlink" Target="https://www.sec.gov/Archives/edgar/data/1866692/000119312521278407/d114916dex44.htm" TargetMode="External"/><Relationship Id="rId6" Type="http://schemas.openxmlformats.org/officeDocument/2006/relationships/hyperlink" Target="https://www.sec.gov/Archives/edgar/data/1866692/000119312521260696/d143868dex43.htm" TargetMode="External"/><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fontTable" Target="fontTable.xml"/><Relationship Id="rId8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93857</Words>
  <Characters>508293</Characters>
  <CharactersWithSpaces>602424</CharactersWithSpaces>
  <Paragraphs>7224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