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pl-20241231.htm"/>
      <w:bookmarkStart w:id="1" w:name="ksampl2024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001-40817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4"/>
        </w:rPr>
      </w:pPr>
      <w:r>
        <w:rPr>
          <w:rFonts w:ascii="Times New Roman" w:hAnsi="Times New Roman"/>
          <w:b/>
          <w:color w:val="000000"/>
          <w:sz w:val="44"/>
        </w:rPr>
        <w:t>AMPLITUDE,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45-3937349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201 Third Street,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Registrant’s telephone number, including area code: (415) 231-2353</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3886"/>
        <w:gridCol w:w="146"/>
        <w:gridCol w:w="751"/>
        <w:gridCol w:w="146"/>
        <w:gridCol w:w="294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AMPL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w:t>
      </w:r>
      <w:r>
        <w:rPr>
          <w:rFonts w:ascii="Times New Roman" w:hAnsi="Times New Roman"/>
          <w:caps/>
          <w:color w:val="000000"/>
          <w:sz w:val="14"/>
        </w:rPr>
        <w:t>Yes</w:t>
      </w:r>
      <w:r>
        <w:rPr>
          <w:rFonts w:ascii="Times New Roman" w:hAnsi="Times New Roman"/>
          <w:caps/>
          <w:color w:val="000000"/>
          <w:sz w:val="20"/>
        </w:rPr>
        <w:t xml:space="preserve"> </w:t>
      </w:r>
      <w:r>
        <w:rPr>
          <w:rFonts w:ascii="Times New Roman" w:hAnsi="Times New Roman"/>
          <w:color w:val="000000"/>
          <w:sz w:val="20"/>
        </w:rPr>
        <w:t xml:space="preserve">☒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15(d) of the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r>
        <w:rPr>
          <w:rFonts w:ascii="Times New Roman" w:hAnsi="Times New Roman"/>
          <w:color w:val="000000"/>
          <w:sz w:val="14"/>
        </w:rPr>
        <w:b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br/>
        <w:t xml:space="preserve">Indicate by check mark whether the registrant is a shell company (as defined in Rule 12b-2 of the Exchange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The aggregate market value of the voting and non-voting common equity held by non-affiliates of the Registrant, based on the closing price of the shares of Class A common stock on the Nasdaq Capital Market on June 30, 2024, was approximately $767.1</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As of February 13, 2025, there were 96,317,761</w:t>
      </w:r>
      <w:r>
        <w:rPr>
          <w:rFonts w:ascii="Times New Roman" w:hAnsi="Times New Roman"/>
          <w:color w:val="000000"/>
          <w:sz w:val="20"/>
        </w:rPr>
        <w:t xml:space="preserve"> </w:t>
      </w:r>
      <w:r>
        <w:rPr>
          <w:rFonts w:ascii="Times New Roman" w:hAnsi="Times New Roman"/>
          <w:color w:val="000000"/>
          <w:sz w:val="14"/>
        </w:rPr>
        <w:t>shares of the registrant's Class A common stock and 33,093,043</w:t>
      </w:r>
      <w:r>
        <w:rPr>
          <w:rFonts w:ascii="Times New Roman" w:hAnsi="Times New Roman"/>
          <w:color w:val="000000"/>
          <w:sz w:val="20"/>
        </w:rPr>
        <w:t xml:space="preserve"> </w:t>
      </w:r>
      <w:r>
        <w:rPr>
          <w:rFonts w:ascii="Times New Roman" w:hAnsi="Times New Roman"/>
          <w:color w:val="000000"/>
          <w:sz w:val="14"/>
        </w:rPr>
        <w:t>shares of the registrant's Class B common stock, each with a $0.00001 par value per share, outstanding.</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Portions of the registrant’s definitive proxy statement for the registrant’s 2025 annual meeting of stockholders, which will be filed with the Securities and Exchange Commission no later than 120 days after December 31, 2024, are incorporated by reference in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8789"/>
        <w:gridCol w:w="512"/>
      </w:tblGrid>
      <w:tr>
        <w:trPr/>
        <w:tc>
          <w:tcPr>
            <w:tcW w:w="904"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d_analy">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_di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and_supple">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disagreements_w_acc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ntng_fees">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usage of our Digital Analytics Platform and upsell and cross-sell additional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or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success of our sales and marketing efforts, including our ability to grow and maintain our channel partners, and our ability to promote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public health crises and other global events, such as the war in Ukraine and the conflicts in the Middle East, on our business and the global economy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drive growth by incorporating artificial intelligence and machine learning solutions into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 and any costs associated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associated with being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1A, “Risk Factors” in this Annual Report on Form 10-K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the statements are made available.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the forward-looking statements in this Annual Report on Form 10-K by these cautionary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on Form 10-K.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been growing rapidly over the last several years, which makes it difficult to forecast our future results of operations and increases the risk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As our costs increase, we may not be able to generate sufficient revenue to achieve and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focus on sales to larger organizations and may become more dependent on those relationships, which may increase the variability of our sales cycle and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over the term of our customer contracts. Consequently, downturns or upturns in new sales may not be immediately reflected in our results of operations and may be difficult to discern.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for SaaS applications develops more slowly than we expect or declines, our business would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 may not protect our business or provide us with a competitive advantage, which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 regulation, including import, export control, economic sanctions, and trade sanctions, and anti-corruption laws and regulations, which may expose us to liability and increase our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been, and in the future, may be, volatile, and could decline significantly and rapidly.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have the ability to influence the outcome of director elections and other matters requiring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3" w:name="item1"/>
      <w:bookmarkEnd w:id="3"/>
      <w:r>
        <w:rPr>
          <w:rFonts w:ascii="Times New Roman" w:hAnsi="Times New Roman"/>
          <w:b/>
          <w:color w:val="000000"/>
          <w:sz w:val="20"/>
        </w:rPr>
        <w:t xml:space="preserve">Item 1. </w:t>
      </w:r>
      <w:bookmarkStart w:id="4" w:name="item_1_business"/>
      <w:bookmarkEnd w:id="4"/>
      <w:r>
        <w:rPr>
          <w:rFonts w:ascii="Times New Roman" w:hAnsi="Times New Roman"/>
          <w:b/>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2012, Amplitude is driving the evolution of digital analytics as part of our mission to help companies build better products and digital experiences.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were the first company to recognize that traditional analytics tools were built for websites and marketing campaigns, not for understanding how people engage with digital products. That’s why we believe we have built the industry’s first Digital Analytics Platform designed specifically to analyze behavioral data and provide real-time, actionable insights that drive business outcomes.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Today, our platform goes far beyond standalone analytics. It unifies Analytics, Session Replay, Experimentation, Audience Activation, and Guides and Surveys, allowing teams to seamlessly move from data to insights to actions—all in one 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platform is more than a collection of independent products. They all work better together, creating a powerful feedback loop where each component enhances the others. This integrated approach helps businesses to not just track and measure user behavior, but actively improve engagement, retention, and monetization.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digital transformation continues to accelerate, the market opportunity ahead remains massive. Companies face increasing challenges in understanding their users, making data-driven decisions, and delivering personalized, high-impact experiences. Businesses are shifting from traditional acquisition-focused marketing to product-led growth ("PLG") strategies, and also understanding their existing customers is more important than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shift has brought digital analytics to the fore as a key component of the modern data stack, integrating product, marketing, and experience analytics into a single, holistic category. As a first mover in this space, we believe Amplitude is well-positioned to lead the category as it grows.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primarily through subscription-based pricing, offering flexible plans that scale with our customers. We reach customers through a combination of direct sales, solution partners, and product-led growth, ensuring that businesses of all sizes can adopt and expand their use of Amplitude.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3,875 paying customers, including 27 of the Fortune 100, demonstrating both strong adoption and the significant opportunity that remains. Our land-and-expand model enables us to grow alongside our customers, increasing usage across teams, use cases, and digital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a trusted, scalable, and deeply integrated platform, Amplitude is redefining how companies leverage data to drive customer engagement, business growth, and digital innovation—cementing our position as the leader in digital analytics.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Industry Trends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Amplitude was founded in 2012 to help companies build better products and digital experiences. The founders had seen first hand how important it was to make data-driven decisions in product development—but also how difficult it was to get that right.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problem was the dearth of tools that could provide actionable data and insights into how users interacted with digital products. At the time, traditional analytics tools were designed for surface-level metrics like web traffic and marketing performance—but fell short in understanding and being able to act on user behavior within digital products or websites.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This gap inspired Amplitude to create a Digital Analytics Platform purpose-built to analyze complex user behaviors and enable product teams to take action and make better decisions based on that data. The platform was designed to provide high-quality data, share real-time insights, facilitate faster experimentation and engage users with personalized experiences.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Fast forward to today, it’s clear that digital products are not optional—they are central to business survival. The proliferation of mobile and cloud technologies has lowered barriers to entry, enabling new players to disrupt established markets.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As a result, we are seeing the convergence of product, web and marketing, and digital experience analytics into what both Gartner and Forrester call the ‘digital analytics’ category—itself a pivotal element of modern data platforms as businesses centralize and streamline their data stacks.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At the same time, the digital economy continues to grow exponentially, broadening the competitive focus from acquiring new customers to retaining and engaging existing ones. Companies are increasingly turning to innovative digital strategies to navigate this landscape, with data-driven insights becoming essential to maintaining relevance and driving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Convergence of Marketing and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lines between product and marketing goals and objectives are blurring as businesses shift toward a product-led growth model. Traditionally, these teams operated separately—marketing focused on driving awareness and acquisition, while product teams worked on improving in-app experiences. Today, success is measured by shared goals like user engagement, retention, and lifetime value—bringing these teams closer together than ever before.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same time, privacy regulations and restrictions on third-party data are making it harder for companies to rely on traditional advertising and external targeting. This has forced a shift towards first-party data strategies and retention-driven approaches—where a deep understanding of existing users is more important than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overall shifts in the landscape demand analytics solutions that provide a company with a single, trusted source of truth about how users interact with their products. Amplitude helps bridge the goals of product and marketing by providing real-time, actionable insights that enable teams to collaborate, experiment, and optimize user experiences, campaigns and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Reinventing Digital Product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approach to building digital products is also undergoing a profound transformation. Intuition is being replaced by data-driven strategies that leverage in-product behavioral data to inform decisions. We are seeing modern digital product teams increasingly embrace a customer-centric data-driven approach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 xml:space="preserve">Harnesses Behavioral Data: </w:t>
      </w:r>
      <w:r>
        <w:rPr>
          <w:rFonts w:ascii="Times New Roman" w:hAnsi="Times New Roman"/>
          <w:color w:val="000000"/>
          <w:sz w:val="20"/>
        </w:rPr>
        <w:t>The increasing time consumers spend with digital products has resulted in an explosion of rich behavioral data, enabling businesses to analyze user actions at unprecedented levels of detail.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Delivers Personalization at Scale:</w:t>
      </w:r>
      <w:r>
        <w:rPr>
          <w:color w:val="000000"/>
        </w:rPr>
        <w:t xml:space="preserve"> </w:t>
      </w:r>
      <w:r>
        <w:rPr>
          <w:rFonts w:ascii="Times New Roman" w:hAnsi="Times New Roman"/>
          <w:color w:val="000000"/>
          <w:sz w:val="20"/>
        </w:rPr>
        <w:t xml:space="preserve">As consumer expectations for tailored experiences rise, we are seeing a gradual increase in companies using product data and AI to create adaptive and personalized user-centric solutions.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 xml:space="preserve">Democratizes Data Access: </w:t>
      </w:r>
      <w:r>
        <w:rPr>
          <w:rFonts w:ascii="Times New Roman" w:hAnsi="Times New Roman"/>
          <w:color w:val="000000"/>
          <w:sz w:val="20"/>
        </w:rPr>
        <w:t>Centralized data teams traditionally controlled analytics, creating bottlenecks and reducing agility. By enabling access to insights across functions—product management, marketing, engineering, and beyond—companies can foster faster, collaborative decision-making processes.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Digital Analytics: The Engine of Transformation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digital transformation progresses, analytics has become indispensable for understanding and optimizing digital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uncovering bottlenecks in user journeys and identifying features that resonate, organizations can iterate more effectively, improving both product innovation and customer satisfaction. We believe those that embrace digital analytics as part of their transformation strategies will gain competitive advantages, which will help them to adapt to market shifts and increase the value of their digital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said, despite significant investments in analytics tools, traditional systems often struggle to specifically address product data. Key challenges include: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 xml:space="preserve">Complexity of Digital Products: </w:t>
      </w:r>
      <w:r>
        <w:rPr>
          <w:rFonts w:ascii="Times New Roman" w:hAnsi="Times New Roman"/>
          <w:color w:val="000000"/>
          <w:sz w:val="20"/>
        </w:rPr>
        <w:t>Unlike simpler, linear marketing funnels, user journeys within digital products involve thousands of unique events and interactions.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 xml:space="preserve">Massive Scale: </w:t>
      </w:r>
      <w:r>
        <w:rPr>
          <w:rFonts w:ascii="Times New Roman" w:hAnsi="Times New Roman"/>
          <w:color w:val="000000"/>
          <w:sz w:val="20"/>
        </w:rPr>
        <w:t>The combination of high user volumes and engagement rates generates vast datasets, creating challenges for real-time analysis and actionable insights.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 xml:space="preserve">Fragmented Ecosystems: </w:t>
      </w:r>
      <w:r>
        <w:rPr>
          <w:rFonts w:ascii="Times New Roman" w:hAnsi="Times New Roman"/>
          <w:color w:val="000000"/>
          <w:sz w:val="20"/>
        </w:rPr>
        <w:t>Legacy systems—ranging from web analytics to sentiment-based tools—struggle to meet the demands of modern digital products. These solutions often lack the flexibility, depth, and real-time capabilities needed to analyze behavioral data holistically and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Against this backdrop, we believe the evolution of the digital analytics market will be driven by several trends: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Continued Proliferation of Data Silos:</w:t>
      </w:r>
      <w:r>
        <w:rPr>
          <w:color w:val="000000"/>
        </w:rPr>
        <w:t xml:space="preserve"> </w:t>
      </w:r>
      <w:r>
        <w:rPr>
          <w:rFonts w:ascii="Times New Roman" w:hAnsi="Times New Roman"/>
          <w:color w:val="000000"/>
          <w:sz w:val="20"/>
        </w:rPr>
        <w:t>Data will continue to be siloed and fragmented across organizations, making it difficult for teams to parse through and understand it all. This will drive the need for solutions that can aggregate and unify this data—giving teams a clear understanding and a single source of truth.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Increased Consolidation and Centralization:</w:t>
      </w:r>
      <w:r>
        <w:rPr>
          <w:color w:val="000000"/>
        </w:rPr>
        <w:t xml:space="preserve"> </w:t>
      </w:r>
      <w:r>
        <w:rPr>
          <w:rFonts w:ascii="Times New Roman" w:hAnsi="Times New Roman"/>
          <w:color w:val="000000"/>
          <w:sz w:val="20"/>
        </w:rPr>
        <w:t xml:space="preserve">Businesses are consolidating analytics and adjacent functions—such as session replay, digital adoption, activation, and experimentation tools—into unified ecosystems.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AI and Automation:</w:t>
      </w:r>
      <w:r>
        <w:rPr>
          <w:color w:val="000000"/>
        </w:rPr>
        <w:t xml:space="preserve"> </w:t>
      </w:r>
      <w:r>
        <w:rPr>
          <w:rFonts w:ascii="Times New Roman" w:hAnsi="Times New Roman"/>
          <w:color w:val="000000"/>
          <w:sz w:val="20"/>
        </w:rPr>
        <w:t>Advances in generative and agentic AI and machine learning are enabling more sophisticated personalization and accelerated workflows, helping companies anticipate user needs and deliver just-in-time experiences.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Rising Demand for Agility:</w:t>
      </w:r>
      <w:r>
        <w:rPr>
          <w:color w:val="000000"/>
        </w:rPr>
        <w:t xml:space="preserve"> </w:t>
      </w:r>
      <w:r>
        <w:rPr>
          <w:rFonts w:ascii="Times New Roman" w:hAnsi="Times New Roman"/>
          <w:color w:val="000000"/>
          <w:sz w:val="20"/>
        </w:rPr>
        <w:t xml:space="preserve">Organizations are prioritizing tools that empower cross-functional teams to access and act on insights in real-time, fostering a culture of continuous improvement and innovation.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Product-Led Growth ("PLG"):</w:t>
      </w:r>
      <w:r>
        <w:rPr>
          <w:color w:val="000000"/>
        </w:rPr>
        <w:t xml:space="preserve"> </w:t>
      </w:r>
      <w:r>
        <w:rPr>
          <w:rFonts w:ascii="Times New Roman" w:hAnsi="Times New Roman"/>
          <w:color w:val="000000"/>
          <w:sz w:val="20"/>
        </w:rPr>
        <w:t>Businesses are increasingly shifting towards a PLG strategy, where product adoption and customer expansion are driven by seamless, self-serve experiences. By allowing users to experience value early and independently, we believe PLG will help accelerate acquisition, reduce friction in onboarding, and drive organic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integrating behavioral data, personalization, and democratized insights, Digital Analytics Platforms are redefining how organizations understand and engage their users. As businesses continue to invest in digital transformation, analytics will play an increasingly critical role in shaping strategies and delivering growth. We believe Amplitude’s focus on in-product behavioral data and real-time capabilities makes us well-positioned to lead this evolution.</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Platform</w:t>
      </w:r>
    </w:p>
    <w:p>
      <w:pPr>
        <w:pStyle w:val="TextBody"/>
        <w:bidi w:val="0"/>
        <w:spacing w:before="240" w:after="283"/>
        <w:jc w:val="center"/>
        <w:rPr/>
      </w:pPr>
      <w:r>
        <w:rPr/>
        <w:drawing>
          <wp:inline distT="0" distB="0" distL="0" distR="0">
            <wp:extent cx="6343650" cy="3505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43650" cy="35052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vision is to live in a world where technology never leaves you frustrated. If we're successful, technology will work exactly as it is supposed to. It will feel like it is designed just for you. That's a tall order. It almost feels unachievable. But that's the point.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 day-to-day basis that means our mission is to help companies build better products and digital experiences. To make that possible, we believe we have built the industry’s first unified Digital Analytics Platform—a deeply integrated system where each product builds off of the next.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brings together Analytics, Session Replay, Feature Experimentation, Web Experimentation, Audience Activation, and Guides &amp; Surveys. It is fully self-service, and is designed to enable and activate everyone in an organization to own and drive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platform works in concert to help organizations understand what features and experiences users love, where they’re getting stuck, and what keeps them coming back. And we get to the heart of what users are thinking and doing and why. This provides teams with the tools they need to improve experiences and grow their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Behind the power of our platform is our bespoke Behavioral Graph—one of the largest repositories of user behavior data in the world. Purpose-built for complex, interactive behavioral queries, the Graph scales to look at every individual action taken in a digital product or experience, and identifies combinations of actions that lead to a desired outcome. It then processes that data to help teams understand what actions to take to improve experiences.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Amplitude Digital Analytics Platform delivers: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Trusted Data: </w:t>
      </w:r>
      <w:r>
        <w:rPr>
          <w:rFonts w:ascii="Times New Roman" w:hAnsi="Times New Roman"/>
          <w:color w:val="000000"/>
          <w:sz w:val="20"/>
        </w:rPr>
        <w:t>Amplitude streamlines data management, helps ensure data privacy, security, accuracy, and quality, and governs access to ensure that teams have access to data they trust.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Clearer Insights: </w:t>
      </w:r>
      <w:r>
        <w:rPr>
          <w:rFonts w:ascii="Times New Roman" w:hAnsi="Times New Roman"/>
          <w:color w:val="000000"/>
          <w:sz w:val="20"/>
        </w:rPr>
        <w:t xml:space="preserve">Amplitude gets to the heart of what is driving behavior—the analysis that matters, not just surface-level metrics. Whether it’s a product manager or seasoned analyst, we lead them to ask the right questions, answer them in the moment, and help them understand what customers are doing—so they can choose what to do next.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Faster Actions:</w:t>
      </w:r>
      <w:r>
        <w:rPr>
          <w:color w:val="000000"/>
        </w:rPr>
        <w:t xml:space="preserve"> </w:t>
      </w:r>
      <w:r>
        <w:rPr>
          <w:rFonts w:ascii="Times New Roman" w:hAnsi="Times New Roman"/>
          <w:color w:val="000000"/>
          <w:sz w:val="20"/>
        </w:rPr>
        <w:t>Amplitude creates the collaboration critical to efficient growth. We unite product, marketing, data, and engineering teams around a shared understanding of the customer journey so they can uncover insights, target cohorts, build experiments, launch guides, and survey users—all from a single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is comprised of several primary offerings, all of which complement each other and work better together: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Analytics:</w:t>
      </w:r>
      <w:r>
        <w:rPr>
          <w:color w:val="000000"/>
        </w:rPr>
        <w:t xml:space="preserve"> </w:t>
      </w:r>
      <w:r>
        <w:rPr>
          <w:rFonts w:ascii="Times New Roman" w:hAnsi="Times New Roman"/>
          <w:color w:val="000000"/>
          <w:sz w:val="20"/>
        </w:rPr>
        <w:t>As mentioned, Amplitude Analytics is the cornerstone of the platform and provides real-time insights into user behavior. It combines advanced quantitative metrics with qualitative tools like funnel analysis and cohort tracking to help businesses understand what’s driving engagement, conversion, and retention.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Session Replay: </w:t>
      </w:r>
      <w:r>
        <w:rPr>
          <w:rFonts w:ascii="Times New Roman" w:hAnsi="Times New Roman"/>
          <w:color w:val="000000"/>
          <w:sz w:val="20"/>
        </w:rPr>
        <w:t>A critical tool for understanding user behavior, Amplitude Session Replay complements Amplitude Analytics and offers a qualitative perspective by reconstructing user journeys. Teams can see exactly how users interact with products, identify friction points, and develop targeted solutions. They then use these insights to get a better understanding of why users are doing what they are doing.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Feature Experimentation:</w:t>
      </w:r>
      <w:r>
        <w:rPr>
          <w:color w:val="000000"/>
        </w:rPr>
        <w:t xml:space="preserve"> </w:t>
      </w:r>
      <w:r>
        <w:rPr>
          <w:rFonts w:ascii="Times New Roman" w:hAnsi="Times New Roman"/>
          <w:color w:val="000000"/>
          <w:sz w:val="20"/>
        </w:rPr>
        <w:t xml:space="preserve">By leveraging behavioral data and Amplitude's powerful cohort capabilities, Amplitude Feature Experimentation enables product, data, and engineering teams to build world-class experiments. Enterprise-ready feature management is built in, so teams can build faster, test impact, and ship new features with confidence.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Web Experimentation:</w:t>
      </w:r>
      <w:r>
        <w:rPr>
          <w:color w:val="000000"/>
        </w:rPr>
        <w:t xml:space="preserve"> </w:t>
      </w:r>
      <w:r>
        <w:rPr>
          <w:rFonts w:ascii="Times New Roman" w:hAnsi="Times New Roman"/>
          <w:color w:val="000000"/>
          <w:sz w:val="20"/>
        </w:rPr>
        <w:t xml:space="preserve">This product makes it easy for product managers, marketers, and growth leaders to A/B test and personalize web experiences. With visual editing and point-and-click interaction, Amplitude Web Experimentation reduces the need for engineering support and accelerates testing.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Activation: </w:t>
      </w:r>
      <w:r>
        <w:rPr>
          <w:rFonts w:ascii="Times New Roman" w:hAnsi="Times New Roman"/>
          <w:color w:val="000000"/>
          <w:sz w:val="20"/>
        </w:rPr>
        <w:t xml:space="preserve">Formerly known as the Amplitude Customer Data Platform ("CDP"), Amplitude Activation unifies data across multiple sources, creating a single, enriched dataset that fuels analytics and personalization. Amplitude Activation resolves identity conflicts, streamlines data integration, and facilitates that organizations can easily personalize and activate campaigns and experiences to segments of users in a few simple clicks.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Guides and Surveys: </w:t>
      </w:r>
      <w:r>
        <w:rPr>
          <w:rFonts w:ascii="Times New Roman" w:hAnsi="Times New Roman"/>
          <w:color w:val="000000"/>
          <w:sz w:val="20"/>
        </w:rPr>
        <w:t>Launched in February 2025 just four months after our acquisition of Command AI, this new product helps companies to deploy in-product guides, tours, and surveys using the power of behavioral insights to fuel great results. In this way, users get the help they need to drive them further along in their journey. Other companies have tried to do this —but the results have been suboptimal because they do not have the context needed to make them useful. With Amplitude Guides and Surveys, we are making the most of our platform to help customers take a more-personalized approach.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used together, Analytics, Experimentation, Activation, Session Replay, and Guides and Surveys create a powerful feedback loop that helps businesses understand their users, optimize experiences, and take action quickly—all in one 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Amplitude Made Easy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recognize that getting started with digital analytics can be tough. Companies often need engineers to set up data pipelines and instrument events. Teams need to know what to query, how to set up cohorts, and what to measure. And people often don't know how to analyze the data or translate it into actions. In Fall 2024, Amplitude helped to change all of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a host of new capabilities, including Auto-Capture (which allows organizations to start capturing every user click and swipe with a single line of code), and a revamped user experience, Amplitude Made Easy removes the heavy lifting so teams can get started, get insights, and get to value faster. With Amplitude Made Easy, teams can leverage out-of-the-box insights and an AI-powered query engine to get answers. And they can rely on best practices, templates, and dedicated user hubs to support their entire experience.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Scaling through Integrations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Lastly, our platform is designed to scale with businesses, supporting massive data volumes and complex user journeys. With support for more than 100 different data sources and destinations, Amplitude integrates seamlessly with tools like Salesforce, Slack, Braze, Snowflake, and cloud providers. As a natural extension of any technology ecosystem, Amplitude enables teams to collaborate effortlessly and drive unified decision making.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Benefits to Customers</w:t>
      </w:r>
      <w:r>
        <w:rPr>
          <w:rFonts w:ascii="Times New Roman" w:hAnsi="Times New Roman"/>
          <w:color w:val="000000"/>
          <w:sz w:val="20"/>
        </w:rPr>
        <w:t xml:space="preserve"> </w:t>
      </w:r>
    </w:p>
    <w:p>
      <w:pPr>
        <w:pStyle w:val="TextBody"/>
        <w:bidi w:val="0"/>
        <w:spacing w:before="360" w:after="283"/>
        <w:jc w:val="center"/>
        <w:rPr/>
      </w:pPr>
      <w:r>
        <w:rPr/>
        <w:drawing>
          <wp:inline distT="0" distB="0" distL="0" distR="0">
            <wp:extent cx="6343650" cy="3571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43650" cy="357187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Amplitude’s Digital Analytics Platform is more than a collection of independent products—it’s a strategic enabler for the digital-first future. By combining advanced analytics, intuitive interfaces, and a customer-first approach, Amplitude helps businesses to unlock innovation, foster collaboration, and achieve transformative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Make Confident, Data-Driven Decisions:</w:t>
      </w:r>
      <w:r>
        <w:rPr>
          <w:color w:val="000000"/>
        </w:rPr>
        <w:t xml:space="preserve"> </w:t>
      </w:r>
      <w:r>
        <w:rPr>
          <w:rFonts w:ascii="Times New Roman" w:hAnsi="Times New Roman"/>
          <w:color w:val="000000"/>
          <w:sz w:val="20"/>
        </w:rPr>
        <w:t xml:space="preserve">Amplitude empowers teams to answer critical questions about customer behavior, helping product investments to be informed by data rather than guesswork. Our platform provides detailed insights into how users engage with digital products, revealing opportunities to optimize experiences and remove friction. By analyzing user journeys, identifying conversion drivers, and spotting pain points, customers can confidently make the right product bets. This data-driven approach is designed to accelerate innovation, reduce risk, and increase return on investment.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Accelerate Time-to-Insight and Innovation:</w:t>
      </w:r>
      <w:r>
        <w:rPr>
          <w:color w:val="000000"/>
        </w:rPr>
        <w:t xml:space="preserve"> </w:t>
      </w:r>
      <w:r>
        <w:rPr>
          <w:rFonts w:ascii="Times New Roman" w:hAnsi="Times New Roman"/>
          <w:color w:val="000000"/>
          <w:sz w:val="20"/>
        </w:rPr>
        <w:t>In today’s competitive landscape, speed is critical. Amplitude equips organizations with real-time analytics to rapidly identify opportunities and adapt strategies. Teams can quickly test hypotheses, measure the impact of changes, and iterate on product designs to address challenges before they escalate. This rapid experimentation capability helps businesses to stay ahead of market trends, deliver better experiences, and respond dynamically to customer needs.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Take Action to Improve the Product Experience: </w:t>
      </w:r>
      <w:r>
        <w:rPr>
          <w:rFonts w:ascii="Times New Roman" w:hAnsi="Times New Roman"/>
          <w:color w:val="000000"/>
          <w:sz w:val="20"/>
        </w:rPr>
        <w:t xml:space="preserve">We don't just help companies understand their customers. We empower them to create better digital experiences. Whether you need to test the impact of a new feature with a cohort of users, personalize your website to drive better conversion, create a product tour to improve your onboarding experience, or add an in-product survey to gather qualitative feedback, Amplitude helps teams take data-based actions quickly.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Foster Cross-Functional Collaboration: </w:t>
      </w:r>
      <w:r>
        <w:rPr>
          <w:rFonts w:ascii="Times New Roman" w:hAnsi="Times New Roman"/>
          <w:color w:val="000000"/>
          <w:sz w:val="20"/>
        </w:rPr>
        <w:t>By eliminating data silos, our platform creates a shared understanding of customer behavior across teams. Out-of-the-box dashboards and customizable analytics reports bring product, marketing, engineering, and executive teams together. This shared visibility fosters alignment, enables individuals to work toward the same goals, and encourages data-driven collaboration.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Unlock the Potential of Customer Data: </w:t>
      </w:r>
      <w:r>
        <w:rPr>
          <w:rFonts w:ascii="Times New Roman" w:hAnsi="Times New Roman"/>
          <w:color w:val="000000"/>
          <w:sz w:val="20"/>
        </w:rPr>
        <w:t xml:space="preserve">As the volume and complexity of data grow, organizations face increasing challenges in managing and deriving value from it. Amplitude simplifies this process by integrating data from diverse sources into a single, enriched dataset. This single source of truth facilitates accuracy, consistency, and usability, enabling teams to uncover insights that would otherwise remain hidden. Whether analyzing user paths, predicting churn, or segmenting audiences for targeted campaigns, Amplitude turns raw data into strategic advantage.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Deliver Personalization and Drive Engagement: </w:t>
      </w:r>
      <w:r>
        <w:rPr>
          <w:rFonts w:ascii="Times New Roman" w:hAnsi="Times New Roman"/>
          <w:color w:val="000000"/>
          <w:sz w:val="20"/>
        </w:rPr>
        <w:t xml:space="preserve">Amplitude empowers companies to create personalized, engaging digital experiences that resonate with their customers. By leveraging behavioral data and advanced machine learning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models, our platform enables teams to design campaigns, products, and features tailored to specific user needs. We believe these personalized experiences improve engagement, build customer loyalty, and increase lifetime value, helping businesses thrive in a customer-centric market.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Scale with Enterprise-Grade Capabilities:</w:t>
      </w:r>
      <w:r>
        <w:rPr>
          <w:color w:val="000000"/>
        </w:rPr>
        <w:t xml:space="preserve"> </w:t>
      </w:r>
      <w:r>
        <w:rPr>
          <w:rFonts w:ascii="Times New Roman" w:hAnsi="Times New Roman"/>
          <w:color w:val="000000"/>
          <w:sz w:val="20"/>
        </w:rPr>
        <w:t>Designed for organizations of all sizes, Amplitude scales to handle massive data volumes and complex user journeys. Whether they’re a startup or a global enterprise, our customers benefit from our robust infrastructure, enterprise-grade security, and seamless integration with existing tools. We believe this scalability helps Amplitude grow alongside its customers, providing reliable, high-performance digital analytics no matter the size or scope of the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Realize Tangible Business Outcomes: </w:t>
      </w:r>
      <w:r>
        <w:rPr>
          <w:rFonts w:ascii="Times New Roman" w:hAnsi="Times New Roman"/>
          <w:color w:val="000000"/>
          <w:sz w:val="20"/>
        </w:rPr>
        <w:t>From increasing conversion rates and reducing churn to shortening product development cycles, Amplitude delivers measurable results. Customers report significant improvements in revenue, efficiency, and user satisfaction after adopting our platform.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Industry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Financial Services</w:t>
      </w:r>
      <w:r>
        <w:rPr>
          <w:rFonts w:ascii="Times New Roman" w:hAnsi="Times New Roman"/>
          <w:color w:val="000000"/>
          <w:sz w:val="20"/>
        </w:rPr>
        <w:t>: Personalize the banking experience by leveraging user data to understand customer behaviors and preferences, leading to more targeted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B2B: Increase</w:t>
      </w:r>
      <w:r>
        <w:rPr>
          <w:color w:val="000000"/>
        </w:rPr>
        <w:t xml:space="preserve"> </w:t>
      </w:r>
      <w:r>
        <w:rPr>
          <w:rFonts w:ascii="Times New Roman" w:hAnsi="Times New Roman"/>
          <w:color w:val="000000"/>
          <w:sz w:val="20"/>
        </w:rPr>
        <w:t>product adoption through insights into user engagement, helping businesses refine their offerings to better meet client needs.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Media:</w:t>
      </w:r>
      <w:r>
        <w:rPr>
          <w:color w:val="000000"/>
        </w:rPr>
        <w:t xml:space="preserve"> </w:t>
      </w:r>
      <w:r>
        <w:rPr>
          <w:rFonts w:ascii="Times New Roman" w:hAnsi="Times New Roman"/>
          <w:color w:val="000000"/>
          <w:sz w:val="20"/>
        </w:rPr>
        <w:t>Identify impactful content by analyzing user interactions, helping media companies to optimize content strategies and enhance audience engagement.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Healthcare:</w:t>
      </w:r>
      <w:r>
        <w:rPr>
          <w:color w:val="000000"/>
        </w:rPr>
        <w:t xml:space="preserve"> </w:t>
      </w:r>
      <w:r>
        <w:rPr>
          <w:rFonts w:ascii="Times New Roman" w:hAnsi="Times New Roman"/>
          <w:color w:val="000000"/>
          <w:sz w:val="20"/>
        </w:rPr>
        <w:t>Improve patient engagement and outcomes by understanding user interactions with digital health platforms.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Ecommerce:</w:t>
      </w:r>
      <w:r>
        <w:rPr>
          <w:color w:val="000000"/>
        </w:rPr>
        <w:t xml:space="preserve"> </w:t>
      </w:r>
      <w:r>
        <w:rPr>
          <w:rFonts w:ascii="Times New Roman" w:hAnsi="Times New Roman"/>
          <w:color w:val="000000"/>
          <w:sz w:val="20"/>
        </w:rPr>
        <w:t>Boost sales and customer loyalty by analyzing shopping behaviors and tailoring experiences accordingly.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Case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 Active Users: </w:t>
      </w:r>
      <w:r>
        <w:rPr>
          <w:rFonts w:ascii="Times New Roman" w:hAnsi="Times New Roman"/>
          <w:color w:val="000000"/>
          <w:sz w:val="20"/>
        </w:rPr>
        <w:t>Acquire and retain users by understanding their behaviors and optimizing the user journey to encourage engagement.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Increase Customer Lifetime Value: </w:t>
      </w:r>
      <w:r>
        <w:rPr>
          <w:rFonts w:ascii="Times New Roman" w:hAnsi="Times New Roman"/>
          <w:color w:val="000000"/>
          <w:sz w:val="20"/>
        </w:rPr>
        <w:t>Enhance customer retention by delivering personalized experiences that resonate with users.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Accelerate Monetization:</w:t>
      </w:r>
      <w:r>
        <w:rPr>
          <w:color w:val="000000"/>
        </w:rPr>
        <w:t xml:space="preserve"> </w:t>
      </w:r>
      <w:r>
        <w:rPr>
          <w:rFonts w:ascii="Times New Roman" w:hAnsi="Times New Roman"/>
          <w:color w:val="000000"/>
          <w:sz w:val="20"/>
        </w:rPr>
        <w:t>Identify and leverage key behaviors that drive revenue, optimizing strategies for monetization.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Team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Product: </w:t>
      </w:r>
      <w:r>
        <w:rPr>
          <w:rFonts w:ascii="Times New Roman" w:hAnsi="Times New Roman"/>
          <w:color w:val="000000"/>
          <w:sz w:val="20"/>
        </w:rPr>
        <w:t>Empower product teams with insights to build better products and drive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Marketing:</w:t>
      </w:r>
      <w:r>
        <w:rPr>
          <w:color w:val="000000"/>
        </w:rPr>
        <w:t xml:space="preserve"> </w:t>
      </w:r>
      <w:r>
        <w:rPr>
          <w:rFonts w:ascii="Times New Roman" w:hAnsi="Times New Roman"/>
          <w:color w:val="000000"/>
          <w:sz w:val="20"/>
        </w:rPr>
        <w:t>Provide marketing teams with the tools to understand campaign performance and customer segments, driving effective strategies.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Data:</w:t>
      </w:r>
      <w:r>
        <w:rPr>
          <w:color w:val="000000"/>
        </w:rPr>
        <w:t xml:space="preserve"> </w:t>
      </w:r>
      <w:r>
        <w:rPr>
          <w:rFonts w:ascii="Times New Roman" w:hAnsi="Times New Roman"/>
          <w:color w:val="000000"/>
          <w:sz w:val="20"/>
        </w:rPr>
        <w:t>Enable data teams to manage and analyze information effectively, ensuring accuracy and accessibility.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Engineering: </w:t>
      </w:r>
      <w:r>
        <w:rPr>
          <w:rFonts w:ascii="Times New Roman" w:hAnsi="Times New Roman"/>
          <w:color w:val="000000"/>
          <w:sz w:val="20"/>
        </w:rPr>
        <w:t>Support engineering teams in implementing and maintaining robust data infrastructures.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Company Size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Startups: </w:t>
      </w:r>
      <w:r>
        <w:rPr>
          <w:rFonts w:ascii="Times New Roman" w:hAnsi="Times New Roman"/>
          <w:color w:val="000000"/>
          <w:sz w:val="20"/>
        </w:rPr>
        <w:t>Offer scalable solutions that grow with the company, providing essential insights without overwhelming resources.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Enterprise: </w:t>
      </w:r>
      <w:r>
        <w:rPr>
          <w:rFonts w:ascii="Times New Roman" w:hAnsi="Times New Roman"/>
          <w:color w:val="000000"/>
          <w:sz w:val="20"/>
        </w:rPr>
        <w:t>Deliver comprehensive analytics and data management capabilities to meet complex organizational needs.</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primarily by selling subscriptions to our Digital Analytics Platform, and reach customers through a direct sales motion, solution partners, and product-led growth initiatives. Our customers typically start out using Amplitude for a specific business use case. As they see the value of our data, insights, and actions to drive positive business outcomes, they frequently expand beyond that initial use case.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Digital Analytics Platform is applicable to businesses across industries, company size, and stage of digital maturity. We offer product packages that meet companies where they are in their digital analytics journey. And we plan to invest to capture the significant market opportunity that is out there.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rapid growth in our customer base since inception and had 3,875 paying customers and 27 of the Fortune 100 as of December 31, 2024. This demonstrates our successful traction to date, and the significant opportunity that still remains.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go-to-market motion will allow us to continue to acquire new customers and grow our customer base. Additionally, as more companies and industries continue their transformation into digital-first companies, we believe our immediate potential customer base will grow as we help these companies address their digital analytics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winning key reference accounts among industries and emerging use cases to establish ourselves as the platform of choice for the next wave of digital innovation.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are significant opportunities to continue expanding our relationships with existing customers. Our pricing model allows us to grow as our customers grow. We employ a land-and-expand business model designed to land with an initial use case and expand through onboarding additional functional teams, products, and use cases.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Promote Upsell:</w:t>
      </w:r>
      <w:r>
        <w:rPr>
          <w:color w:val="000000"/>
        </w:rPr>
        <w:t xml:space="preserve"> </w:t>
      </w:r>
      <w:r>
        <w:rPr>
          <w:rFonts w:ascii="Times New Roman" w:hAnsi="Times New Roman"/>
          <w:color w:val="000000"/>
          <w:sz w:val="20"/>
        </w:rPr>
        <w:t xml:space="preserve">Once a customer is on our platform there are many ways we can upsell. Customers can expand an initial use case by adding additional functionality to generate deeper analytics. They can also expand into additional functional teams who are looking to address a related use case or bring new digital products on our platform, both of which require additional data to be instrumented. As the strategic value of our platform grows as more data is instrumented and insights generated and shared, it becomes easier to find additional upsell opportunities across digital products, use cases, and teams.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Drive Cross-sell:</w:t>
      </w:r>
      <w:r>
        <w:rPr>
          <w:color w:val="000000"/>
        </w:rPr>
        <w:t xml:space="preserve"> </w:t>
      </w:r>
      <w:r>
        <w:rPr>
          <w:rFonts w:ascii="Times New Roman" w:hAnsi="Times New Roman"/>
          <w:color w:val="000000"/>
          <w:sz w:val="20"/>
        </w:rPr>
        <w:t>Our platform delivers end-to-end capabilities that allow our customers to expand beyond analytics and layer on additional products from our platform.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Pricing &amp; packaging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model is based on the functionality that our customers require to get the insights that they need. Naturally, different teams have different needs and requirements. Some are further along in their digital analytics journey and are looking to scale; others are just getting started. We want to put the full power of our platform into our customers’ hands, and we offer four tailored plans that make it easy to get started and grow: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Starter: </w:t>
      </w:r>
      <w:r>
        <w:rPr>
          <w:rFonts w:ascii="Times New Roman" w:hAnsi="Times New Roman"/>
          <w:color w:val="000000"/>
          <w:sz w:val="20"/>
        </w:rPr>
        <w:t>Easily discover and report on user behavior insights to make smarter product decisions.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Plus: </w:t>
      </w:r>
      <w:r>
        <w:rPr>
          <w:rFonts w:ascii="Times New Roman" w:hAnsi="Times New Roman"/>
          <w:color w:val="000000"/>
          <w:sz w:val="20"/>
        </w:rPr>
        <w:t>Answer questions, manage features, and deliver personalized experiences faster with a powerful suite of products—including add-ons like Guides and Surveys where required.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Growth: </w:t>
      </w:r>
      <w:r>
        <w:rPr>
          <w:rFonts w:ascii="Times New Roman" w:hAnsi="Times New Roman"/>
          <w:color w:val="000000"/>
          <w:sz w:val="20"/>
        </w:rPr>
        <w:t>Drive results and revenue with advanced analytics, custom metrics, and dedicated customer support.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Enterprise:</w:t>
      </w:r>
      <w:r>
        <w:rPr>
          <w:color w:val="000000"/>
        </w:rPr>
        <w:t xml:space="preserve"> </w:t>
      </w:r>
      <w:r>
        <w:rPr>
          <w:rFonts w:ascii="Times New Roman" w:hAnsi="Times New Roman"/>
          <w:color w:val="000000"/>
          <w:sz w:val="20"/>
        </w:rPr>
        <w:t>Leverage trusted data at scale with enterprise-grade security features for larger companies with complex needs and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realize that events are sometimes hard to predict, so all plans are now available based on monthly tracked users (MTUs). This makes it easier to predict usage and enable customers to pay according to their monthly unique users.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2024, subscription revenue comprised 98% of our total revenue. Our aforementioned ability to expand within our customer base is also demonstrated by our dollar-based net retention rate. As of December 31, 2024 and 2023, our dollar-based net retention rate for the trailing twelve months (“TTM”) across paying customers was 97% and 101%,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Technology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enters our platform through many sources, including our software-development kits (“SDKs”), server side, and integration with our partner systems. It then goes through the processing and cleanup stage before being stored in our behavioral graph which is a user-oriented distributed columnar data store. As explained in the platform section above, our Behavioral Graph powers the analytics, collaboration, prediction, and recommendation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a platform that can process large amounts of data and provide an interactive query/response model. Instead of building a general-purpose data storage and processing system similar to data warehouses that would require our users to know SQL and wait a long time to get answers to their analytics-oriented join-heavy queries, we have built a platform from the ground up focused on end-user behavior analysis that is optimized to ingest, process, and store data in a format and structure to power low latency query/response.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Real-time Data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underpinning of the Digital Analytics Platform is our real-time Data Management layer. This layer includes our core data platform that offers our customers a number of tools and capabilities for ingesting data, resolving identity issues, and managing customer and product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features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Structured, event-based schema. We ingest and process event data. Each event represents an interaction that an end user or device performed on our customers’ products. Event data has information about the event as well as the end user and device that has performed the event, and it follows a specific but flexible schema. As event data enters our platform, it gets ingested, sanitized, enriched, and canonicalized and is stored in an optimized format in our behavioral graph to enable low latency query/response.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Breadth and scale of digital sources. We have a number of tools and offerings, such as several client-side and server-side SDKs, APIs, and integration with customer storage systems. For example, Amazon S3 and data warehouse integrations allow us to ingest from a number of sources, including mobile applications, websites, and backend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Identity resolution for a multi-platform world. In the multi-platform world, end users interact with our customers’ products through many devices. Through continuous event streaming, our identity resolution service automatically captures one consistent view of a customer’s usage as end users log in and out, browse anonymously, and use multiple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governance and observability. With the rapid expansion of customer and product data, organizations require tools to manage the complexity and maintain trust. Our governance toolkit provides a two-pronged approach that is both proactive – through schema planning, validation and error reporting – and reactive – through retroactive data merges and schema changes. Our observability gives data leaders insights and visibility into how data is being used by their organization so they can make informed decisions about what to track.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Digital Analytics Platform is used globally by organizations of all sizes and across a vast range of industries. As of December 31, 2024 and 2023, we had 3,875 and 2,723 paying customers, respectively, representing year-over-year growth of 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increase the number of customers who have entered and grown into larger subscriptions with us. As of December 31, 2024 and 2023, we had 591 and 511 customers, respectively, that each represented greater than $100,000 in ARR, representing a 16% increase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had 42 and 39 customers, respectively, that each represented greater than $1 million in ARR, up 8% year-over-year. The number of customers representing greater than $100,000 and $1 million in ARR demonstrates the strategic importance of our platform and our ability to -land significant accounts and grow them over time.</w:t>
      </w:r>
    </w:p>
    <w:p>
      <w:pPr>
        <w:pStyle w:val="TextBody"/>
        <w:bidi w:val="0"/>
        <w:spacing w:before="36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marketing efforts focus on addressing a prospect’s initial digital analytics use case across one or more digital products or experiences. We then aim to expand those relationships over time as we deliver ongoing value and meet a greater portion of our customers’ digital analytics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a multi-pronged go-to-market strategy combining direct sales (including field and inside sales), product-led growth initiatives, and marketing initiatives to build brand awareness and generate demand. Our field sales personnel focus on attracting new customers as well as expanding usage within our existing customer base. Our sales team is supported by business and sales development professionals and solution consultants who facilitate the sales process through identifying use cases based on customer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needs, assessing requirements, addressing security and technical questions, consulting on customers’ data stacks, and finding additional expansion use cases.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meet companies wherever they are in their analytics journey, we offer a variety of free and paid plans depending on a customer’s needs.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example, we offer a free, </w:t>
      </w:r>
      <w:r>
        <w:rPr>
          <w:rFonts w:ascii="Times New Roman" w:hAnsi="Times New Roman"/>
          <w:i/>
          <w:color w:val="000000"/>
          <w:sz w:val="20"/>
        </w:rPr>
        <w:t>Starter</w:t>
      </w:r>
      <w:r>
        <w:rPr>
          <w:rFonts w:ascii="Times New Roman" w:hAnsi="Times New Roman"/>
          <w:color w:val="000000"/>
          <w:sz w:val="20"/>
        </w:rPr>
        <w:t xml:space="preserve"> plan for early-stage startups and individuals. Our self-serve Plus plan is built for growing startups and small teams who need more customization and access to feature management and Audience Activation capabilities. Our Growth plan provides access to additional capabilities, such as automated insights, experiments, guides and surveys, and audience management. And our Enterprise plan is ideal for larger organizations that have more sophisticated needs and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Professional Services team helps customers design and execute their digital analytics, product-led growth, and personalization projects. We offer our customers implementation, training, and related services to help them realize the full benefits of our Digital Analytics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work closely with our partner ecosystem to help them deploy our solutions and build our technology into their services offerings. This provides opportunities for us to increase the breadth and depth of our deployment within new and existing customers. We have numerous partners in the program,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Solutions partners:</w:t>
      </w:r>
      <w:r>
        <w:rPr>
          <w:color w:val="000000"/>
        </w:rPr>
        <w:t xml:space="preserve"> </w:t>
      </w:r>
      <w:r>
        <w:rPr>
          <w:rFonts w:ascii="Times New Roman" w:hAnsi="Times New Roman"/>
          <w:color w:val="000000"/>
          <w:sz w:val="20"/>
        </w:rPr>
        <w:t>global systems integrators, consultancies, and digital agencies that partner with Amplitude to provide business transformation strategy, best practices, and support.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Technology partners: </w:t>
      </w:r>
      <w:r>
        <w:rPr>
          <w:rFonts w:ascii="Times New Roman" w:hAnsi="Times New Roman"/>
          <w:color w:val="000000"/>
          <w:sz w:val="20"/>
        </w:rPr>
        <w:t>who integrate their software with our Digital Analytics Platform to build and deliver end-to-end enterprise technology solutions. Amplitude has dozens of technology integrations and partners across more than a dozen software categories, including marketing automation, attribution tools, data warehouses, and customer data platforms, to name a few.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marketing efforts focus on driving demand generation across all segments and across both new and existing customers, as well as raising our brand profile globally. To do this, we utilize a combination of online and offline programs such as online advertising, blogs, public relations, social media, analyst relations, educational white papers and webinars, product demos, workshops, roundtables, podcasts, and customer case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407 employees in our sales and marketing organization.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company culture enables us to achieve our mission, is a core driver of our business success, and is a significant reason why people choose to build their careers at Amplitude. We are pioneers in this field and endeavor to make product, business, and people decisions that allow us to carry out our mission while staying true to our values.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Diversity, Equity, and Inclusion (“DEI”) are rooted in the fabric of our culture. We advance our culture of belonging–in which Humility, Ownership, and Growth Mindset are at the center–by coming together to make a collective impact in our work and our communities. Through strategic initiatives and partnerships, policy development and stewardship, innovation and education, our DEI-embedded culture shapes our future to one where all employees can fully realize their potential.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Humility: </w:t>
      </w:r>
      <w:r>
        <w:rPr>
          <w:rFonts w:ascii="Times New Roman" w:hAnsi="Times New Roman"/>
          <w:color w:val="000000"/>
          <w:sz w:val="20"/>
        </w:rPr>
        <w:t>No ego—we operate from a place of empathy and openness and seek to understand many points of view.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Ownership:</w:t>
      </w:r>
      <w:r>
        <w:rPr>
          <w:color w:val="000000"/>
        </w:rPr>
        <w:t xml:space="preserve"> </w:t>
      </w:r>
      <w:r>
        <w:rPr>
          <w:rFonts w:ascii="Times New Roman" w:hAnsi="Times New Roman"/>
          <w:color w:val="000000"/>
          <w:sz w:val="20"/>
        </w:rPr>
        <w:t>We take the initiative to solve problems that drive our shared company success.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Growth Mindset: </w:t>
      </w:r>
      <w:r>
        <w:rPr>
          <w:rFonts w:ascii="Times New Roman" w:hAnsi="Times New Roman"/>
          <w:color w:val="000000"/>
          <w:sz w:val="20"/>
        </w:rPr>
        <w:t>We’re tenacious in the face of challenges and seek input in order to grow ourselves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values set the tone for how we show up with one another and our customers. We are deliberate in operationalizing our values through our selection of talent and how we reward success. We regularly recognize and celebrate those who are exemplary models of our values through our Quarterly Values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a total of 724 employees, including 172 employees located outside the United States. None of our employees is represented by a labor union or covered by collective bargaining agreements. We have not experienced any work stoppages. We consider our relationship with our employees to be good.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are focused on continued innovation, enhancing our platform features and functionalities, and expanding the services we offer to increase market penetration and deepen our relationships with our customers. We believe the timely development of new, and the enhancement of our existing platform features and services is essential to maintaining our competitive position. We continually incorporate feedback and new cases from our customers into our platform. As of December 31, 2024, we had 195 employees in our research and development organization. We intend to continue to invest in our research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capabilities to extend our platform. Research and development expenses totaled $97.6 million and $90.1 million in years ended December 31,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digital analytics is new and evolving. Businesses have used a range of point solutions built for other use cases in an effort to address their needs, none of which offer the breadth and depth of capabilities offered by our Digital Analytics Platform. However, we do compete with a number of companies, ranging from large and diversified businesses to smaller start-ups, that offer certain point solutions and functionality similar to aspects of our platform. These point solution providers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analytics point solutions such as Mixpanel, Posthog, and ContentSquare;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Experimentation vendors such as Optimizely, Statsig, and LaunchDarkly;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CDP providers such as mParticle and Twilio Segment;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Session Replay solutions such as Fullstory, Contentsquare, and Quantum Metric;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Web and marketing analytics vendors such as Adobe and Google Analytics;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Guides and Surveys vendors such as Pendo.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competitive factors for companies in our industry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Powerful and flexible infrastructure that can ingest and manage a broad variety and large volume of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Platform functionality, including speed, scale, and breadth and depth of insights;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end-user base and level of customer adoption;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Enterprise-grade technology that is secure and reliable;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Product-led growth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enable collaboration across numerous teams;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Ease of integration and deployment with existing IT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Mindshare with line of business and non-technical teams;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address a variety of evolving customer needs and use cases;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total cost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awareness and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of professional services and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Adherence to industry standards and 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basis of the factors above, we believe that we compare favorably to our competitors. However, some of our actual and potential competitors have advantages over us—such as substantially greater financial, technical, and other resources; larger sales forces and marketing budgets; greater brand recognition; broader distribution networks and global presence; longer operating histories; more established relationships with current or potential customers and commercial partners; and more mature intellectual property portfolios. They may be able to leverage these resources to gain market share and prevent potential customers from purchasing our products. Additionally, we expect the industry to attract new entrants who could compete with our business and introduce new offerings. As we scale and expand our business, we may enter new markets and encounter additional competition.</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is an important part of our business. We rely on patent, copyright, trade secret, and trademark laws, as well as confidentiality agreements, license agreements, intellectual property assignment agreements, and similar contracts, to establish and protect our proprietary rights. We maintain a policy requiring our employees, contractors, consultants, and other third parties to enter into confidentiality and proprietary rights agreements to control access to our proprietary information. However, these laws, agreements, and policies provide only limited protection, and our intellectual property rights and other proprietary rights may still be challenged, invalidated, infringed, or misappropriated in the United States and in foreign jurisdictions. The laws of certain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jurisdictions do not protect proprietary rights to the same extent as the laws of the United States, and it may therefore be difficult, impossible, or otherwise not commercially reasonable to protect our proprietary rights in certain jurisdictions. In addition, we use software components licensed from third parties under open-source software licenses, which licenses generally do not contain warranties or indemnifications from the licensors with respect to infringement, security vulnerabilities, or other issues. As a result, we would not have contractual protections if our use of the open-source software licensed from third parties infringes third-party intellectual property rights or if we encounter other issues with respect to our use of third-party open-source software. We also publicly license our SDK and certain other components to third parties pursuant to open-source licenses. The value of the software we publicly license to third parties pursuant to open-source licenses may be diminished given that such licenses grant those third parties broad rights to modify and distribute such software and could allow a competitor to more easily develop a competing product by examining our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pursue the registration of our domain names, trademarks, and service marks and pursue patent protection of our technology in the United States and in certain locations outside the United States. As of December 31, 2024, we had four issued U.S. patents and six U.S. and five foreign patent applications pending. We continually review our development efforts to assess the existence and patentability of new intellectual property, and the extension of our intellectual property rights abroad. As of December 31, 2024, we had four registered trademarks in the United States, one pending U.S. trademark, and eight registered trademarks internationally.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Data Privacy &amp;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state, federal, and foreign laws and regulations, including consumer protection laws and regulations and data breach notification laws, govern the collection, dissemination, processing, use, access to, confidentiality, and security of personal information and could apply to our operations or the operations of our partners. In addition, certain foreign laws govern the privacy and security of personal data. Many of these laws differ from each other in significant ways and may not have the same effect, thus complicating compliance efforts. Failure to comply with these laws, where applicable, can result in, among other things, the imposition of significant civil and/or criminal penalties and private litigation. Privacy and security laws, regulations, and other obligations are constantly evolving, may conflict with each other, and can result in investigations, proceedings, or actions that lead to significant civil and/or criminal penalties and restrictions on data processing.</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in the State of Delaware in November 2011 as Sonalight, Inc. and founded our Amplitude business in 2012. In December 2014, we changed our name to Amplitude, Inc. Our principal executive offices are located at 201 Third Street, Suite 200, San Francisco, California 94103. Our telephone number is (415) 231-2353 and our website address is www.amplitude.com. Information contained on, or that can be accessed through, our website is not incorporated by reference into this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Annual Report on Form 10-K, Quarterly Reports on Form 10-Q, Current Reports on Form 8-K, and amendments to these reports filed pursuant to Sections 13(a) and 15(d) of the Exchange Act are filed with the SEC. Such reports and other information filed or furnished by us with the SEC are available free of charge on our investor relations website at investors.amplitude.com, as soon as reasonably practicable after we file such material with, or furnish it to, the SEC, when such reports are available on the SEC’s website at www.sec.gov.</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0"/>
        </w:rPr>
        <w:t>Risk Factors</w:t>
      </w:r>
      <w:r>
        <w:rPr>
          <w:rFonts w:ascii="Times New Roman" w:hAnsi="Times New Roman"/>
          <w:caps/>
          <w:color w:val="000000"/>
          <w:sz w:val="20"/>
        </w:rPr>
        <w:t xml:space="preserve"> </w:t>
      </w:r>
    </w:p>
    <w:p>
      <w:pPr>
        <w:pStyle w:val="TextBody"/>
        <w:bidi w:val="0"/>
        <w:spacing w:before="0" w:after="360"/>
        <w:jc w:val="left"/>
        <w:rPr>
          <w:rFonts w:ascii="Times New Roman" w:hAnsi="Times New Roman"/>
          <w:sz w:val="20"/>
        </w:rPr>
      </w:pPr>
      <w:r>
        <w:rPr>
          <w:rFonts w:ascii="Times New Roman" w:hAnsi="Times New Roman"/>
          <w:i/>
          <w:color w:val="000000"/>
          <w:sz w:val="20"/>
        </w:rPr>
        <w:t>A description of the risks and uncertainties associated with our business is set forth below. You should carefully consider the risks and uncertainties described below, together with all of the other information in this Annual Report on Form 10-K, including our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was $299.3 million and $276.3 million for the fiscal years ended December 31, 2024 and 2023, respectively. However, you should not rely on our historical revenue growth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Annual Report on Form 10-K.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history of losses. As our costs increase, we may not be able to generate sufficient revenue to achieve and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net losses in each period since inception. We generated net losses of $94.3 million and $90.4 million for the fiscal years ended December 31, 2024 and 2023, respectively. As of December 31, 2024, we had an accumulated deficit of $457.8 million. We expect our costs and expenses to increase in future periods. In particular, we intend to continue to invest significant resources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infrastructure, including expansion of our activities in third-party data centers that we may lease, enhancements to our network operations and infrastructure, and hiring of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international expansion, in an effort to increase our customer base and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administration, including legal, accounting, and other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TextBody"/>
        <w:bidi w:val="0"/>
        <w:spacing w:before="360" w:after="120"/>
        <w:jc w:val="left"/>
        <w:rPr>
          <w:rFonts w:ascii="Times New Roman" w:hAnsi="Times New Roman"/>
          <w:sz w:val="20"/>
        </w:rPr>
      </w:pPr>
      <w:r>
        <w:rPr>
          <w:rFonts w:ascii="Times New Roman" w:hAnsi="Times New Roman"/>
          <w:b/>
          <w:i/>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demand for, or pricing of, our Digital Analytics Platform, including as a result of our introduction of new products, features, and functionality;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usage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expansion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new products, features, and functionality;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customers’ purchases;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speed with which customers are able to migrate data onto our platform after purchasing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awareness of our brand on a global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or delays in purchasing decisions in anticipation of new products, features, or functionality developed or acquired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customers’ budgets and in the timing of their budget cycles and purchasing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costs, including our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our cloud computing infrastructure, particularly the cloud services provided by Amazon Web Services (“AWS”);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and sales and marketing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non-cash expenses, including stock-based compensation, goodwill impairments, and other non-cash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and retaining and motivating existing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identify and complete, and the effects of, mergers, acquisitions, or strategic partnerships, and the ensuing integration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market, and industry conditions (including the current inflationary economic environment, rising interest rates, tariffs, and a potential recession), both domestically and internationally, as well as economic conditions specifically affecting industries in which our customers participate, and related difficulties in collections;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impact of climate change, natural disasters, health epidemics (such as the COVID-19 pandemic or similar outbreaks of disease),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accounting pronouncements;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changing laws, regulations, executive orders and enforcement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 the overall tax rate for our business, which may be affected by the mix of income we earn in the United States and in jurisdictions with comparatively lower tax rates, the effects of stock-based compensation, and the effects of changes in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tax laws or judicial or regulatory interpretations of tax laws, which are recorded in the period such laws are enacted or interpretations are issued and may significantly affect the effective tax rate of that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 and changes in the proportion of our revenue and expenses denominated in foreign currencies;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security breaches of, technical difficulties with, or interruptions to, the delivery and use of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are currently defending against a securities class action lawsuit (“Securities Class Action”) and a shareholder derivative lawsuit (“Derivative Action”), which were filed in the United States District Court for the Northern District of California. We are also currently defending against two privacy class actions and a third privacy action. See “Legal Matters” in Note 9 to our consolidated financial statements included in Part II, Item 8 of this Annual Report on Form 10-K for additional information regarding the Securities Class Action, the Derivative Action and privacy actions. We have incurred and will continue to incur significant legal costs in connection with the defense of these lawsuits and management will be required to devote significant time in managing the defense of the 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continue to focus on sales to larger organizations and may become more dependent on those relationships, which may increase the variability of our sales cycle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educate prospective customers about the uses and benefits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discretionary nature of purchasing and budget cycles and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competitive nature of evaluation and purchasing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functionality demands;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planned introductions of new products, features, or functionality by us or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lengthy purchasing approval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tariffs,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In connection with unfavorable macroeconomic conditions and the related impact on our customers, in April 2023, we authorized a restructuring plan that reduced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for SaaS applications develops more slowly than we expect or declines, our business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and if we do not compete effectively,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in-house software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integrated systems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smaller companies offering alternative SaaS applications;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or emerging entrants seeking to develop competing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this Annual Report on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properly develop, invest in, and manage AI Technologies used in our products and services, our business, financial condition, and results of operations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incorporated, and expect in the future we will continue to incorporate, machine learning and generative artificial intelligence technologies (collectively, “AI Technologies”) into our product offerings. We offer our customers a suite of AI Technologies that help them achieve data insights faster. For example, we leverage large language models (“LLMs”) in certain features to aid customers in analyzing their product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or other third parties may incorporate AI Technologies into their products more quickly or more successfully than us, which could impair our ability to compete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incorporate LLMs (i.e., AI models that can produce and output new data and information) into certain of our products and services.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Issues relating to the responsible use of our technologies, including AI Technologies in our offerings, may result in reputational or financial harm and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Concerns relating to the responsible use of new and evolving technologies, such as AI Technologies, in our products and services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effectively manage our growth and changes to our business over time,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As a result of these factors, in April 2023, we approved a restructuring plan that reduced our global workforce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 </w:t>
      </w:r>
    </w:p>
    <w:p>
      <w:pPr>
        <w:pStyle w:val="TextBody"/>
        <w:bidi w:val="0"/>
        <w:jc w:val="left"/>
        <w:rPr>
          <w:rFonts w:ascii="Times New Roman" w:hAnsi="Times New Roman"/>
          <w:b/>
          <w:i/>
          <w:color w:val="000000"/>
          <w:sz w:val="20"/>
        </w:rPr>
      </w:pPr>
      <w:r>
        <w:rPr>
          <w:rFonts w:ascii="Times New Roman" w:hAnsi="Times New Roman"/>
          <w:b/>
          <w:i/>
          <w:color w:val="000000"/>
          <w:sz w:val="20"/>
        </w:rPr>
        <w:t>Public health crises, such as pandemics or similar outbreaks, have had, and could in the future have, an adverse impact on our business and operations, and the markets and communities in which we, our partners, and customers operate, and the impact of any public health crisis is difficult to assess or predict.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business and operations, and the businesses and operations of our partners and customers, have been, and could in the future be, adversely impacted by public health crises. For example, public health measures implemented to control COVID-19’s spread and severity substantially curtailed the movement of people, goods, and services worldwide, including in regions where we and our partners and customers operate, and significantly impacted economic activity and financial markets. While we have developed, and continue to develop, strategies to help mitigate the negative effects of potential public health crises on our business and operations, such efforts may prove to be insufficient. The duration and extent of the impact of any public health crises cannot be accurately assessed or predicted at this time, and could adversely impact our business, financial condition, and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personal information (collectively, “Confidential Information”) of customers and our employees and contractors. Our platform also stores, transmits, and processes our customers’ proprietary data, including personal or identifying information of their customers or employees.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Real or perceived errors, failures, vulnerabilities or bugs in our platform could materially adversely affect our business and growth prospects.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pStyle w:val="TextBody"/>
        <w:bidi w:val="0"/>
        <w:jc w:val="left"/>
        <w:rPr>
          <w:rFonts w:ascii="Times New Roman" w:hAnsi="Times New Roman"/>
          <w:sz w:val="20"/>
        </w:rPr>
      </w:pPr>
      <w:r>
        <w:rPr>
          <w:rFonts w:ascii="Times New Roman" w:hAnsi="Times New Roman"/>
          <w:b/>
          <w:i/>
          <w:color w:val="000000"/>
          <w:sz w:val="20"/>
        </w:rPr>
        <w:t>Any failure to offer high-quality product support may adversely affect our relationships with our customers, our reputation, and our business, financial condition, and results of operations.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Incorrect or improper implementation or use of our Digital Analytics Platform could result in customer dissatisfaction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if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 </w:t>
      </w:r>
    </w:p>
    <w:p>
      <w:pPr>
        <w:pStyle w:val="TextBody"/>
        <w:bidi w:val="0"/>
        <w:jc w:val="left"/>
        <w:rPr>
          <w:rFonts w:ascii="Times New Roman" w:hAnsi="Times New Roman"/>
          <w:sz w:val="20"/>
        </w:rPr>
      </w:pPr>
      <w:r>
        <w:rPr>
          <w:rFonts w:ascii="Times New Roman" w:hAnsi="Times New Roman"/>
          <w:b/>
          <w:i/>
          <w:color w:val="000000"/>
          <w:sz w:val="20"/>
        </w:rPr>
        <w:t>We do not have the history with our subscription or pricing models necessary to accurately predict optimal pricing necessary to attract new customers and retain existing customers.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until future periods. Moreover, larger organizations may demand price concessions. As a result, in the future we may be required to reduce our prices, which could materially adversely affect our business,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 </w:t>
      </w:r>
    </w:p>
    <w:p>
      <w:pPr>
        <w:pStyle w:val="TextBody"/>
        <w:bidi w:val="0"/>
        <w:jc w:val="left"/>
        <w:rPr>
          <w:rFonts w:ascii="Times New Roman" w:hAnsi="Times New Roman"/>
          <w:sz w:val="20"/>
        </w:rPr>
      </w:pPr>
      <w:r>
        <w:rPr>
          <w:rFonts w:ascii="Times New Roman" w:hAnsi="Times New Roman"/>
          <w:b/>
          <w:i/>
          <w:color w:val="000000"/>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 </w:t>
      </w:r>
    </w:p>
    <w:p>
      <w:pPr>
        <w:pStyle w:val="TextBody"/>
        <w:bidi w:val="0"/>
        <w:jc w:val="left"/>
        <w:rPr>
          <w:rFonts w:ascii="Times New Roman" w:hAnsi="Times New Roman"/>
          <w:sz w:val="20"/>
        </w:rPr>
      </w:pPr>
      <w:r>
        <w:rPr>
          <w:rFonts w:ascii="Times New Roman" w:hAnsi="Times New Roman"/>
          <w:b/>
          <w:i/>
          <w:color w:val="000000"/>
          <w:sz w:val="20"/>
        </w:rPr>
        <w:t>If our marketing strategies are not effective in attracting new customers and retaining existing customers, our business and ability to grow our revenues would be harmed.</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pStyle w:val="TextBody"/>
        <w:bidi w:val="0"/>
        <w:spacing w:before="240" w:after="283"/>
        <w:jc w:val="left"/>
        <w:rPr>
          <w:rFonts w:ascii="Times New Roman" w:hAnsi="Times New Roman"/>
          <w:sz w:val="20"/>
        </w:rPr>
      </w:pPr>
      <w:r>
        <w:rPr>
          <w:rFonts w:ascii="Times New Roman" w:hAnsi="Times New Roman"/>
          <w:b/>
          <w:i/>
          <w:color w:val="000000"/>
          <w:sz w:val="20"/>
        </w:rPr>
        <w:t>Sales efforts to larger organizations involve risks that may not be present or that are present to a lesser extent with respect to sales to smaller organizations.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maintain and enhance our brand, our business, financial condition, and results of operations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the market perception of our Digital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operations are international in scope, and we plan further geographic expansion, creating a variety of operational challenges.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For the years ended December 31, 2024 and 2023, 40%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future international business and operations involve a variety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slower than anticipated public cloud adoption by international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which may be unexpected, in a specific country’s or region’s political, economic, or legal and regulatory environment, including Brexit, armed conflicts, pandemics, terrorist activities, tariffs, trade wars, or long-term environmental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adapt and localize our Digital Analytics Platform for specific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payment cycles and greater difficulty enforcing contracts, collecting accounts receivable, or satisfying revenue recognition criteria, especially in emerging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evolving, and more stringent regulations relating to privacy and data security and the unauthorized use of, or access to, commercial and personal information, particularly in Europe;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potentially more onerous labor regulations, especially in Europe, where labor laws are generally more advantageous to employees as compared to the United States, including deemed hourly wage and overtime regulations in these locations;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a business in new markets with diverse cultures, languages, customs, legal systems, alternative dispute systems, and regulatory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travel, real estate, infrastructure, and legal compliance costs associated with international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exchange rate fluctuations and the resulting effect on our revenue and expenses, and the cost and risk of entering into hedging transactions if we choose to do so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ability to reinvest earnings from operations in one country to fund the capital needs of our operations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business practices favoring local competitors or general market preferences for local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or insufficient intellectual property protection or difficulties obtaining, maintaining, protecting, or enforcing our intellectual property rights, including our trademarks and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or preferences for domestic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technical standards, existing or future regulatory and certification requirements, and required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privacy and data security, including the E.U. General Data Protection Regulation (“GDPR”) and similar laws and regulations in other jurisdictions;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taxation, and regulations, adverse tax burdens, and foreign exchange controls that could make it difficult to repatriate earnings and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invest substantial time and resources to further expand our international operations and are unable to do so successfully and in a timely manner, our business, financial condition, and results of operations could be materially adversely affected.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war in Ukraine could materially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Annual Report on Form 10-K.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derive, and expect to continue for some time to derive, substantially all of our revenue from our Amplitude Analytics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released our Amplitude CDP, Amplitude Experiment, Amplitude Session Replay, Warehouse Native Amplitude, and Guides and Surveys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For the years ended December 31, 2024 and 2023, our research and development expenses were 33% of our revenue.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bidi w:val="0"/>
        <w:jc w:val="left"/>
        <w:rPr>
          <w:rFonts w:ascii="Times New Roman" w:hAnsi="Times New Roman"/>
          <w:sz w:val="20"/>
        </w:rPr>
      </w:pPr>
      <w:r>
        <w:rPr>
          <w:rFonts w:ascii="Times New Roman" w:hAnsi="Times New Roman"/>
          <w:b/>
          <w:i/>
          <w:color w:val="000000"/>
          <w:sz w:val="20"/>
        </w:rPr>
        <w:t>We agree to indemnify customers and other third parties, which exposes us to substantial potential liability.</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obtain patents and other intellectual property rights for important innovations or maintain appropriate confidentiality and other protective measures to establish and maintain our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and evolution of, legal standards relating to the validity, enforceability, and scope of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invalidation of our intellectual property rights through administrative processes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by us to detect infringement or other misappropriation of our intellectual property rights by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practical, resource, or business limitations on our ability to enforce our rights.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 </w:t>
      </w:r>
    </w:p>
    <w:p>
      <w:pPr>
        <w:pStyle w:val="TextBody"/>
        <w:bidi w:val="0"/>
        <w:jc w:val="left"/>
        <w:rPr>
          <w:rFonts w:ascii="Times New Roman" w:hAnsi="Times New Roman"/>
          <w:sz w:val="20"/>
        </w:rPr>
      </w:pPr>
      <w:r>
        <w:rPr>
          <w:rFonts w:ascii="Times New Roman" w:hAnsi="Times New Roman"/>
          <w:b/>
          <w:i/>
          <w:color w:val="000000"/>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intellectual property litigation to which we become a party may require us to do one or more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selling, licensing, or using products or features that incorporate the intellectual property rights that we allegedly infringe, misappropriate, or violate;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substantial payments for legal fees, settlement payments, subscription fee refunds, or other costs or damages, including indemnification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or enter into a royalty agreement, either of which may not be available on reasonable terms or at all, in order to obtain the right to sell or use the relevant intellectual property;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the allegedly infringing products to avoid infringement, misappropriation, or violation, which could be costly, time-consuming, or impossible.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Our use of “open-source” software could negatively affect our ability to sell our platform and subject us to possible litigation.</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Regulatory Compliance and Legal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subject to government regulation, including import, export control, economic sanctions, and trade sanctions, and anti-corruption laws and regulations, which may expose us to liability and increase our costs.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jc w:val="both"/>
        <w:rPr>
          <w:rFonts w:ascii="Times New Roman" w:hAnsi="Times New Roman"/>
          <w:color w:val="000000"/>
          <w:sz w:val="20"/>
        </w:rPr>
      </w:pPr>
      <w:r>
        <w:rPr>
          <w:rFonts w:ascii="Times New Roman" w:hAnsi="Times New Roman"/>
          <w:color w:val="000000"/>
          <w:sz w:val="20"/>
        </w:rPr>
        <w:t xml:space="preserve">Already, certain existing legal regimes (e.g., relating to data privacy) regulate certain aspects of AI Technologies, and new laws regulating AI Technologies either entered into force in the United States and the EU in 2024 or are expected to enter into force in 2025. 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is currently in the process of finalizing regulations under the California Consumer Privacy Act of 2018, as amended by the California Privacy Rights Act (collectively, the “CCPA”) regarding the use of automated decision-making. California also enacted seventeen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w:t>
      </w:r>
    </w:p>
    <w:p>
      <w:pPr>
        <w:pStyle w:val="TextBody"/>
        <w:bidi w:val="0"/>
        <w:jc w:val="both"/>
        <w:rPr>
          <w:rFonts w:ascii="Times New Roman" w:hAnsi="Times New Roman"/>
          <w:color w:val="000000"/>
          <w:sz w:val="20"/>
        </w:rPr>
      </w:pPr>
      <w:r>
        <w:rPr>
          <w:rFonts w:ascii="Times New Roman" w:hAnsi="Times New Roman"/>
          <w:color w:val="000000"/>
          <w:sz w:val="20"/>
        </w:rPr>
        <w:t>In Europe, on May 21, 2024, the European Union legislators approved the EU Artificial Intelligence Act (the “EU AI Act”), which establishes a comprehensive, risk-based governance framework for AI in the EU market. The EU AI Act is expected to enter into force on August 1, 2024, and the majority of the substantive requirements will apply two years later. The EU AI Act will apply to companies that develop, use and/or provide AI in the EU and includes requirements around transparency, conformity assessments and monitoring, risk assessments, human oversight, security, accuracy, general purpose AI and foundation models, and proposes fines for breach of up to 7% of worldwide annual turnover. In addition, on September 28, 2022, the European Commission proposed two Directives seeking to establish a harmonized civil liability regime for AI in the EU, in order to facilitate civil claims in respect of harm caused by AI and to include AI-enabled products within the scope of the EU’s existing strict product liability regime. Once fully applicable, the EU AI Act and the Liability Directives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 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sanctions, export controls, and similar measures targeting Russia and other countries and territories, as well as other responses to Russia’s invasion of Ukraine.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on some of the largest state-owned and private Russian financial institutions (and their subsequent removal from the Society for Worldwide Interbank Financial Telecommunication payment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Russian and Belarusian individuals, including the Russian President, other politicians, and those with government connections or involvement in Russian military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certain Russian businessmen and their businesses, some of which have significant financial and trade ties to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sectoral sanctions in various sectors of the Russian and Belarusian economies and the defense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U.K. sanctions introducing restrictions on providing loans to, and dealing in securities issued by, persons connected with Russia;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access to the financial and capital markets in the European Union, as well as prohibitions on aircraft leasing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sanctions prohibiting most commercial activities of U.S., U.K., and E.U. persons in the so-called People’s Republic of Donetsk and the so-called People’s Republic of Luhansk (and, with respect to the European Union, the areas of Kherson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Zaporizhzhia not controlled by the Ukrainian government), with all of these new restrictions largely tracking prior prohibitions relating to Crimea and Sevastopol;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closure of airspace to Russian aircraft;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oil, liquefied natural gas, and coal to the United States and on “new investment” in Russia’s energy sector (often with similar bans being enacted in the United Kingdom and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fish, seafood, and preparations thereof, alcoholic beverages, non-industrial diamonds, and gold to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ban on “new investment” in the Russian Federation by a U.S. person, which may be interpreted broadly (with a similar prohibition also enacted by the United Kingdom);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the provision of certain professional services, including accounting, trust and corporate formation, auditing, and management consulting services, and information technology and software services, among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bans on the provision of services related to the worldwide maritime transportation of seaborne Russian oil, if purchased above a specific price cap.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 As a result, we have experienced a decrease in revenue since September 12, 2024 as well as additional bad debts due to changes in our ability to collect open receivables from customers that have had service disruptions caused by this determination.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continuing to be proposed at the state and federal level, reflecting a trend toward more stringent privacy legislation in the United States. The enactment of such laws may have potentially conflicting requirements that would make compliance challenging.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Any future litigation against us could be costly and time-consuming to defend.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Tax and Accounting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face exposure to foreign currency exchange rate fluctuations.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t>
      </w:r>
    </w:p>
    <w:p>
      <w:pPr>
        <w:pStyle w:val="TextBody"/>
        <w:bidi w:val="0"/>
        <w:jc w:val="left"/>
        <w:rPr>
          <w:rFonts w:ascii="Times New Roman" w:hAnsi="Times New Roman"/>
          <w:sz w:val="20"/>
        </w:rPr>
      </w:pPr>
      <w:r>
        <w:rPr>
          <w:rFonts w:ascii="Times New Roman" w:hAnsi="Times New Roman"/>
          <w:b/>
          <w:i/>
          <w:color w:val="000000"/>
          <w:sz w:val="20"/>
        </w:rPr>
        <w:t>Our global operations and structure subject us to potentially adverse tax consequences.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Our ability to use our net operating loss carryforwards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2023 and have determined that none of our NOLs generated through December 31, 2023 will expire solely due to Section 382 limitations caused by ownership changes prior to December 31, 2023. We are in the process of updating our Section 382 study through December 31, 2024. However, we may have experienced ownership changes after December 31, 2023,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in our effective tax rate or tax liability may have a material adverse effect on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materially affect our financial results in the period or periods in which such outcome is determined.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could increase due to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relative amounts of income before taxes in the various jurisdictions in which we operate that have differing statutory tax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tax treaties, and regulations or the interpretation of them, such as the Tax Cuts and Jobs Act, the CARES Act, and the Inflation Reduction 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current and future tax audits, examinations, or administrative appeals;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developments could materially adversely affect our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An increasing number of states have considered or adopted laws that attempt to impose tax collection obligations on out-of-state companies. Additionally, the Supreme Court of the United States ruled in </w:t>
      </w:r>
      <w:r>
        <w:rPr>
          <w:rFonts w:ascii="Times New Roman" w:hAnsi="Times New Roman"/>
          <w:i/>
          <w:color w:val="000000"/>
          <w:sz w:val="20"/>
        </w:rPr>
        <w:t xml:space="preserve">South Dakota v. Wayfair, Inc. et al. </w:t>
      </w:r>
      <w:r>
        <w:rPr>
          <w:rFonts w:ascii="Times New Roman" w:hAnsi="Times New Roman"/>
          <w:color w:val="000000"/>
          <w:sz w:val="20"/>
        </w:rPr>
        <w:t>(“</w:t>
      </w:r>
      <w:r>
        <w:rPr>
          <w:rFonts w:ascii="Times New Roman" w:hAnsi="Times New Roman"/>
          <w:i/>
          <w:color w:val="000000"/>
          <w:sz w:val="20"/>
        </w:rPr>
        <w:t>Wayfair</w:t>
      </w:r>
      <w:r>
        <w:rPr>
          <w:rFonts w:ascii="Times New Roman" w:hAnsi="Times New Roman"/>
          <w:color w:val="000000"/>
          <w:sz w:val="20"/>
        </w:rPr>
        <w:t xml:space="preserve">”), that online sellers can be required to collect sales and use tax despite not having a physical presence in the buyer’s state. In response to </w:t>
      </w:r>
      <w:r>
        <w:rPr>
          <w:rFonts w:ascii="Times New Roman" w:hAnsi="Times New Roman"/>
          <w:i/>
          <w:color w:val="000000"/>
          <w:sz w:val="20"/>
        </w:rPr>
        <w:t>Wayfair</w:t>
      </w:r>
      <w:r>
        <w:rPr>
          <w:rFonts w:ascii="Times New Roman" w:hAnsi="Times New Roman"/>
          <w:color w:val="000000"/>
          <w:sz w:val="20"/>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reported financial results may be adversely affected by changes in accounting principles generally accepted in the United States.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 </w:t>
      </w:r>
    </w:p>
    <w:p>
      <w:pPr>
        <w:pStyle w:val="TextBody"/>
        <w:bidi w:val="0"/>
        <w:jc w:val="left"/>
        <w:rPr>
          <w:rFonts w:ascii="Times New Roman" w:hAnsi="Times New Roman"/>
          <w:sz w:val="20"/>
        </w:rPr>
      </w:pPr>
      <w:r>
        <w:rPr>
          <w:rFonts w:ascii="Times New Roman" w:hAnsi="Times New Roman"/>
          <w:b/>
          <w:i/>
          <w:color w:val="000000"/>
          <w:sz w:val="20"/>
        </w:rPr>
        <w:t>If our estimates or judgments relating to our critical accounting policies prove to be incorrect, our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goodwill or intangible assets become impaired, we may be required to record a significant charge to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 </w:t>
      </w:r>
    </w:p>
    <w:p>
      <w:pPr>
        <w:pStyle w:val="TextBody"/>
        <w:bidi w:val="0"/>
        <w:spacing w:before="360" w:after="120"/>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The trading price of our Class A common stock has been, and in the future, may be, volatile, and could decline significantly and rapidly.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fluctuated and may in the future fluctuate substantially in response to numerous factors in addition to the ones described in the preceding risk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results of operations, or operating metrics and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pricing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or growth rate of our addressable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acquisitions, or new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data breaches, disruptions to, or other incidents involving,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board of directors, senior management, or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Class A common stock made available for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economic slowdowns, recessions, inflationary pressures, rising interest rates, financial market fluctuations, and 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war or armed conflicts (including those in Ukraine and the Middle East), incidents of terrorism, pandemics, elections, or responses to these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investors or securities analysts view our stock structure unfavorably, particularly our dual class structure and the concentrated voting control of our executive officers, directors, and their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have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Annual Report on Form 10-K,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In addition, while we do not expect to issue any additional shares of Class B common stock, any future issuances of Class B common stock would be dilutive to holders of Class A common stock. </w:t>
      </w:r>
    </w:p>
    <w:p>
      <w:pPr>
        <w:pStyle w:val="TextBody"/>
        <w:bidi w:val="0"/>
        <w:jc w:val="left"/>
        <w:rPr>
          <w:rFonts w:ascii="Times New Roman" w:hAnsi="Times New Roman"/>
          <w:sz w:val="20"/>
        </w:rPr>
      </w:pPr>
      <w:r>
        <w:rPr>
          <w:rFonts w:ascii="Times New Roman" w:hAnsi="Times New Roman"/>
          <w:b/>
          <w:i/>
          <w:color w:val="000000"/>
          <w:sz w:val="20"/>
        </w:rPr>
        <w:t>We cannot predict the impact our dual class structure may have on the trading price of our Class A common stock.</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 </w:t>
      </w:r>
    </w:p>
    <w:p>
      <w:pPr>
        <w:pStyle w:val="TextBody"/>
        <w:bidi w:val="0"/>
        <w:jc w:val="left"/>
        <w:rPr>
          <w:rFonts w:ascii="Times New Roman" w:hAnsi="Times New Roman"/>
          <w:sz w:val="20"/>
        </w:rPr>
      </w:pPr>
      <w:r>
        <w:rPr>
          <w:rFonts w:ascii="Times New Roman" w:hAnsi="Times New Roman"/>
          <w:b/>
          <w:i/>
          <w:color w:val="000000"/>
          <w:sz w:val="20"/>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securityholders are subject to any contractual lock-up or other contractual restriction on the transfer or sale of their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assuming the availability of certain public information about us, (i) non-affiliates who have beneficially owned our common stock for at least six months may rely on Rule 144 to sell their shares of common stock, and (ii) our directors, executive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officers, and other affiliates who have beneficially owned our common stock for at least six months will be entitled to sell their shares of our Class A common stock subject to volume and other limitations under Rule 144 and various vesting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have filed registration statements to register all shares subject to options and restricted stock units (“RSU”) outstanding or reserved for future issuance under our equity compensation plans. As of December 31, 2024, we had options outstanding that, if fully exercised, would result in the issuance of 11,501,725 shares of Class A common stock, as well as 13,519,769 shares of Class A common stock subject to RSUs.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these shares will be able to be freely sold in the public market upon issuance, subject to applicable vesting requirements and compliance by affiliates with Rule 144.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w:t>
      </w:r>
    </w:p>
    <w:p>
      <w:pPr>
        <w:pStyle w:val="TextBody"/>
        <w:bidi w:val="0"/>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only be removed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w:t>
      </w:r>
      <w:r>
        <w:rPr>
          <w:rFonts w:ascii="Times New Roman" w:hAnsi="Times New Roman"/>
          <w:color w:val="000000"/>
          <w:sz w:val="20"/>
        </w:rPr>
        <w:t xml:space="preserve"> </w:t>
      </w:r>
      <w:r>
        <w:rPr>
          <w:rFonts w:ascii="Times New Roman" w:hAnsi="Times New Roman"/>
          <w:b/>
          <w:i/>
          <w:color w:val="000000"/>
          <w:sz w:val="20"/>
        </w:rPr>
        <w:t>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provide that we will indemnify our directors and officers, in each case to the fullest extent permitted by Delaware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permitted by Section 145 of the Delaware General Corporation Law, our amended and restated bylaws and indemnification agreements that we have entered into with our directors and officers provide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retroactively amend our amended and restated bylaws to reduce our indemnification obligations to directors, officers, employees, and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inability to attract and retain highly skilled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the business, regulatory, or political climate in the San Francisco Bay Area could adversely affect our operations.</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in laws and regulations related to the internet or changes in the internet infrastructure itself may diminish the demand for our Digital Analytics Platform, and could harm our business.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 </w:t>
      </w:r>
    </w:p>
    <w:p>
      <w:pPr>
        <w:pStyle w:val="TextBody"/>
        <w:bidi w:val="0"/>
        <w:spacing w:before="0" w:after="120"/>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 </w:t>
      </w:r>
    </w:p>
    <w:p>
      <w:pPr>
        <w:pStyle w:val="TextBody"/>
        <w:bidi w:val="0"/>
        <w:jc w:val="left"/>
        <w:rPr>
          <w:rFonts w:ascii="Times New Roman" w:hAnsi="Times New Roman"/>
          <w:sz w:val="20"/>
        </w:rPr>
      </w:pPr>
      <w:r>
        <w:rPr>
          <w:rFonts w:ascii="Times New Roman" w:hAnsi="Times New Roman"/>
          <w:b/>
          <w:i/>
          <w:color w:val="000000"/>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Our business could be disrupted by catastrophic occurrences and similar events.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As we grow our business, the need for business continuity planning, incident response planning, and disaster recovery plans will grow in significance. If we are unable to develop adequate plans to ensure that our business functions continue to operate during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after a disaster, and successfully execute on those plans in the event of a disaster or emergency, our business and reputation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pStyle w:val="TextBody"/>
        <w:bidi w:val="0"/>
        <w:spacing w:before="360" w:after="120"/>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bookmarkStart w:id="6" w:name="item_1b_unresolved_comments"/>
      <w:bookmarkEnd w:id="6"/>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7" w:name="item_1c_cyber"/>
      <w:bookmarkEnd w:id="7"/>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Cybersecurity 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and implemented a cybersecurity risk management program intended to protect the confidentiality, integrity, and availability of our critical systems and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 and assess our program based on industry-standard frameworks, such as the National Institute of Standards and Technology Cybersecurity Framework (“NIST CSF”), SOC2, ISO 27000, and ISO 27018. This does not imply that we meet any particular technical standards, specifications, or requirements, only that we use these frameworks as a guide to help us identify, assess, and manage cybersecurity risks relevant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program is part of our overall risk management program and shares similar governance processes and reporting channels that apply across the risk management program to financial, legal, compliance, and other operational risk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elements of our cybersecurity risk management program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assessments designed to help identify material risks from cybersecurity threats to our critical systems, and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team principally responsible for managing (i) our cybersecurity risk assessment processes, (ii) our security controls, and (iii) our response to cybersecurity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external service providers, where appropriate, to assess, test or otherwise assist with aspects of our security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awareness training of our employees, including incident response personnel, and senior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incident response plan that includes procedures for responding to cybersecurity incidents;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third-party risk management process for key service providers based on our assessment of their criticality to our operations and respective risk profile, suppliers, and vendors who have access to our critical systems and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Factor—Risks Related to Our Business Operations and Industry—If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Cybersecurity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considers cybersecurity risk as part of its risk oversight function and established a dedicated Cybersecurity Committee of the Board in July 2024 to oversee cybersecurity risks, including management’s implementation of our cybersecurity risk management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Cybersecurity Committee meets at least twice annually with management to review our cybersecurity risks and cyber risk management program, and periodically reports to the Board on its activity. In addition, management updates the Cybersecurity Committee and Board, where it deems appropriate, regarding any cybersecurity incidents it considers to be significant or potentially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is responsible for assessing and managing our material risks from cybersecurity threats. Our Chief Engineering Officer and acting Chief Information Security Officer, Wade Chambers, reports to our Chief Executive Officer, and is primarily responsible for our overall cybersecurity risk management program and supervises both our internal cybersecurity personnel and our retained external cybersecurity consultants. Mr. Chambers previously served as the Chief Technology Officer and SVP of Engineering at Included Health. He also led engineering at Twitter, TellApart, Proofpoint, Yahoo, Opsware, and Netscape. 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pStyle w:val="TextBody"/>
        <w:bidi w:val="0"/>
        <w:spacing w:before="360" w:after="283"/>
        <w:jc w:val="left"/>
        <w:rPr>
          <w:rFonts w:ascii="Times New Roman" w:hAnsi="Times New Roman"/>
          <w:sz w:val="20"/>
        </w:rPr>
      </w:pPr>
      <w:bookmarkStart w:id="8" w:name="item_2_properties"/>
      <w:bookmarkEnd w:id="8"/>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 is located in San Francisco and consists of approximately 57,530 square feet of space under a sublease that expires on September 30, 2025. We also lease six additional offices in Amsterdam, Paris, Singapore, London, Vancouver, and New York. We lease all of our facilities and do not own any real property. We may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“Legal Matters” in Note 9 to our consolidated financial statements included in Part II, Item 8 of this Annual Report on Form 10-K.</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00" w:after="283"/>
        <w:jc w:val="left"/>
        <w:rPr>
          <w:rFonts w:ascii="Times New Roman" w:hAnsi="Times New Roman"/>
          <w:b/>
          <w:color w:val="000000"/>
          <w:sz w:val="20"/>
        </w:rPr>
      </w:pPr>
      <w:bookmarkStart w:id="11" w:name="item_5_market_for_registrants_common_eq"/>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A common stock has been traded on the Nasdaq Capital Market under the symbol “AMPL” since September 28, 2021. Prior to that date, there was no public trading market for our Class A common stock. Our Class B common stock is neither listed nor publicly traded.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13, 2025, there were 31 holders of record of our Class A common stock and 28 holders of record of our Class B common stock. The actual number of stockholders is greater than the number of holders of record and includes stockholders who are beneficial owners but whose shares are held in street name by brokers and other nominees.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do not expect to declare or pay any cash dividends in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section titled “Security Ownership of Certain Beneficial Owners and Management and Related Stockholder Matters” for information regarding securities authorized for issuance.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 compares (i) the cumulative total stockholder return on our Class A common stock from September 28, 2021 (the date our Class A common stock commenced trading on the Nasdaq Capital Market) through December 31, 2024 with (ii) the cumulative total return of the Nasdaq Composite Index and the Nasdaq Emerging Cloud Index over the same period, assuming the investment of $100 in our Class A common stock and in both of the other indices on September 28, 2021 and the reinvestment of dividends. The graph uses the beginning market price on September 28, 2021 of $50 per share as the initial value of our Class A common stock. As discussed above, we have never declared or paid a cash dividend on our Class A common stock and do not anticipate declaring or paying a cash dividend in the foreseeable future.</w:t>
      </w:r>
    </w:p>
    <w:p>
      <w:pPr>
        <w:pStyle w:val="TextBody"/>
        <w:bidi w:val="0"/>
        <w:spacing w:before="240" w:after="283"/>
        <w:jc w:val="center"/>
        <w:rPr/>
      </w:pPr>
      <w:r>
        <w:rPr/>
        <w:drawing>
          <wp:inline distT="0" distB="0" distL="0" distR="0">
            <wp:extent cx="5895975" cy="3533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95975" cy="3533775"/>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spacing w:before="160" w:after="283"/>
        <w:jc w:val="left"/>
        <w:rPr>
          <w:rFonts w:ascii="Times New Roman" w:hAnsi="Times New Roman"/>
          <w:sz w:val="20"/>
        </w:rPr>
      </w:pPr>
      <w:bookmarkStart w:id="12" w:name="item_6_reserved"/>
      <w:bookmarkEnd w:id="1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[Reserved.]</w:t>
      </w:r>
    </w:p>
    <w:p>
      <w:pPr>
        <w:pStyle w:val="TextBody"/>
        <w:bidi w:val="0"/>
        <w:spacing w:before="360" w:after="283"/>
        <w:jc w:val="left"/>
        <w:rPr>
          <w:rFonts w:ascii="Times New Roman" w:hAnsi="Times New Roman"/>
          <w:sz w:val="20"/>
        </w:rPr>
      </w:pPr>
      <w:bookmarkStart w:id="13" w:name="item_7_managements_discussion_and_analy"/>
      <w:bookmarkEnd w:id="13"/>
      <w:r>
        <w:rPr>
          <w:rFonts w:ascii="Times New Roman" w:hAnsi="Times New Roman"/>
          <w:b/>
          <w:color w:val="000000"/>
          <w:sz w:val="20"/>
        </w:rPr>
        <w:t>Item 7.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included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 Item 1A in this Annual Report on Form 10-K. Our fiscal year ends December 31.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Unless the context otherwise requires, all references in this report to “Amplitude,” the “Company,” “we,” “our,” “us,” or similar terms refer to Amplitude, Inc. and its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Amplitude is a leading Digital Analytics Platform that helps businesses understand how people are using their products so they can build amazing digital experiences that increase acquisition, monetization and retention - and drive revenue growth. We work with more than 3,800 paying customers of various sizes and stages of digital maturity, across many industries, including the teams behind some of the most-beloved digital products in the world. We have experienced significant growth in recent years, with approximately 725 employees in seven global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and reconstructed user visits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experienced significant growth in recent years driven by the rapid adoption of our Digital Analytics Platform by our global, diversified base of 3,875 paying customers as of December 31, 2024. Our customers span across industries and sizes, from the leading digital innovators to those earlier in their digital transformation journey. For the years ended December 31, 2024 and 2023, our revenue was $299.3 million and $276.3 million, respectively, representing year-over-year growth of 8%. For the years ended December 31, 2024 and 2023, our net loss was $94.3 million and $90.4 million, respectively. For the years ended December 31, 2024 and 2023, our net cash provided by operating activities was $18.5 million and $25.6 million, respectively, and our free cash flow was $11.7 million and $22.4 million,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through selling subscriptions to our platform. We reach customers through a direct sales motion, solution partners, and product-led growth initiatives, including subscription plans to meet the needs of a diverse range of companies. For the year ended December 31, 2024, subscription revenue comprised 98% of our total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typically start out using our platform for a specific business use case. As they see the value of our data, insights, and actions to drive positive business outcomes, they frequently expand beyond that initial use case. Examples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data, users or new functionality to meet the needs of teams across the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Using our platform for additional digital products in their portfolio and empowering the teams responsible for them (product, marketing, engineering, and analytics);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Layering additional offerings onto core Analytics to power new capabilities and drive additional business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pricing model is based on the platform functionality that our customers require to get the insights that they need and our customers commit to a certain volume of events or monthly tracked users ("MTUs"). An event could be any action that a user takes in a digital product, such as ‘Create account’, ‘Add to cart’, or ‘Share photo’. Events can also be actions that occur in a product without user action, such as ‘Verification completed’. Customers have the flexibility to choose the events sent to our platform and can also attach custom properties to an event to enable greater insight on the digital product end user. An MTU is a unique user who triggers one or more events within a calendar month.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been effective in helping our customers to gauge the proper event volume or MTUs to contract to ensure that they maximize their investment in our platform. In situations where customers exceed their committed volume in a given period, they incur overage charges that we have the contractual right to bill at our discretion. Depending on the circumstances, we often use this as an opportunity to renegotiate a customer contract to ensure they have the right contracted volume to meet their business objectives. Historically, overage charges have not made up a significant portion of our revenue. In many cases, customers will proactively expand their contract within the contract term, generally increasing event or MTU volume and platform capabilities to expand existing or address new use cases. Substantially all of our sales led customer contracts have a subscription period of one year or longer. In the fiscal year ended December 31, 2024, we billed a majority of these contracts annually in advance with the remainder billed quarterly, semi-annually, or monthly.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offer a variety of free and paid plans depending on our customers’ needs wherever they are in their analytics journey. For example, we offer a </w:t>
      </w:r>
      <w:r>
        <w:rPr>
          <w:rFonts w:ascii="Times New Roman" w:hAnsi="Times New Roman"/>
          <w:i/>
          <w:color w:val="000000"/>
          <w:sz w:val="20"/>
        </w:rPr>
        <w:t xml:space="preserve">Free </w:t>
      </w:r>
      <w:r>
        <w:rPr>
          <w:rFonts w:ascii="Times New Roman" w:hAnsi="Times New Roman"/>
          <w:color w:val="000000"/>
          <w:sz w:val="20"/>
        </w:rPr>
        <w:t xml:space="preserve">plan for early-stage startups and individuals. Our self-serve </w:t>
      </w:r>
      <w:r>
        <w:rPr>
          <w:rFonts w:ascii="Times New Roman" w:hAnsi="Times New Roman"/>
          <w:i/>
          <w:color w:val="000000"/>
          <w:sz w:val="20"/>
        </w:rPr>
        <w:t xml:space="preserve">Plus </w:t>
      </w:r>
      <w:r>
        <w:rPr>
          <w:rFonts w:ascii="Times New Roman" w:hAnsi="Times New Roman"/>
          <w:color w:val="000000"/>
          <w:sz w:val="20"/>
        </w:rPr>
        <w:t xml:space="preserve">plan is built for growing startups and small teams who need more customization and access to feature management capabilities. Our </w:t>
      </w:r>
      <w:r>
        <w:rPr>
          <w:rFonts w:ascii="Times New Roman" w:hAnsi="Times New Roman"/>
          <w:i/>
          <w:color w:val="000000"/>
          <w:sz w:val="20"/>
        </w:rPr>
        <w:t xml:space="preserve">Growth </w:t>
      </w:r>
      <w:r>
        <w:rPr>
          <w:rFonts w:ascii="Times New Roman" w:hAnsi="Times New Roman"/>
          <w:color w:val="000000"/>
          <w:sz w:val="20"/>
        </w:rPr>
        <w:t xml:space="preserve">plan provides access to additional capabilities, such as automated insights, experiments, and audience management. Users also get access to dedicated customer support to further maximize the value from our platform. And our </w:t>
      </w:r>
      <w:r>
        <w:rPr>
          <w:rFonts w:ascii="Times New Roman" w:hAnsi="Times New Roman"/>
          <w:i/>
          <w:color w:val="000000"/>
          <w:sz w:val="20"/>
        </w:rPr>
        <w:t xml:space="preserve">Enterprise </w:t>
      </w:r>
      <w:r>
        <w:rPr>
          <w:rFonts w:ascii="Times New Roman" w:hAnsi="Times New Roman"/>
          <w:color w:val="000000"/>
          <w:sz w:val="20"/>
        </w:rPr>
        <w:t xml:space="preserve">plan is designed for larger organizations that have more sophisticated needs and requirements, and includes everything in the </w:t>
      </w:r>
      <w:r>
        <w:rPr>
          <w:rFonts w:ascii="Times New Roman" w:hAnsi="Times New Roman"/>
          <w:i/>
          <w:color w:val="000000"/>
          <w:sz w:val="20"/>
        </w:rPr>
        <w:t>Growth</w:t>
      </w:r>
      <w:r>
        <w:rPr>
          <w:rFonts w:ascii="Times New Roman" w:hAnsi="Times New Roman"/>
          <w:color w:val="000000"/>
          <w:sz w:val="20"/>
        </w:rPr>
        <w:t xml:space="preserve"> plan as well as additional robust features such as advanced data governance, custom user permissions and roles, automated insights, enterprise-grade security features, and more. At any point, a customer that needs additional capabilities can purchase add-on functionality or products, which are natively integrated with Amplitude Analytics.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land-and-expand business model is powered by the ease of use, rapid time to value, and broad applicability of our platform to provide actionable insights in real time to numerous teams across an organization. This model has enabled us, in many cases, to significantly expand the reach of our platform within organizations.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we had 591 paying customers that each represented greater than $100,000 in ARR and 42 customers that each represented greater than $1 million in ARR, demonstrating the mission critical nature of our platform to help customers succeed in the new digital age. In comparison, we had 511 customers that each represented greater than $100,000 in ARR and 39 customers that each represented greater than $1 million in ARR for the years ended December 31, 2023. Customers that each represented greater than $100,000 in ARR accounted for approximately 75% and 74% of our total ARR as of December 31, 2024 and 2023, respectively. 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No single customer accounted for more than 3% of our revenue in the years ended December 31,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expand within our customer base is also demonstrated by our strong dollar-based net retention rate. As of December 31, 2024 and 2023, our dollar-based net retention rate (TTM) across paying customers was 97% and 101%,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December 31, 2024 and 2023, we had 591 and 511 customers, respectively, that each represented greater than $100,000 in ARR, representing a 16% increase year-over-year. Additionally, we had 42 and 39 customers, respectively, that each represented greater than $1 million in ARR, up 8% year-over-year. As of December 31, 2024 and 2023, 27 and 26 of the Fortune 100 were paying customers, respectively, which demonstrates both our traction to date as well as our significant opportunity to continue to penetrate into the largest global organizations. We believe our relationship with some of the world’s most beloved product-led companies has resulted in increased brand credibility and access to many attractive growth opportunities.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and 2023, our dollar-based net retention rate (TTM) was 97% and 101%, respectively, for paying customers. Additionally, our ending dollar-based net retention rate for paying customers as of December 31, 2024 and 2023, was 100% and 98%,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 predictive analytics and data instrumentation capabilities and most recently we acquired CommandAI to provide intuitive, AI-powered user assistance to make complex software easier to adopt and navigate. Going forward, we may pursue both strategic partnerships and acquisitions that we believe will be complementary to our business, accelerate customer acquisition, increase usage of our platform, and/or expand our product offerings in our core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for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September 2024, we launched Amplitude Made Easy to simplify the platform experience for customers, and in June 2024, we introduced Warehouse Native to allow customers to unlock insights directly from their data warehouse. Additionally, in February 2025, after our acquisition of CommandAI, we launched Guides and Surveys which fully integrates CommandAI's cutting-edge user assistance with our Data Analytics Platform. We believe the evolution of our technology and product offerings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we previously experienced cost savings due to our restructuring, as we continue to invest in our sales efforts, we expect our sales and marketing expenses to increase in dollar amount over time. Over the longer term, we believe these expenses as a percentage of revenue will decrease, though these expenses as a percentage of revenue could increase in the short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Finally, we see opportunities to expand offices and headcount internationally to better service targeted international markets where we believe we have significant opportunity to accelerate existing traction and success. For the years ended December 31, 2024 and 2023, 40% and 39% of our revenue was generated outside the United States, respectively.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 expansion, creating a variety of operational challenges.” </w:t>
      </w:r>
    </w:p>
    <w:p>
      <w:pPr>
        <w:pStyle w:val="TextBody"/>
        <w:bidi w:val="0"/>
        <w:spacing w:before="36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 </w:t>
      </w:r>
    </w:p>
    <w:p>
      <w:pPr>
        <w:pStyle w:val="TextBody"/>
        <w:bidi w:val="0"/>
        <w:spacing w:before="120" w:after="283"/>
        <w:jc w:val="left"/>
        <w:rPr/>
      </w:pPr>
      <w:r>
        <w:rPr/>
        <w:t> </w:t>
      </w:r>
    </w:p>
    <w:tbl>
      <w:tblPr>
        <w:tblW w:w="7941" w:type="dxa"/>
        <w:jc w:val="left"/>
        <w:tblInd w:w="0" w:type="dxa"/>
        <w:tblLayout w:type="fixed"/>
        <w:tblCellMar>
          <w:top w:w="28" w:type="dxa"/>
          <w:left w:w="28" w:type="dxa"/>
          <w:bottom w:w="28" w:type="dxa"/>
          <w:right w:w="28" w:type="dxa"/>
        </w:tblCellMar>
      </w:tblPr>
      <w:tblGrid>
        <w:gridCol w:w="4305"/>
        <w:gridCol w:w="160"/>
        <w:gridCol w:w="220"/>
        <w:gridCol w:w="455"/>
        <w:gridCol w:w="283"/>
        <w:gridCol w:w="167"/>
        <w:gridCol w:w="220"/>
        <w:gridCol w:w="455"/>
        <w:gridCol w:w="281"/>
        <w:gridCol w:w="165"/>
        <w:gridCol w:w="1230"/>
      </w:tblGrid>
      <w:tr>
        <w:trPr/>
        <w:tc>
          <w:tcPr>
            <w:tcW w:w="43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YoY Growth</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46" w:type="dxa"/>
            <w:gridSpan w:val="8"/>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(dollar values in millions)</w:t>
            </w:r>
          </w:p>
        </w:tc>
        <w:tc>
          <w:tcPr>
            <w:tcW w:w="1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Annual Recurring Revenue (ARR)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312</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11%</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Dollar-Based Net Retention Rate (TTM)</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Paying Customers with ARR of $100,000 or greater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591</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Annual Recurring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annual recurring revenue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Dollar-Based Net Retention Rate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Paying Customers with ARR of $100,000 or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Paying Customers with ARR of $100,000 or greater as those Paying Customers on one or more paid subscriptions that have $100,000 or more in ARR.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Non-GAAP Financial Measures and related Non-GAAP reconciliations are for the year ended December 31, 2024, compared to the same period in 2023, unless otherwise stated. Non-GAAP Financial Measures and related Non-GAAP reconciliations for the year ended December 31, 2023 compared to the year ended December 31, 2022 may be found in the section titled “Management’s Discussion and Analysis of Financial Condition and Results of Operations” in our Annual Report on Form 10-K for the fiscal year ended December 31, 2023, filed with the SEC on February 20, 2024.</w:t>
      </w:r>
    </w:p>
    <w:p>
      <w:pPr>
        <w:pStyle w:val="TextBody"/>
        <w:bidi w:val="0"/>
        <w:spacing w:before="240" w:after="283"/>
        <w:jc w:val="left"/>
        <w:rPr/>
      </w:pPr>
      <w:r>
        <w:rPr/>
        <w:t> </w:t>
      </w:r>
    </w:p>
    <w:tbl>
      <w:tblPr>
        <w:tblW w:w="8513" w:type="dxa"/>
        <w:jc w:val="left"/>
        <w:tblInd w:w="0" w:type="dxa"/>
        <w:tblLayout w:type="fixed"/>
        <w:tblCellMar>
          <w:top w:w="28" w:type="dxa"/>
          <w:left w:w="28" w:type="dxa"/>
          <w:bottom w:w="28" w:type="dxa"/>
          <w:right w:w="28" w:type="dxa"/>
        </w:tblCellMar>
      </w:tblPr>
      <w:tblGrid>
        <w:gridCol w:w="5025"/>
        <w:gridCol w:w="160"/>
        <w:gridCol w:w="237"/>
        <w:gridCol w:w="963"/>
        <w:gridCol w:w="372"/>
        <w:gridCol w:w="180"/>
        <w:gridCol w:w="237"/>
        <w:gridCol w:w="963"/>
        <w:gridCol w:w="376"/>
      </w:tblGrid>
      <w:tr>
        <w:trPr/>
        <w:tc>
          <w:tcPr>
            <w:tcW w:w="50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52"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222,348</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204,361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229,310</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212,899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Margin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Gross Margin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(107,383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(102,520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Income (Loss) from Operations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(4,004</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(3,493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from Operations Margin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Income (Loss) from Operations Margin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18,506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25,630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Free Cash Flow</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11,728</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22,447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Operating Activities Margin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Free Cash Flow Margin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b/>
          <w:i/>
          <w:color w:val="000000"/>
          <w:sz w:val="20"/>
        </w:rPr>
        <w:t>Non-GAAP Gross Profit, Non-GAAP Gross Margin, Non-GAAP Income (Loss) from Operations, and Non-GAAP Income (Loss) from Operations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and Reconciliations of 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reconcile the most directly comparable U.S. GAAP financial measure to each of these non-GAAP financial measures.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and Gross Margin</w:t>
      </w:r>
      <w:r>
        <w:rPr>
          <w:rFonts w:ascii="Times New Roman" w:hAnsi="Times New Roman"/>
          <w:color w:val="000000"/>
          <w:sz w:val="20"/>
        </w:rPr>
        <w:t xml:space="preserve"> </w:t>
      </w:r>
    </w:p>
    <w:p>
      <w:pPr>
        <w:pStyle w:val="TextBody"/>
        <w:bidi w:val="0"/>
        <w:jc w:val="left"/>
        <w:rPr/>
      </w:pPr>
      <w:r>
        <w:rPr/>
        <w:t> </w:t>
      </w:r>
    </w:p>
    <w:tbl>
      <w:tblPr>
        <w:tblW w:w="6863" w:type="dxa"/>
        <w:jc w:val="left"/>
        <w:tblInd w:w="0" w:type="dxa"/>
        <w:tblLayout w:type="fixed"/>
        <w:tblCellMar>
          <w:top w:w="28" w:type="dxa"/>
          <w:left w:w="28" w:type="dxa"/>
          <w:bottom w:w="28" w:type="dxa"/>
          <w:right w:w="28" w:type="dxa"/>
        </w:tblCellMar>
      </w:tblPr>
      <w:tblGrid>
        <w:gridCol w:w="3360"/>
        <w:gridCol w:w="160"/>
        <w:gridCol w:w="255"/>
        <w:gridCol w:w="961"/>
        <w:gridCol w:w="327"/>
        <w:gridCol w:w="193"/>
        <w:gridCol w:w="255"/>
        <w:gridCol w:w="961"/>
        <w:gridCol w:w="391"/>
      </w:tblGrid>
      <w:tr>
        <w:trPr/>
        <w:tc>
          <w:tcPr>
            <w:tcW w:w="33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52"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222,348</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204,361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Add: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6,472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Acquired intangible assets amortization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229,310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212,899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Gross Margin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Stock-based compensation expense-related charges include employer payroll tax-related expenses on employee stock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Income (Loss) From Operations and Income (Loss) From Operations Margin</w:t>
      </w:r>
      <w:r>
        <w:rPr>
          <w:rFonts w:ascii="Times New Roman" w:hAnsi="Times New Roman"/>
          <w:color w:val="000000"/>
          <w:sz w:val="20"/>
        </w:rPr>
        <w:t xml:space="preserve"> </w:t>
      </w:r>
    </w:p>
    <w:p>
      <w:pPr>
        <w:pStyle w:val="TextBody"/>
        <w:bidi w:val="0"/>
        <w:jc w:val="left"/>
        <w:rPr/>
      </w:pPr>
      <w:r>
        <w:rPr/>
        <w:t> </w:t>
      </w:r>
    </w:p>
    <w:tbl>
      <w:tblPr>
        <w:tblW w:w="7753" w:type="dxa"/>
        <w:jc w:val="left"/>
        <w:tblInd w:w="0" w:type="dxa"/>
        <w:tblLayout w:type="fixed"/>
        <w:tblCellMar>
          <w:top w:w="28" w:type="dxa"/>
          <w:left w:w="28" w:type="dxa"/>
          <w:bottom w:w="28" w:type="dxa"/>
          <w:right w:w="28" w:type="dxa"/>
        </w:tblCellMar>
      </w:tblPr>
      <w:tblGrid>
        <w:gridCol w:w="4230"/>
        <w:gridCol w:w="160"/>
        <w:gridCol w:w="237"/>
        <w:gridCol w:w="963"/>
        <w:gridCol w:w="372"/>
        <w:gridCol w:w="180"/>
        <w:gridCol w:w="237"/>
        <w:gridCol w:w="963"/>
        <w:gridCol w:w="411"/>
      </w:tblGrid>
      <w:tr>
        <w:trPr/>
        <w:tc>
          <w:tcPr>
            <w:tcW w:w="42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952"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(loss) from operations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(107,383</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(102,520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Add: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102,645</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89,472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Acquired intangible assets amortization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Restructuring and other related charges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Income (Loss)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(4,004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Non-GAAP Income (Loss) from Operations Margin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pPr>
      <w:r>
        <w:rPr>
          <w:rFonts w:ascii="Times New Roman" w:hAnsi="Times New Roman"/>
          <w:color w:val="000000"/>
          <w:sz w:val="16"/>
        </w:rPr>
        <w:t>Stock-based compensation expense-related charges include employer payroll tax-related expenses on employee stock transactions, but exclude stock-based compensation costs included in</w:t>
      </w:r>
      <w:r>
        <w:rPr>
          <w:color w:val="000000"/>
        </w:rPr>
        <w:t xml:space="preserve"> </w:t>
      </w:r>
      <w:r>
        <w:rPr>
          <w:rFonts w:ascii="Times New Roman" w:hAnsi="Times New Roman"/>
          <w:i/>
          <w:color w:val="000000"/>
          <w:sz w:val="16"/>
        </w:rPr>
        <w:t>Restructuring and Other Related Charges.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jc w:val="left"/>
        <w:rPr/>
      </w:pPr>
      <w:r>
        <w:rPr/>
        <w:t> </w:t>
      </w:r>
    </w:p>
    <w:tbl>
      <w:tblPr>
        <w:tblW w:w="7733" w:type="dxa"/>
        <w:jc w:val="left"/>
        <w:tblInd w:w="0" w:type="dxa"/>
        <w:tblLayout w:type="fixed"/>
        <w:tblCellMar>
          <w:top w:w="28" w:type="dxa"/>
          <w:left w:w="28" w:type="dxa"/>
          <w:bottom w:w="28" w:type="dxa"/>
          <w:right w:w="28" w:type="dxa"/>
        </w:tblCellMar>
      </w:tblPr>
      <w:tblGrid>
        <w:gridCol w:w="4230"/>
        <w:gridCol w:w="160"/>
        <w:gridCol w:w="271"/>
        <w:gridCol w:w="967"/>
        <w:gridCol w:w="348"/>
        <w:gridCol w:w="206"/>
        <w:gridCol w:w="271"/>
        <w:gridCol w:w="889"/>
        <w:gridCol w:w="391"/>
      </w:tblGrid>
      <w:tr>
        <w:trPr/>
        <w:tc>
          <w:tcPr>
            <w:tcW w:w="42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952"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(75,366</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(19,941</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18,506</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Less: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Purchase of property and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(1,725</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(5,053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Free Cash Flow</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11,728</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22,447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Free Cash Flow Margin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 </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make strategic investments in our sales and marketing organization, and we expect sales and marketing expenses to remain our largest operating expense in dollar amount. Although we previously experienced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Although we previously experienced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primarily of interest income on our cash, cash equivalents, and marketable securities holdings and foreign currency transaction gains and losses.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(Benefit from)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revenue for those periods. The period-to-period comparison of financial results is not necessarily indicative of financial results to be achieved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are for the year ended December 31, 2024, compared to the same period in 2023, unless otherwise stated. Discussion and analysis for the year ended December 31, 2023 compared to the year ended December 31, 2022 may be found in the section titled “Management’s Discussion and Analysis of Financial Condition and Results of Operations” in our Annual Report on Form 10-K for the fiscal year ended December 31, 2023, filed with the SEC on February 20, 2024.</w:t>
      </w:r>
    </w:p>
    <w:p>
      <w:pPr>
        <w:pStyle w:val="TextBody"/>
        <w:bidi w:val="0"/>
        <w:jc w:val="left"/>
        <w:rPr/>
      </w:pPr>
      <w:r>
        <w:rPr/>
        <w:t> </w:t>
      </w:r>
    </w:p>
    <w:tbl>
      <w:tblPr>
        <w:tblW w:w="7794" w:type="dxa"/>
        <w:jc w:val="left"/>
        <w:tblInd w:w="0" w:type="dxa"/>
        <w:tblLayout w:type="fixed"/>
        <w:tblCellMar>
          <w:top w:w="28" w:type="dxa"/>
          <w:left w:w="28" w:type="dxa"/>
          <w:bottom w:w="28" w:type="dxa"/>
          <w:right w:w="28" w:type="dxa"/>
        </w:tblCellMar>
      </w:tblPr>
      <w:tblGrid>
        <w:gridCol w:w="4785"/>
        <w:gridCol w:w="160"/>
        <w:gridCol w:w="211"/>
        <w:gridCol w:w="855"/>
        <w:gridCol w:w="166"/>
        <w:gridCol w:w="160"/>
        <w:gridCol w:w="211"/>
        <w:gridCol w:w="855"/>
        <w:gridCol w:w="391"/>
      </w:tblGrid>
      <w:tr>
        <w:trPr/>
        <w:tc>
          <w:tcPr>
            <w:tcW w:w="4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276,284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71,923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222,348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204,361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90,138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153,714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54,887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20"/>
              </w:rPr>
              <w:t>Restructuring and other related charges</w:t>
            </w:r>
            <w:r>
              <w:rPr>
                <w:rFonts w:ascii="Times New Roman" w:hAnsi="Times New Roman"/>
                <w:color w:val="000000"/>
                <w:sz w:val="13"/>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329,731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306,881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(102,520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(expense),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Loss before provision for (benefit from) income taxes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Provision for (benefit from)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(90,363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Amounts include stock-based compensation expense as follows: </w:t>
      </w:r>
    </w:p>
    <w:tbl>
      <w:tblPr>
        <w:tblW w:w="6138" w:type="dxa"/>
        <w:jc w:val="left"/>
        <w:tblInd w:w="0" w:type="dxa"/>
        <w:tblLayout w:type="fixed"/>
        <w:tblCellMar>
          <w:top w:w="28" w:type="dxa"/>
          <w:left w:w="28" w:type="dxa"/>
          <w:bottom w:w="28" w:type="dxa"/>
          <w:right w:w="28" w:type="dxa"/>
        </w:tblCellMar>
      </w:tblPr>
      <w:tblGrid>
        <w:gridCol w:w="3465"/>
        <w:gridCol w:w="160"/>
        <w:gridCol w:w="221"/>
        <w:gridCol w:w="835"/>
        <w:gridCol w:w="153"/>
        <w:gridCol w:w="168"/>
        <w:gridCol w:w="221"/>
        <w:gridCol w:w="724"/>
        <w:gridCol w:w="191"/>
      </w:tblGrid>
      <w:tr>
        <w:trPr/>
        <w:tc>
          <w:tcPr>
            <w:tcW w:w="34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22"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6,472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44,421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36,643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32,119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29,404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17,007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Restructuring and other related charges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stock-based compensation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100,019</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88,285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components of our consolidated statements of operations and comprehensive loss data, for each of the periods presented, as a percentage of revenue. </w:t>
      </w:r>
    </w:p>
    <w:p>
      <w:pPr>
        <w:pStyle w:val="TextBody"/>
        <w:bidi w:val="0"/>
        <w:jc w:val="left"/>
        <w:rPr/>
      </w:pPr>
      <w:r>
        <w:rPr/>
        <w:t> </w:t>
      </w:r>
    </w:p>
    <w:tbl>
      <w:tblPr>
        <w:tblW w:w="7314" w:type="dxa"/>
        <w:jc w:val="left"/>
        <w:tblInd w:w="0" w:type="dxa"/>
        <w:tblLayout w:type="fixed"/>
        <w:tblCellMar>
          <w:top w:w="28" w:type="dxa"/>
          <w:left w:w="28" w:type="dxa"/>
          <w:bottom w:w="28" w:type="dxa"/>
          <w:right w:w="28" w:type="dxa"/>
        </w:tblCellMar>
      </w:tblPr>
      <w:tblGrid>
        <w:gridCol w:w="4785"/>
        <w:gridCol w:w="160"/>
        <w:gridCol w:w="971"/>
        <w:gridCol w:w="252"/>
        <w:gridCol w:w="1146"/>
      </w:tblGrid>
      <w:tr>
        <w:trPr/>
        <w:tc>
          <w:tcPr>
            <w:tcW w:w="4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100%</w:t>
            </w:r>
          </w:p>
        </w:tc>
        <w:tc>
          <w:tcPr>
            <w:tcW w:w="252"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100%</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26%</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margin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74%</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74%</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33%</w:t>
            </w:r>
          </w:p>
        </w:tc>
        <w:tc>
          <w:tcPr>
            <w:tcW w:w="252"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33%</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56%</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56%</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21%</w:t>
            </w:r>
          </w:p>
        </w:tc>
        <w:tc>
          <w:tcPr>
            <w:tcW w:w="252"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20%</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110%</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111%</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(36)%</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(37)%</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(expense),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Loss before provision for (benefit from) income taxes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(31)%</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(32)%</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Provision for (benefit from)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(32)%</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(33)%</w:t>
            </w:r>
          </w:p>
        </w:tc>
      </w:tr>
    </w:tbl>
    <w:p>
      <w:pPr>
        <w:pStyle w:val="TextBody"/>
        <w:bidi w:val="0"/>
        <w:jc w:val="left"/>
        <w:rPr>
          <w:rFonts w:ascii="Times New Roman" w:hAnsi="Times New Roman"/>
          <w:sz w:val="20"/>
        </w:rPr>
      </w:pPr>
      <w:r>
        <w:rPr>
          <w:rFonts w:ascii="Times New Roman" w:hAnsi="Times New Roman"/>
          <w:color w:val="000000"/>
          <w:sz w:val="16"/>
        </w:rPr>
        <w:t>* Less than 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Note: Certain figures may not sum due to rounding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Fiscal Years Ended December 31, 2024 and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855"/>
        <w:gridCol w:w="160"/>
        <w:gridCol w:w="211"/>
        <w:gridCol w:w="795"/>
        <w:gridCol w:w="146"/>
        <w:gridCol w:w="160"/>
        <w:gridCol w:w="211"/>
        <w:gridCol w:w="795"/>
        <w:gridCol w:w="146"/>
        <w:gridCol w:w="160"/>
        <w:gridCol w:w="214"/>
        <w:gridCol w:w="701"/>
        <w:gridCol w:w="146"/>
        <w:gridCol w:w="160"/>
        <w:gridCol w:w="1050"/>
      </w:tblGrid>
      <w:tr>
        <w:trPr/>
        <w:tc>
          <w:tcPr>
            <w:tcW w:w="8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r>
      <w:tr>
        <w:trPr/>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895" w:type="dxa"/>
            <w:gridSpan w:val="13"/>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8%</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Revenue increased $23.0 million, or 8%, in fiscal 2024 compared to fiscal 2023. The increase in revenue was primarily due to growth of our paying customer base, partially offset by partial and full churn among existing customers which marginally outpaced our expansion of existing customers as reflected by our NRR (TTM) of 97% as of December 31, 2024.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 and Gross Margin</w:t>
      </w:r>
      <w:r>
        <w:rPr>
          <w:rFonts w:ascii="Times New Roman" w:hAnsi="Times New Roman"/>
          <w:color w:val="000000"/>
          <w:sz w:val="20"/>
        </w:rPr>
        <w:t xml:space="preserve"> </w:t>
      </w:r>
    </w:p>
    <w:p>
      <w:pPr>
        <w:pStyle w:val="TextBody"/>
        <w:bidi w:val="0"/>
        <w:jc w:val="left"/>
        <w:rPr/>
      </w:pPr>
      <w:r>
        <w:rPr/>
        <w:t> </w:t>
      </w:r>
    </w:p>
    <w:tbl>
      <w:tblPr>
        <w:tblW w:w="6505" w:type="dxa"/>
        <w:jc w:val="left"/>
        <w:tblInd w:w="0" w:type="dxa"/>
        <w:tblLayout w:type="fixed"/>
        <w:tblCellMar>
          <w:top w:w="28" w:type="dxa"/>
          <w:left w:w="28" w:type="dxa"/>
          <w:bottom w:w="28" w:type="dxa"/>
          <w:right w:w="28" w:type="dxa"/>
        </w:tblCellMar>
      </w:tblPr>
      <w:tblGrid>
        <w:gridCol w:w="1410"/>
        <w:gridCol w:w="160"/>
        <w:gridCol w:w="211"/>
        <w:gridCol w:w="690"/>
        <w:gridCol w:w="271"/>
        <w:gridCol w:w="160"/>
        <w:gridCol w:w="211"/>
        <w:gridCol w:w="690"/>
        <w:gridCol w:w="271"/>
        <w:gridCol w:w="160"/>
        <w:gridCol w:w="242"/>
        <w:gridCol w:w="673"/>
        <w:gridCol w:w="146"/>
        <w:gridCol w:w="160"/>
        <w:gridCol w:w="1050"/>
      </w:tblGrid>
      <w:tr>
        <w:trPr/>
        <w:tc>
          <w:tcPr>
            <w:tcW w:w="1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4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14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r>
      <w:tr>
        <w:trPr/>
        <w:tc>
          <w:tcPr>
            <w:tcW w:w="14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35" w:type="dxa"/>
            <w:gridSpan w:val="13"/>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14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76,924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71,923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7%</w:t>
            </w:r>
          </w:p>
        </w:tc>
      </w:tr>
      <w:tr>
        <w:trPr/>
        <w:tc>
          <w:tcPr>
            <w:tcW w:w="14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margin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rPr>
          <w:rFonts w:ascii="Times New Roman" w:hAnsi="Times New Roman"/>
          <w:color w:val="000000"/>
          <w:sz w:val="20"/>
        </w:rPr>
      </w:pPr>
      <w:r>
        <w:rPr>
          <w:rFonts w:ascii="Times New Roman" w:hAnsi="Times New Roman"/>
          <w:color w:val="000000"/>
          <w:sz w:val="20"/>
        </w:rPr>
        <w:t>Cost of revenue increased $5.0 million, or 7%, in fiscal 2024 compared to fiscal 2023. The increase was primarily due to an increase of $3.2 million in third-party hosting costs as we increased capacity to support paying customer usage and growth of our paying customer base and $2.5 million in personnel and related expenses, including an increase in allocated overhead costs. The increase was partially offset by a decrease of $0.8 million in stock-based compensation expense and related payroll taxes.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tbl>
      <w:tblPr>
        <w:tblW w:w="8390" w:type="dxa"/>
        <w:jc w:val="left"/>
        <w:tblInd w:w="0" w:type="dxa"/>
        <w:tblLayout w:type="fixed"/>
        <w:tblCellMar>
          <w:top w:w="28" w:type="dxa"/>
          <w:left w:w="28" w:type="dxa"/>
          <w:bottom w:w="28" w:type="dxa"/>
          <w:right w:w="28" w:type="dxa"/>
        </w:tblCellMar>
      </w:tblPr>
      <w:tblGrid>
        <w:gridCol w:w="3315"/>
        <w:gridCol w:w="160"/>
        <w:gridCol w:w="211"/>
        <w:gridCol w:w="795"/>
        <w:gridCol w:w="146"/>
        <w:gridCol w:w="160"/>
        <w:gridCol w:w="211"/>
        <w:gridCol w:w="795"/>
        <w:gridCol w:w="146"/>
        <w:gridCol w:w="160"/>
        <w:gridCol w:w="214"/>
        <w:gridCol w:w="701"/>
        <w:gridCol w:w="166"/>
        <w:gridCol w:w="160"/>
        <w:gridCol w:w="1050"/>
      </w:tblGrid>
      <w:tr>
        <w:trPr/>
        <w:tc>
          <w:tcPr>
            <w:tcW w:w="33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15" w:type="dxa"/>
            <w:gridSpan w:val="13"/>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8%</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153,714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9%</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16%</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Restructuring and other related charges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329,731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306,881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7%</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i/>
          <w:color w:val="000000"/>
          <w:sz w:val="16"/>
        </w:rPr>
        <w:t xml:space="preserve">* </w:t>
      </w:r>
      <w:r>
        <w:rPr>
          <w:rFonts w:ascii="Times New Roman" w:hAnsi="Times New Roman"/>
          <w:color w:val="000000"/>
          <w:sz w:val="16"/>
        </w:rPr>
        <w:t>Not meaningful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$7.4 million, or 8%, in fiscal 2024 compared to fiscal 2023. The increase was primarily due to an increase of $11.2 million in stock-based compensation expense and related payroll taxes mainly attributed to a one-time charge of $13.0 million related to our acquisition of CommandAI, and an increase of $2.6 million in personnel and related expenses, including an increase in allocated overhead costs. The increase was primarily offset by a higher percentage of personnel being dedicated to new application development which resulted in $6.0 million more capitalized as internal use software costs in the period. </w:t>
      </w:r>
    </w:p>
    <w:p>
      <w:pPr>
        <w:pStyle w:val="TextBody"/>
        <w:bidi w:val="0"/>
        <w:spacing w:before="36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$14.6 million, or 9%, in fiscal 2024 compared to fiscal 2023. The increase was primarily due to an increase of $8.0 million in personnel and related expenses, including an increase in allocated overhead costs and an increase of $2.8 million in stock-based compensation expenses and related payroll taxes. The increase was also attributable to an increase of $2.5 million in commissions and variable compensation related to an increase in the amortization of capitalized commissions in the period compared to the same period in the prior year. There was also an increase of $1.3 million in travel-related expenses.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$9.0 million, or 16%, in fiscal 2024 compared to fiscal 2023. The increase was primarily attributable to an increase of $3.8 million in personnel and related expenses, including an increase in allocated overhead costs and an increase of $3.1 million in stock-based compensation expense and related payroll taxes. The increase was also attributable to an increase of $1.5 million in legal fees.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Restructuring and Other Related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other related charges related to employee transition, severance payments, employee benefits, and stock-based compensation were $8.1 million during fiscal 2023, with no costs incurred in fiscal 2024.</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245" w:type="dxa"/>
        <w:jc w:val="left"/>
        <w:tblInd w:w="0" w:type="dxa"/>
        <w:tblLayout w:type="fixed"/>
        <w:tblCellMar>
          <w:top w:w="28" w:type="dxa"/>
          <w:left w:w="28" w:type="dxa"/>
          <w:bottom w:w="28" w:type="dxa"/>
          <w:right w:w="28" w:type="dxa"/>
        </w:tblCellMar>
      </w:tblPr>
      <w:tblGrid>
        <w:gridCol w:w="2400"/>
        <w:gridCol w:w="160"/>
        <w:gridCol w:w="211"/>
        <w:gridCol w:w="690"/>
        <w:gridCol w:w="146"/>
        <w:gridCol w:w="160"/>
        <w:gridCol w:w="211"/>
        <w:gridCol w:w="690"/>
        <w:gridCol w:w="146"/>
        <w:gridCol w:w="160"/>
        <w:gridCol w:w="182"/>
        <w:gridCol w:w="733"/>
        <w:gridCol w:w="146"/>
        <w:gridCol w:w="160"/>
        <w:gridCol w:w="1050"/>
      </w:tblGrid>
      <w:tr>
        <w:trPr/>
        <w:tc>
          <w:tcPr>
            <w:tcW w:w="24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24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24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r>
      <w:tr>
        <w:trPr/>
        <w:tc>
          <w:tcPr>
            <w:tcW w:w="24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85" w:type="dxa"/>
            <w:gridSpan w:val="13"/>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24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(expense),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 net increased $1.4 million, or 11%, in fiscal 2024 compared to fiscal 2023. The increase was primarily due to higher interest income of $1.5 million due to a higher combined yield on investments and cash equivalents during the year ended December 31,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(Benefit from) Income Taxes</w:t>
      </w:r>
      <w:r>
        <w:rPr>
          <w:rFonts w:ascii="Times New Roman" w:hAnsi="Times New Roman"/>
          <w:color w:val="000000"/>
          <w:sz w:val="20"/>
        </w:rPr>
        <w:t xml:space="preserve"> </w:t>
      </w:r>
    </w:p>
    <w:tbl>
      <w:tblPr>
        <w:tblW w:w="8085" w:type="dxa"/>
        <w:jc w:val="left"/>
        <w:tblInd w:w="0" w:type="dxa"/>
        <w:tblLayout w:type="fixed"/>
        <w:tblCellMar>
          <w:top w:w="28" w:type="dxa"/>
          <w:left w:w="28" w:type="dxa"/>
          <w:bottom w:w="28" w:type="dxa"/>
          <w:right w:w="28" w:type="dxa"/>
        </w:tblCellMar>
      </w:tblPr>
      <w:tblGrid>
        <w:gridCol w:w="3450"/>
        <w:gridCol w:w="160"/>
        <w:gridCol w:w="211"/>
        <w:gridCol w:w="585"/>
        <w:gridCol w:w="146"/>
        <w:gridCol w:w="160"/>
        <w:gridCol w:w="211"/>
        <w:gridCol w:w="585"/>
        <w:gridCol w:w="146"/>
        <w:gridCol w:w="160"/>
        <w:gridCol w:w="298"/>
        <w:gridCol w:w="617"/>
        <w:gridCol w:w="146"/>
        <w:gridCol w:w="160"/>
        <w:gridCol w:w="1050"/>
      </w:tblGrid>
      <w:tr>
        <w:trPr/>
        <w:tc>
          <w:tcPr>
            <w:tcW w:w="34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475" w:type="dxa"/>
            <w:gridSpan w:val="13"/>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Provision for (benefit from)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(benefit from) income taxes increased $0.5 million, or 41%, in fiscal 2024 compared to fiscal 2023, primarily due to an increase in foreign taxes during the year ended December 31, 2024.</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$457.8 million as of December 31, 2024. We generated positive cash flows from operating activities during the years ended December 31, 2024 and 2023;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our principal sources of liquidity were cash and cash equivalents of $171.7 million and restricted cash of $0.9 million. We also had $126.7 million in marketable securities that provide additional capital resources. Additionally, a substantial source of our cash provided by operating activities is our deferred revenue, which is included on our consolidated balance sheets as a liability. Deferred revenue consists of the unearned portion of billed fees for our subscriptions, which is recorded as revenue over the term of the subscription agreement. As of December 31, 2024, we had $109.7 million of deferred revenue, all of which was recorded as a current liability. This deferred revenue will be recognized as revenue when or as the related performance obligations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periods presented: </w:t>
      </w:r>
    </w:p>
    <w:p>
      <w:pPr>
        <w:pStyle w:val="TextBody"/>
        <w:bidi w:val="0"/>
        <w:jc w:val="left"/>
        <w:rPr/>
      </w:pPr>
      <w:r>
        <w:rPr/>
        <w:t> </w:t>
      </w:r>
    </w:p>
    <w:tbl>
      <w:tblPr>
        <w:tblW w:w="6969" w:type="dxa"/>
        <w:jc w:val="left"/>
        <w:tblInd w:w="0" w:type="dxa"/>
        <w:tblLayout w:type="fixed"/>
        <w:tblCellMar>
          <w:top w:w="28" w:type="dxa"/>
          <w:left w:w="28" w:type="dxa"/>
          <w:bottom w:w="28" w:type="dxa"/>
          <w:right w:w="28" w:type="dxa"/>
        </w:tblCellMar>
      </w:tblPr>
      <w:tblGrid>
        <w:gridCol w:w="4230"/>
        <w:gridCol w:w="160"/>
        <w:gridCol w:w="211"/>
        <w:gridCol w:w="750"/>
        <w:gridCol w:w="166"/>
        <w:gridCol w:w="160"/>
        <w:gridCol w:w="211"/>
        <w:gridCol w:w="690"/>
        <w:gridCol w:w="391"/>
      </w:tblGrid>
      <w:tr>
        <w:trPr/>
        <w:tc>
          <w:tcPr>
            <w:tcW w:w="42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8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largest source of operating cash is cash collection from sales of subscriptions to our paying customers. Our primary uses of cash from operating activities are for personnel and related expenses, marketing expenses, and third-party hosting-related and software expenses. For the years ended December 31, 2024 and 2023, we have generated positive cash flow from operating activities; however, in the past several years, we generated negative cash flows from operating activities and have supplemented working capital requirements through net proceeds from the sale of preferred stock and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of $18.5 million for fiscal 2024 reflects our net loss of $94.3 million, adjusted by non-cash items such as stock-based compensation expense of $100.0 million, depreciation and amortization of $6.1 million, and non-cash operating lease costs of $4.0 million as well as net cash provided by changes in our operating assets and liabilities of $2.4 million. The net cash provided by changes in operating assets and liabilities primarily consisted of collections outpacing revenue recognized as evidenced through the increase in cash of $8.6 million from changes in accounts receivable and deferred revenue and a net increase in accrued expenses and accounts payable of $8.5 million. These changes were offset by an increase in prepaid expenses and other current and noncurrent assets of $5.5 million, a $4.9 million decrease in operating lease liabilities due to payments related to our operating lease obligations, and an increase in deferred commissions of $4.3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operating activities of $25.6 million for fiscal 2023 reflects our net loss of $90.4 million, adjusted by non-cash items such as stock-based compensation expense of $88.3 million, depreciation and amortization of $5.6 million, and non-cash operating lease costs of $3.9 million as well as net cash provided by changes in our operating assets and liabilities of $18.5 million. The net cash provided by changes in operating assets and liabilities primarily consisted of collections outpacing revenue recognized as evidenced through the net increase in cash of $4.1 million from changes in accounts receivable and deferred revenue. Additionally, an increase in accrued expenses and accounts payable of $14.4 million due to timing of payments made and a decrease in prepaid expenses and other current and noncurrent assets of $5.8 million contributed to the net cash provided by operating activities. These changes were offset by an increase in deferred commissions of $1.7 million, and a $4.1 million decrease in operating lease liabilities due to payments related to our operating lease obligations.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of $75.4 million for fiscal 2024 consisted of $146.3 million of purchases of marketable securities, $16.1 million in cash paid for an acquisition, net of cash acquired, $5.1 million of capitalized internal-use software development costs, and $1.7 million in purchases of property and equipment. These decreases were partially offset by $93.8 million of cash received from the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of $9.3 million for fiscal 2023 consisted of $12.5 million of cash received from the maturities of marketable securities, offset by $1.9 million of capitalized internal-use software development costs, and $1.3 million in purchases of property and equipment.</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of $19.9 million for fiscal 2024 primarily consisted of $26.4 million in net tax remittance on equity awards related to the vesting of RSU awards under a withhold-to-cover method, partially offset by $6.5 million in proceeds from the exercise of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of $4.9 million for fiscal 2023 primarily consisted of $4.6 million in proceeds from the exercise of stock options offset by $8.9 million in net tax remittance on equity awards primarily driven by a change in tax withholding settlement method related to vesting of RSU awards from sell-to-cover to withhold-to-cover that occurred in the year ended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Remaining performance obligations (“RPO”) as of December 31, 2024 and 2023, including the expected timing of recognition, is as follows: </w:t>
      </w:r>
    </w:p>
    <w:p>
      <w:pPr>
        <w:pStyle w:val="TextBody"/>
        <w:bidi w:val="0"/>
        <w:jc w:val="left"/>
        <w:rPr/>
      </w:pPr>
      <w:r>
        <w:rPr/>
        <w:t> </w:t>
      </w:r>
    </w:p>
    <w:tbl>
      <w:tblPr>
        <w:tblW w:w="7299" w:type="dxa"/>
        <w:jc w:val="left"/>
        <w:tblInd w:w="0" w:type="dxa"/>
        <w:tblLayout w:type="fixed"/>
        <w:tblCellMar>
          <w:top w:w="28" w:type="dxa"/>
          <w:left w:w="28" w:type="dxa"/>
          <w:bottom w:w="28" w:type="dxa"/>
          <w:right w:w="28" w:type="dxa"/>
        </w:tblCellMar>
      </w:tblPr>
      <w:tblGrid>
        <w:gridCol w:w="3465"/>
        <w:gridCol w:w="160"/>
        <w:gridCol w:w="211"/>
        <w:gridCol w:w="795"/>
        <w:gridCol w:w="146"/>
        <w:gridCol w:w="160"/>
        <w:gridCol w:w="211"/>
        <w:gridCol w:w="795"/>
        <w:gridCol w:w="146"/>
        <w:gridCol w:w="160"/>
        <w:gridCol w:w="1050"/>
      </w:tblGrid>
      <w:tr>
        <w:trPr/>
        <w:tc>
          <w:tcPr>
            <w:tcW w:w="34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74" w:type="dxa"/>
            <w:gridSpan w:val="9"/>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than or equal to 12 months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188,456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18%</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Greater than 12 months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85,315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67%</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remaining performance obligations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308,635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239,418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29%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Annual Report on Form 10-K.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0"/>
        <w:gridCol w:w="160"/>
        <w:gridCol w:w="211"/>
        <w:gridCol w:w="795"/>
        <w:gridCol w:w="146"/>
        <w:gridCol w:w="160"/>
        <w:gridCol w:w="211"/>
        <w:gridCol w:w="690"/>
        <w:gridCol w:w="146"/>
        <w:gridCol w:w="160"/>
        <w:gridCol w:w="231"/>
        <w:gridCol w:w="758"/>
        <w:gridCol w:w="146"/>
        <w:gridCol w:w="160"/>
        <w:gridCol w:w="336"/>
        <w:gridCol w:w="578"/>
        <w:gridCol w:w="146"/>
        <w:gridCol w:w="160"/>
        <w:gridCol w:w="335"/>
        <w:gridCol w:w="572"/>
        <w:gridCol w:w="394"/>
      </w:tblGrid>
      <w:tr>
        <w:trPr/>
        <w:tc>
          <w:tcPr>
            <w:tcW w:w="37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2026-2027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2028-2029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After 2029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941" w:type="dxa"/>
            <w:gridSpan w:val="18"/>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i/>
                <w:color w:val="000000"/>
                <w:sz w:val="20"/>
              </w:rPr>
            </w:pPr>
            <w:r>
              <w:rPr>
                <w:rFonts w:ascii="Times New Roman" w:hAnsi="Times New Roman"/>
                <w:b/>
                <w:i/>
                <w:color w:val="000000"/>
                <w:sz w:val="20"/>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Operating lease and real estate-related commitments</w:t>
            </w:r>
            <w:r>
              <w:rPr>
                <w:rFonts w:ascii="Times New Roman" w:hAnsi="Times New Roman"/>
                <w:color w:val="000000"/>
                <w:sz w:val="13"/>
              </w:rPr>
              <w:t>(1)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Purchase commitments</w:t>
            </w:r>
            <w:r>
              <w:rPr>
                <w:rFonts w:ascii="Times New Roman" w:hAnsi="Times New Roman"/>
                <w:color w:val="000000"/>
                <w:sz w:val="13"/>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49,740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contractual obligations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Consists of future real estate-related non-cancellable minimum rental payments under operating leases and real estate commitments with substitution rights.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Included in this commitment is a hosting arrangement with AWS. We entered into the 60-month contract in August 2021. The contract may be terminated by either party if the other party is in material breach of the contract and such breach remains uncured for 30 days. Pursuant to the terms of the contract, we are required to spend a minimum of $267 million over the five-year term of the contract. As of December 31, 2024, we had $123 million remaining on this commitment.</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are prepared in accordance with U.S. GAAP. The preparation of these financial statements requires us to make estimates and assumptions that affect the reported amounts of assets, liabilities, revenues,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critical accounting estimates, assumptions, and judgments that we believe have the most significant impact on our consolidated financial statements are described below.</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Revenue is recognized when, or as, the RPO is satisfied by transferring the control of the promised service to a customer. The amount of revenue recognized reflects the consideration that we expect to be entitled to receive in exchange for these services. We account for revenue contracts with customers by applying the requirements of ASC 606, which includes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contract, or contracts, with the customer;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of the revenue when, or as, a performance obligation is satisfied.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SaaS subscription agreements with customers enable them to access and send event volume data to our cloud-based platform. Subscription arrangements with customers do not provide the customer with the right to take possession of our software at any time. Instead, customers are granted continuous access to the platform over the contractual period. A time-elapsed method is used to measure progress because our obligation is to provide continuous service over the contractual period and control is transferred evenly over the contractual period. Accordingly, the fixed consideration related to subscription revenue is recognized ratably over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term beginning on the date access to the subscription product is provisioned. Typical subscription terms are in increments of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Contract Acquisition Costs (Deferred Commissions)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capitalize sales commissions that are recoverable and incremental due to the acquisition of customer contracts. We determine whether costs should be deferred based on its sales compensation plans, if the commissions are in fact incremental and would not have occurred absent the customer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We determine the period of benefit for renewal subscription contracts by considering the contractual term for renewal contracts.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statements of operations and comprehensive loss. We periodically review these deferred commissions to determine whether events or changes in circumstances have occurred that could impact recoverability or the period of benefit. There were no impairment losses recorded during the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to our consolidated financial statements included in Part II, Item 8 of this Annual Report on Form 10-K for more information regarding recent accounting pronouncements.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tem_7a_quantitative_and_qualitative_dis"/>
      <w:bookmarkEnd w:id="14"/>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and marketable securities primarily consist of cash on hand and highly liquid investments in money market funds and U.S. government securities. As of December 31, 2024, we had cash and cash equivalents of $171.7 million and marketable securities, including non-current investments, of $126.7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8_financial_statements_and_supple"/>
      <w:bookmarkEnd w:id="15"/>
      <w:r>
        <w:rPr>
          <w:rFonts w:ascii="Times New Roman" w:hAnsi="Times New Roman"/>
          <w:b/>
          <w:color w:val="000000"/>
          <w:sz w:val="20"/>
        </w:rPr>
        <w:t>Item 8. Financial Statements and Supplementary Data.</w:t>
      </w:r>
    </w:p>
    <w:p>
      <w:pPr>
        <w:pStyle w:val="TextBody"/>
        <w:bidi w:val="0"/>
        <w:jc w:val="left"/>
        <w:rPr/>
      </w:pPr>
      <w:r>
        <w:rPr/>
        <w:t> </w:t>
      </w:r>
    </w:p>
    <w:tbl>
      <w:tblPr>
        <w:tblW w:w="7067" w:type="dxa"/>
        <w:jc w:val="left"/>
        <w:tblInd w:w="0" w:type="dxa"/>
        <w:tblLayout w:type="fixed"/>
        <w:tblCellMar>
          <w:top w:w="28" w:type="dxa"/>
          <w:left w:w="28" w:type="dxa"/>
          <w:bottom w:w="28" w:type="dxa"/>
          <w:right w:w="28" w:type="dxa"/>
        </w:tblCellMar>
      </w:tblPr>
      <w:tblGrid>
        <w:gridCol w:w="6271"/>
        <w:gridCol w:w="796"/>
      </w:tblGrid>
      <w:tr>
        <w:trPr/>
        <w:tc>
          <w:tcPr>
            <w:tcW w:w="62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6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report_of_independent_registered">
              <w:r>
                <w:rPr>
                  <w:rStyle w:val="InternetLink"/>
                  <w:rFonts w:ascii="Times New Roman" w:hAnsi="Times New Roman"/>
                  <w:color w:val="0000FF"/>
                  <w:sz w:val="20"/>
                  <w:u w:val="single"/>
                </w:rPr>
                <w:t>Report of Independent Registered Public Accounting Firm (PCAOB ID 185)</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67</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balancesheets">
              <w:r>
                <w:rPr>
                  <w:rStyle w:val="InternetLink"/>
                  <w:rFonts w:ascii="Times New Roman" w:hAnsi="Times New Roman"/>
                  <w:color w:val="0000FF"/>
                  <w:sz w:val="20"/>
                  <w:u w:val="single"/>
                </w:rPr>
                <w:t>Consolidated Balance Sheets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69</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statementsofoperations">
              <w:r>
                <w:rPr>
                  <w:rStyle w:val="InternetLink"/>
                  <w:rFonts w:ascii="Times New Roman" w:hAnsi="Times New Roman"/>
                  <w:color w:val="0000FF"/>
                  <w:sz w:val="20"/>
                  <w:u w:val="single"/>
                </w:rPr>
                <w:t>Consolidated Statements of Operations and Comprehensive Loss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70</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statementsofequity">
              <w:r>
                <w:rPr>
                  <w:rStyle w:val="InternetLink"/>
                  <w:rFonts w:ascii="Times New Roman" w:hAnsi="Times New Roman"/>
                  <w:color w:val="0000FF"/>
                  <w:sz w:val="20"/>
                  <w:u w:val="single"/>
                </w:rPr>
                <w:t>Consolidated Statements of Stockholders’ Equity</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71</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statementsofcashflows">
              <w:r>
                <w:rPr>
                  <w:rStyle w:val="InternetLink"/>
                  <w:rFonts w:ascii="Times New Roman" w:hAnsi="Times New Roman"/>
                  <w:color w:val="0000FF"/>
                  <w:sz w:val="20"/>
                  <w:u w:val="single"/>
                </w:rPr>
                <w:t>Consolidated Statements of Cash Flows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72</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totheconsolidatedfinancial">
              <w:r>
                <w:rPr>
                  <w:rStyle w:val="InternetLink"/>
                  <w:rFonts w:ascii="Times New Roman" w:hAnsi="Times New Roman"/>
                  <w:color w:val="0000FF"/>
                  <w:sz w:val="20"/>
                  <w:u w:val="single"/>
                </w:rPr>
                <w:t>Notes to Consolidated Financial Statements</w:t>
              </w:r>
            </w:hyperlink>
          </w:p>
        </w:tc>
        <w:tc>
          <w:tcPr>
            <w:tcW w:w="79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report_of_independent_registered"/>
      <w:bookmarkEnd w:id="16"/>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Board of Directors</w:t>
        <w:br/>
        <w:t>Amplitude, Inc.:</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Opinions on the Consolidated Financial Statements and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Amplitude, Inc. and subsidiaries (the Company) as of December 31, 2024 and 2023, the related consolidated statements of operations and comprehensive loss,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for Opinions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arrangements with non-standard terms and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 to the consolidated financial statements, the Company generates revenue from Software as a Service (SaaS) subscriptions to customers. Most customer contracts are subject to standard terms and conditions; however, certain contracts contain nonstandard terms that may impact the timing of revenue recognition. For the year ended December 31, 2024, the Company’s revenue was $299.3 million, which included revenue related to sales of SaaS subscription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the evaluation of revenue from SaaS subscription arrangements with non-standard terms and conditions as a critical audit matter. Significant auditor judgment was required to evaluate the Company’s assessment of the impact on revenue recognition of certain terms and conditions that are unique to certain contracts. Specifically, complex auditor judgment was required to evaluate the Company’s determination of the timing of revenue recognition for SaaS subscription arrangements with non-standard terms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evaluated the design and tested the operating effectiveness of certain internal controls related to the Company’s revenue recognition process, including controls related to the assessment of contractual terms that impact the determination of the timing of SaaS subscription revenue recognition. We selected a sample of SaaS subscription revenue transactions and evaluated the Company’s identification and assessment of the terms and conditions impacting revenue recognition by reading the underlying contracts and accounting analysis to evaluate whether management’s analysis determined the appropriate timing of revenue recognition.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Santa Clara, California</w:t>
        <w:br/>
        <w:t>February 20,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condensed_consolidated_balance_sheets"/>
      <w:bookmarkStart w:id="18" w:name="consolidatedbalancesheets"/>
      <w:bookmarkEnd w:id="17"/>
      <w:bookmarkEnd w:id="18"/>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8960" w:type="dxa"/>
        <w:jc w:val="left"/>
        <w:tblInd w:w="0" w:type="dxa"/>
        <w:tblLayout w:type="fixed"/>
        <w:tblCellMar>
          <w:top w:w="28" w:type="dxa"/>
          <w:left w:w="28" w:type="dxa"/>
          <w:bottom w:w="28" w:type="dxa"/>
          <w:right w:w="28" w:type="dxa"/>
        </w:tblCellMar>
      </w:tblPr>
      <w:tblGrid>
        <w:gridCol w:w="5465"/>
        <w:gridCol w:w="160"/>
        <w:gridCol w:w="244"/>
        <w:gridCol w:w="955"/>
        <w:gridCol w:w="166"/>
        <w:gridCol w:w="160"/>
        <w:gridCol w:w="244"/>
        <w:gridCol w:w="955"/>
        <w:gridCol w:w="611"/>
      </w:tblGrid>
      <w:tr>
        <w:trPr/>
        <w:tc>
          <w:tcPr>
            <w:tcW w:w="54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As of</w:t>
              <w:br/>
              <w:t xml:space="preserve">December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As of</w:t>
              <w:br/>
              <w:t xml:space="preserve">December 31, </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Cash and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248,491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Restricted cash, 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Marketable securities, 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69,419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73,909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18"/>
              </w:rPr>
              <w:t>Accounts receivable, net of allowance for doubtful accounts of $1,417</w:t>
              <w:br/>
              <w:t>   and $1,101</w:t>
            </w:r>
            <w:r>
              <w:rPr>
                <w:rFonts w:ascii="Times New Roman" w:hAnsi="Times New Roman"/>
                <w:color w:val="000000"/>
                <w:sz w:val="20"/>
              </w:rPr>
              <w:t> </w:t>
            </w:r>
            <w:r>
              <w:rPr>
                <w:rFonts w:ascii="Times New Roman" w:hAnsi="Times New Roman"/>
                <w:color w:val="000000"/>
                <w:sz w:val="18"/>
              </w:rPr>
              <w:t>as of December 31, 2024 and 2023, respectively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29,496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16,624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Deferred commissions, 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11,444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303,631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379,964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Marketable securities, noncurrent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57,242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Property and equipment,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Intangible assets,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Goodwill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Restricted cash, noncurrent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Deferred commissions, noncurrent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6,856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 noncurrent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445,911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433,684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LIABILITIES AND 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Accounts payable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Accrued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Deferred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109,671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102,573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144,513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132,293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Operating lease liabilities, noncurrent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Noncurrent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149,355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138,931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Commitments and contingencies (Note 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per share; 20,000</w:t>
            </w:r>
            <w:r>
              <w:rPr>
                <w:rFonts w:ascii="Times New Roman" w:hAnsi="Times New Roman"/>
                <w:color w:val="000000"/>
                <w:sz w:val="20"/>
              </w:rPr>
              <w:t> </w:t>
            </w:r>
            <w:r>
              <w:rPr>
                <w:rFonts w:ascii="Times New Roman" w:hAnsi="Times New Roman"/>
                <w:color w:val="000000"/>
                <w:sz w:val="18"/>
              </w:rPr>
              <w:t xml:space="preserve">shares authorized </w:t>
              <w:br/>
              <w:t>   as of December 31, 2024 and 2023; zero</w:t>
            </w:r>
            <w:r>
              <w:rPr>
                <w:rFonts w:ascii="Times New Roman" w:hAnsi="Times New Roman"/>
                <w:color w:val="000000"/>
                <w:sz w:val="20"/>
              </w:rPr>
              <w:t> </w:t>
            </w:r>
            <w:r>
              <w:rPr>
                <w:rFonts w:ascii="Times New Roman" w:hAnsi="Times New Roman"/>
                <w:color w:val="000000"/>
                <w:sz w:val="18"/>
              </w:rPr>
              <w:t xml:space="preserve">shares issued and </w:t>
              <w:br/>
              <w:t>   outstanding as of December 31, 2024 and 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18"/>
              </w:rPr>
              <w:t>Class A common stock, $0.00001</w:t>
            </w:r>
            <w:r>
              <w:rPr>
                <w:rFonts w:ascii="Times New Roman" w:hAnsi="Times New Roman"/>
                <w:color w:val="000000"/>
                <w:sz w:val="20"/>
              </w:rPr>
              <w:t> </w:t>
            </w:r>
            <w:r>
              <w:rPr>
                <w:rFonts w:ascii="Times New Roman" w:hAnsi="Times New Roman"/>
                <w:color w:val="000000"/>
                <w:sz w:val="18"/>
              </w:rPr>
              <w:t>par value per share; 600,000</w:t>
            </w:r>
            <w:r>
              <w:rPr>
                <w:rFonts w:ascii="Times New Roman" w:hAnsi="Times New Roman"/>
                <w:color w:val="000000"/>
                <w:sz w:val="20"/>
              </w:rPr>
              <w:t> </w:t>
            </w:r>
            <w:r>
              <w:rPr>
                <w:rFonts w:ascii="Times New Roman" w:hAnsi="Times New Roman"/>
                <w:color w:val="000000"/>
                <w:sz w:val="18"/>
              </w:rPr>
              <w:t xml:space="preserve">shares </w:t>
              <w:br/>
              <w:t xml:space="preserve">   authorized as of December 31, 2024 and 2023; </w:t>
              <w:br/>
              <w:t>   96,095</w:t>
            </w:r>
            <w:r>
              <w:rPr>
                <w:rFonts w:ascii="Times New Roman" w:hAnsi="Times New Roman"/>
                <w:color w:val="000000"/>
                <w:sz w:val="20"/>
              </w:rPr>
              <w:t> </w:t>
            </w:r>
            <w:r>
              <w:rPr>
                <w:rFonts w:ascii="Times New Roman" w:hAnsi="Times New Roman"/>
                <w:color w:val="000000"/>
                <w:sz w:val="18"/>
              </w:rPr>
              <w:t>and 85,628</w:t>
            </w:r>
            <w:r>
              <w:rPr>
                <w:rFonts w:ascii="Times New Roman" w:hAnsi="Times New Roman"/>
                <w:color w:val="000000"/>
                <w:sz w:val="20"/>
              </w:rPr>
              <w:t> </w:t>
            </w:r>
            <w:r>
              <w:rPr>
                <w:rFonts w:ascii="Times New Roman" w:hAnsi="Times New Roman"/>
                <w:color w:val="000000"/>
                <w:sz w:val="18"/>
              </w:rPr>
              <w:t xml:space="preserve">shares issued and outstanding as of </w:t>
              <w:br/>
              <w:t>   December 31, 2024 and 2023, respectively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sz w:val="20"/>
              </w:rPr>
            </w:pPr>
            <w:r>
              <w:rPr>
                <w:rFonts w:ascii="Times New Roman" w:hAnsi="Times New Roman"/>
                <w:color w:val="000000"/>
                <w:sz w:val="18"/>
              </w:rPr>
              <w:t>Class B common stock, $0.00001</w:t>
            </w:r>
            <w:r>
              <w:rPr>
                <w:rFonts w:ascii="Times New Roman" w:hAnsi="Times New Roman"/>
                <w:color w:val="000000"/>
                <w:sz w:val="20"/>
              </w:rPr>
              <w:t> </w:t>
            </w:r>
            <w:r>
              <w:rPr>
                <w:rFonts w:ascii="Times New Roman" w:hAnsi="Times New Roman"/>
                <w:color w:val="000000"/>
                <w:sz w:val="18"/>
              </w:rPr>
              <w:t>par value per share; 600,000</w:t>
              <w:br/>
              <w:t xml:space="preserve">   shares authorized as of December 31, 2024 and 2023; </w:t>
              <w:br/>
              <w:t>   33,093</w:t>
            </w:r>
            <w:r>
              <w:rPr>
                <w:rFonts w:ascii="Times New Roman" w:hAnsi="Times New Roman"/>
                <w:color w:val="000000"/>
                <w:sz w:val="20"/>
              </w:rPr>
              <w:t> </w:t>
            </w:r>
            <w:r>
              <w:rPr>
                <w:rFonts w:ascii="Times New Roman" w:hAnsi="Times New Roman"/>
                <w:color w:val="000000"/>
                <w:sz w:val="18"/>
              </w:rPr>
              <w:t>and 34,382</w:t>
            </w:r>
            <w:r>
              <w:rPr>
                <w:rFonts w:ascii="Times New Roman" w:hAnsi="Times New Roman"/>
                <w:color w:val="000000"/>
                <w:sz w:val="20"/>
              </w:rPr>
              <w:t> </w:t>
            </w:r>
            <w:r>
              <w:rPr>
                <w:rFonts w:ascii="Times New Roman" w:hAnsi="Times New Roman"/>
                <w:color w:val="000000"/>
                <w:sz w:val="18"/>
              </w:rPr>
              <w:t xml:space="preserve">shares issued and outstanding as of </w:t>
              <w:br/>
              <w:t>   December 31, 2024 and 2023, respectively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Additional paid-in capital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658,463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Accumulated deficit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(457,849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(363,530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6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stockholders’ equity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296,556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294,753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445,911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433,684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fin143868_3"/>
      <w:bookmarkEnd w:id="19"/>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0" w:name="consolidatedstatementsofoperations"/>
      <w:bookmarkEnd w:id="20"/>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4"/>
        <w:gridCol w:w="254"/>
        <w:gridCol w:w="958"/>
        <w:gridCol w:w="166"/>
        <w:gridCol w:w="160"/>
        <w:gridCol w:w="254"/>
        <w:gridCol w:w="958"/>
        <w:gridCol w:w="166"/>
        <w:gridCol w:w="160"/>
        <w:gridCol w:w="254"/>
        <w:gridCol w:w="958"/>
        <w:gridCol w:w="613"/>
      </w:tblGrid>
      <w:tr>
        <w:trPr/>
        <w:tc>
          <w:tcPr>
            <w:tcW w:w="530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238,067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70,442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222,348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167,625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Research and development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80,589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Sales and marketing</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153,714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129,962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General and administrative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53,636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operating expenses</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329,731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306,881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264,187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(expense), net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(92,581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Provision for (benefit from) income taxes</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Net loss</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(93,377</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Basic and diluted</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(0.84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w:t>
              <w:br/>
              <w:t>   Class A and Class B common stockholders:</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Basic and diluted</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116,938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111,437</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comprehensive loss</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Net unrealized gains (losses) on marketable securities</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Comprehensive loss</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(94,131</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onsolidatedstatementsofequity"/>
      <w:bookmarkEnd w:id="21"/>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80"/>
        <w:gridCol w:w="160"/>
        <w:gridCol w:w="154"/>
        <w:gridCol w:w="634"/>
        <w:gridCol w:w="159"/>
        <w:gridCol w:w="169"/>
        <w:gridCol w:w="269"/>
        <w:gridCol w:w="174"/>
        <w:gridCol w:w="416"/>
        <w:gridCol w:w="146"/>
        <w:gridCol w:w="160"/>
        <w:gridCol w:w="255"/>
        <w:gridCol w:w="149"/>
        <w:gridCol w:w="616"/>
        <w:gridCol w:w="151"/>
        <w:gridCol w:w="160"/>
        <w:gridCol w:w="195"/>
        <w:gridCol w:w="364"/>
        <w:gridCol w:w="978"/>
        <w:gridCol w:w="151"/>
        <w:gridCol w:w="160"/>
        <w:gridCol w:w="255"/>
        <w:gridCol w:w="163"/>
        <w:gridCol w:w="722"/>
        <w:gridCol w:w="151"/>
        <w:gridCol w:w="160"/>
        <w:gridCol w:w="255"/>
        <w:gridCol w:w="175"/>
        <w:gridCol w:w="722"/>
        <w:gridCol w:w="202"/>
      </w:tblGrid>
      <w:tr>
        <w:trPr/>
        <w:tc>
          <w:tcPr>
            <w:tcW w:w="17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7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4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Accumulated 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Total</w:t>
              <w:br/>
              <w:t>stockholders’</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Shares</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4"/>
              </w:rPr>
            </w:pPr>
            <w:r>
              <w:rPr>
                <w:rFonts w:ascii="Times New Roman" w:hAnsi="Times New Roman"/>
                <w:b/>
                <w:color w:val="000000"/>
                <w:sz w:val="14"/>
              </w:rPr>
              <w:t>equity</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Balance at December 31, 2021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109,876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486,354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(179,807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306,548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Stock-based compensation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68,576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68,576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Exercise of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2,499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6,899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6,899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Vesting of early exercised stock options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2,323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2,323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Vesting of restricted stock units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1,482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Issuance of common stock under</w:t>
              <w:br/>
              <w:t>   employee stock purchase plan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350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4,738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Repurchase of unvested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(8</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Cumulative impact of Topic 842 adoption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(93,377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(93,377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Other comprehensive income (loss),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(754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(754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Balance at December 31, 2022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114,199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568,889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(754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(273,167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294,969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Stock-based compensation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90,022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90,022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Exercise of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1,651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4,619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4,619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Vesting of early exercised stock options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715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715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Vesting of restricted stock units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4,754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Issuance of common stock under</w:t>
              <w:br/>
              <w:t>   employee stock purchase plan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4,062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4,062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Tax withholding on net share settlement</w:t>
              <w:br/>
              <w:t>   of restricted stock units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(891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(9,844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(9,844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Repurchase of unvested stock options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(90,363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(90,363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Other comprehensive income (loss),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573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573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Balance at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120,010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658,463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(363,530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294,753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Stock-based compensation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105,033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105,033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Exercise of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2,256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6,506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6,506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Issuance of common stock in connection with an acquisition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2,211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6,836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6,836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Vesting of early exercised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Vesting of restricted stock units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6,795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Issuance of common stock under</w:t>
              <w:br/>
              <w:t>   employee stock purchase plan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469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3,755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3,755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Tax withholding on net share settlement</w:t>
              <w:br/>
              <w:t>   of restricted stock units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(2,553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(26,215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(26,215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(94,319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(94,319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Other comprehensive income (loss),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187</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Balance at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129,188</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754,398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4"/>
              </w:rPr>
            </w:pPr>
            <w:r>
              <w:rPr>
                <w:rFonts w:ascii="Times New Roman" w:hAnsi="Times New Roman"/>
                <w:color w:val="000000"/>
                <w:sz w:val="14"/>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(457,849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4"/>
              </w:rPr>
              <w:t>$</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4"/>
              </w:rPr>
            </w:pPr>
            <w:r>
              <w:rPr>
                <w:rFonts w:ascii="Times New Roman" w:hAnsi="Times New Roman"/>
                <w:color w:val="000000"/>
                <w:sz w:val="14"/>
              </w:rPr>
              <w:t>296,556</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fin143868_5"/>
      <w:bookmarkEnd w:id="22"/>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3" w:name="consolidatedstatementsofcashflows"/>
      <w:bookmarkEnd w:id="2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4"/>
        <w:gridCol w:w="160"/>
        <w:gridCol w:w="211"/>
        <w:gridCol w:w="855"/>
        <w:gridCol w:w="166"/>
        <w:gridCol w:w="160"/>
        <w:gridCol w:w="211"/>
        <w:gridCol w:w="795"/>
        <w:gridCol w:w="166"/>
        <w:gridCol w:w="160"/>
        <w:gridCol w:w="211"/>
        <w:gridCol w:w="795"/>
        <w:gridCol w:w="1011"/>
      </w:tblGrid>
      <w:tr>
        <w:trPr/>
        <w:tc>
          <w:tcPr>
            <w:tcW w:w="53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flows from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(93,377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67,223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Other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Non-cash operating lease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Accounts receivable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Deferred commissions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(8,032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Other noncurrent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Accounts payable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(2,884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Accrued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4,574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Deferred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20,698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20"/>
              </w:rPr>
            </w:pPr>
            <w:r>
              <w:rPr>
                <w:rFonts w:ascii="Times New Roman" w:hAnsi="Times New Roman"/>
                <w:color w:val="000000"/>
                <w:sz w:val="20"/>
              </w:rPr>
              <w:t>Operating lease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(3,616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800" w:right="14"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(5,384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flows provided by (used in)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received from maturities of marketable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(146,270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(83,190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(3,632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paid for acquisitions, net of cash acquired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800" w:right="14"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(89,393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flows provided by (used in)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6,910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received for tax withholding obligations on equity</w:t>
              <w:br/>
              <w:t>   award settlements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17,992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paid for tax withholding obligations on equity award settlements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Repurchase of unvested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800" w:right="14"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800" w:right="14" w:firstLine="800"/>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(88,946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219,349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308,295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219,349</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paid for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424</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Non-cash investing and financing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Vesting of early exercised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2,323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Purchases of property and equipment included in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Stock-based compensation capitalized as internal-use software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Issuance of common stock in connection with business combinations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4" w:name="notestotheconsolidatedfinancial"/>
      <w:bookmarkEnd w:id="24"/>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Summary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Amplitude, Inc. (the “Company”) was incorporated in the state of Delaware in 2011 and is headquartered in San Francisco, California. The Company provides a Digital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single operating and reportable segment. The software segment provides a Digital Analytics Platform to customers using a SaaS model. The Company derives revenue primarily in the United States and manages the business activities on a consolidated basis. The accounting policies of the software segment are the same as those described in the summary of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operating decision maker, who, in the Company’s case, is the Chief Executive Officer (“CEO”), assesses performance for the software segment and decides how to allocate resources based on functional expenses exclusive of stock-based compensation, amortization of acquired intangible assets, non-recurring charges such as restructuring and other related charges as well as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R&amp;D, product developments, personnel, and other expenses. The measure of segment assets is reported on the balance sheet as total consolidated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sets forth operating segment information (in thousands):</w:t>
      </w:r>
    </w:p>
    <w:p>
      <w:pPr>
        <w:pStyle w:val="TextBody"/>
        <w:bidi w:val="0"/>
        <w:spacing w:before="120" w:after="283"/>
        <w:jc w:val="left"/>
        <w:rPr/>
      </w:pPr>
      <w:r>
        <w:rPr/>
        <w:t> </w:t>
      </w:r>
    </w:p>
    <w:tbl>
      <w:tblPr>
        <w:tblW w:w="6371" w:type="dxa"/>
        <w:jc w:val="left"/>
        <w:tblInd w:w="0" w:type="dxa"/>
        <w:tblLayout w:type="fixed"/>
        <w:tblCellMar>
          <w:top w:w="28" w:type="dxa"/>
          <w:left w:w="28" w:type="dxa"/>
          <w:bottom w:w="28" w:type="dxa"/>
          <w:right w:w="28" w:type="dxa"/>
        </w:tblCellMar>
      </w:tblPr>
      <w:tblGrid>
        <w:gridCol w:w="2490"/>
        <w:gridCol w:w="211"/>
        <w:gridCol w:w="795"/>
        <w:gridCol w:w="166"/>
        <w:gridCol w:w="160"/>
        <w:gridCol w:w="211"/>
        <w:gridCol w:w="795"/>
        <w:gridCol w:w="166"/>
        <w:gridCol w:w="160"/>
        <w:gridCol w:w="211"/>
        <w:gridCol w:w="795"/>
        <w:gridCol w:w="211"/>
      </w:tblGrid>
      <w:tr>
        <w:trPr/>
        <w:tc>
          <w:tcPr>
            <w:tcW w:w="2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7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238,067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61,957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segment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Consolidated 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(93,377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4"/>
        </w:rPr>
      </w:pPr>
      <w:r>
        <w:rPr>
          <w:rFonts w:ascii="Times New Roman" w:hAnsi="Times New Roman"/>
          <w:color w:val="000000"/>
          <w:sz w:val="16"/>
        </w:rPr>
        <w:t>Amounts exclude other segment expenses as follows:</w:t>
      </w:r>
      <w:r>
        <w:rPr>
          <w:rFonts w:ascii="Times New Roman" w:hAnsi="Times New Roman"/>
          <w:color w:val="000000"/>
          <w:sz w:val="24"/>
        </w:rPr>
        <w:t xml:space="preserve"> </w:t>
      </w:r>
    </w:p>
    <w:p>
      <w:pPr>
        <w:pStyle w:val="TextBody"/>
        <w:bidi w:val="0"/>
        <w:jc w:val="left"/>
        <w:rPr/>
      </w:pPr>
      <w:r>
        <w:rPr/>
        <w:t> </w:t>
      </w:r>
    </w:p>
    <w:tbl>
      <w:tblPr>
        <w:tblW w:w="9476" w:type="dxa"/>
        <w:jc w:val="left"/>
        <w:tblInd w:w="0" w:type="dxa"/>
        <w:tblLayout w:type="fixed"/>
        <w:tblCellMar>
          <w:top w:w="28" w:type="dxa"/>
          <w:left w:w="28" w:type="dxa"/>
          <w:bottom w:w="28" w:type="dxa"/>
          <w:right w:w="28" w:type="dxa"/>
        </w:tblCellMar>
      </w:tblPr>
      <w:tblGrid>
        <w:gridCol w:w="5865"/>
        <w:gridCol w:w="211"/>
        <w:gridCol w:w="795"/>
        <w:gridCol w:w="146"/>
        <w:gridCol w:w="160"/>
        <w:gridCol w:w="211"/>
        <w:gridCol w:w="690"/>
        <w:gridCol w:w="146"/>
        <w:gridCol w:w="160"/>
        <w:gridCol w:w="211"/>
        <w:gridCol w:w="690"/>
        <w:gridCol w:w="191"/>
      </w:tblGrid>
      <w:tr>
        <w:trPr/>
        <w:tc>
          <w:tcPr>
            <w:tcW w:w="5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42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Stock-based compensation expense and related employer payroll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68,297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Amortization of acquired 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Restructuring and other related charges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other segment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70,314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reporting currency of the Company is the United States dollar. The functional currency of the Company’s foreign subsidiaries is also the United States dollar. Foreign currency transaction gains and losses are recognized in “Other income (expense), net” in the consolidated statements of operations and comprehensive loss, and have not been material for any of the periods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the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period of benefit for deferred commissions;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useful lives of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valuation of goodwill and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measurement, and valuation of deferred tax assets and income tax uncertainties;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borrowing rates used for operating leases.</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primarily from sales of subscription services. Revenue is recognized when, or as, the related performance obligation is satisfied by transferring the control of the promised service to a customer. The amount of revenue recognized reflects the consideration that the Company expects to be entitled to receive in exchange for these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achieve the core principle of the revenue standard, the Company applies the following steps: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Identification of the contract, or contracts, with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the terms and conditions of the contract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Identification of the performance obligations in the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whereby the transfer of the services and the products is separately identifiable from other promises in the contract. The Company’s performance obligations consist of (1) core subscription services and (2) professional and other services.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Determination of the transaction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price is determined based on the consideration to which the Company expects to be entitled in exchange for transferring services to the customer. The transaction price includes SaaS subscription fees based on the contracted usage as well as variable consideration associated with overage fees on exceeded volume limits.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(iv)</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Allocation of the transaction price to the performance obligations in the contract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Contracts that contain multiple performance obligations require an allocation of the transaction price to each performance obligation based on each performance obligation’s relative standalone selling price. Contracts typically have one performance obligation of providing access to the core subscription service. On occasion, contracts include professional services to customers, which are separate performance obligations. Professional services revenue has historically not been significant.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Recognition of the revenue when, or as, a performance obligation is satisfied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at the time the related performance obligation is satisfied by transferring the control of the promised service to a customer. For subscription services, revenue is recognized as the customer is given access to the core subscription service, in an amount that reflects the consideration that the Company expects to receive in exchange for access to the services. With respect to professional services, the Company recognizes revenue as services are delivered. The Company generates all its revenue from contracts with customers. </w:t>
      </w:r>
    </w:p>
    <w:p>
      <w:pPr>
        <w:pStyle w:val="TextBody"/>
        <w:bidi w:val="0"/>
        <w:spacing w:before="360" w:after="283"/>
        <w:jc w:val="left"/>
        <w:rPr>
          <w:rFonts w:ascii="Times New Roman" w:hAnsi="Times New Roman"/>
          <w:sz w:val="20"/>
        </w:rPr>
      </w:pPr>
      <w:r>
        <w:rPr>
          <w:rFonts w:ascii="Times New Roman" w:hAnsi="Times New Roman"/>
          <w:i/>
          <w:color w:val="000000"/>
          <w:sz w:val="20"/>
        </w:rPr>
        <w:t>Subscription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generates revenue from subscription services including SaaS subscriptions and customer support services subject to contractual subscription terms. SaaS subscriptions enable customers to access and send event volume data to the Company’s cloud-based platform. Subscription arrangements with customers do not provide the customer with the right to take possession of the Company’s software at any time. Instead, customers are granted continuous access to the platform over the contractual period. A time-elapsed method is used to measure progress because the Company’s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Typical subscription terms are in increments of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 </w:t>
      </w:r>
    </w:p>
    <w:p>
      <w:pPr>
        <w:pStyle w:val="TextBody"/>
        <w:bidi w:val="0"/>
        <w:spacing w:before="360" w:after="283"/>
        <w:jc w:val="left"/>
        <w:rPr>
          <w:rFonts w:ascii="Times New Roman" w:hAnsi="Times New Roman"/>
          <w:sz w:val="20"/>
        </w:rPr>
      </w:pPr>
      <w:r>
        <w:rPr>
          <w:rFonts w:ascii="Times New Roman" w:hAnsi="Times New Roman"/>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contracts with customers generally include one combined performance obligation, its core subscription offering, which is a series of distinct services transferred to the customer ratably over the respective obligation’s term. Other performance obligations that may be identified in contracts include professional services. As of December 31, 2024, the unrecognized transaction price related to remaining performance obligations was $308.6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remaining performance obligations as of December 31, 2024 are expected to be recognized as follows (in thousands): </w:t>
      </w:r>
    </w:p>
    <w:p>
      <w:pPr>
        <w:pStyle w:val="TextBody"/>
        <w:bidi w:val="0"/>
        <w:jc w:val="left"/>
        <w:rPr/>
      </w:pPr>
      <w:r>
        <w:rPr/>
        <w:t> </w:t>
      </w:r>
    </w:p>
    <w:tbl>
      <w:tblPr>
        <w:tblW w:w="6715" w:type="dxa"/>
        <w:jc w:val="left"/>
        <w:tblInd w:w="0" w:type="dxa"/>
        <w:tblLayout w:type="fixed"/>
        <w:tblCellMar>
          <w:top w:w="28" w:type="dxa"/>
          <w:left w:w="28" w:type="dxa"/>
          <w:bottom w:w="28" w:type="dxa"/>
          <w:right w:w="28" w:type="dxa"/>
        </w:tblCellMar>
      </w:tblPr>
      <w:tblGrid>
        <w:gridCol w:w="3465"/>
        <w:gridCol w:w="160"/>
        <w:gridCol w:w="276"/>
        <w:gridCol w:w="1043"/>
        <w:gridCol w:w="146"/>
        <w:gridCol w:w="160"/>
        <w:gridCol w:w="267"/>
        <w:gridCol w:w="1007"/>
        <w:gridCol w:w="191"/>
      </w:tblGrid>
      <w:tr>
        <w:trPr/>
        <w:tc>
          <w:tcPr>
            <w:tcW w:w="34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br/>
              <w:t xml:space="preserve">December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b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than or equal to 12 months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188,456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Greater than 12 months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85,315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50,962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remaining performance obligations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308,635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239,418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Company’s disaggregation of revenue by geographic areas, as determined based on the address of the Company's customers (in thousands): </w:t>
      </w:r>
    </w:p>
    <w:p>
      <w:pPr>
        <w:pStyle w:val="TextBody"/>
        <w:bidi w:val="0"/>
        <w:jc w:val="left"/>
        <w:rPr/>
      </w:pPr>
      <w:r>
        <w:rPr/>
        <w:t> </w:t>
      </w:r>
    </w:p>
    <w:tbl>
      <w:tblPr>
        <w:tblW w:w="5241" w:type="dxa"/>
        <w:jc w:val="left"/>
        <w:tblInd w:w="0" w:type="dxa"/>
        <w:tblLayout w:type="fixed"/>
        <w:tblCellMar>
          <w:top w:w="28" w:type="dxa"/>
          <w:left w:w="28" w:type="dxa"/>
          <w:bottom w:w="28" w:type="dxa"/>
          <w:right w:w="28" w:type="dxa"/>
        </w:tblCellMar>
      </w:tblPr>
      <w:tblGrid>
        <w:gridCol w:w="1260"/>
        <w:gridCol w:w="160"/>
        <w:gridCol w:w="211"/>
        <w:gridCol w:w="795"/>
        <w:gridCol w:w="146"/>
        <w:gridCol w:w="160"/>
        <w:gridCol w:w="211"/>
        <w:gridCol w:w="795"/>
        <w:gridCol w:w="146"/>
        <w:gridCol w:w="160"/>
        <w:gridCol w:w="211"/>
        <w:gridCol w:w="795"/>
        <w:gridCol w:w="191"/>
      </w:tblGrid>
      <w:tr>
        <w:trPr/>
        <w:tc>
          <w:tcPr>
            <w:tcW w:w="12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United States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180,091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167,919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146,415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International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119,181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108,365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91,652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238,067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Accounts Receivable,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primarily comprised of cash due from customers and are recorded at the invoiced amount, net of an allowance for doubtful accounts. The Company has a well-established collections history from its customers. Credit is extended to customers based on an evaluation of their financial condition and other factors. In determining the necessary allowance for doubtful accounts, the Company estimates the lifetime expected credit losses against the existing accounts receivable balance. The Company's estimate is based on certain factors including historical loss rates, current economic conditions, reasonable and supportable forecasts, and customer-specific circumstances. The Company maintained an allowance of $1.4 million and $1.1 million for doubtful accounts as of December 31, 2024 and 2023, respectively. The movements in the allowance for doubtful accounts were not material for any of the periods presented. The Company does not have any off-balance-sheet credit exposure related to its customers.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Risk and Significant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customer accounted for 10% or more of total revenue for the years ended December 31, 2024, 2023, and 2022. As of December 31, 2024, no customers represented 10% or more of accounts receivable. As of December 31, 2023, one customer represented 10% of accounts receivable.</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billings of payments received in advance of revenue recognition and is recognized when, or as, performance obligations are satisfied. The Company generally invoices its customers annually or in semi-annual, quarterly, or monthly installments. Accordingly, the deferred revenue balance does not represent the total contract value of annual non-cancellable subscription agreements. The amount of revenue recognized in the years ended December 31, 2024 and 2023 that was included in deferred revenue at the beginning of the period was $102.0 million and $89.6 million,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Commissions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capitalizes sales commissions that are recoverable and incremental due to the acquisition of customer contracts. The Company determines whether costs should be deferred based on its sales compensation plans, if the commissions are in fact incremental and would not have occurred absent the customer contract.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The period of benefit is estimated by considering factors such as the expected life of the Company's subscription contracts, historical customer attrition rates, technological life of the Company's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The Company determines the period of benefit for renewal subscription contracts by considering the contractual term for renewal contracts.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 of operations and comprehensive loss. The Company periodically reviews these deferred commissions to determine whether events or changes in circumstances have occurred that could impact recoverability or the period of benefit. There were no impairment losses recorded during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represents a roll-forward of the Company’s deferred commissions as of December 31, 2024 and 2023 (in thousands): </w:t>
      </w:r>
    </w:p>
    <w:tbl>
      <w:tblPr>
        <w:tblW w:w="6354" w:type="dxa"/>
        <w:jc w:val="left"/>
        <w:tblInd w:w="0" w:type="dxa"/>
        <w:tblLayout w:type="fixed"/>
        <w:tblCellMar>
          <w:top w:w="28" w:type="dxa"/>
          <w:left w:w="28" w:type="dxa"/>
          <w:bottom w:w="28" w:type="dxa"/>
          <w:right w:w="28" w:type="dxa"/>
        </w:tblCellMar>
      </w:tblPr>
      <w:tblGrid>
        <w:gridCol w:w="3735"/>
        <w:gridCol w:w="160"/>
        <w:gridCol w:w="211"/>
        <w:gridCol w:w="750"/>
        <w:gridCol w:w="166"/>
        <w:gridCol w:w="160"/>
        <w:gridCol w:w="211"/>
        <w:gridCol w:w="750"/>
        <w:gridCol w:w="211"/>
      </w:tblGrid>
      <w:tr>
        <w:trPr/>
        <w:tc>
          <w:tcPr>
            <w:tcW w:w="37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4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Beginning balance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36,717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Additions to deferred commissions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13,656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Amortization of deferred commissions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(11,987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Ending balance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commissions, current portion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commissions, net of current portion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26,942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deferred commissions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primarily consists of costs related to third-party hosting costs; employee-related expenses, including salaries, stock-based compensation and benefits for operations and support personnel; software license fees; certain developed technology and acquired developed software amortization; and allocated overhead.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costs related to research, design, maintenance, and minor enhancements of the Company’s platform are expensed as incurred. These costs consist primarily of personnel-related expenses, including stock-based compensation and allocated overhead costs, contractor and consulting fees related to the design, development, testing, and enhancements of the Company’s platform, and software, hardware, and cloud infrastructure fees for staging and development related to research and development activities necessary to support growth in the Company’s employee base and in the adoption of its platform. </w:t>
      </w:r>
    </w:p>
    <w:p>
      <w:pPr>
        <w:pStyle w:val="TextBody"/>
        <w:bidi w:val="0"/>
        <w:spacing w:before="360" w:after="283"/>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expenses all advertising costs as incurred as a component of sales and marketing expenses. Advertising expenses of $5.9 million, $5.5 million, and $5.8 million were incurred during the years ended December 31, 2024, 2023, and 2022,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stock-based compensation expense for all stock-based awards, including stock options, restricted stock units (“RSUs”) and purchase rights issued under the 2021 Employee Stock Purchase Plan (“ESPP”), made to employees, non-employees, and directors based on estimated fair values recognized over the requisite service period. The Company measures and recognizes compensation expense for all stock-based payment awards granted to employees, directors, and non-employees based on the estimated fair values on the date of the grant and vesting criteria. For options, vesting is typically over a four-year period and is contingent upon continued employment on each vesting date. In general, options granted to newly hired employees vest ratably each month over a 36-month period to 48-month period. RSUs typically vest ratably each quarter over a three-year period and is contingent upon continued employment on each vesting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compensation expense for service-based stock-based awards as an expense over the employee’s or director’s requisite service period on a straight-line basis. Forfeitures are accounted for as they occur. Stock-based compensation expense is allocated to cost of revenue and operating expenses on the consolidated statements of operations and comprehensive loss based on where the associated employee’s functional department is 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stock options granted under the 2021 Plan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For stock options considered to be “plain vanilla” options, the Company estimates the expected term based on the simplified method, which is essentially the weighted average of the vesting period and contractual term, as the Company's historical option exercise experience does not provide a reasonable basis upon which to estimate the expected term. Depending on when the award was issued, the volatility is based on the historical volatility of the Company's Class A common stock or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or purchase right. The Company’s expected dividend yield input is zero as it has not historically paid, nor does it expect in the future to pay, cash dividends on its common stock. Stock-based compensation expense for RSUs granted under the 2021 Plan is measured based on the fair value of the underlying shares on the date of grant. </w:t>
      </w:r>
    </w:p>
    <w:p>
      <w:pPr>
        <w:pStyle w:val="TextBody"/>
        <w:bidi w:val="0"/>
        <w:spacing w:before="360" w:after="283"/>
        <w:jc w:val="left"/>
        <w:rPr>
          <w:rFonts w:ascii="Times New Roman" w:hAnsi="Times New Roman"/>
          <w:sz w:val="20"/>
        </w:rPr>
      </w:pPr>
      <w:r>
        <w:rPr>
          <w:rFonts w:ascii="Times New Roman" w:hAnsi="Times New Roman"/>
          <w:b/>
          <w:i/>
          <w:color w:val="000000"/>
          <w:sz w:val="20"/>
        </w:rPr>
        <w:t>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uncertain tax positions taken or expected to be taken in the course of preparing its tax return to determine whether the tax positions are more likely than not of being sustained upon challenge by the applicable tax authority.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a maturity of three months or less when purchased to be cash equivalents. Cash and cash equivalents are stated at fair value. Restricted cash represents cash held to collateralize lease obligations related to the Company's property leases. As of December 31, 2024, $0.9 million of restricted cash was recorded as current assets. As of December 31, 2023, $0.9 million of restricted cash was recorded as noncurrent assets. The following table represents the Company's cash, cash equivalents, and restricted cash at each period end (in thousands): </w:t>
      </w:r>
    </w:p>
    <w:tbl>
      <w:tblPr>
        <w:tblW w:w="6674" w:type="dxa"/>
        <w:jc w:val="left"/>
        <w:tblInd w:w="0" w:type="dxa"/>
        <w:tblLayout w:type="fixed"/>
        <w:tblCellMar>
          <w:top w:w="28" w:type="dxa"/>
          <w:left w:w="28" w:type="dxa"/>
          <w:bottom w:w="28" w:type="dxa"/>
          <w:right w:w="28" w:type="dxa"/>
        </w:tblCellMar>
      </w:tblPr>
      <w:tblGrid>
        <w:gridCol w:w="4005"/>
        <w:gridCol w:w="160"/>
        <w:gridCol w:w="211"/>
        <w:gridCol w:w="795"/>
        <w:gridCol w:w="146"/>
        <w:gridCol w:w="160"/>
        <w:gridCol w:w="211"/>
        <w:gridCol w:w="795"/>
        <w:gridCol w:w="191"/>
      </w:tblGrid>
      <w:tr>
        <w:trPr/>
        <w:tc>
          <w:tcPr>
            <w:tcW w:w="40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1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and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171,678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248,491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Restricted cash, 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Restricted cash, noncurrent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249,360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Investments in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marketable securities consist of commercial paper, corporate notes, and bonds, as well as U.S. Treasury and government agency securities. Management determines the appropriate classification of investments at the time of purchase and reevaluates such determination at each balance sheet date. Marketable securities are classified as available-for-sale and are carried at fair value in the consolidated balance sheets and are classified as short-term or long-term based on their remaining contractual maturities.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its investments with unrealized loss positions at the individual security level to determine whether the unrealized loss was related to credit or noncredit factors. The Company considers whether a credit loss exists based on the extent of the unrealized loss position, any adverse conditions specifically related to the security or the issuer's operating environment, pay structure of the security, the issuer's payment history and any changes in the issuer's credit rating. Estimated credit losses are determined using a discounted cash flow model and recorded as an allowance, with changes in expected credit losses on the Company's investments recorded in “Other income (expense), net” in the consolidated statements of operations and comprehensive loss. Unrealized gains and losses related to noncredit factors are reflected in “Accumulated other comprehensive income (loss)” on the consolidated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 Unadjusted quoted prices in active markets for identical assets or liabilities that are accessible at the measurement date for assets or liabilities; the fair value hierarchy gives the highest priority to Level 1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 – Unobservable inputs for the asset or liability used to measure fair value to the extent that observable inputs are not available, thereby allowing for situations in which there is little, if any, market activity for the asset or liability at the measurement date; the fair value hierarchy gives the lowest priority to Level 3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Observable inputs are based on market data obtained from independent sources. The fair value of cash, restricted cash, accounts receivable, accounts payable, and accrued liabilities approximated their carrying values as of December 31, 2024 and 2023 due to their short-term nature. The fair values of all of these instruments are categorized as Level 1 in the fair value hierarchy. The fair value of the Company's cash equivalents and marketable securities as categorized by the fair value level hierarchy is detailed in Note 3.</w:t>
      </w:r>
    </w:p>
    <w:p>
      <w:pPr>
        <w:pStyle w:val="TextBody"/>
        <w:bidi w:val="0"/>
        <w:spacing w:before="36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 using the acquisition method of accounting. The excess of the fair value of purchase consideration over the values of these identifiable assets and liabilities is recorded as goodwill. When determining the fair value of assets acquired and liabilities assumed, management makes significant estimates and assumptions, particularly to acquired intangible assets. These assumptions include, but are not limited to, projected revenue and costs. Management’s estimates of fair value are based upon assumptions believed to be reasonable, but which are inherently uncertain and unpredictable and, as a result, actual results may differ from estimates. Acquisition costs, such as legal and consulting fees, are expensed as incurred. During the measurement period, the Company may record adjustments to the assets acquired and liabilities assumed, with the corresponding offset to goodwill. Upon the conclusion of the measurement period, any subsequent adjustments are recorded in the consolidated statement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Other Acquired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net assets acquired in connection with business combinations accounted for using the acquisition method of accounting. The Company has one reporting unit and performs testing of goodwill in the fourth quarter of each year, or as events occur or circumstances change that would more likely than not reduce the fair value of a reporting unit below its carrying amount. These triggering events that may indicate impairment include, but are not limited to, a significant adverse change in customer demand or business climate that could affect the value of goodwill or a significant decrease in expected cash flows.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less than the carrying amount, then a quantitative goodwill impairment test is required. There were no impairments of goodwill recorded for the years ended December 31, 2024, 2023, and 2022.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Intangible assets mainly consist of developed technology resulting from the Company’s acquisitions. Acquired intangible assets are recorded at cost, net of accumulated amortization. Intangible assets are amortized on a straight-line basis over their estimated useful lives, which was determined to be one to five years based on the intangible asset class. For developed technology, amortization costs were included within cost of revenue in the consolidated statements of operations upon the related product release date. Long-lived assets, including intangible assets, are reviewed for impairment whenever events or changes in circumstances indicate that the carrying amount of the asset may not be recoverable. There was no impairment of intangible assets recorded for the years ended December 31, 2024, 2023, and 2022.</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is calculated on a straight-line basis over the estimated useful lives of those assets, as follows: </w:t>
      </w:r>
    </w:p>
    <w:tbl>
      <w:tblPr>
        <w:tblW w:w="7075" w:type="dxa"/>
        <w:jc w:val="left"/>
        <w:tblInd w:w="0" w:type="dxa"/>
        <w:tblLayout w:type="fixed"/>
        <w:tblCellMar>
          <w:top w:w="28" w:type="dxa"/>
          <w:left w:w="28" w:type="dxa"/>
          <w:bottom w:w="28" w:type="dxa"/>
          <w:right w:w="28" w:type="dxa"/>
        </w:tblCellMar>
      </w:tblPr>
      <w:tblGrid>
        <w:gridCol w:w="3405"/>
        <w:gridCol w:w="160"/>
        <w:gridCol w:w="3510"/>
      </w:tblGrid>
      <w:tr>
        <w:trPr/>
        <w:tc>
          <w:tcPr>
            <w:tcW w:w="34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34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Property</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351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Useful Life</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Office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3 years</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Furniture and fixtures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3 years</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Leasehold improvements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Shorter of remaining lease term or 5 years</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Software including internal-use software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Maintenance and repairs are charged to expense as incurred and improvements are capitalized. When assets are retired or otherwise disposed of, the cost and accumulated depreciation is removed from the accounts and any resulting gain or loss is reflected in the statements of operations and comprehensive loss for the period realized.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is, or contains, a lease at inception. Leases arise from contractual obligations that convey the right to control the use of identified property, plant or equipment for a period of time in exchange for consideration. The Company determines whether an arrangement is or contains a lease at inception, based on whether there is an identified asset and whether the Company controls the use of the identified asset throughout the period of use. At lease commencement date, the Company determines lease classification between finance and operating, allocates the consideration to the lease and non-lease components and recognizes a right-of-use (“ROU”) asset and corresponding lease liability for each lease component. ROU assets represent the Company’s right to use an underlying asset for the lease term and lease liabilities represent the Company’s obligation to make lease payments based on the lease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 ROU assets and liabilities were recognized at adoption date or lease commencement date, based on the present value of lease payments over the remaining lease term. The Company’s lease contracts do not provide an implicit rate, as such the Company used its incremental borrowing rate based on the information available at adoption date or lease commencement date, if the commencement date was after January 1, 2022, in determining the present value of lease payments. The operating lease ROU assets also include any lease payments made to the lessors at or before the lease commencement date, and excludes lease incentives. The lease terms may include options to extend or terminate the lease when it is reasonably certain that the Company will exercise that option.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lease liability is initially measured as the present value of the remaining lease payments over the lease term. The discount rate used to determine the present value is the Company's incremental borrowing rate unless the interest rate implicit in the lease is readily determinable. The Company estimates the incremental borrowing rate based on the information available at lease commencement date for borrowings with a similar term. The ROU asset is initially measured as the present value of the lease payments, adjusted for initial direct costs, prepaid lease payments to lessors and lease incentives. The operating lease right-of-use assets and liabilities recognized at January 1, 2022, the adoption date, were based on the present value of lease payments over the remaining lease term as of that date, using the incremental borrowing rate as of that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elected the practical expedients to not recognize right-of-use assets and liabilities for leases with a term of less than twelve months and to not separate non-lease components from the associated lease components for the Company's office leases and certain other asset classes. The total consideration includes fixed payments and contractual escalation provisions. The Company is responsible for maintenance, insurance, property taxes and other variable payments, which are expensed as incurred. The Company's leases include options to renew or terminate. The Company includes the option to renew or terminate in the determination of the lease term when the option is deemed to be reasonably certain that the Company will exercise that option. The Company accounts for changes in the expected lease term as a modification of the original contract.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leases are classified in “Operating lease right-of-use assets” and “Operating lease liabilities, noncurrent” on the Company's consolidated balance sheets. The current balance of the operating lease liabilities is included within “Accrued expenses” on the Company's consolidated balance sheets. Operating lease expense is recognized on a straight-line basis over the expected lease term and included in “Operating expenses” in the Company's consolidated statements of operations and comprehensive loss.</w:t>
      </w:r>
    </w:p>
    <w:p>
      <w:pPr>
        <w:pStyle w:val="TextBody"/>
        <w:bidi w:val="0"/>
        <w:spacing w:before="360" w:after="283"/>
        <w:jc w:val="left"/>
        <w:rPr>
          <w:rFonts w:ascii="Times New Roman" w:hAnsi="Times New Roman"/>
          <w:sz w:val="20"/>
        </w:rPr>
      </w:pPr>
      <w:r>
        <w:rPr>
          <w:rFonts w:ascii="Times New Roman" w:hAnsi="Times New Roman"/>
          <w:b/>
          <w:i/>
          <w:color w:val="000000"/>
          <w:sz w:val="20"/>
        </w:rPr>
        <w:t>Capitalized Internal-Use Software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capitalizes development costs related to its platform and certain other projects for internal use. The Company considered the guidance set forth in Financial Accounting Standards Board (“FASB”) Accounting Standards Codification (“ASC”) Subtopic 350-40-15, </w:t>
      </w:r>
      <w:r>
        <w:rPr>
          <w:rFonts w:ascii="Times New Roman" w:hAnsi="Times New Roman"/>
          <w:i/>
          <w:color w:val="000000"/>
          <w:sz w:val="20"/>
        </w:rPr>
        <w:t>Accounting for the Cost of Computer Software Developed or Obtained for Internal Use</w:t>
      </w:r>
      <w:r>
        <w:rPr>
          <w:rFonts w:ascii="Times New Roman" w:hAnsi="Times New Roman"/>
          <w:color w:val="000000"/>
          <w:sz w:val="20"/>
        </w:rPr>
        <w:t>, which requires companies to capitalize qualifying computer software costs that are incurred during the application development stage, and then amortize them over the software’s estimated useful life. Costs related to preliminary project activities and post-implementation activities are expensed as incurred. Capitalized internal-use software costs are included in “Property and equipment, net” on the Company's consolidated balance sheets and are amortized on a straight-line basis over its estimated useful life into cost of revenue within the consolidated statements of operations and comprehensive loss. All software development costs prior to capitalization have been recorded in research and development expense in the consolidated statements of operations. There was no impairment to capitalized internal-use software costs during the years ended December 31, 2024, 2023, and 2022.</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comparison of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No impairment loss on long-lived assets was recognized in the years ended December 31, 2024, 2023, and 2022.</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delivers its applications over the internet as a subscription service using a SaaS model. Each subscription is subject to the terms of the contractual arrangement with the customer and often includes certain provisions for holding the customer harmless against and indemnifying the customer from costs, damages, losses, liabilities, and expenses arising from claims that the Company’s software infringes upon a copyright, trademark, or other trade secret rights, and third-party claims arising from the Company’s breach of the contract. Customers also indemnify the Company for claims relating their improper use of the service or intellectual property claims originating from customer actions or content.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incurred any expense in defense or reimbursement of any of its customers for losses related to indemnification provisions, and no material claims against the Company are outstanding as of December 31, 2024, 2023, and 2022. The Company’s exposure under these indemnification provisions is often capped at a fixed amount in many customer agreements and uncapped in others. Due primarily to the lack of history of prior indemnification claims and the unique facts and circumstances involved in each particular contractual arrangement, the Company has determined that potential costs related to indemnification are not probable or estimable and, as such, has not recorded a reserve for the years ended December 31, 2024 and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the ordinary course of business, the Company may provide indemnifications of varying scope and terms to vendors, directors, officers, and other parties with respect to certain matters. The Company has not incurred any material costs as a result of such indemnifications and have not accrued any liabilities related to such obligations in its consolidated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Warranties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certain customers, the Company provides a performance warranty for accessibility to the Company’s platform as identified in an order form during the order duration. The Company’s software products are generally warranted for certain customers to substantially conform to the specifications set forth in the related customer contract and published documentation. In the event there is a failure of such warranties, the Company generally will correct the problem or provide a reasonable workaround or replacement product. The Company has the standard 30-day cure period for failures that amount to a material breach, and no warranted time frame for nonmaterial failures. If the Company cannot correct or provide a workaround or replacement product for material failures within the cure period, then the customer’s remedy is generally limited to termination of the contractual arrangement related to the nonconforming product services with a pro rata refund of the related fees paid. The Company has not incurred significant expense under these service warranties, nor does it expect that any future expense is probable. Accordingly, the Company has determined that potential costs related to warranties are not probable or estimable and, as such, has not recorded a reserve as of December 31, 2024 and 2023.</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FASB issued Accounting Standards Update (“ASU”) No. 2023-07, Segment Reporting (Topic 280): Improvements to Reportable Segment Disclosures. The amendments improve reportable segment disclosure requirements, primarily through enhanced disclosures about significant segment expenses. All disclosure requirements of ASU 2023-07 are required for entities with a single reportable segment. Upon adoption, the guidance should be applied retrospectively to all prior periods presented in the financial statements. The new standard is effective for the Company for the annual periods beginning January 1, 2024, and for interim periods beginning January 1, 2025. The Company adopted the standard as of January 1, 2024.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Accounting Standards Update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show the Company’s financial statement details as of December 31, 2024 and 2023. </w:t>
      </w:r>
    </w:p>
    <w:p>
      <w:pPr>
        <w:pStyle w:val="TextBody"/>
        <w:bidi w:val="0"/>
        <w:spacing w:before="36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6729" w:type="dxa"/>
        <w:jc w:val="left"/>
        <w:tblInd w:w="0" w:type="dxa"/>
        <w:tblLayout w:type="fixed"/>
        <w:tblCellMar>
          <w:top w:w="28" w:type="dxa"/>
          <w:left w:w="28" w:type="dxa"/>
          <w:bottom w:w="28" w:type="dxa"/>
          <w:right w:w="28" w:type="dxa"/>
        </w:tblCellMar>
      </w:tblPr>
      <w:tblGrid>
        <w:gridCol w:w="4070"/>
        <w:gridCol w:w="160"/>
        <w:gridCol w:w="211"/>
        <w:gridCol w:w="690"/>
        <w:gridCol w:w="146"/>
        <w:gridCol w:w="160"/>
        <w:gridCol w:w="211"/>
        <w:gridCol w:w="690"/>
        <w:gridCol w:w="391"/>
      </w:tblGrid>
      <w:tr>
        <w:trPr/>
        <w:tc>
          <w:tcPr>
            <w:tcW w:w="40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0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Prepaid hosting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prepaid expenses and other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prepaid expense and other 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16,624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6824" w:type="dxa"/>
        <w:jc w:val="left"/>
        <w:tblInd w:w="0" w:type="dxa"/>
        <w:tblLayout w:type="fixed"/>
        <w:tblCellMar>
          <w:top w:w="28" w:type="dxa"/>
          <w:left w:w="28" w:type="dxa"/>
          <w:bottom w:w="28" w:type="dxa"/>
          <w:right w:w="28" w:type="dxa"/>
        </w:tblCellMar>
      </w:tblPr>
      <w:tblGrid>
        <w:gridCol w:w="4065"/>
        <w:gridCol w:w="160"/>
        <w:gridCol w:w="211"/>
        <w:gridCol w:w="750"/>
        <w:gridCol w:w="166"/>
        <w:gridCol w:w="160"/>
        <w:gridCol w:w="211"/>
        <w:gridCol w:w="690"/>
        <w:gridCol w:w="411"/>
      </w:tblGrid>
      <w:tr>
        <w:trPr/>
        <w:tc>
          <w:tcPr>
            <w:tcW w:w="40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8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Office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Furniture and fixtures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Leasehold improvements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Internal-use software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10,467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property and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17,430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Property and equipment,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related to property and equipment for the years ended December 31, 2024, 2023, and 2022 was $5.4 million, $4.2 million, and $2.6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changes in the carrying value of capitalized internal-use software costs for the periods presented below are as follows (in thousands): </w:t>
      </w:r>
    </w:p>
    <w:p>
      <w:pPr>
        <w:pStyle w:val="TextBody"/>
        <w:bidi w:val="0"/>
        <w:jc w:val="left"/>
        <w:rPr/>
      </w:pPr>
      <w:r>
        <w:rPr/>
        <w:t> </w:t>
      </w:r>
    </w:p>
    <w:tbl>
      <w:tblPr>
        <w:tblW w:w="4962" w:type="dxa"/>
        <w:jc w:val="left"/>
        <w:tblInd w:w="0" w:type="dxa"/>
        <w:tblLayout w:type="fixed"/>
        <w:tblCellMar>
          <w:top w:w="28" w:type="dxa"/>
          <w:left w:w="28" w:type="dxa"/>
          <w:bottom w:w="28" w:type="dxa"/>
          <w:right w:w="28" w:type="dxa"/>
        </w:tblCellMar>
      </w:tblPr>
      <w:tblGrid>
        <w:gridCol w:w="3690"/>
        <w:gridCol w:w="160"/>
        <w:gridCol w:w="211"/>
        <w:gridCol w:w="690"/>
        <w:gridCol w:w="211"/>
      </w:tblGrid>
      <w:tr>
        <w:trPr/>
        <w:tc>
          <w:tcPr>
            <w:tcW w:w="36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Amortization of internal-use software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Amortization of internal-use software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13,019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6814" w:type="dxa"/>
        <w:jc w:val="left"/>
        <w:tblInd w:w="0" w:type="dxa"/>
        <w:tblLayout w:type="fixed"/>
        <w:tblCellMar>
          <w:top w:w="28" w:type="dxa"/>
          <w:left w:w="28" w:type="dxa"/>
          <w:bottom w:w="28" w:type="dxa"/>
          <w:right w:w="28" w:type="dxa"/>
        </w:tblCellMar>
      </w:tblPr>
      <w:tblGrid>
        <w:gridCol w:w="4155"/>
        <w:gridCol w:w="160"/>
        <w:gridCol w:w="211"/>
        <w:gridCol w:w="690"/>
        <w:gridCol w:w="146"/>
        <w:gridCol w:w="160"/>
        <w:gridCol w:w="211"/>
        <w:gridCol w:w="690"/>
        <w:gridCol w:w="391"/>
      </w:tblGrid>
      <w:tr>
        <w:trPr/>
        <w:tc>
          <w:tcPr>
            <w:tcW w:w="41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0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Accrued hosting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Accrued commission and bonus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Accrued payroll and employee related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Accrued sales tax</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2021 Employee Stock Purchase Plan withholding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liabilities, 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accrued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accrued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26,657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for financial assets measured at fair value, the respective fair value and classification by level of input within the fair value hierarchy (in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73"/>
        <w:gridCol w:w="160"/>
        <w:gridCol w:w="225"/>
        <w:gridCol w:w="172"/>
        <w:gridCol w:w="940"/>
        <w:gridCol w:w="146"/>
        <w:gridCol w:w="160"/>
        <w:gridCol w:w="225"/>
        <w:gridCol w:w="403"/>
        <w:gridCol w:w="998"/>
        <w:gridCol w:w="146"/>
        <w:gridCol w:w="160"/>
        <w:gridCol w:w="225"/>
        <w:gridCol w:w="407"/>
        <w:gridCol w:w="1009"/>
        <w:gridCol w:w="146"/>
        <w:gridCol w:w="160"/>
        <w:gridCol w:w="225"/>
        <w:gridCol w:w="206"/>
        <w:gridCol w:w="1124"/>
        <w:gridCol w:w="195"/>
      </w:tblGrid>
      <w:tr>
        <w:trPr/>
        <w:tc>
          <w:tcPr>
            <w:tcW w:w="27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7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685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Estimated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Level 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3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Money market funds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137,374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Level 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3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U.S. governmental and agency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12,826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Available-for-sale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U.S. governmental and agency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126,661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276,861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60"/>
        <w:gridCol w:w="225"/>
        <w:gridCol w:w="172"/>
        <w:gridCol w:w="939"/>
        <w:gridCol w:w="146"/>
        <w:gridCol w:w="160"/>
        <w:gridCol w:w="225"/>
        <w:gridCol w:w="401"/>
        <w:gridCol w:w="995"/>
        <w:gridCol w:w="146"/>
        <w:gridCol w:w="160"/>
        <w:gridCol w:w="225"/>
        <w:gridCol w:w="320"/>
        <w:gridCol w:w="1093"/>
        <w:gridCol w:w="166"/>
        <w:gridCol w:w="160"/>
        <w:gridCol w:w="225"/>
        <w:gridCol w:w="205"/>
        <w:gridCol w:w="1122"/>
        <w:gridCol w:w="195"/>
      </w:tblGrid>
      <w:tr>
        <w:trPr/>
        <w:tc>
          <w:tcPr>
            <w:tcW w:w="27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6860"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Estimated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Level 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13"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Money market funds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211,741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211,741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Level 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Available-for-sale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3"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U.S. governmental and agency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73,909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285,831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285,650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spacing w:before="0" w:after="6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sz w:val="24"/>
        </w:rPr>
      </w:pPr>
      <w:r>
        <w:rPr>
          <w:rFonts w:ascii="Times New Roman" w:hAnsi="Times New Roman"/>
          <w:color w:val="000000"/>
          <w:sz w:val="16"/>
        </w:rPr>
        <w:t>Included in “Cash and cash equivalents” in the Company's consolidated balance sheets as of December 31, 2024 and 2023, in addition to cash of $21.5</w:t>
      </w:r>
      <w:r>
        <w:rPr>
          <w:rFonts w:ascii="Times New Roman" w:hAnsi="Times New Roman"/>
          <w:color w:val="000000"/>
          <w:sz w:val="24"/>
        </w:rPr>
        <w:t xml:space="preserve"> </w:t>
      </w:r>
      <w:r>
        <w:rPr>
          <w:rFonts w:ascii="Times New Roman" w:hAnsi="Times New Roman"/>
          <w:color w:val="000000"/>
          <w:sz w:val="16"/>
        </w:rPr>
        <w:t>million</w:t>
      </w:r>
      <w:r>
        <w:rPr>
          <w:rFonts w:ascii="Times New Roman" w:hAnsi="Times New Roman"/>
          <w:color w:val="000000"/>
          <w:sz w:val="24"/>
        </w:rPr>
        <w:t xml:space="preserve"> </w:t>
      </w:r>
      <w:r>
        <w:rPr>
          <w:rFonts w:ascii="Times New Roman" w:hAnsi="Times New Roman"/>
          <w:color w:val="000000"/>
          <w:sz w:val="16"/>
        </w:rPr>
        <w:t>and $36.8</w:t>
      </w:r>
      <w:r>
        <w:rPr>
          <w:rFonts w:ascii="Times New Roman" w:hAnsi="Times New Roman"/>
          <w:color w:val="000000"/>
          <w:sz w:val="24"/>
        </w:rPr>
        <w:t xml:space="preserve"> </w:t>
      </w:r>
      <w:r>
        <w:rPr>
          <w:rFonts w:ascii="Times New Roman" w:hAnsi="Times New Roman"/>
          <w:color w:val="000000"/>
          <w:sz w:val="16"/>
        </w:rPr>
        <w:t xml:space="preserve">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Company's available-for-sale securities as of December 31, 2024, by remaining contractual maturities, was as follows (in thousands):</w:t>
      </w:r>
    </w:p>
    <w:p>
      <w:pPr>
        <w:pStyle w:val="TextBody"/>
        <w:bidi w:val="0"/>
        <w:jc w:val="left"/>
        <w:rPr/>
      </w:pPr>
      <w:r>
        <w:rPr/>
        <w:t> </w:t>
      </w:r>
    </w:p>
    <w:tbl>
      <w:tblPr>
        <w:tblW w:w="5610" w:type="dxa"/>
        <w:jc w:val="left"/>
        <w:tblInd w:w="0" w:type="dxa"/>
        <w:tblLayout w:type="fixed"/>
        <w:tblCellMar>
          <w:top w:w="28" w:type="dxa"/>
          <w:left w:w="28" w:type="dxa"/>
          <w:bottom w:w="28" w:type="dxa"/>
          <w:right w:w="28" w:type="dxa"/>
        </w:tblCellMar>
      </w:tblPr>
      <w:tblGrid>
        <w:gridCol w:w="2415"/>
        <w:gridCol w:w="160"/>
        <w:gridCol w:w="160"/>
        <w:gridCol w:w="160"/>
        <w:gridCol w:w="160"/>
        <w:gridCol w:w="160"/>
        <w:gridCol w:w="462"/>
        <w:gridCol w:w="1742"/>
        <w:gridCol w:w="191"/>
      </w:tblGrid>
      <w:tr>
        <w:trPr/>
        <w:tc>
          <w:tcPr>
            <w:tcW w:w="24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Due in one year or less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Due in greater than one year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57,242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126,661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periodically evaluates its investments for expected credit losses. The unrealized losses on the available-for-sale securities were primarily due to unfavorable changes in interest rates subsequent to the initial purchase of these securities. None of the Company's available-for-sale securities have been in a continuous unrealized loss position for twelve months or longer as of December 31, 2024.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December 31, 2024 and 2023 to represent a credit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 Intangible Assets, and Goodwill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15, 2024, the Company completed an acquisition of a privately-held company for an aggregate of $33.6 million, consisting of $26.7 million of cash and $6.9 million of equity consideration through the issuance of 0.8 million shares of its common stock. This includes a holdback that will be paid on the 12-month anniversary of the closing date. The Company has accounted for this transaction as a business combination. In allocating the aggregate purchase price based on the estimated fair values, the Company recorded $9.6 million of cash, $3.7 million as a developed technology intangible asset, $0.7 million as a customer related intangible asset, and $90 thousand as a trade name asset. The useful lives of the acquired intangible assets are as follows:</w:t>
      </w:r>
    </w:p>
    <w:p>
      <w:pPr>
        <w:pStyle w:val="TextBody"/>
        <w:bidi w:val="0"/>
        <w:jc w:val="left"/>
        <w:rPr/>
      </w:pPr>
      <w:r>
        <w:rPr/>
        <w:t> </w:t>
      </w:r>
    </w:p>
    <w:tbl>
      <w:tblPr>
        <w:tblW w:w="3235" w:type="dxa"/>
        <w:jc w:val="left"/>
        <w:tblInd w:w="0" w:type="dxa"/>
        <w:tblLayout w:type="fixed"/>
        <w:tblCellMar>
          <w:top w:w="28" w:type="dxa"/>
          <w:left w:w="28" w:type="dxa"/>
          <w:bottom w:w="28" w:type="dxa"/>
          <w:right w:w="28" w:type="dxa"/>
        </w:tblCellMar>
      </w:tblPr>
      <w:tblGrid>
        <w:gridCol w:w="1995"/>
        <w:gridCol w:w="160"/>
        <w:gridCol w:w="1080"/>
      </w:tblGrid>
      <w:tr>
        <w:trPr/>
        <w:tc>
          <w:tcPr>
            <w:tcW w:w="19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Intangible Asset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Useful Life</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Developed technology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5 years</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Customer related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3 years</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Trade name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 year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excess of purchase consideration over the fair value of net assets acquired was recorded as goodwill in the amount of $20.3 million after measurement period and working capital adjustments. As part of the acquisition, the Company also agreed to retention agreements with key employees in which 1.4 million shares of common stock are restricted and deemed as compensation for post combination services. The total value of $13.0 million related to these restricted shares was recognized as stock-based compensation expense in the year ended December 31, 2024.</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The Company believes the goodwill balance associated with the acquisition represents the synergies expected from expanded market opportunities when integrating the acquired developed technology with the Company’s offerings as well as acquiring an assembled workforce. Related goodwill is deductible for income tax purposes. Aggregate acquisition-related costs associated with the business combination was not material for all periods presented and were included in general and administrative expenses in the consolidated statements of operations.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The results of operations of this business combination have been included in the Company’s consolidated financial statements from the acquisition date. The business combination did not have a material impact on the Company’s consolidated financial statements. Therefore, historical results of operations prior to the acquisition dates and pro forma results of operations have not been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 Other Than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net consisted of the following (in thousands): </w:t>
      </w:r>
    </w:p>
    <w:tbl>
      <w:tblPr>
        <w:tblW w:w="10243" w:type="dxa"/>
        <w:jc w:val="left"/>
        <w:tblInd w:w="0" w:type="dxa"/>
        <w:tblLayout w:type="fixed"/>
        <w:tblCellMar>
          <w:top w:w="28" w:type="dxa"/>
          <w:left w:w="28" w:type="dxa"/>
          <w:bottom w:w="28" w:type="dxa"/>
          <w:right w:w="28" w:type="dxa"/>
        </w:tblCellMar>
      </w:tblPr>
      <w:tblGrid>
        <w:gridCol w:w="1161"/>
        <w:gridCol w:w="360"/>
        <w:gridCol w:w="225"/>
        <w:gridCol w:w="146"/>
        <w:gridCol w:w="690"/>
        <w:gridCol w:w="146"/>
        <w:gridCol w:w="160"/>
        <w:gridCol w:w="225"/>
        <w:gridCol w:w="202"/>
        <w:gridCol w:w="893"/>
        <w:gridCol w:w="166"/>
        <w:gridCol w:w="160"/>
        <w:gridCol w:w="225"/>
        <w:gridCol w:w="158"/>
        <w:gridCol w:w="637"/>
        <w:gridCol w:w="146"/>
        <w:gridCol w:w="160"/>
        <w:gridCol w:w="225"/>
        <w:gridCol w:w="158"/>
        <w:gridCol w:w="637"/>
        <w:gridCol w:w="146"/>
        <w:gridCol w:w="160"/>
        <w:gridCol w:w="225"/>
        <w:gridCol w:w="202"/>
        <w:gridCol w:w="893"/>
        <w:gridCol w:w="166"/>
        <w:gridCol w:w="160"/>
        <w:gridCol w:w="225"/>
        <w:gridCol w:w="199"/>
        <w:gridCol w:w="596"/>
        <w:gridCol w:w="391"/>
      </w:tblGrid>
      <w:tr>
        <w:trPr/>
        <w:tc>
          <w:tcPr>
            <w:tcW w:w="1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380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376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Developed technology</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Customer related</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Trade name</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of intangible assets was $0.7 million, $1.4 million, and $2.1 million for the years ended December 31, 2024, 2023, and 2022,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future amortization expense is expected to be as follows (in thousands): </w:t>
      </w:r>
    </w:p>
    <w:tbl>
      <w:tblPr>
        <w:tblW w:w="2117" w:type="dxa"/>
        <w:jc w:val="left"/>
        <w:tblInd w:w="0" w:type="dxa"/>
        <w:tblLayout w:type="fixed"/>
        <w:tblCellMar>
          <w:top w:w="28" w:type="dxa"/>
          <w:left w:w="28" w:type="dxa"/>
          <w:bottom w:w="28" w:type="dxa"/>
          <w:right w:w="28" w:type="dxa"/>
        </w:tblCellMar>
      </w:tblPr>
      <w:tblGrid>
        <w:gridCol w:w="770"/>
        <w:gridCol w:w="160"/>
        <w:gridCol w:w="211"/>
        <w:gridCol w:w="585"/>
        <w:gridCol w:w="391"/>
      </w:tblGrid>
      <w:tr>
        <w:trPr/>
        <w:tc>
          <w:tcPr>
            <w:tcW w:w="7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Amount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2029</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7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Stockholders’ Equity and Equity Incentive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consolidated financial statements, unless otherwise noted. Holders of common stock are entitled to receive any dividends whenever funds are legally available and if declared by the Company's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shares of its Class A common stock as follows: </w:t>
      </w:r>
    </w:p>
    <w:p>
      <w:pPr>
        <w:pStyle w:val="TextBody"/>
        <w:bidi w:val="0"/>
        <w:jc w:val="left"/>
        <w:rPr/>
      </w:pPr>
      <w:r>
        <w:rPr/>
        <w:t> </w:t>
      </w:r>
    </w:p>
    <w:tbl>
      <w:tblPr>
        <w:tblW w:w="9275" w:type="dxa"/>
        <w:jc w:val="left"/>
        <w:tblInd w:w="0" w:type="dxa"/>
        <w:tblLayout w:type="fixed"/>
        <w:tblCellMar>
          <w:top w:w="28" w:type="dxa"/>
          <w:left w:w="28" w:type="dxa"/>
          <w:bottom w:w="28" w:type="dxa"/>
          <w:right w:w="28" w:type="dxa"/>
        </w:tblCellMar>
      </w:tblPr>
      <w:tblGrid>
        <w:gridCol w:w="5580"/>
        <w:gridCol w:w="160"/>
        <w:gridCol w:w="161"/>
        <w:gridCol w:w="1158"/>
        <w:gridCol w:w="146"/>
        <w:gridCol w:w="160"/>
        <w:gridCol w:w="161"/>
        <w:gridCol w:w="1158"/>
        <w:gridCol w:w="591"/>
      </w:tblGrid>
      <w:tr>
        <w:trPr/>
        <w:tc>
          <w:tcPr>
            <w:tcW w:w="5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br/>
              <w:t xml:space="preserve">December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br/>
              <w:t xml:space="preserve">December 31, </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2014 Stock Option and Grant Plan and 2021 Incentive Award Plan: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Equity plan stock options outstanding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11,501,725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14,268,055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RSUs outstanding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13,519,769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11,301,279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18,310,859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18,260,813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2021 Employee Stock Purchase Plan: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4,810,524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4,079,994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0"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reserved shares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48,142,877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47,910,141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2014 Stock Option and Grant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December 31, 2024, a total of 18,310,859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granted under the 2014 Plan and the 2021 Plan (collectively, the “combined stock plans”) generally vest based on continued service over four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 activity under the Company's combined stock plans is set forth below:</w:t>
      </w:r>
    </w:p>
    <w:p>
      <w:pPr>
        <w:pStyle w:val="TextBody"/>
        <w:bidi w:val="0"/>
        <w:jc w:val="left"/>
        <w:rPr/>
      </w:pPr>
      <w:r>
        <w:rPr/>
        <w:t> </w:t>
      </w:r>
    </w:p>
    <w:tbl>
      <w:tblPr>
        <w:tblW w:w="9084" w:type="dxa"/>
        <w:jc w:val="left"/>
        <w:tblInd w:w="0" w:type="dxa"/>
        <w:tblLayout w:type="fixed"/>
        <w:tblCellMar>
          <w:top w:w="28" w:type="dxa"/>
          <w:left w:w="28" w:type="dxa"/>
          <w:bottom w:w="28" w:type="dxa"/>
          <w:right w:w="28" w:type="dxa"/>
        </w:tblCellMar>
      </w:tblPr>
      <w:tblGrid>
        <w:gridCol w:w="3285"/>
        <w:gridCol w:w="160"/>
        <w:gridCol w:w="146"/>
        <w:gridCol w:w="1050"/>
        <w:gridCol w:w="166"/>
        <w:gridCol w:w="160"/>
        <w:gridCol w:w="246"/>
        <w:gridCol w:w="684"/>
        <w:gridCol w:w="146"/>
        <w:gridCol w:w="160"/>
        <w:gridCol w:w="253"/>
        <w:gridCol w:w="842"/>
        <w:gridCol w:w="146"/>
        <w:gridCol w:w="160"/>
        <w:gridCol w:w="270"/>
        <w:gridCol w:w="1019"/>
        <w:gridCol w:w="191"/>
      </w:tblGrid>
      <w:tr>
        <w:trPr/>
        <w:tc>
          <w:tcPr>
            <w:tcW w:w="32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Balances as of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14,268,055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118,757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Exercised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(2,256,288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Cancelled/forfeited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(510,042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Balances as of December 31, 2024</w:t>
            </w:r>
            <w:r>
              <w:rPr>
                <w:rFonts w:ascii="Times New Roman" w:hAnsi="Times New Roman"/>
                <w:color w:val="000000"/>
                <w:sz w:val="13"/>
              </w:rPr>
              <w:t>(1)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11,501,725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20"/>
              </w:rPr>
            </w:pPr>
            <w:r>
              <w:rPr>
                <w:rFonts w:ascii="Times New Roman" w:hAnsi="Times New Roman"/>
                <w:color w:val="000000"/>
                <w:sz w:val="20"/>
              </w:rPr>
              <w:t>Exercisable as of December 31, 2024</w:t>
            </w:r>
            <w:r>
              <w:rPr>
                <w:rFonts w:ascii="Times New Roman" w:hAnsi="Times New Roman"/>
                <w:color w:val="000000"/>
                <w:sz w:val="13"/>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10,998,001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71,436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As no forfeitures are estimated due to the Company's adoption of ASU No. 2016-09, all options are vested or expected to vest. As of December 31, 2024, no options were outstanding that were subject to a future performance condition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Exercisable shares include vested options as well as unvested shares that can be early exercised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values of options are calculated as the difference between the exercise price of the options and the market price for shares of the Company’s Class A common stock as of each period-end. The total intrinsic value of options exercised for the years ended December 31, 2024, 2023, and 2022 was $17.3 million, $16.4 million, and $23.3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stock options were granted in the year ended December 31, 2024. Stock options granted during the years ended December 31, 2023 and 2022 had a weighted average grant date fair value of $6.69 and $8.27 per share, respectively. The fair value is being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expensed over the vesting period of the options on a straight-line basis as the services are being provided. No tax benefits were realized from options during the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total unrecognized stock-based compensation expense related to options outstanding under the combined stock plans was $3.2 million. This unrecognized expense as of December 31, 2024 is expected to be recognized over the weighted average remaining vesting period of 2.10 years. As of December 31, 2024, the Company had 342,000 shares of non-employee stock options outstanding under the combined stock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granted to employees under the 2021 Plan is estimated on the grant date using the Black-Scholes pricing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range of assumptions and data inputs were used in the Black-Scholes option-pricing model to estimate the fair value of the options granted under the 2021 Plan: </w:t>
      </w:r>
    </w:p>
    <w:p>
      <w:pPr>
        <w:pStyle w:val="TextBody"/>
        <w:bidi w:val="0"/>
        <w:jc w:val="left"/>
        <w:rPr/>
      </w:pPr>
      <w:r>
        <w:rPr/>
        <w:t> </w:t>
      </w:r>
    </w:p>
    <w:tbl>
      <w:tblPr>
        <w:tblW w:w="6773" w:type="dxa"/>
        <w:jc w:val="left"/>
        <w:tblInd w:w="0" w:type="dxa"/>
        <w:tblLayout w:type="fixed"/>
        <w:tblCellMar>
          <w:top w:w="28" w:type="dxa"/>
          <w:left w:w="28" w:type="dxa"/>
          <w:bottom w:w="28" w:type="dxa"/>
          <w:right w:w="28" w:type="dxa"/>
        </w:tblCellMar>
      </w:tblPr>
      <w:tblGrid>
        <w:gridCol w:w="2385"/>
        <w:gridCol w:w="160"/>
        <w:gridCol w:w="159"/>
        <w:gridCol w:w="392"/>
        <w:gridCol w:w="159"/>
        <w:gridCol w:w="174"/>
        <w:gridCol w:w="415"/>
        <w:gridCol w:w="995"/>
        <w:gridCol w:w="159"/>
        <w:gridCol w:w="174"/>
        <w:gridCol w:w="415"/>
        <w:gridCol w:w="995"/>
        <w:gridCol w:w="191"/>
      </w:tblGrid>
      <w:tr>
        <w:trPr/>
        <w:tc>
          <w:tcPr>
            <w:tcW w:w="23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37"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Fair value of common stock</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$11.37 - $12.37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$14.62 - $15.63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dividend yield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3.59% - 4.36%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3.01% - 3.36%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volatility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56.5% - 56.8%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55.3% - 55.6%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5.5 - 6.0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6.0 - 6.3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granted under the 2021 Plan generally vest based on continued service. During the years ended December 31, 2024, 2023, and 2022, the Company recorded $85.2 million, $77.1 million, and $46.0 million in expense related to RSUs,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fair value of RSUs vested during the years ended December 31, 2024, 2023, and 2022 was $69.7 million, $56.3 million, and $25.4 million, respectively. As of December 31, 2024, total unrecognized stock-based compensation expense related to RSUs was $138.8 million. This unrecognized expense as of December 31, 2024 is expected to be recognized over the weighted average remaining vesting period of 2.13 years. As of December 31, 2024, the Company had 177,661 shares of non-employee RSUs outstanding under the combined stock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 activity for the year ended December 31, 2024 was as follows: </w:t>
      </w:r>
    </w:p>
    <w:p>
      <w:pPr>
        <w:pStyle w:val="TextBody"/>
        <w:bidi w:val="0"/>
        <w:jc w:val="left"/>
        <w:rPr/>
      </w:pPr>
      <w:r>
        <w:rPr/>
        <w:t> </w:t>
      </w:r>
    </w:p>
    <w:tbl>
      <w:tblPr>
        <w:tblW w:w="6646" w:type="dxa"/>
        <w:jc w:val="left"/>
        <w:tblInd w:w="0" w:type="dxa"/>
        <w:tblLayout w:type="fixed"/>
        <w:tblCellMar>
          <w:top w:w="28" w:type="dxa"/>
          <w:left w:w="28" w:type="dxa"/>
          <w:bottom w:w="28" w:type="dxa"/>
          <w:right w:w="28" w:type="dxa"/>
        </w:tblCellMar>
      </w:tblPr>
      <w:tblGrid>
        <w:gridCol w:w="2835"/>
        <w:gridCol w:w="160"/>
        <w:gridCol w:w="177"/>
        <w:gridCol w:w="1277"/>
        <w:gridCol w:w="166"/>
        <w:gridCol w:w="160"/>
        <w:gridCol w:w="445"/>
        <w:gridCol w:w="1235"/>
        <w:gridCol w:w="191"/>
      </w:tblGrid>
      <w:tr>
        <w:trPr/>
        <w:tc>
          <w:tcPr>
            <w:tcW w:w="28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Restricted 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Weighted-average</w:t>
              <w:br/>
              <w:t xml:space="preserve">grant date fair </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11,301,279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12,135,585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Vested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(6,794,806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Cancelled/forfeited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(3,122,289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13,519,769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December 31, 2024, a total of 4,810,524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the purchase date, which will occur on the last trading day of each purchase period, or such other price designated by the administrator.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purchase period ended May 14, 2024, the offering period was terminated and participants were automatically enrolled in a new 12-month offering period commencing on May 15, 2024 and ending on May 14, 2025. The impact of the rollover feature did not result in material incremental compensation cost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assumptions were used to calculate the fair value of shares to be granted under the ESPP during the period utilizing the Black-Scholes option-pricing model: </w:t>
      </w:r>
    </w:p>
    <w:p>
      <w:pPr>
        <w:pStyle w:val="TextBody"/>
        <w:bidi w:val="0"/>
        <w:spacing w:before="240" w:after="283"/>
        <w:jc w:val="left"/>
        <w:rPr/>
      </w:pPr>
      <w:r>
        <w:rPr/>
        <w:t> </w:t>
      </w:r>
    </w:p>
    <w:tbl>
      <w:tblPr>
        <w:tblW w:w="7450" w:type="dxa"/>
        <w:jc w:val="left"/>
        <w:tblInd w:w="0" w:type="dxa"/>
        <w:tblLayout w:type="fixed"/>
        <w:tblCellMar>
          <w:top w:w="28" w:type="dxa"/>
          <w:left w:w="28" w:type="dxa"/>
          <w:bottom w:w="28" w:type="dxa"/>
          <w:right w:w="28" w:type="dxa"/>
        </w:tblCellMar>
      </w:tblPr>
      <w:tblGrid>
        <w:gridCol w:w="2385"/>
        <w:gridCol w:w="160"/>
        <w:gridCol w:w="388"/>
        <w:gridCol w:w="931"/>
        <w:gridCol w:w="159"/>
        <w:gridCol w:w="174"/>
        <w:gridCol w:w="388"/>
        <w:gridCol w:w="931"/>
        <w:gridCol w:w="159"/>
        <w:gridCol w:w="174"/>
        <w:gridCol w:w="415"/>
        <w:gridCol w:w="995"/>
        <w:gridCol w:w="191"/>
      </w:tblGrid>
      <w:tr>
        <w:trPr/>
        <w:tc>
          <w:tcPr>
            <w:tcW w:w="23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14"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Fair value of common stock</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$9.34 - $9.59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$9.98 - $10.76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$14.77 - $17.04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dividend yield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4.34% - 5.43%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4.75% - 5.41%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 - 4.63%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volatility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44.4% - 56.0%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56.8% - 60.0%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0.5 - 1.0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0.5 - 1.0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0.5 - 1.0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expected term for the ESPP purchase rights is based on the duration of the offering period. Estimated volatility for ESPP purchase rights is based on the historical volatility of the Company's Class A common stock. The risk-free interest rate is based on the U.S. Treasury yield curve in effect at the time the ESPP purchase right was granted at the beginning of the offering period. The Company has not declared, nor does it expect to declare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1.3 million shares have been purchased under the ESPP. During the years ended December 31, 2024, 2023, and 2022, the Company issued 469,567, 473,792, and 350,341 shares under the ESPP, respectively, in settlement of $3.8 million, $4.1 million, and $4.7 million of ESPP liabilities,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years ended December 31, 2024, 2023, and 2022 the Company recognized $1.6 million, $2.4 million, and $5.7 million of stock-based compensation expense related to the ESPP, respectively. As of December 31, 2024, total unrecognized compensation costs related to the ESPP was $0.5 million, which will be amortized over a weighted average period of 0.52 years.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expense, net of actual forfeitures is reflected in the consolidated statement of operations and comprehensive loss (in thousands): </w:t>
      </w:r>
    </w:p>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3665"/>
        <w:gridCol w:w="160"/>
        <w:gridCol w:w="211"/>
        <w:gridCol w:w="795"/>
        <w:gridCol w:w="146"/>
        <w:gridCol w:w="160"/>
        <w:gridCol w:w="211"/>
        <w:gridCol w:w="690"/>
        <w:gridCol w:w="146"/>
        <w:gridCol w:w="160"/>
        <w:gridCol w:w="211"/>
        <w:gridCol w:w="690"/>
        <w:gridCol w:w="391"/>
      </w:tblGrid>
      <w:tr>
        <w:trPr/>
        <w:tc>
          <w:tcPr>
            <w:tcW w:w="36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42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27,855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17,143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15,757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Restructuring and other related charges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67,223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established a savings and retirement plan for employees that permits participants to make contributions by salary deductions pursuant to Section 401(k) of the Internal Revenue Code. The plan is available to all regular employees on the Company’s U.S. payroll. The Company does not currently match employees’ contributions.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Pre-tax book loss has been recorded in the following jurisdictions (in thousands): </w:t>
      </w:r>
    </w:p>
    <w:tbl>
      <w:tblPr>
        <w:tblW w:w="5916" w:type="dxa"/>
        <w:jc w:val="left"/>
        <w:tblInd w:w="0" w:type="dxa"/>
        <w:tblLayout w:type="fixed"/>
        <w:tblCellMar>
          <w:top w:w="28" w:type="dxa"/>
          <w:left w:w="28" w:type="dxa"/>
          <w:bottom w:w="28" w:type="dxa"/>
          <w:right w:w="28" w:type="dxa"/>
        </w:tblCellMar>
      </w:tblPr>
      <w:tblGrid>
        <w:gridCol w:w="2010"/>
        <w:gridCol w:w="160"/>
        <w:gridCol w:w="211"/>
        <w:gridCol w:w="750"/>
        <w:gridCol w:w="166"/>
        <w:gridCol w:w="160"/>
        <w:gridCol w:w="211"/>
        <w:gridCol w:w="750"/>
        <w:gridCol w:w="166"/>
        <w:gridCol w:w="160"/>
        <w:gridCol w:w="211"/>
        <w:gridCol w:w="750"/>
        <w:gridCol w:w="211"/>
      </w:tblGrid>
      <w:tr>
        <w:trPr/>
        <w:tc>
          <w:tcPr>
            <w:tcW w:w="20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3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United States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(95,662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(97,047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Worldwide pre-tax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(92,581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taxes consists of the following (in thousands): </w:t>
      </w:r>
    </w:p>
    <w:tbl>
      <w:tblPr>
        <w:tblW w:w="5416" w:type="dxa"/>
        <w:jc w:val="left"/>
        <w:tblInd w:w="0" w:type="dxa"/>
        <w:tblLayout w:type="fixed"/>
        <w:tblCellMar>
          <w:top w:w="28" w:type="dxa"/>
          <w:left w:w="28" w:type="dxa"/>
          <w:bottom w:w="28" w:type="dxa"/>
          <w:right w:w="28" w:type="dxa"/>
        </w:tblCellMar>
      </w:tblPr>
      <w:tblGrid>
        <w:gridCol w:w="1795"/>
        <w:gridCol w:w="160"/>
        <w:gridCol w:w="211"/>
        <w:gridCol w:w="585"/>
        <w:gridCol w:w="166"/>
        <w:gridCol w:w="160"/>
        <w:gridCol w:w="211"/>
        <w:gridCol w:w="585"/>
        <w:gridCol w:w="146"/>
        <w:gridCol w:w="160"/>
        <w:gridCol w:w="211"/>
        <w:gridCol w:w="435"/>
        <w:gridCol w:w="591"/>
      </w:tblGrid>
      <w:tr>
        <w:trPr/>
        <w:tc>
          <w:tcPr>
            <w:tcW w:w="1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7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Federal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State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Foreign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Federal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State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Foreign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Provision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differs from the amount computed by applying the federal income tax rate of 21% to pre-tax loss for the years ended December 31, 2024, 2023, and 2022 from operations as a result of the following:</w:t>
      </w:r>
    </w:p>
    <w:p>
      <w:pPr>
        <w:pStyle w:val="TextBody"/>
        <w:bidi w:val="0"/>
        <w:jc w:val="left"/>
        <w:rPr/>
      </w:pPr>
      <w:r>
        <w:rPr/>
        <w:t> </w:t>
      </w:r>
    </w:p>
    <w:tbl>
      <w:tblPr>
        <w:tblW w:w="6970" w:type="dxa"/>
        <w:jc w:val="left"/>
        <w:tblInd w:w="0" w:type="dxa"/>
        <w:tblLayout w:type="fixed"/>
        <w:tblCellMar>
          <w:top w:w="28" w:type="dxa"/>
          <w:left w:w="28" w:type="dxa"/>
          <w:bottom w:w="28" w:type="dxa"/>
          <w:right w:w="28" w:type="dxa"/>
        </w:tblCellMar>
      </w:tblPr>
      <w:tblGrid>
        <w:gridCol w:w="3795"/>
        <w:gridCol w:w="160"/>
        <w:gridCol w:w="705"/>
        <w:gridCol w:w="285"/>
        <w:gridCol w:w="705"/>
        <w:gridCol w:w="285"/>
        <w:gridCol w:w="705"/>
        <w:gridCol w:w="330"/>
      </w:tblGrid>
      <w:tr>
        <w:trPr/>
        <w:tc>
          <w:tcPr>
            <w:tcW w:w="3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85" w:type="dxa"/>
            <w:gridSpan w:val="5"/>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Statutory federal income tax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21.00</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21.00</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21.00</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State income taxes, net of federal tax benefits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2.51</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4.11</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4.34</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Permanent differences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(0.51)</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(0.48)</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(0.29)</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Tax credits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6.63</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7.24</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6.49</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 rate differential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(0.06)</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0.18</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0.25</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 based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(10.16)</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(9.70)</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(3.36)</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0.16</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0.07</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(0.04)</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Valuation allowance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(21.49)</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(23.84)</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Tax provision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(1.92)</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(0.86)</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tax effects of temporary differences that give rise to significant portions of the Company’s deferred tax assets and liabilities as of December 31, 2024 and 2023 related to the following (in thousands): </w:t>
      </w:r>
    </w:p>
    <w:tbl>
      <w:tblPr>
        <w:tblW w:w="6519" w:type="dxa"/>
        <w:jc w:val="left"/>
        <w:tblInd w:w="0" w:type="dxa"/>
        <w:tblLayout w:type="fixed"/>
        <w:tblCellMar>
          <w:top w:w="28" w:type="dxa"/>
          <w:left w:w="28" w:type="dxa"/>
          <w:bottom w:w="28" w:type="dxa"/>
          <w:right w:w="28" w:type="dxa"/>
        </w:tblCellMar>
      </w:tblPr>
      <w:tblGrid>
        <w:gridCol w:w="3690"/>
        <w:gridCol w:w="160"/>
        <w:gridCol w:w="211"/>
        <w:gridCol w:w="855"/>
        <w:gridCol w:w="166"/>
        <w:gridCol w:w="160"/>
        <w:gridCol w:w="211"/>
        <w:gridCol w:w="855"/>
        <w:gridCol w:w="211"/>
      </w:tblGrid>
      <w:tr>
        <w:trPr/>
        <w:tc>
          <w:tcPr>
            <w:tcW w:w="36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tax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operating loss carryforwards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Credit carryforwards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22,428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Stock-based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Accruals and reserves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liability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Fixed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Capitalized research and development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25,277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Intangibles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Accumulated other comprehensive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tax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193,682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Valuation allowance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(184,238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(161,456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Realizable deferred tax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tax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commission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right-of-use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Intangibles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deferred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deferred tax assets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 are accounted for under the asset-and-liability method. Deferred tax assets and liabilities are recognized for future tax consequences attributable to differences between the financial statement carrying amounts of existing assets and liabilities and their respective tax bases and operating loss and tax credit carryforward. Deferred tax assets and liabilities are measured using enacted tax rates expected to apply to the taxable income or loss in the future years in which those temporary differences are expected to be recovered or settled. The effect on the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uncertain tax positions taken or expected to be taken in the course of preparing its tax return to determine whether the tax positions are more likely than not of being sustained upon challenge by the applicable taxing authority. The Company recognizes the effect of income tax positions only if those positions are more likely than not of being sustained. Recognized income tax positions measured at the largest amount that is greater than 50% likely of being realized. Changes in recognition or remeasurement are reflected in the period in which the change in judgment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Company had approximately $473.6 million and $356.3 million of net operating loss carryforwards available to offset future federal and state taxable income, respectively. If realized, none of the net operating loss carryforwards will be recognized as a benefit through additional paid-in capital. If not realized, federal carryforward losses of $25.4 million will expire beginning in 2032 and $448.2 million of carryforward losses will carryforward indefinitely. State carryforwards will expire beginning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Company had tax credit carryforwards of $16.7 million and $14.8 million, net of reserves to offset future federal and state tax and $0.8 million of foreign research tax credit carryforwards. The carryforwards will expire in various amounts for federal purposes beginning 2033. The California R&amp;D credits will not expire but the California competes tax credits will expire beginning 2026. The foreign research tax credits are allowed a carryforward of 20 years and are set to expire in 2042.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Utilization of net operating loss carryforwards and credits may be subject to substantial annual limitation due to ownership change limitations provided by the Internal Revenue Code of 1986, as amended, and similar state provisions. The annual limitations may result in the expiration of the net operating losses before utilization.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 Company had unrecognized income tax benefits of $7.3 million. The increase in the Company’s unrecognized tax benefit was primarily attributable to current year credit activities. A reconciliation of the beginning and ending amount of unrealized tax benefit (excluding interest and penalties) is as follows (in thousands): </w:t>
      </w:r>
    </w:p>
    <w:tbl>
      <w:tblPr>
        <w:tblW w:w="8511" w:type="dxa"/>
        <w:jc w:val="left"/>
        <w:tblInd w:w="0" w:type="dxa"/>
        <w:tblLayout w:type="fixed"/>
        <w:tblCellMar>
          <w:top w:w="28" w:type="dxa"/>
          <w:left w:w="28" w:type="dxa"/>
          <w:bottom w:w="28" w:type="dxa"/>
          <w:right w:w="28" w:type="dxa"/>
        </w:tblCellMar>
      </w:tblPr>
      <w:tblGrid>
        <w:gridCol w:w="5160"/>
        <w:gridCol w:w="160"/>
        <w:gridCol w:w="211"/>
        <w:gridCol w:w="585"/>
        <w:gridCol w:w="146"/>
        <w:gridCol w:w="160"/>
        <w:gridCol w:w="211"/>
        <w:gridCol w:w="585"/>
        <w:gridCol w:w="146"/>
        <w:gridCol w:w="160"/>
        <w:gridCol w:w="211"/>
        <w:gridCol w:w="585"/>
        <w:gridCol w:w="191"/>
      </w:tblGrid>
      <w:tr>
        <w:trPr/>
        <w:tc>
          <w:tcPr>
            <w:tcW w:w="5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0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Beginning balance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Increases related to tax positions taken during a prior year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Decreases related to tax positions taken during a prior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Increases related to tax positions taken during the current year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Ending balance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total unrecognized tax benefit, if recognized, would not affect the Company’s effective tax rate as the tax benefit would increase the deferred tax asset, which is currently offset with a full valuation allowance. The Company does not anticipate that the amount of existing unrecognized tax benefit will significantly increase or decrease within the next 12 months. Accrued interest and penalties related to the unrecognized tax benefits are recorded in income tax expense. No interest, penalties, or tax benefits were recognized during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U.S. federal, Netherlands, United Kingdom, France, Singapore, Japan, Germany, Canada, India, and Australia income tax returns as well as state income tax returns for various state jurisdictions. Due to the Company’s net operating loss carryforwards in the United States, its income tax returns remain subject to federal and state tax authorities for all prior years. There are no tax years under examination by any jurisdiction, except India, at this time. The Company records liabilities related to uncertain tax positions and believes that it has provided adequate reserves for income tax uncertainties in all open tax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provides for U.S. federal income taxes on the earnings of foreign subsidiaries unless they are considered permanently reinvested outside of the U.S. As of December 31, 2024, the Company’s management asserted that it is their intent to indefinitely reinvest unremitted foreign earnings for all its foreign entities.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lease expense were as follows (in thousands, except years and rate):</w:t>
      </w:r>
    </w:p>
    <w:p>
      <w:pPr>
        <w:pStyle w:val="TextBody"/>
        <w:bidi w:val="0"/>
        <w:jc w:val="left"/>
        <w:rPr/>
      </w:pPr>
      <w:r>
        <w:rPr/>
        <w:t> </w:t>
      </w:r>
    </w:p>
    <w:tbl>
      <w:tblPr>
        <w:tblW w:w="4489" w:type="dxa"/>
        <w:jc w:val="left"/>
        <w:tblInd w:w="0" w:type="dxa"/>
        <w:tblLayout w:type="fixed"/>
        <w:tblCellMar>
          <w:top w:w="28" w:type="dxa"/>
          <w:left w:w="28" w:type="dxa"/>
          <w:bottom w:w="28" w:type="dxa"/>
          <w:right w:w="28" w:type="dxa"/>
        </w:tblCellMar>
      </w:tblPr>
      <w:tblGrid>
        <w:gridCol w:w="1815"/>
        <w:gridCol w:w="160"/>
        <w:gridCol w:w="282"/>
        <w:gridCol w:w="782"/>
        <w:gridCol w:w="195"/>
        <w:gridCol w:w="282"/>
        <w:gridCol w:w="782"/>
        <w:gridCol w:w="191"/>
      </w:tblGrid>
      <w:tr>
        <w:trPr/>
        <w:tc>
          <w:tcPr>
            <w:tcW w:w="18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323" w:type="dxa"/>
            <w:gridSpan w:val="5"/>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cost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Short-term lease cost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959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lease cost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4,944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78" w:type="dxa"/>
        <w:jc w:val="left"/>
        <w:tblInd w:w="0" w:type="dxa"/>
        <w:tblLayout w:type="fixed"/>
        <w:tblCellMar>
          <w:top w:w="28" w:type="dxa"/>
          <w:left w:w="28" w:type="dxa"/>
          <w:bottom w:w="28" w:type="dxa"/>
          <w:right w:w="28" w:type="dxa"/>
        </w:tblCellMar>
      </w:tblPr>
      <w:tblGrid>
        <w:gridCol w:w="3465"/>
        <w:gridCol w:w="160"/>
        <w:gridCol w:w="166"/>
        <w:gridCol w:w="548"/>
        <w:gridCol w:w="309"/>
        <w:gridCol w:w="166"/>
        <w:gridCol w:w="548"/>
        <w:gridCol w:w="316"/>
      </w:tblGrid>
      <w:tr>
        <w:trPr/>
        <w:tc>
          <w:tcPr>
            <w:tcW w:w="34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37" w:type="dxa"/>
            <w:gridSpan w:val="5"/>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 average remaining term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 average discount rate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left"/>
        <w:rPr/>
      </w:pPr>
      <w:r>
        <w:rPr/>
        <w:t> </w:t>
      </w:r>
    </w:p>
    <w:tbl>
      <w:tblPr>
        <w:tblW w:w="8299" w:type="dxa"/>
        <w:jc w:val="left"/>
        <w:tblInd w:w="0" w:type="dxa"/>
        <w:tblLayout w:type="fixed"/>
        <w:tblCellMar>
          <w:top w:w="28" w:type="dxa"/>
          <w:left w:w="28" w:type="dxa"/>
          <w:bottom w:w="28" w:type="dxa"/>
          <w:right w:w="28" w:type="dxa"/>
        </w:tblCellMar>
      </w:tblPr>
      <w:tblGrid>
        <w:gridCol w:w="6210"/>
        <w:gridCol w:w="160"/>
        <w:gridCol w:w="211"/>
        <w:gridCol w:w="585"/>
        <w:gridCol w:w="146"/>
        <w:gridCol w:w="211"/>
        <w:gridCol w:w="585"/>
        <w:gridCol w:w="191"/>
      </w:tblGrid>
      <w:tr>
        <w:trPr/>
        <w:tc>
          <w:tcPr>
            <w:tcW w:w="62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38" w:type="dxa"/>
            <w:gridSpan w:val="5"/>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paid for operating lease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non-cancellable operating leases with initial lease terms in excess of one year included in the Company’s lease liabilities as of December 31, 2024 were as follows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92" w:type="dxa"/>
        <w:jc w:val="left"/>
        <w:tblInd w:w="0" w:type="dxa"/>
        <w:tblLayout w:type="fixed"/>
        <w:tblCellMar>
          <w:top w:w="28" w:type="dxa"/>
          <w:left w:w="28" w:type="dxa"/>
          <w:bottom w:w="28" w:type="dxa"/>
          <w:right w:w="28" w:type="dxa"/>
        </w:tblCellMar>
      </w:tblPr>
      <w:tblGrid>
        <w:gridCol w:w="4225"/>
        <w:gridCol w:w="160"/>
        <w:gridCol w:w="211"/>
        <w:gridCol w:w="585"/>
        <w:gridCol w:w="611"/>
      </w:tblGrid>
      <w:tr>
        <w:trPr/>
        <w:tc>
          <w:tcPr>
            <w:tcW w:w="4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Year ending December 31: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2026</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2028</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2029 and thereafter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2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Less: imputed interest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2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14, 2024, a putative securities class action captioned Chicago &amp; Vicinity Laborers’ District Council Pension Fund v. Amplitude, Inc., et al., Case No. 3:24-cv-00898 (the “Securities Class Action”) was filed in the United States District Court for the Northern District of California, naming the Company, its Chief Executive Officer, and its former Chief Financial Officer as defendants. The lawsuit is purportedly brought on behalf of all those who purchased or acquired the Company’s common stock between September 21, 2021 and February 16, 2022. The complaint alleges claims under Sections 10(b) and 20(a) of the Securities Exchange Act of 1934, as amended, based on allegedly false or misleading statements related to the Company’s business and financial outlook. The lawsuit seeks unspecified damages and other relief. The defendants filed a motion to dismiss the complaint on July 12, 2024, which was granted with leave to amend on October 2, 2024. The plaintiffs filed an amended complaint on October 23, 2024. The defendants filed a motion to dismiss the amended complaint on November 13, 2024, and, on January 13, 2025, the court dismissed the amended complaint with prejudice and entered judgment in favor of the defendants.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2024, a shareholder derivative complaint captioned Hawkins v. Spenser Skates, et al., Case No. 3:24-cv-03460 (the “Derivative Action”) was filed in the United States District Court for the Northern District of California, naming the Company’s Chief Executive Officer, its former Chief Financial Officer, and the current and former members of the Company’s board of directors as defendants. The complaint, purportedly brought on behalf of the Company, alleges claims for breach of fiduciary duty, unjust enrichment, waste of corporate assets, abuse of control, gross mismanagement, and contribution for alleged wrongdoing by the Company’s directors and officers from September 21, 2021 through February 16, 2022. The complaint seeks unspecified damages and other relief. The Derivative Action is stayed pending a resolution of any motions to dismiss the Securities Class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8, 2024, a putative privacy class action captioned Atkins v. Amplitude, Inc., Case No. 3:24-cv-04913 was filed in the United States District Court for the Northern District of California, naming the Company as a defendant. The lawsuit is purportedly brought on behalf of all individuals who downloaded and used an application on their mobile device that embedded the Company’s Software Development Kit (“SDK”) and did not publicly disclose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The plaintiffs filed an amended complaint on November 15, 2024. The Company filed a motion to dismiss the amended complaint on January 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18, 2024, an individual privacy action captioned Shah v. Amplitude, Inc., Case No. 2:24-cv-08155-MEMF-JPR was filed in the United States District Court for the Central District of California, naming the Company as a defendant. The lawsuit is brought by an individual who alleges to have used an application on his mobile device that embedded the SDK without explicitly identifying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On December 4, 2024, the court stayed the case pending final resolution of Atkins v. Amplitude, Inc., Case No. 3:24-cv-04913 (N.D. Cal.).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7, 2024, a putative privacy class action captioned Willey v. Amplitude, Inc., Case No. 1:24-cv-07577 was filed in the United States District Court for the Southern District of New York. The lawsuit was purportedly brought on behalf of all persons who accessed the Oscar Health website or application in Pennsylvania and entered information in response to prompts in the “Find a Plan” function. The complaint alleged that the Company’s services operate on the Oscar Health website and application to intercept information submitted by users for a health insurance quote. The complaint asserted a claim under Pennsylvania’s Wiretapping and Electronic Surveillance Act. The complaint sought unspecified damages and other relief. On December 5, 2024, the plaintiff voluntarily dismissed the case and re-filed in the Superior Court of the State of California. The Company removed the case to the United States District Court for the Northern District of California on December 16, 2024. On January 27, 2025, the plaintiff voluntarily dismissed the case.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of basic and diluted net loss per share (in thousands, except per share data): </w:t>
      </w:r>
    </w:p>
    <w:p>
      <w:pPr>
        <w:pStyle w:val="TextBody"/>
        <w:bidi w:val="0"/>
        <w:jc w:val="left"/>
        <w:rPr/>
      </w:pPr>
      <w:r>
        <w:rPr/>
        <w:t> </w:t>
      </w:r>
    </w:p>
    <w:tbl>
      <w:tblPr>
        <w:tblW w:w="8831" w:type="dxa"/>
        <w:jc w:val="left"/>
        <w:tblInd w:w="0" w:type="dxa"/>
        <w:tblLayout w:type="fixed"/>
        <w:tblCellMar>
          <w:top w:w="28" w:type="dxa"/>
          <w:left w:w="28" w:type="dxa"/>
          <w:bottom w:w="28" w:type="dxa"/>
          <w:right w:w="28" w:type="dxa"/>
        </w:tblCellMar>
      </w:tblPr>
      <w:tblGrid>
        <w:gridCol w:w="4610"/>
        <w:gridCol w:w="160"/>
        <w:gridCol w:w="211"/>
        <w:gridCol w:w="795"/>
        <w:gridCol w:w="166"/>
        <w:gridCol w:w="160"/>
        <w:gridCol w:w="211"/>
        <w:gridCol w:w="795"/>
        <w:gridCol w:w="166"/>
        <w:gridCol w:w="160"/>
        <w:gridCol w:w="211"/>
        <w:gridCol w:w="795"/>
        <w:gridCol w:w="391"/>
      </w:tblGrid>
      <w:tr>
        <w:trPr/>
        <w:tc>
          <w:tcPr>
            <w:tcW w:w="46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7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 xml:space="preserve">Net loss attributable to Class A and Class B common </w:t>
              <w:br/>
              <w:t>   stockholders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(93,377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 xml:space="preserve">Weighted-average shares used in computing net loss </w:t>
              <w:br/>
              <w:t xml:space="preserve">   per share attributable to Class A and Class B </w:t>
              <w:br/>
              <w:t>   common stockholders, basic and diluted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116,938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Net loss per share attributable to Class A and Class B</w:t>
              <w:br/>
              <w:t>   common stockholders, basic and diluted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 shares of common stock were excluded from the calculation of diluted net loss per share because their effect would have been anti-dilutive for the periods presented (in thousands): </w:t>
      </w:r>
    </w:p>
    <w:p>
      <w:pPr>
        <w:pStyle w:val="TextBody"/>
        <w:bidi w:val="0"/>
        <w:jc w:val="left"/>
        <w:rPr/>
      </w:pPr>
      <w:r>
        <w:rPr/>
        <w:t> </w:t>
      </w:r>
    </w:p>
    <w:tbl>
      <w:tblPr>
        <w:tblW w:w="7166" w:type="dxa"/>
        <w:jc w:val="left"/>
        <w:tblInd w:w="0" w:type="dxa"/>
        <w:tblLayout w:type="fixed"/>
        <w:tblCellMar>
          <w:top w:w="28" w:type="dxa"/>
          <w:left w:w="28" w:type="dxa"/>
          <w:bottom w:w="28" w:type="dxa"/>
          <w:right w:w="28" w:type="dxa"/>
        </w:tblCellMar>
      </w:tblPr>
      <w:tblGrid>
        <w:gridCol w:w="3495"/>
        <w:gridCol w:w="160"/>
        <w:gridCol w:w="146"/>
        <w:gridCol w:w="690"/>
        <w:gridCol w:w="146"/>
        <w:gridCol w:w="160"/>
        <w:gridCol w:w="146"/>
        <w:gridCol w:w="690"/>
        <w:gridCol w:w="146"/>
        <w:gridCol w:w="160"/>
        <w:gridCol w:w="146"/>
        <w:gridCol w:w="690"/>
        <w:gridCol w:w="391"/>
      </w:tblGrid>
      <w:tr>
        <w:trPr/>
        <w:tc>
          <w:tcPr>
            <w:tcW w:w="34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2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Equity plan stock options outstanding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16,768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Equity plan stock options early exercised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RSUs outstanding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Restricted shares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Shares issuable pursuant to the ESPP</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27,716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and February 2025, the Company issued 1.3 million RSUs to its employees with service-based vesting conditions. The service-based vesting condition for these awards is satisfied over three years. The grant date fair value of the RSUs issued in January and February 2025 was approximately $14.3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5" w:name="item_9_changes_disagreements_w_accnts"/>
      <w:bookmarkEnd w:id="25"/>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26" w:name="item_9a"/>
      <w:bookmarkEnd w:id="26"/>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Times New Roman" w:hAnsi="Times New Roman"/>
          <w:i/>
          <w:color w:val="000000"/>
          <w:sz w:val="20"/>
        </w:rPr>
        <w:t>Internal Control—Integrated Framework</w:t>
      </w:r>
      <w:r>
        <w:rPr>
          <w:rFonts w:ascii="Times New Roman" w:hAnsi="Times New Roman"/>
          <w:color w:val="000000"/>
          <w:sz w:val="20"/>
        </w:rPr>
        <w:t xml:space="preserve"> (2013) issued by the Committee of Sponsoring Organizations of the Treadway Commission (COSO). Based on that assessment, management has concluded that our internal control over financial reporting was effective as of December 31, 2024 to provide reasonable assurance regarding the reliability of financial reporting and the preparation of financial statements for external purposes in accordance with GAAP. Our independent registered public accounting firm, KPMG LLP, who audited the consolidated financial statements included in this Annual Report on Form 10-K, issued an audit report on our internal control over financial reporting. That Report of Independent Registered Public Accounting Firm is included in Item 8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360" w:after="283"/>
        <w:jc w:val="left"/>
        <w:rPr>
          <w:rFonts w:ascii="Times New Roman" w:hAnsi="Times New Roman"/>
          <w:b/>
          <w:color w:val="000000"/>
          <w:sz w:val="20"/>
        </w:rPr>
      </w:pPr>
      <w:bookmarkStart w:id="27" w:name="item_9b_other_information"/>
      <w:bookmarkEnd w:id="27"/>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Elisa Steele will be resigning from our Board of Directors immediately following our 2025 annual meeting of stockholders, which we currently expect to hold on June 12. Ms. Steele has been a valued member of our Board for over four years and we thank her for her numerous contributions.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10, 2024, Catherine Wong, a member of our board of directors, adopted a Rule 10b5-1 trading plan that is intended to satisfy the affirmative defense of Rule 10b5-1(c) for the sale of up to 15,532 shares of our Class A common stock until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13, 2024, Eric Vishria, a member of our board of directors, adopted a Rule 10b5-1 trading plan, as Trustee to The Vishria Revocable Trust, that is intended to satisfy the affirmative defense of Rule 10b5-1(c) for the sale of up to 210,500 shares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common stock (less any shares sold pursuant to the Rule 10b5-1 trading plan that Mr. Vishria, as Trustee to The Vishria Revocable Trust, entered into on March 1, 2024 (the “Prior 10b5-1 Plan”) following the expiration of the Prior 10b5-1 Plan and until May 29, 2026.</w:t>
      </w:r>
    </w:p>
    <w:p>
      <w:pPr>
        <w:pStyle w:val="TextBody"/>
        <w:bidi w:val="0"/>
        <w:spacing w:before="360" w:after="283"/>
        <w:jc w:val="left"/>
        <w:rPr>
          <w:rFonts w:ascii="Times New Roman" w:hAnsi="Times New Roman"/>
          <w:b/>
          <w:color w:val="000000"/>
          <w:sz w:val="20"/>
        </w:rPr>
      </w:pPr>
      <w:bookmarkStart w:id="28" w:name="item_9c"/>
      <w:bookmarkEnd w:id="28"/>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00" w:after="283"/>
        <w:jc w:val="left"/>
        <w:rPr>
          <w:rFonts w:ascii="Times New Roman" w:hAnsi="Times New Roman"/>
          <w:sz w:val="20"/>
        </w:rPr>
      </w:pPr>
      <w:bookmarkStart w:id="29" w:name="item_10_directors_executive_officers"/>
      <w:bookmarkEnd w:id="29"/>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investors.amplitude.com. We intend to satisfy the disclosure requirement under Item 5.05 of Form 8-K regarding amendments to, or waiver from, a provision of our code of business conduct and ethics by posting such information on the website address and location specified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360" w:after="283"/>
        <w:jc w:val="left"/>
        <w:rPr>
          <w:rFonts w:ascii="Times New Roman" w:hAnsi="Times New Roman"/>
          <w:sz w:val="20"/>
        </w:rPr>
      </w:pPr>
      <w:bookmarkStart w:id="30" w:name="item_11_executive_compensation"/>
      <w:bookmarkEnd w:id="30"/>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360" w:after="283"/>
        <w:jc w:val="left"/>
        <w:rPr>
          <w:rFonts w:ascii="Times New Roman" w:hAnsi="Times New Roman"/>
          <w:sz w:val="20"/>
        </w:rPr>
      </w:pPr>
      <w:bookmarkStart w:id="31" w:name="item_12_security_ownership"/>
      <w:bookmarkEnd w:id="31"/>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360" w:after="283"/>
        <w:jc w:val="left"/>
        <w:rPr>
          <w:rFonts w:ascii="Times New Roman" w:hAnsi="Times New Roman"/>
          <w:sz w:val="20"/>
        </w:rPr>
      </w:pPr>
      <w:bookmarkStart w:id="32" w:name="item_13_certain_relationships"/>
      <w:bookmarkEnd w:id="32"/>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360" w:after="283"/>
        <w:jc w:val="left"/>
        <w:rPr>
          <w:rFonts w:ascii="Times New Roman" w:hAnsi="Times New Roman"/>
          <w:sz w:val="20"/>
        </w:rPr>
      </w:pPr>
      <w:bookmarkStart w:id="33" w:name="item_14_principal_accntng_fees"/>
      <w:bookmarkEnd w:id="33"/>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34" w:name="item_15"/>
      <w:bookmarkEnd w:id="34"/>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financial statement are included in Part II, Item 8 of this Annual Report on Form 10-K:</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Stockholders’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Schedules not listed above have been omitted because the information required to be set forth therein is not applicable or is shown in the financial statements or notes herein.</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documents listed in the following Exhibit Index of this Annual Report on Form 10-K are incorporated by reference or are filed with this Annual Report on Form 10-K, in each case as indicated therein (numbered in accordance with Item 601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5109"/>
        <w:gridCol w:w="586"/>
        <w:gridCol w:w="865"/>
        <w:gridCol w:w="736"/>
        <w:gridCol w:w="766"/>
        <w:gridCol w:w="1099"/>
      </w:tblGrid>
      <w:tr>
        <w:trPr/>
        <w:tc>
          <w:tcPr>
            <w:tcW w:w="1044" w:type="dxa"/>
            <w:tcBorders/>
            <w:vAlign w:val="center"/>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c>
          <w:tcPr>
            <w:tcW w:w="1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Filed Herewith</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Restated Certificate of Incorporation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6/12/2024</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9/21/2021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Description of Securities Registered Pursuant to Section 12 of the Securities Exchange Act of 1934.</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2/16/2022</w:t>
            </w:r>
          </w:p>
        </w:tc>
        <w:tc>
          <w:tcPr>
            <w:tcW w:w="10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Stock Certificate evidencing the shares of Class A Common Stock.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Specimen Stock Certificate evidencing the shares of Class B Common Stock.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333-259698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9/21/2021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Investors’ Rights Agreement, dated as of May 28, 2021, as amended, by and among the Registrant and certain of its stockholders.</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Warrant to Purchase Common Stock, dated November 22, 2017, issued to Pacific Western Bank.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Sublease, dated May 13, 2021, by and between the Registrant and Postmates, LLC.</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10.2(a)#</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2014 Stock Option and Grant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10.2(a)</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10.2(b)#</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Agreements under Amended and Restated 2014 Stock Option and Grant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10.2(b)</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10.3(a)#</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2021 Incentive Award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10.3(a)</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10.3(b)#</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Agreements under 2021 Incentive Award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10.3(b)</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2021 Employee Stock Purchase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
        <w:gridCol w:w="6847"/>
        <w:gridCol w:w="424"/>
        <w:gridCol w:w="871"/>
        <w:gridCol w:w="466"/>
        <w:gridCol w:w="683"/>
        <w:gridCol w:w="288"/>
      </w:tblGrid>
      <w:tr>
        <w:trPr/>
        <w:tc>
          <w:tcPr>
            <w:tcW w:w="626" w:type="dxa"/>
            <w:tcBorders/>
            <w:vAlign w:val="center"/>
          </w:tcPr>
          <w:p>
            <w:pPr>
              <w:pStyle w:val="TableContents"/>
              <w:bidi w:val="0"/>
              <w:spacing w:before="0" w:after="283"/>
              <w:jc w:val="left"/>
              <w:rPr>
                <w:sz w:val="4"/>
                <w:szCs w:val="4"/>
              </w:rPr>
            </w:pPr>
            <w:r>
              <w:rPr>
                <w:sz w:val="4"/>
                <w:szCs w:val="4"/>
              </w:rPr>
            </w:r>
          </w:p>
        </w:tc>
        <w:tc>
          <w:tcPr>
            <w:tcW w:w="684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Indemnification Agreement between the Registrant and each of its Directors and Executive Officers.</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Section 16 Bonus Plan</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8/8/2023</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Non-Employee Director Compensation Program.</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Executive Severance Plan</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Employment Agreement between the Registrant and each of its executive officers</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w:anchor="ampl-ex19_1.htm">
              <w:r>
                <w:rPr>
                  <w:rStyle w:val="InternetLink"/>
                  <w:rFonts w:ascii="Times New Roman" w:hAnsi="Times New Roman"/>
                  <w:color w:val="0000FF"/>
                  <w:sz w:val="20"/>
                  <w:u w:val="single"/>
                </w:rPr>
                <w:t>Insider Trading Compliance Policy</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Subsidiaries of Registrant</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2/20/2024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w:anchor="ampl-ex23_1.htm">
              <w:r>
                <w:rPr>
                  <w:rStyle w:val="InternetLink"/>
                  <w:rFonts w:ascii="Times New Roman" w:hAnsi="Times New Roman"/>
                  <w:color w:val="0000FF"/>
                  <w:sz w:val="20"/>
                  <w:u w:val="single"/>
                </w:rPr>
                <w:t>Consent of KPMG LLP, independent registered public accounting firm.</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in signature page hereto)</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w:anchor="amp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w:anchor="amp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w:anchor="amp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w:anchor="amp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847"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Policy Relating to Recovery of Erroneously Awarded Compensation</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2/20/2024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jc w:val="left"/>
        <w:rPr>
          <w:rFonts w:ascii="Times New Roman" w:hAnsi="Times New Roman"/>
          <w:sz w:val="20"/>
        </w:rPr>
      </w:pPr>
      <w:r>
        <w:rPr>
          <w:rFonts w:ascii="Times New Roman" w:hAnsi="Times New Roman"/>
          <w:color w:val="000000"/>
          <w:sz w:val="16"/>
        </w:rPr>
        <w:t>* The certifications attached as Exhibit 32.1 and Exhibit 32.2 that accompany this Annual Report on Form 10-K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Annual Report on Form 10-K, irrespective of any general incorporation language contained in such filing.</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35" w:name="item_16_form_10k_summary"/>
      <w:bookmarkEnd w:id="35"/>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Amplitude,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By: </w:t>
      </w:r>
    </w:p>
    <w:p>
      <w:pPr>
        <w:pStyle w:val="TextBody"/>
        <w:bidi w:val="0"/>
        <w:jc w:val="center"/>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color w:val="000000"/>
                <w:sz w:val="20"/>
              </w:rPr>
              <w:t>Spenser Skates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power_of_attorney"/>
      <w:bookmarkEnd w:id="37"/>
      <w:r>
        <w:rPr>
          <w:rFonts w:ascii="Times New Roman" w:hAnsi="Times New Roman"/>
          <w:b/>
          <w:color w:val="000000"/>
          <w:sz w:val="20"/>
        </w:rPr>
        <w:t>POWER OF</w:t>
      </w:r>
      <w:r>
        <w:rPr>
          <w:rFonts w:ascii="Times New Roman" w:hAnsi="Times New Roman"/>
          <w:color w:val="000000"/>
          <w:sz w:val="20"/>
        </w:rPr>
        <w:t xml:space="preserve"> </w:t>
      </w:r>
      <w:r>
        <w:rPr>
          <w:rFonts w:ascii="Times New Roman" w:hAnsi="Times New Roman"/>
          <w:b/>
          <w:color w:val="000000"/>
          <w:sz w:val="20"/>
        </w:rPr>
        <w:t>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Spenser Skates, Andrew Casey, and Elizabeth Fisher,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behalf of the registrant and in the capacities and on the dates indicated.</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1786"/>
        <w:gridCol w:w="146"/>
        <w:gridCol w:w="3826"/>
        <w:gridCol w:w="146"/>
        <w:gridCol w:w="163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Chairperson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Spenser Skates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Casey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Gill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Gill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 Grady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 Grady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Curtis Liu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Curtis Liu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Erica Schultz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Erica Schultz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Elisa Steele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Elisa Steele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Eric Vishria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 Vishria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Whitehurst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Whitehurst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Catherine Wong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Catherine Wong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ampl-ex19_1.htm"/>
      <w:bookmarkStart w:id="39" w:name="ksamplex19_1"/>
      <w:bookmarkEnd w:id="38"/>
      <w:bookmarkEnd w:id="39"/>
      <w:r>
        <w:rPr>
          <w:rFonts w:ascii="Times New Roman" w:hAnsi="Times New Roman"/>
          <w:b/>
          <w:color w:val="000000"/>
          <w:sz w:val="20"/>
        </w:rPr>
        <w:t>Exhibit 19.1</w:t>
      </w:r>
      <w:r>
        <w:br w:type="page"/>
      </w:r>
    </w:p>
    <w:p>
      <w:pPr>
        <w:pStyle w:val="TextBody"/>
        <w:bidi w:val="0"/>
        <w:spacing w:before="80" w:after="8"/>
        <w:jc w:val="center"/>
        <w:rPr/>
      </w:pPr>
      <w:r>
        <w:rPr/>
        <w:t> </w:t>
      </w:r>
    </w:p>
    <w:tbl>
      <w:tblPr>
        <w:tblW w:w="9307" w:type="dxa"/>
        <w:jc w:val="left"/>
        <w:tblInd w:w="0" w:type="dxa"/>
        <w:tblLayout w:type="fixed"/>
        <w:tblCellMar>
          <w:top w:w="28" w:type="dxa"/>
          <w:left w:w="28" w:type="dxa"/>
          <w:bottom w:w="28" w:type="dxa"/>
          <w:right w:w="28" w:type="dxa"/>
        </w:tblCellMar>
      </w:tblPr>
      <w:tblGrid>
        <w:gridCol w:w="6576"/>
        <w:gridCol w:w="2731"/>
      </w:tblGrid>
      <w:tr>
        <w:trPr/>
        <w:tc>
          <w:tcPr>
            <w:tcW w:w="657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ind w:left="0" w:right="0" w:firstLine="2540"/>
              <w:jc w:val="left"/>
              <w:rPr>
                <w:sz w:val="4"/>
                <w:szCs w:val="4"/>
              </w:rPr>
            </w:pPr>
            <w:r>
              <w:rPr>
                <w:sz w:val="4"/>
                <w:szCs w:val="4"/>
              </w:rPr>
            </w:r>
          </w:p>
        </w:tc>
      </w:tr>
      <w:tr>
        <w:trPr/>
        <w:tc>
          <w:tcPr>
            <w:tcW w:w="6576" w:type="dxa"/>
            <w:tcBorders/>
            <w:tcMar>
              <w:top w:w="0" w:type="dxa"/>
              <w:left w:w="0" w:type="dxa"/>
              <w:bottom w:w="0" w:type="dxa"/>
              <w:right w:w="0" w:type="dxa"/>
            </w:tcMar>
            <w:vAlign w:val="center"/>
          </w:tcPr>
          <w:p>
            <w:pPr>
              <w:pStyle w:val="TableContents"/>
              <w:bidi w:val="0"/>
              <w:spacing w:before="0" w:after="283"/>
              <w:ind w:left="0" w:right="0" w:firstLine="2540"/>
              <w:jc w:val="center"/>
              <w:rPr>
                <w:rFonts w:ascii="Times New Roman" w:hAnsi="Times New Roman"/>
                <w:b/>
                <w:color w:val="000000"/>
                <w:sz w:val="20"/>
              </w:rPr>
            </w:pPr>
            <w:r>
              <w:rPr>
                <w:rFonts w:ascii="Times New Roman" w:hAnsi="Times New Roman"/>
                <w:b/>
                <w:color w:val="000000"/>
                <w:sz w:val="20"/>
              </w:rPr>
              <w:t>AMPLITUDE, INC.</w:t>
            </w:r>
          </w:p>
        </w:tc>
        <w:tc>
          <w:tcPr>
            <w:tcW w:w="2731" w:type="dxa"/>
            <w:tcBorders/>
            <w:tcMar>
              <w:top w:w="0" w:type="dxa"/>
              <w:left w:w="0" w:type="dxa"/>
              <w:bottom w:w="0" w:type="dxa"/>
              <w:right w:w="0" w:type="dxa"/>
            </w:tcMar>
            <w:vAlign w:val="center"/>
          </w:tcPr>
          <w:p>
            <w:pPr>
              <w:pStyle w:val="TableContents"/>
              <w:bidi w:val="0"/>
              <w:spacing w:before="0" w:after="283"/>
              <w:ind w:left="0" w:right="0" w:firstLine="2540"/>
              <w:jc w:val="center"/>
              <w:rPr/>
            </w:pPr>
            <w:r>
              <w:rPr/>
              <w:t> </w:t>
            </w:r>
          </w:p>
        </w:tc>
      </w:tr>
      <w:tr>
        <w:trPr/>
        <w:tc>
          <w:tcPr>
            <w:tcW w:w="6576" w:type="dxa"/>
            <w:tcBorders/>
            <w:tcMar>
              <w:top w:w="0" w:type="dxa"/>
              <w:left w:w="0" w:type="dxa"/>
              <w:bottom w:w="0" w:type="dxa"/>
              <w:right w:w="0" w:type="dxa"/>
            </w:tcMar>
            <w:vAlign w:val="center"/>
          </w:tcPr>
          <w:p>
            <w:pPr>
              <w:pStyle w:val="TableContents"/>
              <w:bidi w:val="0"/>
              <w:spacing w:before="0" w:after="283"/>
              <w:ind w:left="0" w:right="0" w:firstLine="2540"/>
              <w:jc w:val="center"/>
              <w:rPr>
                <w:rFonts w:ascii="Times New Roman" w:hAnsi="Times New Roman"/>
                <w:b/>
                <w:color w:val="000000"/>
                <w:sz w:val="20"/>
              </w:rPr>
            </w:pPr>
            <w:r>
              <w:rPr>
                <w:rFonts w:ascii="Times New Roman" w:hAnsi="Times New Roman"/>
                <w:b/>
                <w:color w:val="000000"/>
                <w:sz w:val="20"/>
              </w:rPr>
              <w:t>INSIDER TRADING COMPLIANCE POLICY</w:t>
            </w:r>
          </w:p>
        </w:tc>
        <w:tc>
          <w:tcPr>
            <w:tcW w:w="2731" w:type="dxa"/>
            <w:tcBorders/>
            <w:tcMar>
              <w:top w:w="0" w:type="dxa"/>
              <w:left w:w="0" w:type="dxa"/>
              <w:bottom w:w="0" w:type="dxa"/>
              <w:right w:w="0" w:type="dxa"/>
            </w:tcMar>
            <w:vAlign w:val="center"/>
          </w:tcPr>
          <w:p>
            <w:pPr>
              <w:pStyle w:val="TableContents"/>
              <w:bidi w:val="0"/>
              <w:spacing w:before="0" w:after="283"/>
              <w:ind w:left="0" w:right="0" w:firstLine="2540"/>
              <w:jc w:val="center"/>
              <w:rPr/>
            </w:pPr>
            <w:r>
              <w:rPr/>
              <w:t> </w:t>
            </w:r>
          </w:p>
        </w:tc>
      </w:tr>
      <w:tr>
        <w:trPr/>
        <w:tc>
          <w:tcPr>
            <w:tcW w:w="6576" w:type="dxa"/>
            <w:tcBorders/>
            <w:tcMar>
              <w:top w:w="0" w:type="dxa"/>
              <w:left w:w="0" w:type="dxa"/>
              <w:bottom w:w="0" w:type="dxa"/>
              <w:right w:w="0" w:type="dxa"/>
            </w:tcMar>
            <w:vAlign w:val="center"/>
          </w:tcPr>
          <w:p>
            <w:pPr>
              <w:pStyle w:val="TableContents"/>
              <w:bidi w:val="0"/>
              <w:spacing w:before="0" w:after="283"/>
              <w:ind w:left="0" w:right="0" w:firstLine="2540"/>
              <w:jc w:val="center"/>
              <w:rPr>
                <w:rFonts w:ascii="Times New Roman" w:hAnsi="Times New Roman"/>
                <w:b/>
                <w:color w:val="000000"/>
                <w:sz w:val="20"/>
              </w:rPr>
            </w:pPr>
            <w:r>
              <w:rPr>
                <w:rFonts w:ascii="Times New Roman" w:hAnsi="Times New Roman"/>
                <w:b/>
                <w:color w:val="000000"/>
                <w:sz w:val="20"/>
              </w:rPr>
              <w:t>Effective February 28, 2023</w:t>
            </w:r>
          </w:p>
        </w:tc>
        <w:tc>
          <w:tcPr>
            <w:tcW w:w="2731" w:type="dxa"/>
            <w:tcBorders/>
            <w:tcMar>
              <w:top w:w="0" w:type="dxa"/>
              <w:left w:w="0" w:type="dxa"/>
              <w:bottom w:w="0" w:type="dxa"/>
              <w:right w:w="0" w:type="dxa"/>
            </w:tcMar>
            <w:vAlign w:val="center"/>
          </w:tcPr>
          <w:p>
            <w:pPr>
              <w:pStyle w:val="TableContents"/>
              <w:bidi w:val="0"/>
              <w:spacing w:before="0" w:after="283"/>
              <w:ind w:left="0" w:right="0" w:firstLine="2540"/>
              <w:jc w:val="center"/>
              <w:rPr/>
            </w:pPr>
            <w:r>
              <w:rPr/>
              <w:t> </w:t>
            </w:r>
          </w:p>
        </w:tc>
      </w:tr>
      <w:tr>
        <w:trPr/>
        <w:tc>
          <w:tcPr>
            <w:tcW w:w="6576" w:type="dxa"/>
            <w:tcBorders/>
            <w:tcMar>
              <w:top w:w="0" w:type="dxa"/>
              <w:left w:w="0" w:type="dxa"/>
              <w:bottom w:w="0" w:type="dxa"/>
              <w:right w:w="0" w:type="dxa"/>
            </w:tcMar>
            <w:vAlign w:val="center"/>
          </w:tcPr>
          <w:p>
            <w:pPr>
              <w:pStyle w:val="TableContents"/>
              <w:bidi w:val="0"/>
              <w:spacing w:before="117" w:after="283"/>
              <w:ind w:left="0" w:right="0" w:firstLine="2540"/>
              <w:jc w:val="center"/>
              <w:rPr>
                <w:rFonts w:ascii="Times New Roman" w:hAnsi="Times New Roman"/>
                <w:b/>
                <w:color w:val="000000"/>
                <w:sz w:val="20"/>
              </w:rPr>
            </w:pPr>
            <w:r>
              <w:rPr>
                <w:rFonts w:ascii="Times New Roman" w:hAnsi="Times New Roman"/>
                <w:b/>
                <w:color w:val="000000"/>
                <w:sz w:val="20"/>
              </w:rPr>
              <w:t>Contents</w:t>
            </w:r>
          </w:p>
        </w:tc>
        <w:tc>
          <w:tcPr>
            <w:tcW w:w="27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7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b/>
                <w:color w:val="000000"/>
                <w:sz w:val="20"/>
              </w:rPr>
            </w:pPr>
            <w:r>
              <w:rPr>
                <w:rFonts w:ascii="Times New Roman" w:hAnsi="Times New Roman"/>
                <w:b/>
                <w:color w:val="000000"/>
                <w:sz w:val="20"/>
              </w:rPr>
              <w:t>Page</w:t>
            </w:r>
          </w:p>
        </w:tc>
      </w:tr>
      <w:tr>
        <w:trPr/>
        <w:tc>
          <w:tcPr>
            <w:tcW w:w="6576" w:type="dxa"/>
            <w:tcBorders/>
            <w:tcMar>
              <w:top w:w="0" w:type="dxa"/>
              <w:left w:w="0" w:type="dxa"/>
              <w:bottom w:w="0" w:type="dxa"/>
              <w:right w:w="0" w:type="dxa"/>
            </w:tcMar>
            <w:vAlign w:val="center"/>
          </w:tcPr>
          <w:p>
            <w:pPr>
              <w:pStyle w:val="TableContents"/>
              <w:bidi w:val="0"/>
              <w:spacing w:before="117" w:after="283"/>
              <w:ind w:left="0" w:right="0" w:firstLine="50"/>
              <w:jc w:val="left"/>
              <w:rPr>
                <w:rFonts w:ascii="Times New Roman" w:hAnsi="Times New Roman"/>
                <w:color w:val="000000"/>
                <w:sz w:val="20"/>
              </w:rPr>
            </w:pPr>
            <w:r>
              <w:rPr>
                <w:rFonts w:ascii="Times New Roman" w:hAnsi="Times New Roman"/>
                <w:color w:val="000000"/>
                <w:sz w:val="20"/>
              </w:rPr>
              <w:t>I. Summary</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1</w:t>
            </w:r>
          </w:p>
        </w:tc>
      </w:tr>
      <w:tr>
        <w:trPr/>
        <w:tc>
          <w:tcPr>
            <w:tcW w:w="6576" w:type="dxa"/>
            <w:tcBorders/>
            <w:tcMar>
              <w:top w:w="0" w:type="dxa"/>
              <w:left w:w="0" w:type="dxa"/>
              <w:bottom w:w="0" w:type="dxa"/>
              <w:right w:w="0" w:type="dxa"/>
            </w:tcMar>
            <w:vAlign w:val="center"/>
          </w:tcPr>
          <w:p>
            <w:pPr>
              <w:pStyle w:val="TableContents"/>
              <w:bidi w:val="0"/>
              <w:spacing w:before="115" w:after="283"/>
              <w:ind w:left="0" w:right="0" w:firstLine="50"/>
              <w:jc w:val="left"/>
              <w:rPr>
                <w:rFonts w:ascii="Times New Roman" w:hAnsi="Times New Roman"/>
                <w:color w:val="000000"/>
                <w:sz w:val="20"/>
              </w:rPr>
            </w:pPr>
            <w:r>
              <w:rPr>
                <w:rFonts w:ascii="Times New Roman" w:hAnsi="Times New Roman"/>
                <w:color w:val="000000"/>
                <w:sz w:val="20"/>
              </w:rPr>
              <w:t>II. Statement of Policies Prohibiting Insider Trading</w:t>
            </w:r>
          </w:p>
        </w:tc>
        <w:tc>
          <w:tcPr>
            <w:tcW w:w="2731" w:type="dxa"/>
            <w:tcBorders/>
            <w:tcMar>
              <w:top w:w="0" w:type="dxa"/>
              <w:left w:w="0" w:type="dxa"/>
              <w:bottom w:w="0" w:type="dxa"/>
              <w:right w:w="0" w:type="dxa"/>
            </w:tcMar>
            <w:vAlign w:val="center"/>
          </w:tcPr>
          <w:p>
            <w:pPr>
              <w:pStyle w:val="TableContents"/>
              <w:bidi w:val="0"/>
              <w:spacing w:before="115" w:after="283"/>
              <w:ind w:left="0" w:right="0" w:firstLine="50"/>
              <w:jc w:val="right"/>
              <w:rPr>
                <w:rFonts w:ascii="Times New Roman" w:hAnsi="Times New Roman"/>
                <w:color w:val="000000"/>
                <w:sz w:val="20"/>
              </w:rPr>
            </w:pPr>
            <w:r>
              <w:rPr>
                <w:rFonts w:ascii="Times New Roman" w:hAnsi="Times New Roman"/>
                <w:color w:val="000000"/>
                <w:sz w:val="20"/>
              </w:rPr>
              <w:t>2</w:t>
            </w:r>
          </w:p>
        </w:tc>
      </w:tr>
      <w:tr>
        <w:trPr/>
        <w:tc>
          <w:tcPr>
            <w:tcW w:w="6576" w:type="dxa"/>
            <w:tcBorders/>
            <w:tcMar>
              <w:top w:w="0" w:type="dxa"/>
              <w:left w:w="0" w:type="dxa"/>
              <w:bottom w:w="0" w:type="dxa"/>
              <w:right w:w="0" w:type="dxa"/>
            </w:tcMar>
            <w:vAlign w:val="center"/>
          </w:tcPr>
          <w:p>
            <w:pPr>
              <w:pStyle w:val="TableContents"/>
              <w:bidi w:val="0"/>
              <w:spacing w:before="117" w:after="283"/>
              <w:ind w:left="0" w:right="0" w:firstLine="50"/>
              <w:jc w:val="left"/>
              <w:rPr>
                <w:rFonts w:ascii="Times New Roman" w:hAnsi="Times New Roman"/>
                <w:color w:val="000000"/>
                <w:sz w:val="20"/>
              </w:rPr>
            </w:pPr>
            <w:r>
              <w:rPr>
                <w:rFonts w:ascii="Times New Roman" w:hAnsi="Times New Roman"/>
                <w:color w:val="000000"/>
                <w:sz w:val="20"/>
              </w:rPr>
              <w:t>III. Explanation of Insider Trading</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3</w:t>
            </w:r>
          </w:p>
        </w:tc>
      </w:tr>
      <w:tr>
        <w:trPr/>
        <w:tc>
          <w:tcPr>
            <w:tcW w:w="6576" w:type="dxa"/>
            <w:tcBorders/>
            <w:tcMar>
              <w:top w:w="0" w:type="dxa"/>
              <w:left w:w="0" w:type="dxa"/>
              <w:bottom w:w="0" w:type="dxa"/>
              <w:right w:w="0" w:type="dxa"/>
            </w:tcMar>
            <w:vAlign w:val="center"/>
          </w:tcPr>
          <w:p>
            <w:pPr>
              <w:pStyle w:val="TableContents"/>
              <w:bidi w:val="0"/>
              <w:spacing w:before="117" w:after="283"/>
              <w:ind w:left="0" w:right="0" w:firstLine="50"/>
              <w:jc w:val="left"/>
              <w:rPr>
                <w:rFonts w:ascii="Times New Roman" w:hAnsi="Times New Roman"/>
                <w:color w:val="000000"/>
                <w:sz w:val="20"/>
              </w:rPr>
            </w:pPr>
            <w:r>
              <w:rPr>
                <w:rFonts w:ascii="Times New Roman" w:hAnsi="Times New Roman"/>
                <w:color w:val="000000"/>
                <w:sz w:val="20"/>
              </w:rPr>
              <w:t>IV. Statement of Procedures to Prevent Insider Trading</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7</w:t>
            </w:r>
          </w:p>
        </w:tc>
      </w:tr>
      <w:tr>
        <w:trPr/>
        <w:tc>
          <w:tcPr>
            <w:tcW w:w="6576" w:type="dxa"/>
            <w:tcBorders/>
            <w:tcMar>
              <w:top w:w="0" w:type="dxa"/>
              <w:left w:w="0" w:type="dxa"/>
              <w:bottom w:w="0" w:type="dxa"/>
              <w:right w:w="0" w:type="dxa"/>
            </w:tcMar>
            <w:vAlign w:val="center"/>
          </w:tcPr>
          <w:p>
            <w:pPr>
              <w:pStyle w:val="TableContents"/>
              <w:bidi w:val="0"/>
              <w:spacing w:before="115" w:after="283"/>
              <w:ind w:left="0" w:right="0" w:firstLine="50"/>
              <w:jc w:val="left"/>
              <w:rPr>
                <w:rFonts w:ascii="Times New Roman" w:hAnsi="Times New Roman"/>
                <w:color w:val="000000"/>
                <w:sz w:val="20"/>
              </w:rPr>
            </w:pPr>
            <w:r>
              <w:rPr>
                <w:rFonts w:ascii="Times New Roman" w:hAnsi="Times New Roman"/>
                <w:color w:val="000000"/>
                <w:sz w:val="20"/>
              </w:rPr>
              <w:t>V. Additional Prohibited Transactions</w:t>
            </w:r>
          </w:p>
        </w:tc>
        <w:tc>
          <w:tcPr>
            <w:tcW w:w="2731" w:type="dxa"/>
            <w:tcBorders/>
            <w:tcMar>
              <w:top w:w="0" w:type="dxa"/>
              <w:left w:w="0" w:type="dxa"/>
              <w:bottom w:w="0" w:type="dxa"/>
              <w:right w:w="0" w:type="dxa"/>
            </w:tcMar>
            <w:vAlign w:val="center"/>
          </w:tcPr>
          <w:p>
            <w:pPr>
              <w:pStyle w:val="TableContents"/>
              <w:bidi w:val="0"/>
              <w:spacing w:before="115" w:after="283"/>
              <w:ind w:left="0" w:right="0" w:firstLine="50"/>
              <w:jc w:val="right"/>
              <w:rPr>
                <w:rFonts w:ascii="Times New Roman" w:hAnsi="Times New Roman"/>
                <w:color w:val="000000"/>
                <w:sz w:val="20"/>
              </w:rPr>
            </w:pPr>
            <w:r>
              <w:rPr>
                <w:rFonts w:ascii="Times New Roman" w:hAnsi="Times New Roman"/>
                <w:color w:val="000000"/>
                <w:sz w:val="20"/>
              </w:rPr>
              <w:t>10</w:t>
            </w:r>
          </w:p>
        </w:tc>
      </w:tr>
      <w:tr>
        <w:trPr/>
        <w:tc>
          <w:tcPr>
            <w:tcW w:w="6576" w:type="dxa"/>
            <w:tcBorders/>
            <w:tcMar>
              <w:top w:w="0" w:type="dxa"/>
              <w:left w:w="0" w:type="dxa"/>
              <w:bottom w:w="0" w:type="dxa"/>
              <w:right w:w="0" w:type="dxa"/>
            </w:tcMar>
            <w:vAlign w:val="center"/>
          </w:tcPr>
          <w:p>
            <w:pPr>
              <w:pStyle w:val="TableContents"/>
              <w:bidi w:val="0"/>
              <w:spacing w:before="117" w:after="283"/>
              <w:ind w:left="0" w:right="0" w:firstLine="50"/>
              <w:jc w:val="left"/>
              <w:rPr>
                <w:rFonts w:ascii="Times New Roman" w:hAnsi="Times New Roman"/>
                <w:color w:val="000000"/>
                <w:sz w:val="20"/>
              </w:rPr>
            </w:pPr>
            <w:r>
              <w:rPr>
                <w:rFonts w:ascii="Times New Roman" w:hAnsi="Times New Roman"/>
                <w:color w:val="000000"/>
                <w:sz w:val="20"/>
              </w:rPr>
              <w:t>VI. Rule 10b5-1 Trading Plans, Section 16, and Rule 144</w:t>
            </w:r>
          </w:p>
        </w:tc>
        <w:tc>
          <w:tcPr>
            <w:tcW w:w="2731" w:type="dxa"/>
            <w:tcBorders/>
            <w:tcMar>
              <w:top w:w="0" w:type="dxa"/>
              <w:left w:w="0" w:type="dxa"/>
              <w:bottom w:w="0" w:type="dxa"/>
              <w:right w:w="0" w:type="dxa"/>
            </w:tcMar>
            <w:vAlign w:val="center"/>
          </w:tcPr>
          <w:p>
            <w:pPr>
              <w:pStyle w:val="TableContents"/>
              <w:bidi w:val="0"/>
              <w:spacing w:before="117" w:after="283"/>
              <w:ind w:left="0" w:right="0" w:firstLine="50"/>
              <w:jc w:val="right"/>
              <w:rPr>
                <w:rFonts w:ascii="Times New Roman" w:hAnsi="Times New Roman"/>
                <w:color w:val="000000"/>
                <w:sz w:val="20"/>
              </w:rPr>
            </w:pPr>
            <w:r>
              <w:rPr>
                <w:rFonts w:ascii="Times New Roman" w:hAnsi="Times New Roman"/>
                <w:color w:val="000000"/>
                <w:sz w:val="20"/>
              </w:rPr>
              <w:t>11</w:t>
            </w:r>
          </w:p>
        </w:tc>
      </w:tr>
      <w:tr>
        <w:trPr/>
        <w:tc>
          <w:tcPr>
            <w:tcW w:w="6576" w:type="dxa"/>
            <w:tcBorders/>
            <w:tcMar>
              <w:top w:w="0" w:type="dxa"/>
              <w:left w:w="0" w:type="dxa"/>
              <w:bottom w:w="0" w:type="dxa"/>
              <w:right w:w="0" w:type="dxa"/>
            </w:tcMar>
            <w:vAlign w:val="center"/>
          </w:tcPr>
          <w:p>
            <w:pPr>
              <w:pStyle w:val="TableContents"/>
              <w:bidi w:val="0"/>
              <w:spacing w:before="117" w:after="283"/>
              <w:ind w:left="0" w:right="0" w:firstLine="50"/>
              <w:jc w:val="left"/>
              <w:rPr>
                <w:rFonts w:ascii="Times New Roman" w:hAnsi="Times New Roman"/>
                <w:color w:val="000000"/>
                <w:sz w:val="20"/>
              </w:rPr>
            </w:pPr>
            <w:r>
              <w:rPr>
                <w:rFonts w:ascii="Times New Roman" w:hAnsi="Times New Roman"/>
                <w:color w:val="000000"/>
                <w:sz w:val="20"/>
              </w:rPr>
              <w:t>VII. Certification of Compliance</w:t>
            </w:r>
          </w:p>
        </w:tc>
        <w:tc>
          <w:tcPr>
            <w:tcW w:w="2731" w:type="dxa"/>
            <w:tcBorders/>
            <w:tcMar>
              <w:top w:w="0" w:type="dxa"/>
              <w:left w:w="0" w:type="dxa"/>
              <w:bottom w:w="0" w:type="dxa"/>
              <w:right w:w="0" w:type="dxa"/>
            </w:tcMar>
            <w:vAlign w:val="center"/>
          </w:tcPr>
          <w:p>
            <w:pPr>
              <w:pStyle w:val="TableContents"/>
              <w:bidi w:val="0"/>
              <w:spacing w:before="117" w:after="283"/>
              <w:jc w:val="right"/>
              <w:rPr>
                <w:rFonts w:ascii="Times New Roman" w:hAnsi="Times New Roman"/>
                <w:color w:val="000000"/>
                <w:sz w:val="20"/>
              </w:rPr>
            </w:pPr>
            <w:r>
              <w:rPr>
                <w:rFonts w:ascii="Times New Roman" w:hAnsi="Times New Roman"/>
                <w:color w:val="000000"/>
                <w:sz w:val="20"/>
              </w:rPr>
              <w:t>14</w:t>
            </w:r>
          </w:p>
        </w:tc>
      </w:tr>
    </w:tbl>
    <w:p>
      <w:pPr>
        <w:pStyle w:val="TextBody"/>
        <w:bidi w:val="0"/>
        <w:spacing w:before="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Schedule I Individuals Subject to Preclearance Requirement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Attachment A Short-Swing Profit Rule Section 16(b) Checklist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AMPLITUDE, INC.</w:t>
      </w:r>
    </w:p>
    <w:p>
      <w:pPr>
        <w:pStyle w:val="TextBody"/>
        <w:bidi w:val="0"/>
        <w:spacing w:before="1" w:after="283"/>
        <w:jc w:val="center"/>
        <w:rPr>
          <w:rFonts w:ascii="Times New Roman" w:hAnsi="Times New Roman"/>
          <w:b/>
          <w:color w:val="000000"/>
          <w:sz w:val="20"/>
        </w:rPr>
      </w:pPr>
      <w:r>
        <w:rPr>
          <w:rFonts w:ascii="Times New Roman" w:hAnsi="Times New Roman"/>
          <w:b/>
          <w:color w:val="000000"/>
          <w:sz w:val="20"/>
        </w:rPr>
        <w:t>INSIDER TRADING COMPLIANCE POLICY</w:t>
      </w:r>
    </w:p>
    <w:p>
      <w:pPr>
        <w:pStyle w:val="TextBody"/>
        <w:bidi w:val="0"/>
        <w:spacing w:before="7"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February 28, 2023</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Federal and state laws prohibit trading in the securities of a company while in possession of material nonpublic information and providing material nonpublic information to others so that they can trade. Violating such laws can undermine investor trust, harm the reputation of Amplitude, Inc. (together with its subsidiaries, the “</w:t>
      </w:r>
      <w:r>
        <w:rPr>
          <w:rFonts w:ascii="Times New Roman" w:hAnsi="Times New Roman"/>
          <w:color w:val="000000"/>
          <w:sz w:val="20"/>
          <w:u w:val="single"/>
        </w:rPr>
        <w:t>Company</w:t>
      </w:r>
      <w:r>
        <w:rPr>
          <w:rFonts w:ascii="Times New Roman" w:hAnsi="Times New Roman"/>
          <w:color w:val="000000"/>
          <w:sz w:val="20"/>
        </w:rPr>
        <w:t>”), and result in your dismissal from the Company or even serious criminal and civil charges against you and the Company.</w:t>
      </w:r>
    </w:p>
    <w:p>
      <w:pPr>
        <w:pStyle w:val="TextBody"/>
        <w:bidi w:val="0"/>
        <w:spacing w:before="7"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This Insider Trading Compliance Policy (this “</w:t>
      </w:r>
      <w:r>
        <w:rPr>
          <w:rFonts w:ascii="Times New Roman" w:hAnsi="Times New Roman"/>
          <w:color w:val="000000"/>
          <w:sz w:val="20"/>
          <w:u w:val="single"/>
        </w:rPr>
        <w:t>Policy</w:t>
      </w:r>
      <w:r>
        <w:rPr>
          <w:rFonts w:ascii="Times New Roman" w:hAnsi="Times New Roman"/>
          <w:color w:val="000000"/>
          <w:sz w:val="20"/>
        </w:rPr>
        <w:t>”) outlines your responsibilities to avoid insider trading and implements certain procedures to help you avoid even the appearance of insider trading.</w:t>
      </w:r>
    </w:p>
    <w:p>
      <w:pPr>
        <w:pStyle w:val="TextBody"/>
        <w:bidi w:val="0"/>
        <w:spacing w:before="3"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Summary</w:t>
      </w:r>
    </w:p>
    <w:p>
      <w:pPr>
        <w:pStyle w:val="TextBody"/>
        <w:bidi w:val="0"/>
        <w:spacing w:before="7"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Preventing insider trading is necessary to comply with securities laws and to preserve the reputation and integrity of the Company. “</w:t>
      </w:r>
      <w:r>
        <w:rPr>
          <w:rFonts w:ascii="Times New Roman" w:hAnsi="Times New Roman"/>
          <w:color w:val="000000"/>
          <w:sz w:val="20"/>
          <w:u w:val="single"/>
        </w:rPr>
        <w:t>Insider trading</w:t>
      </w:r>
      <w:r>
        <w:rPr>
          <w:rFonts w:ascii="Times New Roman" w:hAnsi="Times New Roman"/>
          <w:color w:val="000000"/>
          <w:sz w:val="20"/>
        </w:rPr>
        <w:t>” occurs when any person purchases or sells a security while in possession of material nonpublic information relating to the security. Insider trading is a crime. The criminal penalties for violating insider trading laws include imprisonment and fines of up to $5 million for individuals and $25 million for corporations. Insider trading may also result in civil penalties, including disgorgement of profits and civil fines. Insider trading is also prohibited by this Policy, and violation of this Policy may result in Company- imposed sanctions, including removal or dismissal for cause.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This Policy applies to all officers, directors and employees of the Company. As someone subject to this Policy, you are responsible for ensuring that members of your household also comply with this Policy. This Policy also applies to any entities you control or are controlled by individuals subject to this Policy, including any corporations, partnerships or trusts, and transactions by such entities should be treated for the purposes of this Policy and applicable securities laws as if they were for your own account;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this Policy does not apply to any such entity that engages in the investment of securities in the ordinary course of its business (e.g., an investment fund or partnership) if such entity has established its own insider trading controls and procedures in compliance with applicable securities laws. The Company may determine that this Policy applies to additional persons with access to material nonpublic information, such as contractors or consultants. This Policy extends to all activities within and outside your Company duties. Every officer, director and employee must review this Policy. Questions regarding the Policy should be directed to the Company’s General Counsel (the “</w:t>
      </w:r>
      <w:r>
        <w:rPr>
          <w:rFonts w:ascii="Times New Roman" w:hAnsi="Times New Roman"/>
          <w:color w:val="000000"/>
          <w:sz w:val="20"/>
          <w:u w:val="single"/>
        </w:rPr>
        <w:t>Compliance Officer</w:t>
      </w:r>
      <w:r>
        <w:rPr>
          <w:rFonts w:ascii="Times New Roman" w:hAnsi="Times New Roman"/>
          <w:color w:val="000000"/>
          <w:sz w:val="20"/>
        </w:rPr>
        <w:t>”), who shall be responsible for the administration of this Policy.</w:t>
      </w:r>
    </w:p>
    <w:p>
      <w:pPr>
        <w:pStyle w:val="TextBody"/>
        <w:bidi w:val="0"/>
        <w:spacing w:before="9" w:after="283"/>
        <w:jc w:val="left"/>
        <w:rPr/>
      </w:pPr>
      <w:r>
        <w:rPr/>
        <w:t> </w:t>
      </w:r>
    </w:p>
    <w:p>
      <w:pPr>
        <w:pStyle w:val="TextBody"/>
        <w:bidi w:val="0"/>
        <w:spacing w:before="94" w:after="283"/>
        <w:jc w:val="both"/>
        <w:rPr>
          <w:rFonts w:ascii="Times New Roman" w:hAnsi="Times New Roman"/>
          <w:color w:val="000000"/>
          <w:sz w:val="20"/>
        </w:rPr>
      </w:pPr>
      <w:r>
        <w:rPr>
          <w:rFonts w:ascii="Times New Roman" w:hAnsi="Times New Roman"/>
          <w:color w:val="000000"/>
          <w:sz w:val="20"/>
        </w:rPr>
        <w:t>In the absence of the Compliance Officer, responsibility for administering this Policy will rest with the Chief Financial Officer or such other employee as may be designated by the Compliance Officer.</w:t>
      </w:r>
    </w:p>
    <w:p>
      <w:pPr>
        <w:pStyle w:val="TextBody"/>
        <w:bidi w:val="0"/>
        <w:spacing w:before="9"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all cases, as someone subject to this Policy, you bear full responsibility for ensuring your compliance with this Policy, and also for ensuring that members of your household (and individuals not residing in your household but whose transactions are subject to your influence or control) and entities under your influence or control are in compliance with this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Actions taken by the Company, the Compliance Officer or any other Company personnel do not constitute legal advice, nor do they insulate you from the consequences of noncompliance with this Policy.</w:t>
      </w:r>
    </w:p>
    <w:p>
      <w:pPr>
        <w:pStyle w:val="TextBody"/>
        <w:bidi w:val="0"/>
        <w:spacing w:before="9"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II.</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Statement of Policies Prohibiting Insider Trading</w:t>
      </w:r>
    </w:p>
    <w:p>
      <w:pPr>
        <w:pStyle w:val="TextBody"/>
        <w:bidi w:val="0"/>
        <w:spacing w:before="10" w:after="283"/>
        <w:jc w:val="left"/>
        <w:rPr/>
      </w:pPr>
      <w:r>
        <w:rPr/>
        <w:t> </w:t>
      </w:r>
    </w:p>
    <w:p>
      <w:pPr>
        <w:pStyle w:val="TextBody"/>
        <w:bidi w:val="0"/>
        <w:spacing w:before="94" w:after="283"/>
        <w:jc w:val="both"/>
        <w:rPr>
          <w:rFonts w:ascii="Times New Roman" w:hAnsi="Times New Roman"/>
          <w:color w:val="000000"/>
          <w:sz w:val="20"/>
        </w:rPr>
      </w:pPr>
      <w:r>
        <w:rPr>
          <w:rFonts w:ascii="Times New Roman" w:hAnsi="Times New Roman"/>
          <w:color w:val="000000"/>
          <w:sz w:val="20"/>
        </w:rPr>
        <w:t>No officer, director or employee (or any other person designated as subject to this Policy) shall purchase or sell any type of security while in possession of material nonpublic information relating to the security or the issuer of such security, whether the issuer of such security is the Company or any other company.</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unless a specific exception is granted as described in Section IV.A. of this Policy, no officer, director or employee shall purchase or sell any security of the Company during the period beginning on the 15th calendar day of the last month of any fiscal quarter of the Company and ending upon completion of the first full trading day after the public release of earnings data for such fiscal quarter or during any other trading suspension period declared by the Company.</w:t>
      </w:r>
    </w:p>
    <w:p>
      <w:pPr>
        <w:pStyle w:val="TextBody"/>
        <w:bidi w:val="0"/>
        <w:spacing w:before="2"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prohibitions do not apply to:</w:t>
      </w:r>
    </w:p>
    <w:p>
      <w:pPr>
        <w:pStyle w:val="TextBody"/>
        <w:bidi w:val="0"/>
        <w:spacing w:before="6" w:after="283"/>
        <w:jc w:val="left"/>
        <w:rPr/>
      </w:pPr>
      <w:r>
        <w:rPr/>
        <w:t> </w:t>
      </w:r>
    </w:p>
    <w:p>
      <w:pPr>
        <w:pStyle w:val="TextBody"/>
        <w:bidi w:val="0"/>
        <w:spacing w:before="1" w:after="283"/>
        <w:jc w:val="both"/>
        <w:rPr>
          <w:color w:val="000000"/>
        </w:rPr>
      </w:pPr>
      <w:r>
        <w:rPr>
          <w:color w:val="000000"/>
        </w:rPr>
        <w:t>●</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purchases of the Company’s securities from the Company or sales of the Company’s securities to the Company;</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w:t>
      </w:r>
      <w:r>
        <w:rPr>
          <w:rFonts w:ascii="Times New Roman" w:hAnsi="Times New Roman"/>
          <w:color w:val="000000"/>
          <w:sz w:val="20"/>
          <w:u w:val="single"/>
        </w:rPr>
        <w:t>cashless exercise</w:t>
      </w:r>
      <w:r>
        <w:rPr>
          <w:color w:val="000000"/>
        </w:rPr>
        <w:t xml:space="preserve">” </w:t>
      </w:r>
      <w:r>
        <w:rPr>
          <w:rFonts w:ascii="Times New Roman" w:hAnsi="Times New Roman"/>
          <w:color w:val="000000"/>
          <w:sz w:val="20"/>
        </w:rPr>
        <w:t xml:space="preserve">of a Company stock option through a broker </w:t>
      </w:r>
      <w:r>
        <w:rPr>
          <w:rFonts w:ascii="Times New Roman" w:hAnsi="Times New Roman"/>
          <w:i/>
          <w:color w:val="000000"/>
          <w:sz w:val="20"/>
        </w:rPr>
        <w:t xml:space="preserve">does </w:t>
      </w:r>
      <w:r>
        <w:rPr>
          <w:rFonts w:ascii="Times New Roman" w:hAnsi="Times New Roman"/>
          <w:color w:val="000000"/>
          <w:sz w:val="20"/>
        </w:rPr>
        <w:t>involve a market sale of the Company’s securities, and therefore would not qualify under this exception);</w:t>
      </w:r>
    </w:p>
    <w:p>
      <w:pPr>
        <w:pStyle w:val="TextBody"/>
        <w:bidi w:val="0"/>
        <w:spacing w:before="9"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 xml:space="preserve">bona fide </w:t>
      </w:r>
      <w:r>
        <w:rPr>
          <w:rFonts w:ascii="Times New Roman" w:hAnsi="Times New Roman"/>
          <w:color w:val="000000"/>
          <w:sz w:val="20"/>
        </w:rPr>
        <w:t>gifts of the Company’s securities, unless the individual making the gift knows that the recipient intends to sell the securities; or</w:t>
      </w:r>
    </w:p>
    <w:p>
      <w:pPr>
        <w:pStyle w:val="TextBody"/>
        <w:bidi w:val="0"/>
        <w:spacing w:before="7" w:after="283"/>
        <w:jc w:val="left"/>
        <w:rPr/>
      </w:pPr>
      <w:r>
        <w:rPr/>
        <w:t> </w:t>
      </w:r>
    </w:p>
    <w:p>
      <w:pPr>
        <w:pStyle w:val="TextBody"/>
        <w:bidi w:val="0"/>
        <w:spacing w:before="1" w:after="283"/>
        <w:jc w:val="both"/>
        <w:rPr>
          <w:color w:val="000000"/>
        </w:rPr>
      </w:pPr>
      <w:r>
        <w:rPr>
          <w:color w:val="000000"/>
        </w:rPr>
        <w:t>●</w:t>
      </w:r>
    </w:p>
    <w:p>
      <w:pPr>
        <w:pStyle w:val="TextBody"/>
        <w:bidi w:val="0"/>
        <w:spacing w:before="1" w:after="283"/>
        <w:jc w:val="both"/>
        <w:rPr/>
      </w:pPr>
      <w:r>
        <w:rPr>
          <w:rFonts w:ascii="Times New Roman" w:hAnsi="Times New Roman"/>
          <w:color w:val="000000"/>
          <w:sz w:val="20"/>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w:t>
      </w:r>
      <w:r>
        <w:rPr>
          <w:rFonts w:ascii="Times New Roman" w:hAnsi="Times New Roman"/>
          <w:color w:val="000000"/>
          <w:sz w:val="20"/>
          <w:u w:val="single"/>
        </w:rPr>
        <w:t>Rule 10b5-1</w:t>
      </w:r>
      <w:r>
        <w:rPr>
          <w:color w:val="000000"/>
        </w:rPr>
        <w:t>”</w:t>
      </w:r>
      <w:r>
        <w:rPr>
          <w:rFonts w:ascii="Times New Roman" w:hAnsi="Times New Roman"/>
          <w:color w:val="000000"/>
          <w:sz w:val="20"/>
        </w:rPr>
        <w:t>) promulgated under the Securities Exchange Act of 1934, as amended (the “</w:t>
      </w:r>
      <w:r>
        <w:rPr>
          <w:rFonts w:ascii="Times New Roman" w:hAnsi="Times New Roman"/>
          <w:color w:val="000000"/>
          <w:sz w:val="20"/>
          <w:u w:val="single"/>
        </w:rPr>
        <w:t>1934 Act</w:t>
      </w:r>
      <w:r>
        <w:rPr>
          <w:color w:val="000000"/>
        </w:rPr>
        <w:t>”</w:t>
      </w:r>
      <w:r>
        <w:rPr>
          <w:rFonts w:ascii="Times New Roman" w:hAnsi="Times New Roman"/>
          <w:color w:val="000000"/>
          <w:sz w:val="20"/>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events will occur that are material to the Company and cause officers, directors or employees to be in possession of material nonpublic information. When that happens, the Company will recommend that those in possession of the material nonpublic information suspend all trading in the Company’s securities until the information is no longer material or has been publicly disclosed.</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When such event-specific closed trading periods occur, those subject to it will be notified by the Company, or the Compliance Officer may determine in the Compliance Officer’s discretion to rely instead on the preclearance requirement provided for in Section IV.B of this Policy. The event-specific closed trading period will not be announced to those not subject to it, and those subject to it or otherwise aware of it should not disclose it to others.</w:t>
      </w:r>
    </w:p>
    <w:p>
      <w:pPr>
        <w:pStyle w:val="TextBody"/>
        <w:bidi w:val="0"/>
        <w:spacing w:before="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Even if the Company has not notified you that you are subject to an event-specific closed trading period, if you are aware of material nonpublic information about the Company, you should not trade in Company securities. Any failure by the Company to designate you as subject to an event-specific closed trading period, or to notify you of such designation, does not relieve you of your obligation not to trade in the Company’s securities while possessing material nonpublic information.</w:t>
      </w:r>
    </w:p>
    <w:p>
      <w:pPr>
        <w:pStyle w:val="TextBody"/>
        <w:bidi w:val="0"/>
        <w:spacing w:before="9"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No officer, director or employee shall directly or indirectly communicate (or “</w:t>
      </w:r>
      <w:r>
        <w:rPr>
          <w:rFonts w:ascii="Times New Roman" w:hAnsi="Times New Roman"/>
          <w:color w:val="000000"/>
          <w:sz w:val="20"/>
          <w:u w:val="single"/>
        </w:rPr>
        <w:t>tip</w:t>
      </w:r>
      <w:r>
        <w:rPr>
          <w:rFonts w:ascii="Times New Roman" w:hAnsi="Times New Roman"/>
          <w:color w:val="000000"/>
          <w:sz w:val="20"/>
        </w:rPr>
        <w:t>”) material nonpublic information to anyone outside the Company (except in accordance with the Company’s policies regarding the protection or authorized external disclosure of Company information) or to anyone within the Company other than on a “need-to-know” basis.</w:t>
      </w:r>
    </w:p>
    <w:p>
      <w:pPr>
        <w:pStyle w:val="TextBody"/>
        <w:bidi w:val="0"/>
        <w:spacing w:before="4"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III.</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Explanation of Insider Trading</w:t>
      </w:r>
    </w:p>
    <w:p>
      <w:pPr>
        <w:pStyle w:val="TextBody"/>
        <w:bidi w:val="0"/>
        <w:spacing w:before="7" w:after="283"/>
        <w:jc w:val="left"/>
        <w:rPr/>
      </w:pPr>
      <w:r>
        <w:rPr/>
        <w:t> </w:t>
      </w:r>
    </w:p>
    <w:p>
      <w:pPr>
        <w:pStyle w:val="TextBody"/>
        <w:bidi w:val="0"/>
        <w:jc w:val="both"/>
        <w:rPr/>
      </w:pPr>
      <w:r>
        <w:rPr>
          <w:color w:val="000000"/>
        </w:rPr>
        <w:t>“</w:t>
      </w:r>
      <w:r>
        <w:rPr>
          <w:rFonts w:ascii="Times New Roman" w:hAnsi="Times New Roman"/>
          <w:color w:val="000000"/>
          <w:sz w:val="20"/>
          <w:u w:val="single"/>
        </w:rPr>
        <w:t>Insider trading</w:t>
      </w:r>
      <w:r>
        <w:rPr>
          <w:rFonts w:ascii="Times New Roman" w:hAnsi="Times New Roman"/>
          <w:color w:val="000000"/>
          <w:sz w:val="20"/>
        </w:rPr>
        <w:t>” refers to the purchase or sale of a security while in possession of material nonpublic information relating to the security.</w:t>
      </w:r>
    </w:p>
    <w:p>
      <w:pPr>
        <w:pStyle w:val="TextBody"/>
        <w:bidi w:val="0"/>
        <w:spacing w:before="8" w:after="283"/>
        <w:jc w:val="left"/>
        <w:rPr/>
      </w:pPr>
      <w:r>
        <w:rPr/>
        <w:t> </w:t>
      </w:r>
    </w:p>
    <w:p>
      <w:pPr>
        <w:pStyle w:val="TextBody"/>
        <w:bidi w:val="0"/>
        <w:jc w:val="both"/>
        <w:rPr/>
      </w:pPr>
      <w:r>
        <w:rPr>
          <w:color w:val="000000"/>
        </w:rPr>
        <w:t>“</w:t>
      </w:r>
      <w:r>
        <w:rPr>
          <w:rFonts w:ascii="Times New Roman" w:hAnsi="Times New Roman"/>
          <w:color w:val="000000"/>
          <w:sz w:val="20"/>
          <w:u w:val="single"/>
        </w:rPr>
        <w:t>Securities</w:t>
      </w:r>
      <w:r>
        <w:rPr>
          <w:rFonts w:ascii="Times New Roman" w:hAnsi="Times New Roman"/>
          <w:color w:val="000000"/>
          <w:sz w:val="20"/>
        </w:rPr>
        <w:t>” includes stocks, bonds, notes, debentures, options, warrants, and other convertible securities, as well as derivative instruments.</w:t>
      </w:r>
    </w:p>
    <w:p>
      <w:pPr>
        <w:pStyle w:val="TextBody"/>
        <w:bidi w:val="0"/>
        <w:spacing w:before="1" w:after="283"/>
        <w:jc w:val="left"/>
        <w:rPr/>
      </w:pPr>
      <w:r>
        <w:rPr/>
        <w:t> </w:t>
      </w:r>
    </w:p>
    <w:p>
      <w:pPr>
        <w:pStyle w:val="TextBody"/>
        <w:bidi w:val="0"/>
        <w:jc w:val="both"/>
        <w:rPr/>
      </w:pPr>
      <w:r>
        <w:rPr>
          <w:color w:val="000000"/>
        </w:rPr>
        <w:t>“</w:t>
      </w:r>
      <w:r>
        <w:rPr>
          <w:rFonts w:ascii="Times New Roman" w:hAnsi="Times New Roman"/>
          <w:color w:val="000000"/>
          <w:sz w:val="20"/>
          <w:u w:val="single"/>
        </w:rPr>
        <w:t>Purchase</w:t>
      </w:r>
      <w:r>
        <w:rPr>
          <w:rFonts w:ascii="Times New Roman" w:hAnsi="Times New Roman"/>
          <w:color w:val="000000"/>
          <w:sz w:val="20"/>
        </w:rPr>
        <w:t>” and “</w:t>
      </w:r>
      <w:r>
        <w:rPr>
          <w:rFonts w:ascii="Times New Roman" w:hAnsi="Times New Roman"/>
          <w:color w:val="000000"/>
          <w:sz w:val="20"/>
          <w:u w:val="single"/>
        </w:rPr>
        <w:t>sale</w:t>
      </w:r>
      <w:r>
        <w:rPr>
          <w:rFonts w:ascii="Times New Roman" w:hAnsi="Times New Roman"/>
          <w:color w:val="000000"/>
          <w:sz w:val="20"/>
        </w:rPr>
        <w:t>”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pStyle w:val="TextBody"/>
        <w:bidi w:val="0"/>
        <w:spacing w:before="9"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What Facts Are Material?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materiality of a fact depends upon the circumstances. A fact is considered “</w:t>
      </w:r>
      <w:r>
        <w:rPr>
          <w:rFonts w:ascii="Times New Roman" w:hAnsi="Times New Roman"/>
          <w:color w:val="000000"/>
          <w:sz w:val="20"/>
          <w:u w:val="single"/>
        </w:rPr>
        <w:t>material</w:t>
      </w:r>
      <w:r>
        <w:rPr>
          <w:rFonts w:ascii="Times New Roman" w:hAnsi="Times New Roman"/>
          <w:color w:val="000000"/>
          <w:sz w:val="20"/>
        </w:rPr>
        <w:t>”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 could be deemed material.</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Examples of material information include (but are not limited to) information about dividends; corporate earnings or earnings forecasts; possible mergers, acquisitions, tender offers, or dispositions; major new products or product developments; important business developments such as major contract awards or cancellations, or developments regarding strategic partners; management or control changes; significant borrowing or financing developments, including pending public sales or offerings of debt or equity securities; defaults on borrowings; bankruptcies; cybersecurity or data security incidents; and significant litigation or regulatory actions. Moreover, material information does not have to be related to a company’s business. For example, the</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contents of a forthcoming news article that is expected to affect the market price of a security can be material.</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Questions regarding material information should be directed to the Company’s Compliance Officer. A good rule of thumb: When in doubt, do not trade.</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What Is Nonpublic?</w:t>
      </w:r>
    </w:p>
    <w:p>
      <w:pPr>
        <w:pStyle w:val="TextBody"/>
        <w:bidi w:val="0"/>
        <w:spacing w:before="7"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Information is “</w:t>
      </w:r>
      <w:r>
        <w:rPr>
          <w:rFonts w:ascii="Times New Roman" w:hAnsi="Times New Roman"/>
          <w:color w:val="000000"/>
          <w:sz w:val="20"/>
          <w:u w:val="single"/>
        </w:rPr>
        <w:t>nonpublic</w:t>
      </w:r>
      <w:r>
        <w:rPr>
          <w:rFonts w:ascii="Times New Roman" w:hAnsi="Times New Roman"/>
          <w:color w:val="000000"/>
          <w:sz w:val="20"/>
        </w:rPr>
        <w:t>” if it is not available to the general public. In order for information to be considered public, it must be widely disseminated in a manner making it generally available to investors through newswire services such as Dow Jones, Reuters, Bloomberg, Business Wire, The Wall Street Journal, Associated Press, or United Press International; a broadcast on widely available radio or television programs; publication in a widely available newspaper, magazine, or news website; a Regulation FD-compliant conference call; or public disclosure documents filed with the U.S. Securities and Exchange Commission (the “</w:t>
      </w:r>
      <w:r>
        <w:rPr>
          <w:rFonts w:ascii="Times New Roman" w:hAnsi="Times New Roman"/>
          <w:color w:val="000000"/>
          <w:sz w:val="20"/>
          <w:u w:val="single"/>
        </w:rPr>
        <w:t>SEC</w:t>
      </w:r>
      <w:r>
        <w:rPr>
          <w:rFonts w:ascii="Times New Roman" w:hAnsi="Times New Roman"/>
          <w:color w:val="000000"/>
          <w:sz w:val="20"/>
        </w:rPr>
        <w:t>”) that are available on the SEC’s website.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one full trading day following publication as a reasonable waiting period before such information is deemed to be public.</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Who Is an Insider?</w:t>
      </w:r>
    </w:p>
    <w:p>
      <w:pPr>
        <w:pStyle w:val="TextBody"/>
        <w:bidi w:val="0"/>
        <w:spacing w:before="6" w:after="283"/>
        <w:jc w:val="left"/>
        <w:rPr/>
      </w:pPr>
      <w:r>
        <w:rPr/>
        <w:t> </w:t>
      </w:r>
    </w:p>
    <w:p>
      <w:pPr>
        <w:pStyle w:val="TextBody"/>
        <w:bidi w:val="0"/>
        <w:spacing w:before="1" w:after="283"/>
        <w:jc w:val="both"/>
        <w:rPr/>
      </w:pPr>
      <w:r>
        <w:rPr>
          <w:color w:val="000000"/>
        </w:rPr>
        <w:t>“</w:t>
      </w:r>
      <w:r>
        <w:rPr>
          <w:rFonts w:ascii="Times New Roman" w:hAnsi="Times New Roman"/>
          <w:color w:val="000000"/>
          <w:sz w:val="20"/>
          <w:u w:val="single"/>
        </w:rPr>
        <w:t>Insiders</w:t>
      </w:r>
      <w:r>
        <w:rPr>
          <w:rFonts w:ascii="Times New Roman" w:hAnsi="Times New Roman"/>
          <w:color w:val="000000"/>
          <w:sz w:val="20"/>
        </w:rPr>
        <w:t>” include officers, directors and employees of a company, or anyone else who has material nonpublic information about a company. Insiders have independent fiduciary duties to their company and its stockholders not to trade on material nonpublic information relating to the company’s securities. Insiders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someone subject to this Policy, you are responsible for ensuring that members of your household also comply with this Policy. This includes family members residing with you, anyone else living in your household, and any family members not living with you whose transactions in the Company’s securities are directed by you, or subject to your influence and control. This Policy also applies to any entities you control, including any corporations, partnerships, or trusts, and transactions by these entities should be treated for the purposes of this Policy and applicable securities laws as if they were for your own account.</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Trading by Persons Other Than Insiders</w:t>
      </w:r>
    </w:p>
    <w:p>
      <w:pPr>
        <w:pStyle w:val="TextBody"/>
        <w:bidi w:val="0"/>
        <w:spacing w:before="7"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Insiders may be liable for communicating or tipping material nonpublic information to a third party (“</w:t>
      </w:r>
      <w:r>
        <w:rPr>
          <w:rFonts w:ascii="Times New Roman" w:hAnsi="Times New Roman"/>
          <w:color w:val="000000"/>
          <w:sz w:val="20"/>
          <w:u w:val="single"/>
        </w:rPr>
        <w:t>tippee</w:t>
      </w:r>
      <w:r>
        <w:rPr>
          <w:rFonts w:ascii="Times New Roman" w:hAnsi="Times New Roman"/>
          <w:color w:val="000000"/>
          <w:sz w:val="20"/>
        </w:rPr>
        <w:t>”), and insider trading violations are not limited to trading or tipping by insiders. Persons other than insiders can also be liable for insider trading, including tippees who trade on material nonpublic information tipped to them or individuals who trade on material nonpublic information that has been misappropriated. Insiders may be held liable for tipping even if they receive no personal benefit from tipping and even if no close personal relationship exists between them and the tippee.</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9"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w:t>
      </w:r>
    </w:p>
    <w:p>
      <w:pPr>
        <w:pStyle w:val="TextBody"/>
        <w:bidi w:val="0"/>
        <w:jc w:val="left"/>
        <w:rPr>
          <w:rFonts w:ascii="Times New Roman" w:hAnsi="Times New Roman"/>
          <w:b/>
          <w:color w:val="000000"/>
          <w:sz w:val="20"/>
        </w:rPr>
      </w:pPr>
      <w:r>
        <w:rPr>
          <w:rFonts w:ascii="Times New Roman" w:hAnsi="Times New Roman"/>
          <w:b/>
          <w:color w:val="000000"/>
          <w:sz w:val="20"/>
        </w:rPr>
        <w:t>Penalties for Engaging in Insider Trading</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pStyle w:val="TextBody"/>
        <w:bidi w:val="0"/>
        <w:spacing w:before="7"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SEC administrative sanctions;</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securities industry self-regulatory organization sanctions;</w:t>
      </w:r>
    </w:p>
    <w:p>
      <w:pPr>
        <w:pStyle w:val="TextBody"/>
        <w:bidi w:val="0"/>
        <w:spacing w:before="10"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civil injunctions;</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damage awards to private plaintiffs;</w:t>
      </w:r>
    </w:p>
    <w:p>
      <w:pPr>
        <w:pStyle w:val="TextBody"/>
        <w:bidi w:val="0"/>
        <w:spacing w:before="6"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disgorgement of all profits;</w:t>
      </w:r>
    </w:p>
    <w:p>
      <w:pPr>
        <w:pStyle w:val="TextBody"/>
        <w:bidi w:val="0"/>
        <w:spacing w:before="10"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civil fines for the violator of up to three times the amount of profit gained or loss avoided;</w:t>
      </w:r>
    </w:p>
    <w:p>
      <w:pPr>
        <w:pStyle w:val="TextBody"/>
        <w:bidi w:val="0"/>
        <w:spacing w:before="7"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civil fines for the employer or other controlling person of a violator (i.e., where the violator is an employee or other controlled person) of up to the greater of $1.425 million or three times the amount of profit gained or loss avoided by the violator;</w:t>
      </w:r>
    </w:p>
    <w:p>
      <w:pPr>
        <w:pStyle w:val="TextBody"/>
        <w:bidi w:val="0"/>
        <w:spacing w:before="9"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criminal fines for individual violators of up to $5 million ($25 million for an entity);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jail sentences of up to 20 years.</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may also be violated in connection with insider trading.</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w:t>
      </w:r>
    </w:p>
    <w:p>
      <w:pPr>
        <w:pStyle w:val="TextBody"/>
        <w:bidi w:val="0"/>
        <w:jc w:val="left"/>
        <w:rPr>
          <w:rFonts w:ascii="Times New Roman" w:hAnsi="Times New Roman"/>
          <w:b/>
          <w:color w:val="000000"/>
          <w:sz w:val="20"/>
        </w:rPr>
      </w:pPr>
      <w:r>
        <w:rPr>
          <w:rFonts w:ascii="Times New Roman" w:hAnsi="Times New Roman"/>
          <w:b/>
          <w:color w:val="000000"/>
          <w:sz w:val="20"/>
        </w:rPr>
        <w:t>Size of Transaction and Reason for Transaction Do Not Matter</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G.</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Examples of Insider Trading</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Examples of insider trading cases include actions brought against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pStyle w:val="TextBody"/>
        <w:bidi w:val="0"/>
        <w:spacing w:before="2"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The following are illustrations of insider trading violations. These illustrations are hypothetical and, consequently, not intended to reflect on the actual activities or business of the Company or any other entity.</w:t>
      </w:r>
    </w:p>
    <w:p>
      <w:pPr>
        <w:pStyle w:val="TextBody"/>
        <w:bidi w:val="0"/>
        <w:spacing w:before="9" w:after="283"/>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Trading by Insider</w:t>
      </w:r>
    </w:p>
    <w:p>
      <w:pPr>
        <w:pStyle w:val="TextBody"/>
        <w:bidi w:val="0"/>
        <w:spacing w:before="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is also subject to, among other things, criminal prosecution, including up to $5 million in additional fines and 20 years in jail. Depending upon the circumstances, X Corporation and the individual to whom the officer reports could also be liable as controlling persons.</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Trading by Tippee</w:t>
      </w:r>
    </w:p>
    <w:p>
      <w:pPr>
        <w:pStyle w:val="TextBody"/>
        <w:bidi w:val="0"/>
        <w:spacing w:before="10" w:after="283"/>
        <w:jc w:val="left"/>
        <w:rPr/>
      </w:pPr>
      <w:r>
        <w:rPr/>
        <w:t> </w:t>
      </w:r>
    </w:p>
    <w:p>
      <w:pPr>
        <w:pStyle w:val="TextBody"/>
        <w:bidi w:val="0"/>
        <w:spacing w:before="93" w:after="283"/>
        <w:jc w:val="both"/>
        <w:rPr>
          <w:rFonts w:ascii="Times New Roman" w:hAnsi="Times New Roman"/>
          <w:color w:val="000000"/>
          <w:sz w:val="20"/>
        </w:rPr>
      </w:pPr>
      <w:r>
        <w:rPr>
          <w:rFonts w:ascii="Times New Roman" w:hAnsi="Times New Roman"/>
          <w:color w:val="000000"/>
          <w:sz w:val="20"/>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H.</w:t>
      </w:r>
    </w:p>
    <w:p>
      <w:pPr>
        <w:pStyle w:val="TextBody"/>
        <w:bidi w:val="0"/>
        <w:jc w:val="left"/>
        <w:rPr>
          <w:rFonts w:ascii="Times New Roman" w:hAnsi="Times New Roman"/>
          <w:b/>
          <w:color w:val="000000"/>
          <w:sz w:val="20"/>
        </w:rPr>
      </w:pPr>
      <w:r>
        <w:rPr>
          <w:rFonts w:ascii="Times New Roman" w:hAnsi="Times New Roman"/>
          <w:b/>
          <w:color w:val="000000"/>
          <w:sz w:val="20"/>
        </w:rPr>
        <w:t>Prohibition of Records Falsification and False Statements</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13(b)(2) of the 1934 Act requires companies subject to the 1934 Act to maintain proper internal books and records and to devise and maintain an adequate system of internal accounting controls. The SEC has supplemented the statutory requirements by adopting rules that prohibit (i) any person from falsifying records or accounts subject to the above requirements, and (ii)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 Falsifying records or accounts or making materially false, misleading, or incomplete statements in connection with an audit or filing with the SEC could also result in criminal penalties for obstruction of justice.</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IV.</w:t>
      </w:r>
    </w:p>
    <w:p>
      <w:pPr>
        <w:pStyle w:val="TextBody"/>
        <w:bidi w:val="0"/>
        <w:spacing w:before="80" w:after="283"/>
        <w:jc w:val="left"/>
        <w:rPr>
          <w:rFonts w:ascii="Times New Roman" w:hAnsi="Times New Roman"/>
          <w:b/>
          <w:color w:val="000000"/>
          <w:sz w:val="20"/>
          <w:u w:val="single"/>
        </w:rPr>
      </w:pPr>
      <w:r>
        <w:rPr>
          <w:rFonts w:ascii="Times New Roman" w:hAnsi="Times New Roman"/>
          <w:b/>
          <w:color w:val="000000"/>
          <w:sz w:val="20"/>
          <w:u w:val="single"/>
        </w:rPr>
        <w:t>Statement of Procedures to Prevent Insider Trading</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procedures have been established, and will be maintained and enforced, by the Company to prevent insider trading.</w:t>
      </w:r>
    </w:p>
    <w:p>
      <w:pPr>
        <w:pStyle w:val="TextBody"/>
        <w:bidi w:val="0"/>
        <w:spacing w:before="2"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Closed Trading Periods</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period during which the Company prepares quarterly financials is a sensitive time for insider trading purposes, as Company personnel may be more likely to possess, or be presumed to possess, material nonpublic information. To avoid the appearance of impropriety and assist Company personnel in planning transactions in the Company’s securities for appropriate times, no officer, director or employee shall purchase or sell any security of the Company during the period beginning on the 15th calendar day of the last month of any fiscal quarter of the Company and ending upon completion of the first full trading day after the public release of earnings data for such fiscal quarter or during any other trading suspension period declared by the Company, except for:</w:t>
      </w:r>
    </w:p>
    <w:p>
      <w:pPr>
        <w:pStyle w:val="TextBody"/>
        <w:bidi w:val="0"/>
        <w:spacing w:before="8" w:after="283"/>
        <w:jc w:val="left"/>
        <w:rPr/>
      </w:pPr>
      <w:r>
        <w:rPr/>
        <w:t> </w:t>
      </w:r>
    </w:p>
    <w:p>
      <w:pPr>
        <w:pStyle w:val="TextBody"/>
        <w:bidi w:val="0"/>
        <w:spacing w:before="1" w:after="283"/>
        <w:jc w:val="both"/>
        <w:rPr>
          <w:color w:val="000000"/>
        </w:rPr>
      </w:pPr>
      <w:r>
        <w:rPr>
          <w:color w:val="000000"/>
        </w:rPr>
        <w:t>●</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purchases of the Company’s securities from the Company or sales of the Company’s securities to the Company;</w:t>
      </w:r>
    </w:p>
    <w:p>
      <w:pPr>
        <w:pStyle w:val="TextBody"/>
        <w:bidi w:val="0"/>
        <w:spacing w:before="7"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 xml:space="preserve">exercises of stock options or other equity awards, the surrender of shares to the Company in payment of the exercise price or in satisfaction of any tax withholding obligations in a manner permitted by the applicable equity award agreement, or the vesting of equity-based awards that do not involve a market sale of the Company’s securities (the cashless exercise of a Company stock option through a broker </w:t>
      </w:r>
      <w:r>
        <w:rPr>
          <w:rFonts w:ascii="Times New Roman" w:hAnsi="Times New Roman"/>
          <w:color w:val="000000"/>
          <w:sz w:val="20"/>
          <w:u w:val="single"/>
        </w:rPr>
        <w:t>does</w:t>
      </w:r>
      <w:r>
        <w:rPr>
          <w:color w:val="000000"/>
        </w:rPr>
        <w:t xml:space="preserve"> </w:t>
      </w:r>
      <w:r>
        <w:rPr>
          <w:rFonts w:ascii="Times New Roman" w:hAnsi="Times New Roman"/>
          <w:color w:val="000000"/>
          <w:sz w:val="20"/>
        </w:rPr>
        <w:t>involve a market sale of the Company’s securities, and therefore would not qualify under this exception);</w:t>
      </w:r>
    </w:p>
    <w:p>
      <w:pPr>
        <w:pStyle w:val="TextBody"/>
        <w:bidi w:val="0"/>
        <w:spacing w:before="9"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 xml:space="preserve">bona fide </w:t>
      </w:r>
      <w:r>
        <w:rPr>
          <w:rFonts w:ascii="Times New Roman" w:hAnsi="Times New Roman"/>
          <w:color w:val="000000"/>
          <w:sz w:val="20"/>
        </w:rPr>
        <w:t>gifts of the Company’s securities, unless the individual making the gift knows that the recipient intends to sell the securities; and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w:t>
      </w:r>
    </w:p>
    <w:p>
      <w:pPr>
        <w:pStyle w:val="TextBody"/>
        <w:bidi w:val="0"/>
        <w:spacing w:before="6"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Exceptions to the closed trading period policy may be approved only by the Board of Directors, the Audit Committee of the Board of Directors, the Company’s Compliance Officer or Chief Financial Officer or, in the case of exceptions for directors, the Board of Directors or Audit Committee of the Board of Directors.</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the Company, through the Board of Directors, the Company’s disclosure committee or the Compliance Officer or Chief Financial Officer, may recommend that officers, directors, employees or others suspend trading in the Company’s securities because of developments that have not yet been disclosed to the public. Subject to the exceptions noted above, all those affected should not trade in the Company’s securities while the suspension is in effect, and should not disclose to others that the Company has suspended trading.</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Preclearance of All Trades by All Officers, Directors, and Certain Employees</w:t>
      </w:r>
    </w:p>
    <w:p>
      <w:pPr>
        <w:pStyle w:val="TextBody"/>
        <w:bidi w:val="0"/>
        <w:spacing w:before="8"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To provide assistance in preventing inadvertent violations of applicable securities laws and to avoid the appearance of impropriety in connection with the purchase and sale or gifts of the Company’s securities, all transactions in the Company’s securities (including, without limitation, acquisitions and dispositions (including gifts) of Company stock, the exercise of stock options, elective transactions under 401(k)/ESPP/deferred compensation plans, and the sale of Company stock issued upon exercise of stock options) by officers, directors and certain employees listed on </w:t>
      </w:r>
      <w:r>
        <w:rPr>
          <w:rFonts w:ascii="Times New Roman" w:hAnsi="Times New Roman"/>
          <w:color w:val="000000"/>
          <w:sz w:val="20"/>
          <w:u w:val="single"/>
        </w:rPr>
        <w:t>Schedule I</w:t>
      </w:r>
      <w:r>
        <w:rPr>
          <w:rFonts w:ascii="Times New Roman" w:hAnsi="Times New Roman"/>
          <w:color w:val="000000"/>
          <w:sz w:val="20"/>
        </w:rPr>
        <w:t xml:space="preserve"> (as amended from time to time) (each, a “</w:t>
      </w:r>
      <w:r>
        <w:rPr>
          <w:rFonts w:ascii="Times New Roman" w:hAnsi="Times New Roman"/>
          <w:color w:val="000000"/>
          <w:sz w:val="20"/>
          <w:u w:val="single"/>
        </w:rPr>
        <w:t>Preclearance Person</w:t>
      </w:r>
      <w:r>
        <w:rPr>
          <w:rFonts w:ascii="Times New Roman" w:hAnsi="Times New Roman"/>
          <w:color w:val="000000"/>
          <w:sz w:val="20"/>
        </w:rPr>
        <w:t>”) must be precleared by the Company’s Compliance Officer or Chief Financial Officer, except for certain exempt transactions as explained in Section VI of this Policy. Preclearance does not relieve you of your responsibility under SEC rules.</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in connection with any market transaction the Preclearance Person must execute a certification that the Preclearance Person is not aware of material nonpublic information about the Company. The Compliance Officer or Chief Financial Officer shall have sole discretion to decide whether to clear any contemplated transaction (other than his or her own contemplated transaction). All trades or gifts that are precleared must be effected within five business days of receipt of the preclearance, unless a specific exception has been granted by the Compliance Officer or Chief Financial Officer. A precleared trade or gift (or any portion of a precleared trade or gift) that has not been effected during the five-business day period must be precleared again prior to execution. Notwithstanding receipt of preclearance, if the Preclearance Person becomes aware of material nonpublic information or becomes subject to a closed trading period before the transaction is effected, the transaction may not be completed.</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 of the Company, the Compliance Officer or Chief Financial Officer, or the Company’s other employees will have any liability for any delay in reviewing, or refusal of, a request for preclearance submitted pursuant to this Section IV.B. Notwithstanding any preclearance of a transaction pursuant to this Section IV.B, none of the Company, the Compliance Officer or Chief Financial Officer, or the Company’s other employees assumes any liability for the legality or consequences of such transaction to the person engaging in such transaction.</w:t>
      </w:r>
    </w:p>
    <w:p>
      <w:pPr>
        <w:pStyle w:val="TextBody"/>
        <w:bidi w:val="0"/>
        <w:spacing w:before="2"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Post-Termination Transactions</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the exception of the preclearance requirement, this Policy continues to apply to transactions in the Company’s securities even after termination of service to the Company. If you are in possession of material nonpublic information when your service terminates, you may not trade in the Company’s securities until that information has become public or is no longer material.</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Information Relating to the Company</w:t>
      </w:r>
    </w:p>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rFonts w:ascii="Times New Roman" w:hAnsi="Times New Roman"/>
          <w:i/>
          <w:color w:val="000000"/>
          <w:sz w:val="20"/>
        </w:rPr>
      </w:pPr>
      <w:r>
        <w:rPr>
          <w:rFonts w:ascii="Times New Roman" w:hAnsi="Times New Roman"/>
          <w:i/>
          <w:color w:val="000000"/>
          <w:sz w:val="20"/>
        </w:rPr>
        <w:t>Access to Information</w:t>
      </w:r>
    </w:p>
    <w:p>
      <w:pPr>
        <w:pStyle w:val="TextBody"/>
        <w:bidi w:val="0"/>
        <w:spacing w:before="2"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Access to material nonpublic information about the Company, including the Company’s business, earnings, or prospects, should be limited to officers, directors and employees of the</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pStyle w:val="TextBody"/>
        <w:bidi w:val="0"/>
        <w:spacing w:before="10" w:after="283"/>
        <w:jc w:val="left"/>
        <w:rPr/>
      </w:pPr>
      <w:r>
        <w:rPr/>
        <w:t> </w:t>
      </w:r>
    </w:p>
    <w:p>
      <w:pPr>
        <w:pStyle w:val="TextBody"/>
        <w:bidi w:val="0"/>
        <w:spacing w:before="1"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 w:after="283"/>
        <w:jc w:val="left"/>
        <w:rPr>
          <w:rFonts w:ascii="Times New Roman" w:hAnsi="Times New Roman"/>
          <w:i/>
          <w:color w:val="000000"/>
          <w:sz w:val="20"/>
        </w:rPr>
      </w:pPr>
      <w:r>
        <w:rPr>
          <w:rFonts w:ascii="Times New Roman" w:hAnsi="Times New Roman"/>
          <w:i/>
          <w:color w:val="000000"/>
          <w:sz w:val="20"/>
        </w:rPr>
        <w:t>Inquiries From Third Parties</w:t>
      </w:r>
    </w:p>
    <w:p>
      <w:pPr>
        <w:pStyle w:val="TextBody"/>
        <w:bidi w:val="0"/>
        <w:spacing w:before="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Inquiries from third parties, such as industry analysts or members of the media, about the Company should be directed to the Company’s Compliance Officer or Chief Financial Officer.</w:t>
      </w:r>
    </w:p>
    <w:p>
      <w:pPr>
        <w:pStyle w:val="TextBody"/>
        <w:bidi w:val="0"/>
        <w:spacing w:before="1"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Limitations on Access to Company Information</w:t>
      </w:r>
    </w:p>
    <w:p>
      <w:pPr>
        <w:pStyle w:val="TextBody"/>
        <w:bidi w:val="0"/>
        <w:spacing w:before="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procedures are designed to maintain confidentiality with respect to the Company’s business operations and activities.</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All officers, directors and employees should take all steps and precautions necessary to restrict access to, and secure, material nonpublic information by, among other things:</w:t>
      </w:r>
    </w:p>
    <w:p>
      <w:pPr>
        <w:pStyle w:val="TextBody"/>
        <w:bidi w:val="0"/>
        <w:spacing w:before="7"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maintaining the confidentiality of Company-related transactions;</w:t>
      </w:r>
    </w:p>
    <w:p>
      <w:pPr>
        <w:pStyle w:val="TextBody"/>
        <w:bidi w:val="0"/>
        <w:jc w:val="left"/>
        <w:rPr/>
      </w:pPr>
      <w:r>
        <w:rPr/>
        <w:t> </w:t>
      </w:r>
    </w:p>
    <w:p>
      <w:pPr>
        <w:pStyle w:val="TextBody"/>
        <w:bidi w:val="0"/>
        <w:spacing w:before="1" w:after="283"/>
        <w:jc w:val="both"/>
        <w:rPr>
          <w:color w:val="000000"/>
        </w:rPr>
      </w:pPr>
      <w:r>
        <w:rPr>
          <w:color w:val="000000"/>
        </w:rPr>
        <w:t>●</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conducting their business and social activities so as not to risk inadvertent disclosure of confidential information. Review of confidential documents in public places should be conducted so as to prevent access by unauthorized persons;</w:t>
      </w:r>
    </w:p>
    <w:p>
      <w:pPr>
        <w:pStyle w:val="TextBody"/>
        <w:bidi w:val="0"/>
        <w:spacing w:before="4"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restricting access to documents and files (including computer files) containing material nonpublic information to individuals on a “need-to-know” basis (including maintaining control over the distribution of documents and drafts of documents);</w:t>
      </w:r>
    </w:p>
    <w:p>
      <w:pPr>
        <w:pStyle w:val="TextBody"/>
        <w:bidi w:val="0"/>
        <w:spacing w:before="3"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promptly removing and cleaning up all confidential documents and other materials from conference rooms following the conclusion of any meetings;</w:t>
      </w:r>
    </w:p>
    <w:p>
      <w:pPr>
        <w:pStyle w:val="TextBody"/>
        <w:bidi w:val="0"/>
        <w:spacing w:before="7"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disposing of all confidential documents and other papers once there is no longer any business or other legally required need — through shredders when appropriate;</w:t>
      </w:r>
    </w:p>
    <w:p>
      <w:pPr>
        <w:pStyle w:val="TextBody"/>
        <w:bidi w:val="0"/>
        <w:spacing w:before="8"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restricting access to areas likely to contain confidential documents or material nonpublic information;</w:t>
      </w:r>
    </w:p>
    <w:p>
      <w:pPr>
        <w:pStyle w:val="TextBody"/>
        <w:bidi w:val="0"/>
        <w:spacing w:before="1"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safeguarding laptop computers, smartphones, tablets, memory sticks, CDs, and other items that contain confidential information; and</w:t>
      </w:r>
    </w:p>
    <w:p>
      <w:pPr>
        <w:pStyle w:val="TextBody"/>
        <w:bidi w:val="0"/>
        <w:spacing w:before="7"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avoiding the discussion of material nonpublic information in places where the information could be overheard by others, such as in elevators, restrooms, hallways, restaurants, airplanes, or taxicabs/Lyfts/Ubers.</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Personnel involved with material nonpublic information, to the extent feasible, should conduct their business and activities in areas separate from other Company activities.</w:t>
      </w:r>
    </w:p>
    <w:p>
      <w:pPr>
        <w:pStyle w:val="TextBody"/>
        <w:bidi w:val="0"/>
        <w:spacing w:before="8"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V.</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Additional Prohibited Transactions</w:t>
      </w:r>
    </w:p>
    <w:p>
      <w:pPr>
        <w:pStyle w:val="TextBody"/>
        <w:bidi w:val="0"/>
        <w:spacing w:before="10" w:after="283"/>
        <w:jc w:val="left"/>
        <w:rPr/>
      </w:pPr>
      <w:r>
        <w:rPr/>
        <w:t> </w:t>
      </w:r>
    </w:p>
    <w:p>
      <w:pPr>
        <w:pStyle w:val="TextBody"/>
        <w:bidi w:val="0"/>
        <w:spacing w:before="93" w:after="283"/>
        <w:jc w:val="both"/>
        <w:rPr>
          <w:rFonts w:ascii="Times New Roman" w:hAnsi="Times New Roman"/>
          <w:color w:val="000000"/>
          <w:sz w:val="20"/>
        </w:rPr>
      </w:pPr>
      <w:r>
        <w:rPr>
          <w:rFonts w:ascii="Times New Roman" w:hAnsi="Times New Roman"/>
          <w:color w:val="000000"/>
          <w:sz w:val="20"/>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Short Sales</w:t>
      </w:r>
    </w:p>
    <w:p>
      <w:pPr>
        <w:pStyle w:val="TextBody"/>
        <w:bidi w:val="0"/>
        <w:spacing w:before="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i.e., sales of shares that the insider does not own at the time of sale, or sales of shares against which the insider does not deliver the shares within 20 days after the sale.</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Publicly Traded Options</w:t>
      </w:r>
    </w:p>
    <w:p>
      <w:pPr>
        <w:pStyle w:val="TextBody"/>
        <w:bidi w:val="0"/>
        <w:spacing w:before="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transaction in options is, in effect, a bet on the short-term movement of the Company’s stock and therefore creates the appearance that an officer, director or employee is trading based on material nonpublic information. Transactions in options may also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pStyle w:val="TextBody"/>
        <w:bidi w:val="0"/>
        <w:spacing w:before="4"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Hedging Transactions</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 stock. Such transactions allow the officer, director or employee to continue to own the covered securities, but without the full risks and rewards of ownership. When that occurs, the officer, director or employee may no longer have the same objectives as the Company’s other stockholders. Therefore, such transactions involving the Company’s equity securities are prohibited by this Policy.</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Purchases of the Company’s Securities on Margin; Pledging the Company’s Securities to Secure Margin or Other Loans</w:t>
      </w:r>
    </w:p>
    <w:p>
      <w:pPr>
        <w:pStyle w:val="TextBody"/>
        <w:bidi w:val="0"/>
        <w:spacing w:before="8"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unless otherwise approved by the Compliance Officer;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foregoing shall not apply to existing pledges as of the date of initial adoption of this Policy. This prohibition means, among other things, that you cannot hold the Company’s securities in a “margin account” (which would allow you to borrow against your holdings to buy securities).</w:t>
      </w:r>
    </w:p>
    <w:p>
      <w:pPr>
        <w:pStyle w:val="TextBody"/>
        <w:bidi w:val="0"/>
        <w:spacing w:before="9"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VI.</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Rule 10b5-1 Trading Plans, Section 16, and Rule 144</w:t>
      </w:r>
    </w:p>
    <w:p>
      <w:pPr>
        <w:pStyle w:val="TextBody"/>
        <w:bidi w:val="0"/>
        <w:spacing w:before="10" w:after="283"/>
        <w:jc w:val="left"/>
        <w:rPr/>
      </w:pPr>
      <w:r>
        <w:rPr/>
        <w:t> </w:t>
      </w:r>
    </w:p>
    <w:p>
      <w:pPr>
        <w:pStyle w:val="TextBody"/>
        <w:bidi w:val="0"/>
        <w:spacing w:before="94"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94"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6"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The trading restrictions set forth do not apply to transactions under a previously established contract, plan, or instruction to trade in the Company’s stock in accordance with the terms of Rule 10b5-1 and all applicable state laws (a “</w:t>
      </w:r>
      <w:r>
        <w:rPr>
          <w:rFonts w:ascii="Times New Roman" w:hAnsi="Times New Roman"/>
          <w:color w:val="000000"/>
          <w:sz w:val="20"/>
          <w:u w:val="single"/>
        </w:rPr>
        <w:t>Trading Plan</w:t>
      </w:r>
      <w:r>
        <w:rPr>
          <w:rFonts w:ascii="Times New Roman" w:hAnsi="Times New Roman"/>
          <w:color w:val="000000"/>
          <w:sz w:val="20"/>
        </w:rPr>
        <w:t>”) that:</w:t>
      </w:r>
    </w:p>
    <w:p>
      <w:pPr>
        <w:pStyle w:val="TextBody"/>
        <w:bidi w:val="0"/>
        <w:spacing w:before="10"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has been submitted to and preapproved by the Company’s Compliance Officer, or such other person as the Board of Directors may designate from time to time (the “</w:t>
      </w:r>
      <w:r>
        <w:rPr>
          <w:rFonts w:ascii="Times New Roman" w:hAnsi="Times New Roman"/>
          <w:color w:val="000000"/>
          <w:sz w:val="20"/>
          <w:u w:val="single"/>
        </w:rPr>
        <w:t>Authorizing Officer</w:t>
      </w:r>
      <w:r>
        <w:rPr>
          <w:color w:val="000000"/>
        </w:rPr>
        <w:t>”</w:t>
      </w:r>
      <w:r>
        <w:rPr>
          <w:rFonts w:ascii="Times New Roman" w:hAnsi="Times New Roman"/>
          <w:color w:val="000000"/>
          <w:sz w:val="20"/>
        </w:rPr>
        <w:t>);</w:t>
      </w:r>
    </w:p>
    <w:p>
      <w:pPr>
        <w:pStyle w:val="TextBody"/>
        <w:bidi w:val="0"/>
        <w:spacing w:before="8"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you entered into in good faith at a time when you were not in possession of material nonpublic information about the Company and during an open trading window, and you have acted in good faith with respect to the Trading Plan;</w:t>
      </w:r>
    </w:p>
    <w:p>
      <w:pPr>
        <w:pStyle w:val="TextBody"/>
        <w:bidi w:val="0"/>
        <w:spacing w:before="2"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either (i) specifies the amounts, prices, and dates of all security transactions under the Trading Plan or (ii) provides a written formula, algorithm, or computer program for determining the amount, price, and date of the transactions, and (iii) prohibits you from exercising any subsequent influence over the transactions;</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includes a “Cooling Off Period” under which no purchases or sales may occur for</w:t>
      </w:r>
    </w:p>
    <w:p>
      <w:pPr>
        <w:pStyle w:val="TextBody"/>
        <w:bidi w:val="0"/>
        <w:spacing w:before="7"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directors and officers designated as officers under Section 16 of the 1934 Act, as designated by the Board of Directors (the “Section 16 Officers”), that extends to the later of 90 days after adoption or modification of a Trading Plan or two business days after filing of the Form 10-K or Form 10- Q covering the fiscal quarter in which the Trading Plan was adopted, up to a maximum of 120 days; and</w:t>
      </w:r>
    </w:p>
    <w:p>
      <w:pPr>
        <w:pStyle w:val="TextBody"/>
        <w:bidi w:val="0"/>
        <w:spacing w:before="4"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employees and any other persons, other than the Company, that extends 30 days after adoption or modification of a Trading Plan;</w:t>
      </w:r>
    </w:p>
    <w:p>
      <w:pPr>
        <w:pStyle w:val="TextBody"/>
        <w:bidi w:val="0"/>
        <w:spacing w:before="4"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for directors and Section 16 Officers, includes a representation in the Trading Plan that the director or Section 16 Officer is (i) not aware of any material nonpublic information about the Company or its securities and (ii) adopting the Trading Plan in good faith and not as part of a plan or scheme to evade Rule 10b-5; and</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complies with all other applicable requirements of Rule 10b5-1.</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Authorizing Officer may impose such other conditions on the implementation and operation of the Trading Plan as the Authorizing Officer deems necessary or advisable. You may not adopt more than one Trading Plan at a time except under the limited circumstances permitted by Rule 10b5-1 (i.e., all transactions under the later adopted Trading Plan may only begin after all transactions under the earlier adopted Trading Plan have been completed or expired and after the observance of the applicable Cooling-Off Period) and subject to preapproval by the Authorizing Officer. Trading Plans that authorize sell-to-cover transactions to satisfy tax</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withholding obligations incident to the vesting of equity awards are permitted even if you have another trading plan in place, as long as the sell-to-cover plan authorizes an agent to sell only the securities necessary to satisfy the tax withholding obligations, and you do not otherwise control the timing of the sales.</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You may only modify a Trading Plan during an open trading window and, in any event, when you do not possess material nonpublic information. Modifications to and terminations of a Trading Plan are subject to preapproval by the Authorizing Officer. Modifications of a Trading Plan that change the amount, price, or timing of the purchase or sale of the securities underlying a Trading Plan will trigger a new Cooling-Off Period.</w:t>
      </w:r>
    </w:p>
    <w:p>
      <w:pPr>
        <w:pStyle w:val="TextBody"/>
        <w:bidi w:val="0"/>
        <w:spacing w:before="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reserves the right to publicly disclose, announce, or respond to inquiries from the media regarding, the adoption, modification, or termination of Trading Plans and non- Rule 10b5-1 trading arrangements or the execution of transactions made under a Trading Plan. The Company also reserves the right from time to time to suspend, discontinue, or otherwise prohibit transactions under a Trading Plan if the Authorizing Officer or the Board of Directors, in its discretion, determines that such suspension, discontinuation, or other prohibition is in the best interests of the Company.</w:t>
      </w:r>
    </w:p>
    <w:p>
      <w:pPr>
        <w:pStyle w:val="TextBody"/>
        <w:bidi w:val="0"/>
        <w:spacing w:before="10"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0"/>
        </w:rPr>
        <w:t>The cashless exercise of options under Trading Plans is permitted only through “</w:t>
      </w:r>
      <w:r>
        <w:rPr>
          <w:rFonts w:ascii="Times New Roman" w:hAnsi="Times New Roman"/>
          <w:color w:val="000000"/>
          <w:sz w:val="20"/>
          <w:u w:val="single"/>
        </w:rPr>
        <w:t>same-</w:t>
      </w:r>
      <w:r>
        <w:rPr>
          <w:rFonts w:ascii="Times New Roman" w:hAnsi="Times New Roman"/>
          <w:color w:val="000000"/>
          <w:sz w:val="20"/>
        </w:rPr>
        <w:t xml:space="preserve"> </w:t>
      </w:r>
      <w:r>
        <w:rPr>
          <w:rFonts w:ascii="Times New Roman" w:hAnsi="Times New Roman"/>
          <w:color w:val="000000"/>
          <w:sz w:val="20"/>
          <w:u w:val="single"/>
        </w:rPr>
        <w:t>day sales</w:t>
      </w:r>
      <w:r>
        <w:rPr>
          <w:rFonts w:ascii="Times New Roman" w:hAnsi="Times New Roman"/>
          <w:color w:val="000000"/>
          <w:sz w:val="20"/>
        </w:rPr>
        <w:t>,” in which the option holder does not pay for the stock up front, but rather receives cash equal to the difference between the stock value and option exercise price. Transactions prohibited under Section V of this Policy, including short sales and hedging transactions, may not be carried out through a Trading Plan.</w:t>
      </w:r>
    </w:p>
    <w:p>
      <w:pPr>
        <w:pStyle w:val="TextBody"/>
        <w:bidi w:val="0"/>
        <w:spacing w:before="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Compliance of a Trading Plan with the terms of Rule 10b5-1 and the execution of transactions pursuant to the Trading Plan are the sole responsibility of the person initiating the Trading Plan, and none of the Company, the Authorizing Officer, or the Company’s other employees assume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2"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Trading Plans do not exempt you from complying with Section 16 short-swing profit rules or liability.</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an open trading window, trades differing from Trading Plan instructions that are already in place are allowed as long as the Trading Plan continues to be followed.</w:t>
      </w:r>
    </w:p>
    <w:p>
      <w:pPr>
        <w:pStyle w:val="TextBody"/>
        <w:bidi w:val="0"/>
        <w:spacing w:before="2"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Section 16: Insider Reporting Requirements, Short-Swing Profits and Short Sales (Applicable to Executive Officers, Directors and Greater Than 10% Stockholders)</w:t>
      </w:r>
    </w:p>
    <w:p>
      <w:pPr>
        <w:pStyle w:val="TextBody"/>
        <w:bidi w:val="0"/>
        <w:spacing w:before="9" w:after="283"/>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rFonts w:ascii="Times New Roman" w:hAnsi="Times New Roman"/>
          <w:i/>
          <w:color w:val="000000"/>
          <w:sz w:val="20"/>
        </w:rPr>
      </w:pPr>
      <w:r>
        <w:rPr>
          <w:rFonts w:ascii="Times New Roman" w:hAnsi="Times New Roman"/>
          <w:i/>
          <w:color w:val="000000"/>
          <w:sz w:val="20"/>
        </w:rPr>
        <w:t>Reporting Obligations Under Section 16(a): SEC Forms 3, 4, and 5</w:t>
      </w:r>
    </w:p>
    <w:p>
      <w:pPr>
        <w:pStyle w:val="TextBody"/>
        <w:bidi w:val="0"/>
        <w:spacing w:before="7"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Section 16(a) of the 1934 Act generally requires all Section 16 Officers, directors and greater than 10% stockholders (“</w:t>
      </w:r>
      <w:r>
        <w:rPr>
          <w:rFonts w:ascii="Times New Roman" w:hAnsi="Times New Roman"/>
          <w:color w:val="000000"/>
          <w:sz w:val="20"/>
          <w:u w:val="single"/>
        </w:rPr>
        <w:t>Section 16 Insiders</w:t>
      </w:r>
      <w:r>
        <w:rPr>
          <w:rFonts w:ascii="Times New Roman" w:hAnsi="Times New Roman"/>
          <w:color w:val="000000"/>
          <w:sz w:val="20"/>
        </w:rPr>
        <w:t>”), within 10 days after becoming a Section 16 Insider, to file with the SEC an “Initial Statement of Beneficial Ownership of Securities” on SEC Form 3, listing the amount of the Company’s stock, options, and warrants that the Section 16 Insider beneficially owns. Following the initial filing on SEC Form 3, changes in beneficial ownership of the Company’s stock, options, and warrants, including as a result of a disposition of equity securities by gift, must be reported on SEC Form 4, generally within two days after the date</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on which such change occurs, or in certain cases on Form 5, within 45 days after fiscal year-end. The two-day Form 4 deadline begins to run from the trade date rather than the settlement date (or for gifts, the date of the gift). A Form 4 must be filed even if, as a result of balancing transactions, there has been no net change in holdings. In certain situations, purchases or sales of Company stock made within six months </w:t>
      </w:r>
      <w:r>
        <w:rPr>
          <w:rFonts w:ascii="Times New Roman" w:hAnsi="Times New Roman"/>
          <w:i/>
          <w:color w:val="000000"/>
          <w:sz w:val="20"/>
        </w:rPr>
        <w:t xml:space="preserve">prior </w:t>
      </w:r>
      <w:r>
        <w:rPr>
          <w:rFonts w:ascii="Times New Roman" w:hAnsi="Times New Roman"/>
          <w:color w:val="000000"/>
          <w:sz w:val="20"/>
        </w:rPr>
        <w:t>to the filing of a Form 3 must be reported on Form</w:t>
      </w:r>
    </w:p>
    <w:p>
      <w:pPr>
        <w:pStyle w:val="TextBody"/>
        <w:bidi w:val="0"/>
        <w:jc w:val="both"/>
        <w:rPr>
          <w:rFonts w:ascii="Times New Roman" w:hAnsi="Times New Roman"/>
          <w:sz w:val="20"/>
        </w:rPr>
      </w:pPr>
      <w:r>
        <w:rPr>
          <w:rFonts w:ascii="Times New Roman" w:hAnsi="Times New Roman"/>
          <w:color w:val="000000"/>
          <w:sz w:val="20"/>
        </w:rPr>
        <w:t xml:space="preserve">4. Similarly, certain purchases or sales of Company stock made within six months </w:t>
      </w:r>
      <w:r>
        <w:rPr>
          <w:rFonts w:ascii="Times New Roman" w:hAnsi="Times New Roman"/>
          <w:i/>
          <w:color w:val="000000"/>
          <w:sz w:val="20"/>
        </w:rPr>
        <w:t xml:space="preserve">after </w:t>
      </w:r>
      <w:r>
        <w:rPr>
          <w:rFonts w:ascii="Times New Roman" w:hAnsi="Times New Roman"/>
          <w:color w:val="000000"/>
          <w:sz w:val="20"/>
        </w:rPr>
        <w:t>an officer or director ceases to be a Section 16 Insider must be reported on Form 4.</w:t>
      </w:r>
    </w:p>
    <w:p>
      <w:pPr>
        <w:pStyle w:val="TextBody"/>
        <w:bidi w:val="0"/>
        <w:spacing w:before="5" w:after="283"/>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i/>
          <w:color w:val="000000"/>
          <w:sz w:val="20"/>
        </w:rPr>
      </w:pPr>
      <w:r>
        <w:rPr>
          <w:rFonts w:ascii="Times New Roman" w:hAnsi="Times New Roman"/>
          <w:i/>
          <w:color w:val="000000"/>
          <w:sz w:val="20"/>
        </w:rPr>
        <w:t>Recovery of Profits Under Section 16(b)</w:t>
      </w:r>
    </w:p>
    <w:p>
      <w:pPr>
        <w:pStyle w:val="TextBody"/>
        <w:bidi w:val="0"/>
        <w:spacing w:before="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purpose of preventing the unfair use of information that may have been obtained by a Section 16 Insider, any profits realized by a Section 16 Insider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material nonpublic information.</w:t>
      </w:r>
    </w:p>
    <w:p>
      <w:pPr>
        <w:pStyle w:val="TextBody"/>
        <w:bidi w:val="0"/>
        <w:spacing w:before="2"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Section 16 Insider’s liability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Section 16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pStyle w:val="TextBody"/>
        <w:bidi w:val="0"/>
        <w:spacing w:before="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Executive officers and directors should consult the “Short-Swing Profit Rule Section 16(b) Checklist” attached hereto as “Attachment A” in addition to consulting the Compliance Officer prior to engaging in any transactions involving the Company’s securities, including, without limitation, the Company’s stock, options, or warrants.</w:t>
      </w:r>
    </w:p>
    <w:p>
      <w:pPr>
        <w:pStyle w:val="TextBody"/>
        <w:bidi w:val="0"/>
        <w:spacing w:before="11" w:after="283"/>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i/>
          <w:color w:val="000000"/>
          <w:sz w:val="20"/>
        </w:rPr>
      </w:pPr>
      <w:r>
        <w:rPr>
          <w:rFonts w:ascii="Times New Roman" w:hAnsi="Times New Roman"/>
          <w:i/>
          <w:color w:val="000000"/>
          <w:sz w:val="20"/>
        </w:rPr>
        <w:t>Short Sales Prohibited Under Section 16(c)</w:t>
      </w:r>
    </w:p>
    <w:p>
      <w:pPr>
        <w:pStyle w:val="TextBody"/>
        <w:bidi w:val="0"/>
        <w:spacing w:before="1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16(c) of the 1934 Act absolutely prohibits Section 16 Insiders from making short sales of the Company’s equity securities. Short sales include sales of stock that the Section 16 Insider does not own at the time of sale, or sales of stock against which the Section 16 Insider does not deliver the shares within 20 days after the sale. Under certain circumstances, the purchase or sale of put or call options, or the writing of such options, can result in a violation of Section 16(c). Section 16 Insiders violating Section 16(c) face criminal liability.</w:t>
      </w:r>
    </w:p>
    <w:p>
      <w:pPr>
        <w:pStyle w:val="TextBody"/>
        <w:bidi w:val="0"/>
        <w:spacing w:before="9"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should consult the Compliance Officer if you have any questions regarding reporting obligations, short-swing profits or short sales under Section 16.</w:t>
      </w:r>
    </w:p>
    <w:p>
      <w:pPr>
        <w:pStyle w:val="TextBody"/>
        <w:bidi w:val="0"/>
        <w:spacing w:before="8"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Rule 144 (Applicable to Section 16 Insiders)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Rule 144 provides a safe harbor exemption to the registration requirements of the Securities Act of 1933, as amended, for certain resales of “restricted securities” and “control</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0"/>
        </w:rPr>
        <w:t>securities.” “</w:t>
      </w:r>
      <w:r>
        <w:rPr>
          <w:rFonts w:ascii="Times New Roman" w:hAnsi="Times New Roman"/>
          <w:color w:val="000000"/>
          <w:sz w:val="20"/>
          <w:u w:val="single"/>
        </w:rPr>
        <w:t>Restricted securities</w:t>
      </w:r>
      <w:r>
        <w:rPr>
          <w:rFonts w:ascii="Times New Roman" w:hAnsi="Times New Roman"/>
          <w:color w:val="000000"/>
          <w:sz w:val="20"/>
        </w:rPr>
        <w:t>” are securities acquired from an issuer, or an affiliate of an issuer, in a transaction, or chain of transactions, not involving a public offering. “</w:t>
      </w:r>
      <w:r>
        <w:rPr>
          <w:rFonts w:ascii="Times New Roman" w:hAnsi="Times New Roman"/>
          <w:color w:val="000000"/>
          <w:sz w:val="20"/>
          <w:u w:val="single"/>
        </w:rPr>
        <w:t>Control securities</w:t>
      </w:r>
      <w:r>
        <w:rPr>
          <w:rFonts w:ascii="Times New Roman" w:hAnsi="Times New Roman"/>
          <w:color w:val="000000"/>
          <w:sz w:val="20"/>
        </w:rPr>
        <w:t xml:space="preserve">” are </w:t>
      </w:r>
      <w:r>
        <w:rPr>
          <w:rFonts w:ascii="Times New Roman" w:hAnsi="Times New Roman"/>
          <w:i/>
          <w:color w:val="000000"/>
          <w:sz w:val="20"/>
        </w:rPr>
        <w:t xml:space="preserve">any </w:t>
      </w:r>
      <w:r>
        <w:rPr>
          <w:rFonts w:ascii="Times New Roman" w:hAnsi="Times New Roman"/>
          <w:color w:val="000000"/>
          <w:sz w:val="20"/>
        </w:rPr>
        <w:t>securities owned by directors, executive officers or other “</w:t>
      </w:r>
      <w:r>
        <w:rPr>
          <w:rFonts w:ascii="Times New Roman" w:hAnsi="Times New Roman"/>
          <w:color w:val="000000"/>
          <w:sz w:val="20"/>
          <w:u w:val="single"/>
        </w:rPr>
        <w:t>affiliates</w:t>
      </w:r>
      <w:r>
        <w:rPr>
          <w:rFonts w:ascii="Times New Roman" w:hAnsi="Times New Roman"/>
          <w:color w:val="000000"/>
          <w:sz w:val="20"/>
        </w:rPr>
        <w:t>” of the issuer, including stock purchased in the open market and stock received upon exercise of stock options or settlement of restricted stock units (“</w:t>
      </w:r>
      <w:r>
        <w:rPr>
          <w:rFonts w:ascii="Times New Roman" w:hAnsi="Times New Roman"/>
          <w:color w:val="000000"/>
          <w:sz w:val="20"/>
          <w:u w:val="single"/>
        </w:rPr>
        <w:t>RSUs</w:t>
      </w:r>
      <w:r>
        <w:rPr>
          <w:rFonts w:ascii="Times New Roman" w:hAnsi="Times New Roman"/>
          <w:color w:val="000000"/>
          <w:sz w:val="20"/>
        </w:rPr>
        <w:t>”). Sales of Company securities by affiliates (generally, Section 16 Insiders of the Company) must comply with the requirements of Rule 144, which are summarized below:</w:t>
      </w:r>
    </w:p>
    <w:p>
      <w:pPr>
        <w:pStyle w:val="TextBody"/>
        <w:bidi w:val="0"/>
        <w:spacing w:before="10"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i/>
          <w:color w:val="000000"/>
          <w:sz w:val="20"/>
        </w:rPr>
        <w:t xml:space="preserve">Current Public Information. </w:t>
      </w:r>
      <w:r>
        <w:rPr>
          <w:rFonts w:ascii="Times New Roman" w:hAnsi="Times New Roman"/>
          <w:color w:val="000000"/>
          <w:sz w:val="20"/>
        </w:rPr>
        <w:t>The Company must have filed all SEC-required reports during the last 12 months.</w:t>
      </w:r>
    </w:p>
    <w:p>
      <w:pPr>
        <w:pStyle w:val="TextBody"/>
        <w:bidi w:val="0"/>
        <w:spacing w:before="7"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i/>
          <w:color w:val="000000"/>
          <w:sz w:val="20"/>
        </w:rPr>
        <w:t xml:space="preserve">Volume Limitations. </w:t>
      </w:r>
      <w:r>
        <w:rPr>
          <w:rFonts w:ascii="Times New Roman" w:hAnsi="Times New Roman"/>
          <w:color w:val="000000"/>
          <w:sz w:val="20"/>
        </w:rPr>
        <w:t xml:space="preserve">Total sales of Company common stock by a covered individual for any three-month period may not exceed the </w:t>
      </w:r>
      <w:r>
        <w:rPr>
          <w:rFonts w:ascii="Times New Roman" w:hAnsi="Times New Roman"/>
          <w:i/>
          <w:color w:val="000000"/>
          <w:sz w:val="20"/>
        </w:rPr>
        <w:t xml:space="preserve">greater </w:t>
      </w:r>
      <w:r>
        <w:rPr>
          <w:rFonts w:ascii="Times New Roman" w:hAnsi="Times New Roman"/>
          <w:color w:val="000000"/>
          <w:sz w:val="20"/>
        </w:rPr>
        <w:t>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pStyle w:val="TextBody"/>
        <w:bidi w:val="0"/>
        <w:spacing w:before="8"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i/>
          <w:color w:val="000000"/>
          <w:sz w:val="20"/>
        </w:rPr>
        <w:t xml:space="preserve">Method of Sale. </w:t>
      </w:r>
      <w:r>
        <w:rPr>
          <w:rFonts w:ascii="Times New Roman" w:hAnsi="Times New Roman"/>
          <w:color w:val="000000"/>
          <w:sz w:val="20"/>
        </w:rPr>
        <w:t>The shares must be sold either in a “broker’s transaction” or in a transaction directly with a “market maker.” A “</w:t>
      </w:r>
      <w:r>
        <w:rPr>
          <w:rFonts w:ascii="Times New Roman" w:hAnsi="Times New Roman"/>
          <w:color w:val="000000"/>
          <w:sz w:val="20"/>
          <w:u w:val="single"/>
        </w:rPr>
        <w:t>broker’s transaction</w:t>
      </w:r>
      <w:r>
        <w:rPr>
          <w:color w:val="000000"/>
        </w:rPr>
        <w:t xml:space="preserve">” </w:t>
      </w:r>
      <w:r>
        <w:rPr>
          <w:rFonts w:ascii="Times New Roman" w:hAnsi="Times New Roman"/>
          <w:color w:val="000000"/>
          <w:sz w:val="20"/>
        </w:rPr>
        <w:t>is one in which the broker does no more than execute the sale order and receive the usual and customary commission. Neither the broker nor the selling person can solicit or arrange for the sale order. In addition, the selling person or member of the Board of Directors must not pay any fee or commission other than to the broker. A “</w:t>
      </w:r>
      <w:r>
        <w:rPr>
          <w:rFonts w:ascii="Times New Roman" w:hAnsi="Times New Roman"/>
          <w:color w:val="000000"/>
          <w:sz w:val="20"/>
          <w:u w:val="single"/>
        </w:rPr>
        <w:t>market maker</w:t>
      </w:r>
      <w:r>
        <w:rPr>
          <w:color w:val="000000"/>
        </w:rPr>
        <w:t xml:space="preserve">” </w:t>
      </w:r>
      <w:r>
        <w:rPr>
          <w:rFonts w:ascii="Times New Roman" w:hAnsi="Times New Roman"/>
          <w:color w:val="000000"/>
          <w:sz w:val="20"/>
        </w:rPr>
        <w:t>includes a specialist permitted to act as a dealer, a dealer acting in the position of a block positioner, and a dealer who holds himself out as being willing to buy and sell Company common stock or other Company securities for his own account on a regular and continuous basis.</w:t>
      </w:r>
    </w:p>
    <w:p>
      <w:pPr>
        <w:pStyle w:val="TextBody"/>
        <w:bidi w:val="0"/>
        <w:spacing w:before="9" w:after="283"/>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i/>
          <w:color w:val="000000"/>
          <w:sz w:val="20"/>
        </w:rPr>
        <w:t xml:space="preserve">Notice of Proposed Sale. </w:t>
      </w:r>
      <w:r>
        <w:rPr>
          <w:rFonts w:ascii="Times New Roman" w:hAnsi="Times New Roman"/>
          <w:color w:val="000000"/>
          <w:sz w:val="20"/>
        </w:rPr>
        <w:t>A notice of the sale (a Form 144) must be filed with the SEC at the time of the sale. Brokers generally have internal procedures for executing sales under Rule 144, and will assist you in completing the Form 144 and in complying with the other requirements of Rule 144.</w:t>
      </w:r>
    </w:p>
    <w:p>
      <w:pPr>
        <w:pStyle w:val="TextBody"/>
        <w:bidi w:val="0"/>
        <w:spacing w:before="1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you are subject to Rule 144, you must instruct your broker who handles trades in Company securities to follow the brokerage firm’s Rule 144 compliance procedures in connection with all trades.</w:t>
      </w:r>
    </w:p>
    <w:p>
      <w:pPr>
        <w:pStyle w:val="TextBody"/>
        <w:bidi w:val="0"/>
        <w:spacing w:before="3"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VII.</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Certification of Compliance</w:t>
      </w:r>
    </w:p>
    <w:p>
      <w:pPr>
        <w:pStyle w:val="TextBody"/>
        <w:bidi w:val="0"/>
        <w:spacing w:before="6"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officers, directors and employees may be asked to certify their compliance with the terms and provisions of this Policy on an ongoing basis.</w:t>
      </w:r>
    </w:p>
    <w:p>
      <w:pPr>
        <w:pStyle w:val="TextBody"/>
        <w:bidi w:val="0"/>
        <w:jc w:val="left"/>
        <w:rPr/>
      </w:pPr>
      <w:r>
        <w:rPr/>
        <w:t> </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0"/>
          <w:u w:val="single"/>
        </w:rPr>
      </w:pPr>
      <w:r>
        <w:rPr>
          <w:rFonts w:ascii="Times New Roman" w:hAnsi="Times New Roman"/>
          <w:color w:val="000000"/>
          <w:sz w:val="20"/>
          <w:u w:val="single"/>
        </w:rPr>
        <w:t>Schedule I</w:t>
      </w:r>
    </w:p>
    <w:p>
      <w:pPr>
        <w:pStyle w:val="TextBody"/>
        <w:bidi w:val="0"/>
        <w:jc w:val="left"/>
        <w:rPr/>
      </w:pPr>
      <w:r>
        <w:rPr/>
        <w:t> </w:t>
      </w:r>
    </w:p>
    <w:p>
      <w:pPr>
        <w:pStyle w:val="TextBody"/>
        <w:bidi w:val="0"/>
        <w:spacing w:before="214" w:after="283"/>
        <w:jc w:val="center"/>
        <w:rPr>
          <w:rFonts w:ascii="Times New Roman" w:hAnsi="Times New Roman"/>
          <w:b/>
          <w:color w:val="000000"/>
          <w:sz w:val="20"/>
        </w:rPr>
      </w:pPr>
      <w:r>
        <w:rPr>
          <w:rFonts w:ascii="Times New Roman" w:hAnsi="Times New Roman"/>
          <w:b/>
          <w:color w:val="000000"/>
          <w:sz w:val="20"/>
        </w:rPr>
        <w:t>Individuals Subject to Preclearance Requirement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Directors</w:t>
      </w:r>
    </w:p>
    <w:p>
      <w:pPr>
        <w:pStyle w:val="TextBody"/>
        <w:bidi w:val="0"/>
        <w:spacing w:before="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Executive Officers, including the Company’s Principal Accounting Officer Individuals designated in writing from time to time by the Compliance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Short-Swing Profit Rule Section 16(b) Checklist</w:t>
      </w:r>
    </w:p>
    <w:p>
      <w:pPr>
        <w:pStyle w:val="TextBody"/>
        <w:bidi w:val="0"/>
        <w:spacing w:before="6"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Note: ANY combination of PURCHASE AND SALE or SALE AND PURCHASE within six months of each other by an officer, director or greater than 10% stockholder (or any family member living in the same household or certain affiliated entities) results in a violation of Section 16(b), and the “profit” must be recovered by Amplitude, Inc. (the “</w:t>
      </w:r>
      <w:r>
        <w:rPr>
          <w:rFonts w:ascii="Times New Roman" w:hAnsi="Times New Roman"/>
          <w:color w:val="000000"/>
          <w:sz w:val="20"/>
          <w:u w:val="single"/>
        </w:rPr>
        <w:t>Company</w:t>
      </w:r>
      <w:r>
        <w:rPr>
          <w:rFonts w:ascii="Times New Roman" w:hAnsi="Times New Roman"/>
          <w:color w:val="000000"/>
          <w:sz w:val="20"/>
        </w:rPr>
        <w:t>”). It makes no difference how long the shares being sold have been held or, for executive officers and directors, that you were an insider for only one of the two matching transactions. The highest priced sale will be matched with the lowest priced purchase within the six-month period.</w:t>
      </w:r>
    </w:p>
    <w:p>
      <w:pPr>
        <w:pStyle w:val="TextBody"/>
        <w:bidi w:val="0"/>
        <w:spacing w:before="2" w:after="283"/>
        <w:jc w:val="left"/>
        <w:rPr/>
      </w:pPr>
      <w:r>
        <w:rPr/>
        <w:t> </w:t>
      </w:r>
    </w:p>
    <w:p>
      <w:pPr>
        <w:pStyle w:val="TextBody"/>
        <w:bidi w:val="0"/>
        <w:spacing w:before="94" w:after="283"/>
        <w:jc w:val="left"/>
        <w:rPr>
          <w:rFonts w:ascii="Times New Roman" w:hAnsi="Times New Roman"/>
          <w:b/>
          <w:color w:val="000000"/>
          <w:sz w:val="20"/>
        </w:rPr>
      </w:pPr>
      <w:r>
        <w:rPr>
          <w:rFonts w:ascii="Times New Roman" w:hAnsi="Times New Roman"/>
          <w:b/>
          <w:color w:val="000000"/>
          <w:sz w:val="20"/>
        </w:rPr>
        <w:t>Sales</w:t>
      </w:r>
    </w:p>
    <w:p>
      <w:pPr>
        <w:pStyle w:val="TextBody"/>
        <w:bidi w:val="0"/>
        <w:spacing w:before="117" w:after="283"/>
        <w:jc w:val="left"/>
        <w:rPr>
          <w:rFonts w:ascii="Times New Roman" w:hAnsi="Times New Roman"/>
          <w:color w:val="000000"/>
          <w:sz w:val="20"/>
        </w:rPr>
      </w:pPr>
      <w:r>
        <w:rPr>
          <w:rFonts w:ascii="Times New Roman" w:hAnsi="Times New Roman"/>
          <w:color w:val="000000"/>
          <w:sz w:val="20"/>
        </w:rPr>
        <w:t>If a sale is to be made by an officer, director or greater than 10% stockholder (or any family</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member living in the same household or certain affiliated entities):</w:t>
      </w:r>
    </w:p>
    <w:p>
      <w:pPr>
        <w:pStyle w:val="TextBody"/>
        <w:bidi w:val="0"/>
        <w:spacing w:before="7"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Have there been any purchases by the insider (or family members living in the same household or certain affiliated entities) within the past six months?</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 xml:space="preserve">Have there been any option grants or exercises, RSU grants or settlements or other equity awards not exempt under Rule 16b-3 within the past six months? </w:t>
      </w:r>
      <w:r>
        <w:rPr>
          <w:rFonts w:ascii="Times New Roman" w:hAnsi="Times New Roman"/>
          <w:i/>
          <w:color w:val="000000"/>
          <w:sz w:val="20"/>
        </w:rPr>
        <w:t>(Please refer to the Company’s Section 16 Compliance Program for additional information regarding the availability of an exemption under Rule 16b-3.)</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Are any purchases (or nonexempt option exercises or nonexempt settlements of RSUs or other equity awards) anticipated or required within the next six months?</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Has a Form 4 been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If a sale is to be made by an affiliate of the Company, has a Form 144 been prepared and has the broker been reminded to sell pursuant to Rule 144?</w:t>
      </w:r>
    </w:p>
    <w:p>
      <w:pPr>
        <w:pStyle w:val="TextBody"/>
        <w:bidi w:val="0"/>
        <w:spacing w:before="8"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Purchases, Option Exercises and RSU and Equity Award Settlements</w:t>
      </w:r>
    </w:p>
    <w:p>
      <w:pPr>
        <w:pStyle w:val="TextBody"/>
        <w:bidi w:val="0"/>
        <w:spacing w:before="121" w:after="283"/>
        <w:jc w:val="left"/>
        <w:rPr>
          <w:rFonts w:ascii="Times New Roman" w:hAnsi="Times New Roman"/>
          <w:color w:val="000000"/>
          <w:sz w:val="20"/>
        </w:rPr>
      </w:pPr>
      <w:r>
        <w:rPr>
          <w:rFonts w:ascii="Times New Roman" w:hAnsi="Times New Roman"/>
          <w:color w:val="000000"/>
          <w:sz w:val="20"/>
        </w:rPr>
        <w:t>If a purchase or option exercise for, or other non-exempt RSU or equity award settlement in shares of, Company stock is to be made:</w:t>
      </w:r>
    </w:p>
    <w:p>
      <w:pPr>
        <w:pStyle w:val="TextBody"/>
        <w:bidi w:val="0"/>
        <w:spacing w:before="8"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Have there been any sales by the insider (or family members living in the same household or certain affiliated entities) within the past six months?</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Are any sales anticipated or required within the next six months (such as tax-related or year-end transactions)?</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Has a Form 4 been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Before proceeding with a purchase or sale, consider whether you are aware of material nonpublic information that could affect the price of the Company stock. All transactions in the Company’s securities by executive officers and directors must be </w:t>
      </w:r>
      <w:r>
        <w:rPr>
          <w:rFonts w:ascii="Times New Roman" w:hAnsi="Times New Roman"/>
          <w:color w:val="000000"/>
          <w:sz w:val="20"/>
          <w:u w:val="single"/>
        </w:rPr>
        <w:t>precleared</w:t>
      </w:r>
      <w:r>
        <w:rPr>
          <w:rFonts w:ascii="Times New Roman" w:hAnsi="Times New Roman"/>
          <w:color w:val="000000"/>
          <w:sz w:val="20"/>
        </w:rPr>
        <w:t xml:space="preserve"> by contacting the Company’s Compliance Officer or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ampl-ex23_1.htm"/>
      <w:bookmarkStart w:id="41" w:name="ksamplex23_1"/>
      <w:bookmarkEnd w:id="40"/>
      <w:bookmarkEnd w:id="41"/>
      <w:r>
        <w:rPr/>
        <w:t> </w:t>
      </w:r>
      <w:r>
        <w:br w:type="page"/>
      </w:r>
    </w:p>
    <w:p>
      <w:pPr>
        <w:pStyle w:val="TextBody"/>
        <w:bidi w:val="0"/>
        <w:jc w:val="right"/>
        <w:rPr>
          <w:rFonts w:ascii="Arial" w:hAnsi="Arial"/>
          <w:b/>
          <w:color w:val="000000"/>
          <w:sz w:val="20"/>
        </w:rPr>
      </w:pPr>
      <w:r>
        <w:rPr>
          <w:rFonts w:ascii="Arial" w:hAnsi="Arial"/>
          <w:b/>
          <w:color w:val="000000"/>
          <w:sz w:val="20"/>
        </w:rPr>
        <w:t>Exhibit 23.1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The Board of Directors and Stockholders</w:t>
      </w:r>
    </w:p>
    <w:p>
      <w:pPr>
        <w:pStyle w:val="TextBody"/>
        <w:bidi w:val="0"/>
        <w:jc w:val="left"/>
        <w:rPr>
          <w:rFonts w:ascii="Arial" w:hAnsi="Arial"/>
          <w:color w:val="000000"/>
          <w:sz w:val="20"/>
        </w:rPr>
      </w:pPr>
      <w:r>
        <w:rPr>
          <w:rFonts w:ascii="Arial" w:hAnsi="Arial"/>
          <w:color w:val="000000"/>
          <w:sz w:val="20"/>
        </w:rPr>
        <w:t>Amplitude, Inc.:</w:t>
      </w:r>
    </w:p>
    <w:p>
      <w:pPr>
        <w:pStyle w:val="TextBody"/>
        <w:bidi w:val="0"/>
        <w:jc w:val="left"/>
        <w:rPr>
          <w:rFonts w:ascii="Arial" w:hAnsi="Arial"/>
          <w:color w:val="000000"/>
          <w:sz w:val="20"/>
        </w:rPr>
      </w:pPr>
      <w:r>
        <w:rPr>
          <w:rFonts w:ascii="Arial" w:hAnsi="Arial"/>
          <w:color w:val="000000"/>
          <w:sz w:val="20"/>
        </w:rPr>
        <w:t>We consent to the incorporation by reference in the registration statements (No. 333-259698, 333-262813, 333-269834 and 333-277194) on Form S-8 of our report dated February 20, 2025, with respect to the consolidated financial statements of Amplitude, Inc. and the effectiveness of internal control over financial reporting.</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 KPMG LLP</w:t>
      </w:r>
    </w:p>
    <w:p>
      <w:pPr>
        <w:pStyle w:val="TextBody"/>
        <w:bidi w:val="0"/>
        <w:jc w:val="left"/>
        <w:rPr>
          <w:rFonts w:ascii="Arial" w:hAnsi="Arial"/>
          <w:color w:val="000000"/>
          <w:sz w:val="20"/>
        </w:rPr>
      </w:pPr>
      <w:r>
        <w:rPr>
          <w:rFonts w:ascii="Arial" w:hAnsi="Arial"/>
          <w:color w:val="000000"/>
          <w:sz w:val="20"/>
        </w:rPr>
        <w:t>Santa Clara, California</w:t>
      </w:r>
    </w:p>
    <w:p>
      <w:pPr>
        <w:pStyle w:val="TextBody"/>
        <w:bidi w:val="0"/>
        <w:jc w:val="left"/>
        <w:rPr>
          <w:rFonts w:ascii="Arial" w:hAnsi="Arial"/>
          <w:color w:val="000000"/>
          <w:sz w:val="20"/>
        </w:rPr>
      </w:pPr>
      <w:r>
        <w:rPr>
          <w:rFonts w:ascii="Arial" w:hAnsi="Arial"/>
          <w:color w:val="000000"/>
          <w:sz w:val="20"/>
        </w:rPr>
        <w:t>February 20,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ampl-ex31_1.htm"/>
      <w:bookmarkStart w:id="43" w:name="ksamplex31_1"/>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Spenser Skates,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07" w:type="dxa"/>
        <w:jc w:val="left"/>
        <w:tblInd w:w="0" w:type="dxa"/>
        <w:tblLayout w:type="fixed"/>
        <w:tblCellMar>
          <w:top w:w="28" w:type="dxa"/>
          <w:left w:w="28" w:type="dxa"/>
          <w:bottom w:w="28" w:type="dxa"/>
          <w:right w:w="28" w:type="dxa"/>
        </w:tblCellMar>
      </w:tblPr>
      <w:tblGrid>
        <w:gridCol w:w="2086"/>
        <w:gridCol w:w="109"/>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ampl-ex31_2.htm"/>
      <w:bookmarkStart w:id="45" w:name="ksamplex31_2"/>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Casey,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72" w:type="dxa"/>
        <w:jc w:val="left"/>
        <w:tblInd w:w="0" w:type="dxa"/>
        <w:tblLayout w:type="fixed"/>
        <w:tblCellMar>
          <w:top w:w="28" w:type="dxa"/>
          <w:left w:w="28" w:type="dxa"/>
          <w:bottom w:w="28" w:type="dxa"/>
          <w:right w:w="28" w:type="dxa"/>
        </w:tblCellMar>
      </w:tblPr>
      <w:tblGrid>
        <w:gridCol w:w="2086"/>
        <w:gridCol w:w="109"/>
        <w:gridCol w:w="40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ampl-ex32_1.htm"/>
      <w:bookmarkStart w:id="47" w:name="ksamplex32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Amplitude, Inc. (the “Company”) on Form 10-K for the period ended December 31, 2024,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07" w:type="dxa"/>
        <w:jc w:val="left"/>
        <w:tblInd w:w="0" w:type="dxa"/>
        <w:tblLayout w:type="fixed"/>
        <w:tblCellMar>
          <w:top w:w="28" w:type="dxa"/>
          <w:left w:w="28" w:type="dxa"/>
          <w:bottom w:w="28" w:type="dxa"/>
          <w:right w:w="28" w:type="dxa"/>
        </w:tblCellMar>
      </w:tblPr>
      <w:tblGrid>
        <w:gridCol w:w="2086"/>
        <w:gridCol w:w="109"/>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ampl-ex32_2.htm"/>
      <w:bookmarkStart w:id="49" w:name="ksamplex32_2"/>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Amplitude, Inc. (the “Company”) on Form 10-K for the period ended December 31, 2024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472" w:type="dxa"/>
        <w:jc w:val="left"/>
        <w:tblInd w:w="0" w:type="dxa"/>
        <w:tblLayout w:type="fixed"/>
        <w:tblCellMar>
          <w:top w:w="28" w:type="dxa"/>
          <w:left w:w="28" w:type="dxa"/>
          <w:bottom w:w="28" w:type="dxa"/>
          <w:right w:w="28" w:type="dxa"/>
        </w:tblCellMar>
      </w:tblPr>
      <w:tblGrid>
        <w:gridCol w:w="2086"/>
        <w:gridCol w:w="109"/>
        <w:gridCol w:w="40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66692/000119312521278308/d93786dex31.htm" TargetMode="External"/><Relationship Id="rId6" Type="http://schemas.openxmlformats.org/officeDocument/2006/relationships/hyperlink" Target="https://www.sec.gov/Archives/edgar/data/1866692/000119312521278308/d93786dex32.htm" TargetMode="External"/><Relationship Id="rId7" Type="http://schemas.openxmlformats.org/officeDocument/2006/relationships/hyperlink" Target="https://www.sec.gov/Archives/edgar/data/1866692/000095017022001372/ampl-ex4_1.htm" TargetMode="External"/><Relationship Id="rId8" Type="http://schemas.openxmlformats.org/officeDocument/2006/relationships/hyperlink" Target="https://www.sec.gov/Archives/edgar/data/1866692/000119312521260696/d143868dex42.htm" TargetMode="External"/><Relationship Id="rId9" Type="http://schemas.openxmlformats.org/officeDocument/2006/relationships/hyperlink" Target="https://www.sec.gov/Archives/edgar/data/1866692/000119312521278407/d114916dex44.htm" TargetMode="External"/><Relationship Id="rId10" Type="http://schemas.openxmlformats.org/officeDocument/2006/relationships/hyperlink" Target="https://www.sec.gov/Archives/edgar/data/1866692/000119312521260696/d143868dex43.htm" TargetMode="External"/><Relationship Id="rId11" Type="http://schemas.openxmlformats.org/officeDocument/2006/relationships/hyperlink" Target="https://www.sec.gov/Archives/edgar/data/1866692/000119312521260696/d143868dex44.htm" TargetMode="External"/><Relationship Id="rId12" Type="http://schemas.openxmlformats.org/officeDocument/2006/relationships/hyperlink" Target="https://www.sec.gov/Archives/edgar/data/1866692/000119312521260696/d143868dex101.htm" TargetMode="External"/><Relationship Id="rId13" Type="http://schemas.openxmlformats.org/officeDocument/2006/relationships/hyperlink" Target="https://www.sec.gov/Archives/edgar/data/1866692/000119312521260696/d143868dex102a.htm" TargetMode="External"/><Relationship Id="rId14" Type="http://schemas.openxmlformats.org/officeDocument/2006/relationships/hyperlink" Target="https://www.sec.gov/Archives/edgar/data/1866692/000119312521260696/d143868dex102b.htm" TargetMode="External"/><Relationship Id="rId15" Type="http://schemas.openxmlformats.org/officeDocument/2006/relationships/hyperlink" Target="https://www.sec.gov/Archives/edgar/data/1866692/000119312521260696/d143868dex103a.htm" TargetMode="External"/><Relationship Id="rId16" Type="http://schemas.openxmlformats.org/officeDocument/2006/relationships/hyperlink" Target="https://www.sec.gov/Archives/edgar/data/1866692/000119312521260696/d143868dex103b.htm" TargetMode="External"/><Relationship Id="rId17" Type="http://schemas.openxmlformats.org/officeDocument/2006/relationships/hyperlink" Target="https://www.sec.gov/Archives/edgar/data/1866692/000119312521260696/d143868dex104.htm" TargetMode="External"/><Relationship Id="rId18" Type="http://schemas.openxmlformats.org/officeDocument/2006/relationships/hyperlink" Target="https://www.sec.gov/Archives/edgar/data/1866692/000119312521260696/d143868dex105.htm" TargetMode="External"/><Relationship Id="rId19" Type="http://schemas.openxmlformats.org/officeDocument/2006/relationships/hyperlink" Target="https://www.sec.gov/Archives/edgar/data/1866692/000095017023039800/ampl-ex10_1.htm" TargetMode="External"/><Relationship Id="rId20" Type="http://schemas.openxmlformats.org/officeDocument/2006/relationships/hyperlink" Target="https://www.sec.gov/Archives/edgar/data/1866692/000095017024123339/ampl-ex10_1.htm" TargetMode="External"/><Relationship Id="rId21" Type="http://schemas.openxmlformats.org/officeDocument/2006/relationships/hyperlink" Target="https://www.sec.gov/Archives/edgar/data/1866692/000095017024123339/ampl-ex10_2.htm" TargetMode="External"/><Relationship Id="rId22" Type="http://schemas.openxmlformats.org/officeDocument/2006/relationships/hyperlink" Target="https://www.sec.gov/Archives/edgar/data/1866692/000095017024123339/ampl-ex10_3.htm" TargetMode="External"/><Relationship Id="rId23" Type="http://schemas.openxmlformats.org/officeDocument/2006/relationships/hyperlink" Target="https://www.sec.gov/Archives/edgar/data/1866692/000095017024017102/ampl-ex21_1.htm" TargetMode="External"/><Relationship Id="rId24" Type="http://schemas.openxmlformats.org/officeDocument/2006/relationships/hyperlink" Target="https://www.sec.gov/Archives/edgar/data/1866692/000095017024017102/ampl-ex97_1.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71438</Words>
  <Characters>399227</Characters>
  <CharactersWithSpaces>471607</CharactersWithSpaces>
  <Paragraphs>8711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