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100965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820" w:right="1620" w:hanging="3799"/>
        <w:spacing w:after="0" w:line="376" w:lineRule="auto"/>
        <w:tabs>
          <w:tab w:leader="none" w:pos="48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270" w:lineRule="exact"/>
        <w:rPr>
          <w:sz w:val="24"/>
          <w:szCs w:val="24"/>
          <w:color w:val="auto"/>
        </w:rPr>
      </w:pPr>
    </w:p>
    <w:p>
      <w:pPr>
        <w:ind w:left="4340" w:right="1600" w:hanging="4319"/>
        <w:spacing w:after="0" w:line="360" w:lineRule="auto"/>
        <w:tabs>
          <w:tab w:leader="none" w:pos="479"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jc w:val="center"/>
        <w:spacing w:after="0"/>
        <w:rPr>
          <w:sz w:val="20"/>
          <w:szCs w:val="20"/>
          <w:color w:val="auto"/>
        </w:rPr>
      </w:pPr>
      <w:r>
        <w:rPr>
          <w:rFonts w:ascii="Arial" w:cs="Arial" w:eastAsia="Arial" w:hAnsi="Arial"/>
          <w:sz w:val="18"/>
          <w:szCs w:val="18"/>
          <w:b w:val="1"/>
          <w:bCs w:val="1"/>
          <w:color w:val="auto"/>
        </w:rPr>
        <w:t>Commission File Number: 001-40817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AMPLITUDE,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8" w:lineRule="exact"/>
        <w:rPr>
          <w:sz w:val="24"/>
          <w:szCs w:val="24"/>
          <w:color w:val="auto"/>
        </w:rPr>
      </w:pPr>
    </w:p>
    <w:tbl>
      <w:tblPr>
        <w:tblLayout w:type="fixed"/>
        <w:tblInd w:w="1780" w:type="dxa"/>
        <w:tblCellMar>
          <w:top w:w="0" w:type="dxa"/>
          <w:left w:w="0" w:type="dxa"/>
          <w:bottom w:w="0" w:type="dxa"/>
          <w:right w:w="0" w:type="dxa"/>
        </w:tblCellMar>
      </w:tblPr>
      <w:tr>
        <w:trPr>
          <w:trHeight w:val="207"/>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45-3937349</w:t>
            </w:r>
          </w:p>
        </w:tc>
      </w:tr>
      <w:tr>
        <w:trPr>
          <w:trHeight w:val="140"/>
        </w:trPr>
        <w:tc>
          <w:tcPr>
            <w:tcW w:w="4120" w:type="dxa"/>
            <w:vAlign w:val="bottom"/>
          </w:tcPr>
          <w:p>
            <w:pPr>
              <w:jc w:val="center"/>
              <w:ind w:right="1964"/>
              <w:spacing w:after="0" w:line="140" w:lineRule="exact"/>
              <w:rPr>
                <w:sz w:val="20"/>
                <w:szCs w:val="20"/>
                <w:color w:val="auto"/>
              </w:rPr>
            </w:pPr>
            <w:r>
              <w:rPr>
                <w:rFonts w:ascii="Arial" w:cs="Arial" w:eastAsia="Arial" w:hAnsi="Arial"/>
                <w:sz w:val="13"/>
                <w:szCs w:val="13"/>
                <w:b w:val="1"/>
                <w:bCs w:val="1"/>
                <w:color w:val="auto"/>
                <w:w w:val="87"/>
              </w:rPr>
              <w:t>( State or other jurisdiction of</w:t>
            </w:r>
          </w:p>
        </w:tc>
        <w:tc>
          <w:tcPr>
            <w:tcW w:w="3020" w:type="dxa"/>
            <w:vAlign w:val="bottom"/>
          </w:tcPr>
          <w:p>
            <w:pPr>
              <w:jc w:val="center"/>
              <w:ind w:left="1966"/>
              <w:spacing w:after="0" w:line="140" w:lineRule="exact"/>
              <w:rPr>
                <w:sz w:val="20"/>
                <w:szCs w:val="20"/>
                <w:color w:val="auto"/>
              </w:rPr>
            </w:pPr>
            <w:r>
              <w:rPr>
                <w:rFonts w:ascii="Arial" w:cs="Arial" w:eastAsia="Arial" w:hAnsi="Arial"/>
                <w:sz w:val="13"/>
                <w:szCs w:val="13"/>
                <w:b w:val="1"/>
                <w:bCs w:val="1"/>
                <w:color w:val="auto"/>
                <w:w w:val="90"/>
              </w:rPr>
              <w:t>(I.R.S. Employer</w:t>
            </w:r>
          </w:p>
        </w:tc>
      </w:tr>
      <w:tr>
        <w:trPr>
          <w:trHeight w:val="144"/>
        </w:trPr>
        <w:tc>
          <w:tcPr>
            <w:tcW w:w="4120" w:type="dxa"/>
            <w:vAlign w:val="bottom"/>
          </w:tcPr>
          <w:p>
            <w:pPr>
              <w:jc w:val="center"/>
              <w:ind w:right="1964"/>
              <w:spacing w:after="0" w:line="144" w:lineRule="exact"/>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66"/>
              <w:spacing w:after="0" w:line="144" w:lineRule="exact"/>
              <w:rPr>
                <w:sz w:val="20"/>
                <w:szCs w:val="20"/>
                <w:color w:val="auto"/>
              </w:rPr>
            </w:pPr>
            <w:r>
              <w:rPr>
                <w:rFonts w:ascii="Arial" w:cs="Arial" w:eastAsia="Arial" w:hAnsi="Arial"/>
                <w:sz w:val="13"/>
                <w:szCs w:val="13"/>
                <w:b w:val="1"/>
                <w:bCs w:val="1"/>
                <w:color w:val="auto"/>
                <w:w w:val="89"/>
              </w:rPr>
              <w:t>Identification No.)</w:t>
            </w:r>
          </w:p>
        </w:tc>
      </w:tr>
      <w:tr>
        <w:trPr>
          <w:trHeight w:val="189"/>
        </w:trPr>
        <w:tc>
          <w:tcPr>
            <w:tcW w:w="4120" w:type="dxa"/>
            <w:vAlign w:val="bottom"/>
          </w:tcPr>
          <w:p>
            <w:pPr>
              <w:jc w:val="center"/>
              <w:ind w:right="1984"/>
              <w:spacing w:after="0" w:line="189" w:lineRule="exact"/>
              <w:rPr>
                <w:sz w:val="20"/>
                <w:szCs w:val="20"/>
                <w:color w:val="auto"/>
              </w:rPr>
            </w:pPr>
            <w:r>
              <w:rPr>
                <w:rFonts w:ascii="Arial" w:cs="Arial" w:eastAsia="Arial" w:hAnsi="Arial"/>
                <w:sz w:val="18"/>
                <w:szCs w:val="18"/>
                <w:b w:val="1"/>
                <w:bCs w:val="1"/>
                <w:color w:val="auto"/>
                <w:w w:val="91"/>
              </w:rPr>
              <w:t>201 Third Street, Suite 200</w:t>
            </w:r>
          </w:p>
        </w:tc>
        <w:tc>
          <w:tcPr>
            <w:tcW w:w="3020" w:type="dxa"/>
            <w:vAlign w:val="bottom"/>
          </w:tcPr>
          <w:p>
            <w:pPr>
              <w:spacing w:after="0"/>
              <w:rPr>
                <w:sz w:val="16"/>
                <w:szCs w:val="16"/>
                <w:color w:val="auto"/>
              </w:rPr>
            </w:pPr>
          </w:p>
        </w:tc>
      </w:tr>
      <w:tr>
        <w:trPr>
          <w:trHeight w:val="216"/>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0"/>
              </w:rPr>
              <w:t>San Francisco, California</w:t>
            </w:r>
          </w:p>
        </w:tc>
        <w:tc>
          <w:tcPr>
            <w:tcW w:w="3020" w:type="dxa"/>
            <w:vAlign w:val="bottom"/>
          </w:tcPr>
          <w:p>
            <w:pPr>
              <w:jc w:val="right"/>
              <w:ind w:right="186"/>
              <w:spacing w:after="0"/>
              <w:rPr>
                <w:sz w:val="20"/>
                <w:szCs w:val="20"/>
                <w:color w:val="auto"/>
              </w:rPr>
            </w:pPr>
            <w:r>
              <w:rPr>
                <w:rFonts w:ascii="Arial" w:cs="Arial" w:eastAsia="Arial" w:hAnsi="Arial"/>
                <w:sz w:val="18"/>
                <w:szCs w:val="18"/>
                <w:b w:val="1"/>
                <w:bCs w:val="1"/>
                <w:color w:val="auto"/>
              </w:rPr>
              <w:t>94103</w:t>
            </w:r>
          </w:p>
        </w:tc>
      </w:tr>
      <w:tr>
        <w:trPr>
          <w:trHeight w:val="164"/>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65"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(650) 988-5131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3"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tcPr>
          <w:p>
            <w:pPr>
              <w:jc w:val="center"/>
              <w:spacing w:after="0"/>
              <w:rPr>
                <w:sz w:val="20"/>
                <w:szCs w:val="20"/>
                <w:color w:val="auto"/>
              </w:rPr>
            </w:pPr>
            <w:r>
              <w:rPr>
                <w:rFonts w:ascii="Arial" w:cs="Arial" w:eastAsia="Arial" w:hAnsi="Arial"/>
                <w:sz w:val="16"/>
                <w:szCs w:val="16"/>
                <w:color w:val="auto"/>
                <w:w w:val="90"/>
              </w:rPr>
              <w:t>Class A Common Stock, $0.00001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AMPL</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ind w:firstLine="599"/>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 w:lineRule="exact"/>
        <w:rPr>
          <w:sz w:val="24"/>
          <w:szCs w:val="24"/>
          <w:color w:val="auto"/>
        </w:rPr>
      </w:pPr>
    </w:p>
    <w:p>
      <w:pPr>
        <w:ind w:right="100" w:firstLine="599"/>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2" w:lineRule="exact"/>
        <w:rPr>
          <w:sz w:val="24"/>
          <w:szCs w:val="24"/>
          <w:color w:val="auto"/>
        </w:rPr>
      </w:pPr>
    </w:p>
    <w:p>
      <w:pPr>
        <w:jc w:val="both"/>
        <w:ind w:right="260" w:firstLine="59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32" w:lineRule="exact"/>
        <w:rPr>
          <w:sz w:val="24"/>
          <w:szCs w:val="24"/>
          <w:color w:val="auto"/>
        </w:rPr>
      </w:pPr>
    </w:p>
    <w:p>
      <w:pPr>
        <w:ind w:right="500" w:firstLine="59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ind w:right="60" w:firstLine="599"/>
        <w:spacing w:after="0" w:line="258" w:lineRule="auto"/>
        <w:rPr>
          <w:sz w:val="20"/>
          <w:szCs w:val="20"/>
          <w:color w:val="auto"/>
        </w:rPr>
      </w:pPr>
      <w:r>
        <w:rPr>
          <w:rFonts w:ascii="Arial" w:cs="Arial" w:eastAsia="Arial" w:hAnsi="Arial"/>
          <w:sz w:val="16"/>
          <w:szCs w:val="16"/>
          <w:color w:val="auto"/>
        </w:rPr>
        <w:t>As of April 28, 2022, there were 59,747,648 shares of the registrant's Class A common stock and 51,772,184 shares of the registrant's Class B common stock, each with a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359410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60" w:type="dxa"/>
            <w:vAlign w:val="bottom"/>
            <w:gridSpan w:val="6"/>
          </w:tcPr>
          <w:p>
            <w:pPr>
              <w:ind w:left="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1"/>
            <w:vMerge w:val="restart"/>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140" w:type="dxa"/>
            <w:vAlign w:val="bottom"/>
            <w:gridSpan w:val="2"/>
            <w:vMerge w:val="continue"/>
          </w:tcPr>
          <w:p>
            <w:pPr>
              <w:spacing w:after="0"/>
              <w:rPr>
                <w:sz w:val="13"/>
                <w:szCs w:val="13"/>
                <w:color w:val="auto"/>
              </w:rPr>
            </w:pPr>
          </w:p>
        </w:tc>
        <w:tc>
          <w:tcPr>
            <w:tcW w:w="9300" w:type="dxa"/>
            <w:vAlign w:val="bottom"/>
            <w:gridSpan w:val="21"/>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1.</w:t>
            </w:r>
          </w:p>
        </w:tc>
        <w:tc>
          <w:tcPr>
            <w:tcW w:w="226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83"/>
              </w:rPr>
            </w:pPr>
            <w:hyperlink w:anchor="page5">
              <w:r>
                <w:rPr>
                  <w:rFonts w:ascii="Arial" w:cs="Arial" w:eastAsia="Arial" w:hAnsi="Arial"/>
                  <w:sz w:val="18"/>
                  <w:szCs w:val="18"/>
                  <w:color w:val="0000FF"/>
                  <w:w w:val="83"/>
                </w:rPr>
                <w:t>Financial Statements (Unaudited)</w:t>
              </w:r>
            </w:hyperlink>
          </w:p>
        </w:tc>
        <w:tc>
          <w:tcPr>
            <w:tcW w:w="80" w:type="dxa"/>
            <w:vAlign w:val="bottom"/>
            <w:tcBorders>
              <w:bottom w:val="single" w:sz="8" w:color="0000FF"/>
            </w:tcBorders>
          </w:tcPr>
          <w:p>
            <w:pPr>
              <w:spacing w:after="0"/>
              <w:rPr>
                <w:sz w:val="14"/>
                <w:szCs w:val="14"/>
                <w:color w:val="auto"/>
              </w:rPr>
            </w:pPr>
          </w:p>
        </w:tc>
        <w:tc>
          <w:tcPr>
            <w:tcW w:w="80" w:type="dxa"/>
            <w:vAlign w:val="bottom"/>
            <w:tcBorders>
              <w:bottom w:val="single" w:sz="8" w:color="0000FF"/>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gridSpan w:val="12"/>
          </w:tcPr>
          <w:p>
            <w:pPr>
              <w:spacing w:after="0" w:line="169"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w:t>
              </w:r>
            </w:hyperlink>
          </w:p>
        </w:tc>
        <w:tc>
          <w:tcPr>
            <w:tcW w:w="6860" w:type="dxa"/>
            <w:vAlign w:val="bottom"/>
            <w:gridSpan w:val="9"/>
          </w:tcPr>
          <w:p>
            <w:pPr>
              <w:ind w:left="40"/>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Sheets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40" w:type="dxa"/>
            <w:vAlign w:val="bottom"/>
            <w:tcBorders>
              <w:top w:val="single" w:sz="8" w:color="0000FF"/>
            </w:tcBorders>
            <w:gridSpan w:val="13"/>
          </w:tcPr>
          <w:p>
            <w:pPr>
              <w:spacing w:after="0" w:line="169"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Condensed Consolidated Statements of</w:t>
              </w:r>
            </w:hyperlink>
          </w:p>
        </w:tc>
        <w:tc>
          <w:tcPr>
            <w:tcW w:w="6360" w:type="dxa"/>
            <w:vAlign w:val="bottom"/>
            <w:gridSpan w:val="8"/>
          </w:tcPr>
          <w:p>
            <w:pPr>
              <w:spacing w:after="0" w:line="169" w:lineRule="exact"/>
              <w:rPr>
                <w:rFonts w:ascii="Arial" w:cs="Arial" w:eastAsia="Arial" w:hAnsi="Arial"/>
                <w:sz w:val="18"/>
                <w:szCs w:val="18"/>
                <w:color w:val="0000FF"/>
              </w:rPr>
            </w:pPr>
            <w:hyperlink w:anchor="page6">
              <w:r>
                <w:rPr>
                  <w:rFonts w:ascii="Arial" w:cs="Arial" w:eastAsia="Arial" w:hAnsi="Arial"/>
                  <w:sz w:val="18"/>
                  <w:szCs w:val="18"/>
                  <w:color w:val="0000FF"/>
                </w:rPr>
                <w:t>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tcBorders>
              <w:top w:val="single" w:sz="8" w:color="0000FF"/>
            </w:tcBorders>
            <w:gridSpan w:val="14"/>
          </w:tcPr>
          <w:p>
            <w:pPr>
              <w:spacing w:after="0" w:line="169" w:lineRule="exact"/>
              <w:rPr>
                <w:rFonts w:ascii="Arial" w:cs="Arial" w:eastAsia="Arial" w:hAnsi="Arial"/>
                <w:sz w:val="18"/>
                <w:szCs w:val="18"/>
                <w:color w:val="0000FF"/>
                <w:w w:val="85"/>
              </w:rPr>
            </w:pPr>
            <w:hyperlink w:anchor="page7">
              <w:r>
                <w:rPr>
                  <w:rFonts w:ascii="Arial" w:cs="Arial" w:eastAsia="Arial" w:hAnsi="Arial"/>
                  <w:sz w:val="18"/>
                  <w:szCs w:val="18"/>
                  <w:color w:val="0000FF"/>
                  <w:w w:val="85"/>
                </w:rPr>
                <w:t>Condensed Consolidated Statements of Redeemable</w:t>
              </w:r>
            </w:hyperlink>
          </w:p>
        </w:tc>
        <w:tc>
          <w:tcPr>
            <w:tcW w:w="80" w:type="dxa"/>
            <w:vAlign w:val="bottom"/>
          </w:tcPr>
          <w:p>
            <w:pPr>
              <w:spacing w:after="0"/>
              <w:rPr>
                <w:sz w:val="14"/>
                <w:szCs w:val="14"/>
                <w:color w:val="auto"/>
              </w:rPr>
            </w:pPr>
          </w:p>
        </w:tc>
        <w:tc>
          <w:tcPr>
            <w:tcW w:w="5560" w:type="dxa"/>
            <w:vAlign w:val="bottom"/>
            <w:gridSpan w:val="6"/>
          </w:tcPr>
          <w:p>
            <w:pPr>
              <w:ind w:left="80"/>
              <w:spacing w:after="0" w:line="169" w:lineRule="exact"/>
              <w:rPr>
                <w:rFonts w:ascii="Arial" w:cs="Arial" w:eastAsia="Arial" w:hAnsi="Arial"/>
                <w:sz w:val="18"/>
                <w:szCs w:val="18"/>
                <w:color w:val="0000FF"/>
              </w:rPr>
            </w:pPr>
            <w:hyperlink w:anchor="page7">
              <w:r>
                <w:rPr>
                  <w:rFonts w:ascii="Arial" w:cs="Arial" w:eastAsia="Arial" w:hAnsi="Arial"/>
                  <w:sz w:val="18"/>
                  <w:szCs w:val="18"/>
                  <w:color w:val="0000FF"/>
                </w:rPr>
                <w:t>Convertible Preferred Stock and Stockholders’ Equity (Deficit)</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20" w:type="dxa"/>
            <w:vAlign w:val="bottom"/>
            <w:tcBorders>
              <w:top w:val="single" w:sz="8" w:color="0000EE"/>
            </w:tcBorders>
            <w:gridSpan w:val="20"/>
          </w:tcPr>
          <w:p>
            <w:pPr>
              <w:spacing w:after="0" w:line="169"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w:t>
              </w:r>
            </w:hyperlink>
          </w:p>
        </w:tc>
        <w:tc>
          <w:tcPr>
            <w:tcW w:w="88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w:t>
            </w:r>
          </w:p>
        </w:tc>
        <w:tc>
          <w:tcPr>
            <w:tcW w:w="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300" w:type="dxa"/>
            <w:vAlign w:val="bottom"/>
            <w:gridSpan w:val="21"/>
          </w:tcPr>
          <w:p>
            <w:pPr>
              <w:spacing w:after="0" w:line="169" w:lineRule="exact"/>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2.</w:t>
            </w:r>
          </w:p>
        </w:tc>
        <w:tc>
          <w:tcPr>
            <w:tcW w:w="4000" w:type="dxa"/>
            <w:vAlign w:val="bottom"/>
            <w:tcBorders>
              <w:top w:val="single" w:sz="8" w:color="0000FF"/>
            </w:tcBorders>
            <w:gridSpan w:val="16"/>
          </w:tcPr>
          <w:p>
            <w:pPr>
              <w:spacing w:after="0" w:line="169" w:lineRule="exact"/>
              <w:rPr>
                <w:rFonts w:ascii="Arial" w:cs="Arial" w:eastAsia="Arial" w:hAnsi="Arial"/>
                <w:sz w:val="18"/>
                <w:szCs w:val="18"/>
                <w:color w:val="0000FF"/>
                <w:w w:val="96"/>
              </w:rPr>
            </w:pPr>
            <w:hyperlink w:anchor="page21">
              <w:r>
                <w:rPr>
                  <w:rFonts w:ascii="Arial" w:cs="Arial" w:eastAsia="Arial" w:hAnsi="Arial"/>
                  <w:sz w:val="18"/>
                  <w:szCs w:val="18"/>
                  <w:color w:val="0000FF"/>
                  <w:w w:val="96"/>
                </w:rPr>
                <w:t>Management’s Discussion and Analysis of Financial</w:t>
              </w:r>
            </w:hyperlink>
          </w:p>
        </w:tc>
        <w:tc>
          <w:tcPr>
            <w:tcW w:w="5300" w:type="dxa"/>
            <w:vAlign w:val="bottom"/>
            <w:gridSpan w:val="5"/>
          </w:tcPr>
          <w:p>
            <w:pPr>
              <w:spacing w:after="0" w:line="169" w:lineRule="exact"/>
              <w:rPr>
                <w:rFonts w:ascii="Arial" w:cs="Arial" w:eastAsia="Arial" w:hAnsi="Arial"/>
                <w:sz w:val="18"/>
                <w:szCs w:val="18"/>
                <w:color w:val="0000FF"/>
              </w:rPr>
            </w:pPr>
            <w:hyperlink w:anchor="page21">
              <w:r>
                <w:rPr>
                  <w:rFonts w:ascii="Arial" w:cs="Arial" w:eastAsia="Arial" w:hAnsi="Arial"/>
                  <w:sz w:val="18"/>
                  <w:szCs w:val="18"/>
                  <w:color w:val="0000FF"/>
                </w:rPr>
                <w:t>Condition and Results of 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w:anchor="page35">
              <w:r>
                <w:rPr>
                  <w:rFonts w:ascii="Arial" w:cs="Arial" w:eastAsia="Arial" w:hAnsi="Arial"/>
                  <w:sz w:val="18"/>
                  <w:szCs w:val="18"/>
                  <w:color w:val="0000FF"/>
                </w:rPr>
                <w:t>Quantitative and Qualitative Disclosures About Market Risk</w:t>
              </w:r>
            </w:hyperlink>
          </w:p>
        </w:tc>
        <w:tc>
          <w:tcPr>
            <w:tcW w:w="284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88"/>
              </w:rPr>
            </w:pPr>
            <w:hyperlink w:anchor="page35">
              <w:r>
                <w:rPr>
                  <w:rFonts w:ascii="Arial" w:cs="Arial" w:eastAsia="Arial" w:hAnsi="Arial"/>
                  <w:sz w:val="18"/>
                  <w:szCs w:val="18"/>
                  <w:color w:val="0000FF"/>
                  <w:w w:val="88"/>
                </w:rPr>
                <w:t>Controls and Procedures</w:t>
              </w:r>
            </w:hyperlink>
          </w:p>
        </w:tc>
        <w:tc>
          <w:tcPr>
            <w:tcW w:w="20" w:type="dxa"/>
            <w:vAlign w:val="bottom"/>
            <w:tcBorders>
              <w:top w:val="single" w:sz="8" w:color="0000FF"/>
              <w:bottom w:val="single" w:sz="8" w:color="0000EE"/>
            </w:tcBorders>
          </w:tcPr>
          <w:p>
            <w:pPr>
              <w:spacing w:after="0"/>
              <w:rPr>
                <w:sz w:val="14"/>
                <w:szCs w:val="14"/>
                <w:color w:val="auto"/>
              </w:rPr>
            </w:pPr>
          </w:p>
        </w:tc>
        <w:tc>
          <w:tcPr>
            <w:tcW w:w="2580" w:type="dxa"/>
            <w:vAlign w:val="bottom"/>
            <w:tcBorders>
              <w:top w:val="single" w:sz="8" w:color="0000FF"/>
            </w:tcBorders>
            <w:gridSpan w:val="11"/>
          </w:tcPr>
          <w:p>
            <w:pPr>
              <w:spacing w:after="0"/>
              <w:rPr>
                <w:sz w:val="14"/>
                <w:szCs w:val="14"/>
                <w:color w:val="auto"/>
              </w:rPr>
            </w:pPr>
          </w:p>
        </w:tc>
        <w:tc>
          <w:tcPr>
            <w:tcW w:w="4920" w:type="dxa"/>
            <w:vAlign w:val="bottom"/>
            <w:gridSpan w:val="3"/>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b w:val="1"/>
                <w:bCs w:val="1"/>
                <w:color w:val="auto"/>
              </w:rPr>
              <w:t>PART II.</w:t>
            </w:r>
          </w:p>
        </w:tc>
        <w:tc>
          <w:tcPr>
            <w:tcW w:w="1800" w:type="dxa"/>
            <w:vAlign w:val="bottom"/>
            <w:tcBorders>
              <w:bottom w:val="single" w:sz="8" w:color="0000FF"/>
            </w:tcBorders>
            <w:gridSpan w:val="7"/>
          </w:tcPr>
          <w:p>
            <w:pPr>
              <w:spacing w:after="0" w:line="169" w:lineRule="exact"/>
              <w:rPr>
                <w:rFonts w:ascii="Arial" w:cs="Arial" w:eastAsia="Arial" w:hAnsi="Arial"/>
                <w:sz w:val="18"/>
                <w:szCs w:val="18"/>
                <w:color w:val="0000FF"/>
                <w:w w:val="91"/>
              </w:rPr>
            </w:pPr>
            <w:hyperlink w:anchor="page36">
              <w:r>
                <w:rPr>
                  <w:rFonts w:ascii="Arial" w:cs="Arial" w:eastAsia="Arial" w:hAnsi="Arial"/>
                  <w:sz w:val="18"/>
                  <w:szCs w:val="18"/>
                  <w:color w:val="0000FF"/>
                  <w:w w:val="91"/>
                </w:rPr>
                <w:t>OTHER INFORMATION</w:t>
              </w:r>
            </w:hyperlink>
          </w:p>
        </w:tc>
        <w:tc>
          <w:tcPr>
            <w:tcW w:w="100" w:type="dxa"/>
            <w:vAlign w:val="bottom"/>
            <w:tcBorders>
              <w:bottom w:val="single" w:sz="8" w:color="0000FF"/>
            </w:tcBorders>
          </w:tcPr>
          <w:p>
            <w:pPr>
              <w:spacing w:after="0"/>
              <w:rPr>
                <w:sz w:val="14"/>
                <w:szCs w:val="14"/>
                <w:color w:val="auto"/>
              </w:rPr>
            </w:pPr>
          </w:p>
        </w:tc>
        <w:tc>
          <w:tcPr>
            <w:tcW w:w="440" w:type="dxa"/>
            <w:vAlign w:val="bottom"/>
            <w:gridSpan w:val="2"/>
          </w:tcPr>
          <w:p>
            <w:pPr>
              <w:spacing w:after="0"/>
              <w:rPr>
                <w:sz w:val="14"/>
                <w:szCs w:val="14"/>
                <w:color w:val="auto"/>
              </w:rPr>
            </w:pPr>
          </w:p>
        </w:tc>
        <w:tc>
          <w:tcPr>
            <w:tcW w:w="2020" w:type="dxa"/>
            <w:vAlign w:val="bottom"/>
            <w:gridSpan w:val="7"/>
          </w:tcPr>
          <w:p>
            <w:pPr>
              <w:spacing w:after="0"/>
              <w:rPr>
                <w:sz w:val="14"/>
                <w:szCs w:val="14"/>
                <w:color w:val="auto"/>
              </w:rPr>
            </w:pPr>
          </w:p>
        </w:tc>
        <w:tc>
          <w:tcPr>
            <w:tcW w:w="4940" w:type="dxa"/>
            <w:vAlign w:val="bottom"/>
            <w:gridSpan w:val="4"/>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1.</w:t>
            </w:r>
          </w:p>
        </w:tc>
        <w:tc>
          <w:tcPr>
            <w:tcW w:w="1900" w:type="dxa"/>
            <w:vAlign w:val="bottom"/>
            <w:gridSpan w:val="8"/>
          </w:tcPr>
          <w:p>
            <w:pPr>
              <w:spacing w:after="0" w:line="169" w:lineRule="exact"/>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440" w:type="dxa"/>
            <w:vAlign w:val="bottom"/>
            <w:gridSpan w:val="2"/>
          </w:tcPr>
          <w:p>
            <w:pPr>
              <w:spacing w:after="0"/>
              <w:rPr>
                <w:sz w:val="14"/>
                <w:szCs w:val="14"/>
                <w:color w:val="auto"/>
              </w:rPr>
            </w:pPr>
          </w:p>
        </w:tc>
        <w:tc>
          <w:tcPr>
            <w:tcW w:w="2020" w:type="dxa"/>
            <w:vAlign w:val="bottom"/>
            <w:gridSpan w:val="7"/>
          </w:tcPr>
          <w:p>
            <w:pPr>
              <w:spacing w:after="0"/>
              <w:rPr>
                <w:sz w:val="14"/>
                <w:szCs w:val="14"/>
                <w:color w:val="auto"/>
              </w:rPr>
            </w:pPr>
          </w:p>
        </w:tc>
        <w:tc>
          <w:tcPr>
            <w:tcW w:w="4940" w:type="dxa"/>
            <w:vAlign w:val="bottom"/>
            <w:gridSpan w:val="4"/>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4"/>
                <w:szCs w:val="14"/>
                <w:color w:val="auto"/>
              </w:rPr>
            </w:pPr>
          </w:p>
        </w:tc>
        <w:tc>
          <w:tcPr>
            <w:tcW w:w="400" w:type="dxa"/>
            <w:vAlign w:val="bottom"/>
            <w:tcBorders>
              <w:top w:val="single" w:sz="8" w:color="0000FF"/>
            </w:tcBorders>
            <w:gridSpan w:val="2"/>
          </w:tcPr>
          <w:p>
            <w:pPr>
              <w:spacing w:after="0"/>
              <w:rPr>
                <w:sz w:val="14"/>
                <w:szCs w:val="14"/>
                <w:color w:val="auto"/>
              </w:rPr>
            </w:pPr>
          </w:p>
        </w:tc>
        <w:tc>
          <w:tcPr>
            <w:tcW w:w="1000" w:type="dxa"/>
            <w:vAlign w:val="bottom"/>
            <w:gridSpan w:val="5"/>
          </w:tcPr>
          <w:p>
            <w:pPr>
              <w:spacing w:after="0"/>
              <w:rPr>
                <w:sz w:val="14"/>
                <w:szCs w:val="14"/>
                <w:color w:val="auto"/>
              </w:rPr>
            </w:pPr>
          </w:p>
        </w:tc>
        <w:tc>
          <w:tcPr>
            <w:tcW w:w="2020" w:type="dxa"/>
            <w:vAlign w:val="bottom"/>
            <w:gridSpan w:val="7"/>
          </w:tcPr>
          <w:p>
            <w:pPr>
              <w:spacing w:after="0"/>
              <w:rPr>
                <w:sz w:val="14"/>
                <w:szCs w:val="14"/>
                <w:color w:val="auto"/>
              </w:rPr>
            </w:pPr>
          </w:p>
        </w:tc>
        <w:tc>
          <w:tcPr>
            <w:tcW w:w="4940" w:type="dxa"/>
            <w:vAlign w:val="bottom"/>
            <w:gridSpan w:val="4"/>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2.</w:t>
            </w:r>
          </w:p>
        </w:tc>
        <w:tc>
          <w:tcPr>
            <w:tcW w:w="940" w:type="dxa"/>
            <w:vAlign w:val="bottom"/>
            <w:gridSpan w:val="3"/>
          </w:tcPr>
          <w:p>
            <w:pPr>
              <w:spacing w:after="0" w:line="169" w:lineRule="exact"/>
              <w:rPr>
                <w:rFonts w:ascii="Arial" w:cs="Arial" w:eastAsia="Arial" w:hAnsi="Arial"/>
                <w:sz w:val="18"/>
                <w:szCs w:val="18"/>
                <w:color w:val="0000FF"/>
                <w:w w:val="89"/>
              </w:rPr>
            </w:pPr>
            <w:hyperlink w:anchor="page67">
              <w:r>
                <w:rPr>
                  <w:rFonts w:ascii="Arial" w:cs="Arial" w:eastAsia="Arial" w:hAnsi="Arial"/>
                  <w:sz w:val="18"/>
                  <w:szCs w:val="18"/>
                  <w:color w:val="0000FF"/>
                  <w:w w:val="89"/>
                </w:rPr>
                <w:t>Unregistered</w:t>
              </w:r>
            </w:hyperlink>
          </w:p>
        </w:tc>
        <w:tc>
          <w:tcPr>
            <w:tcW w:w="8360" w:type="dxa"/>
            <w:vAlign w:val="bottom"/>
            <w:gridSpan w:val="18"/>
          </w:tcPr>
          <w:p>
            <w:pPr>
              <w:ind w:left="40"/>
              <w:spacing w:after="0" w:line="169" w:lineRule="exact"/>
              <w:rPr>
                <w:rFonts w:ascii="Arial" w:cs="Arial" w:eastAsia="Arial" w:hAnsi="Arial"/>
                <w:sz w:val="18"/>
                <w:szCs w:val="18"/>
                <w:color w:val="0000FF"/>
              </w:rPr>
            </w:pPr>
            <w:hyperlink w:anchor="page67">
              <w:r>
                <w:rPr>
                  <w:rFonts w:ascii="Arial" w:cs="Arial" w:eastAsia="Arial" w:hAnsi="Arial"/>
                  <w:sz w:val="18"/>
                  <w:szCs w:val="18"/>
                  <w:color w:val="0000FF"/>
                </w:rPr>
                <w:t>Sales of Equity Securities and Use of Proceeds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w:anchor="page67">
              <w:r>
                <w:rPr>
                  <w:rFonts w:ascii="Arial" w:cs="Arial" w:eastAsia="Arial" w:hAnsi="Arial"/>
                  <w:sz w:val="18"/>
                  <w:szCs w:val="18"/>
                  <w:color w:val="0000FF"/>
                </w:rPr>
                <w:t>Defaults Upon Senior Securities</w:t>
              </w:r>
            </w:hyperlink>
          </w:p>
        </w:tc>
        <w:tc>
          <w:tcPr>
            <w:tcW w:w="4940" w:type="dxa"/>
            <w:vAlign w:val="bottom"/>
            <w:gridSpan w:val="4"/>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4.</w:t>
            </w:r>
          </w:p>
        </w:tc>
        <w:tc>
          <w:tcPr>
            <w:tcW w:w="234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w:anchor="page67">
              <w:r>
                <w:rPr>
                  <w:rFonts w:ascii="Arial" w:cs="Arial" w:eastAsia="Arial" w:hAnsi="Arial"/>
                  <w:sz w:val="18"/>
                  <w:szCs w:val="18"/>
                  <w:color w:val="0000FF"/>
                </w:rPr>
                <w:t>Mine Safety Disclosures</w:t>
              </w:r>
            </w:hyperlink>
          </w:p>
        </w:tc>
        <w:tc>
          <w:tcPr>
            <w:tcW w:w="6960" w:type="dxa"/>
            <w:vAlign w:val="bottom"/>
            <w:gridSpan w:val="11"/>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000FF"/>
            </w:tcBorders>
            <w:gridSpan w:val="6"/>
          </w:tcPr>
          <w:p>
            <w:pPr>
              <w:spacing w:after="0" w:line="169" w:lineRule="exact"/>
              <w:rPr>
                <w:rFonts w:ascii="Arial" w:cs="Arial" w:eastAsia="Arial" w:hAnsi="Arial"/>
                <w:sz w:val="18"/>
                <w:szCs w:val="18"/>
                <w:color w:val="0000FF"/>
              </w:rPr>
            </w:pPr>
            <w:hyperlink w:anchor="page67">
              <w:r>
                <w:rPr>
                  <w:rFonts w:ascii="Arial" w:cs="Arial" w:eastAsia="Arial" w:hAnsi="Arial"/>
                  <w:sz w:val="18"/>
                  <w:szCs w:val="18"/>
                  <w:color w:val="0000FF"/>
                </w:rPr>
                <w:t>Other Information</w:t>
              </w:r>
            </w:hyperlink>
          </w:p>
        </w:tc>
        <w:tc>
          <w:tcPr>
            <w:tcW w:w="7520" w:type="dxa"/>
            <w:vAlign w:val="bottom"/>
            <w:gridSpan w:val="15"/>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line="169" w:lineRule="exact"/>
              <w:rPr>
                <w:rFonts w:ascii="Arial" w:cs="Arial" w:eastAsia="Arial" w:hAnsi="Arial"/>
                <w:sz w:val="18"/>
                <w:szCs w:val="18"/>
                <w:color w:val="0000FF"/>
              </w:rPr>
            </w:pPr>
            <w:hyperlink w:anchor="page68">
              <w:r>
                <w:rPr>
                  <w:rFonts w:ascii="Arial" w:cs="Arial" w:eastAsia="Arial" w:hAnsi="Arial"/>
                  <w:sz w:val="18"/>
                  <w:szCs w:val="18"/>
                  <w:color w:val="0000FF"/>
                </w:rPr>
                <w:t>Exhibits</w:t>
              </w:r>
            </w:hyperlink>
          </w:p>
        </w:tc>
        <w:tc>
          <w:tcPr>
            <w:tcW w:w="7980" w:type="dxa"/>
            <w:vAlign w:val="bottom"/>
            <w:gridSpan w:val="17"/>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rFonts w:ascii="Arial" w:cs="Arial" w:eastAsia="Arial" w:hAnsi="Arial"/>
                <w:sz w:val="18"/>
                <w:szCs w:val="18"/>
                <w:color w:val="0000FF"/>
              </w:rPr>
            </w:pPr>
            <w:hyperlink w:anchor="page69">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6" w:lineRule="exact"/>
        <w:rPr>
          <w:sz w:val="20"/>
          <w:szCs w:val="20"/>
          <w:color w:val="auto"/>
        </w:rPr>
      </w:pPr>
    </w:p>
    <w:p>
      <w:pPr>
        <w:ind w:right="200" w:firstLine="509"/>
        <w:spacing w:after="0" w:line="255" w:lineRule="auto"/>
        <w:rPr>
          <w:sz w:val="20"/>
          <w:szCs w:val="20"/>
          <w:color w:val="auto"/>
        </w:rPr>
      </w:pPr>
      <w:r>
        <w:rPr>
          <w:rFonts w:ascii="Arial" w:cs="Arial" w:eastAsia="Arial" w:hAnsi="Arial"/>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Section 21E of the Securities Exchange Act of 1934, as amended (the “Exchange Act”) and the Private Securities Litigation Reform Act of 1995.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about:</w:t>
      </w:r>
    </w:p>
    <w:p>
      <w:pPr>
        <w:spacing w:after="0" w:line="72"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new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usage of our Digital Optimization System and upsell and cross sell additional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profitability;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03"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including our ability to grow and maintain our channel partners, and our ability to promote our brand;</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the coronavirus ("COVID-19") pandemic and other global events on our business and the global economy generally, including as a result of any new strains or variants of the virus as well as the recent and developing war in Ukraine;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any costs associated therewith;</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ind w:left="520"/>
        <w:spacing w:after="0"/>
        <w:rPr>
          <w:sz w:val="20"/>
          <w:szCs w:val="20"/>
          <w:color w:val="auto"/>
        </w:rPr>
      </w:pPr>
      <w:r>
        <w:rPr>
          <w:rFonts w:ascii="Arial" w:cs="Arial" w:eastAsia="Arial" w:hAnsi="Arial"/>
          <w:sz w:val="17"/>
          <w:szCs w:val="17"/>
          <w:color w:val="auto"/>
        </w:rPr>
        <w:t>We caution you that the foregoing list does not contain all of the forward-looking statements made in this Quarterly Report on Form 10-Q.</w:t>
      </w:r>
    </w:p>
    <w:p>
      <w:pPr>
        <w:spacing w:after="0" w:line="115"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discussed in Part I, Item 2, “Management's Discussion and Analysis of Financial Condition and Results of Operations” and Part II, Item 1A, "Risk Factors" in this Quarterly Report on Form 10-Q as well as other documents that may be filed by us from time to time with the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75" w:lineRule="exact"/>
        <w:rPr>
          <w:sz w:val="20"/>
          <w:szCs w:val="20"/>
          <w:color w:val="auto"/>
        </w:rPr>
      </w:pPr>
    </w:p>
    <w:p>
      <w:pPr>
        <w:ind w:right="180" w:firstLine="509"/>
        <w:spacing w:after="0" w:line="257"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available.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67"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8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as exhibits to our most recent Annual Report on Form 10-K and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216"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The following is a summary of principal risks and uncertainties that could materially adversely affect our business, financial condition, and results of operations. This summary should be read in conjunction with the “Risk Factors” section and should not be relied upon as an exhaustive summary of the material risks and uncertainties facing our business.</w:t>
      </w:r>
    </w:p>
    <w:p>
      <w:pPr>
        <w:spacing w:after="0" w:line="80" w:lineRule="exact"/>
        <w:rPr>
          <w:sz w:val="20"/>
          <w:szCs w:val="20"/>
          <w:color w:val="auto"/>
        </w:rPr>
      </w:pPr>
    </w:p>
    <w:p>
      <w:pPr>
        <w:ind w:left="1020" w:right="10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and have been growing rapidly over the last several years, which makes it difficult to forecast our future results of operations and increases the risk of your investment.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a history of losses. As our costs increase, we may not be able to generate sufficient revenue to achieve and sustain profitability.</w:t>
      </w:r>
    </w:p>
    <w:p>
      <w:pPr>
        <w:spacing w:after="0" w:line="126" w:lineRule="exact"/>
        <w:rPr>
          <w:rFonts w:ascii="Arial" w:cs="Arial" w:eastAsia="Arial" w:hAnsi="Arial"/>
          <w:sz w:val="16"/>
          <w:szCs w:val="16"/>
          <w:color w:val="auto"/>
        </w:rPr>
      </w:pPr>
    </w:p>
    <w:p>
      <w:pPr>
        <w:ind w:left="1020" w:right="120" w:hanging="503"/>
        <w:spacing w:after="0" w:line="294"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 depends on our current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39" w:lineRule="exact"/>
        <w:rPr>
          <w:rFonts w:ascii="Arial" w:cs="Arial" w:eastAsia="Arial" w:hAnsi="Arial"/>
          <w:sz w:val="16"/>
          <w:szCs w:val="16"/>
          <w:color w:val="auto"/>
        </w:rPr>
      </w:pPr>
    </w:p>
    <w:p>
      <w:pPr>
        <w:ind w:left="1020" w:right="34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fluctuations in our financial results, making it difficult to project future results. If we fail to meet the expectations of securities analysts or investors with respect to our results of operations, our stock price could decline.</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continue to focus on sales to larger organizations and may become more dependent on those relationships, which may increase the variability of our sales cycles and our results of operations.</w:t>
      </w:r>
    </w:p>
    <w:p>
      <w:pPr>
        <w:spacing w:after="0" w:line="62"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recognize revenue over the term of our customer contracts. Consequently, downturns or upturns in new sales may not be immediately reflected in our results of operations and may be difficult to discern.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has been, and in the future, may be, volatile, and could decline significantly and rapidly.</w:t>
      </w:r>
    </w:p>
    <w:p>
      <w:pPr>
        <w:spacing w:after="0" w:line="103"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conditions in our industry or the global economy, or reductions in information technology spending, could limit our ability to grow our business and materially adversely affect our business, financial condition, and results of operations.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market for SaaS applications develops more slowly than we expect or declines, our business would be adversely affected.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rights may not protect our business or provide us with a competitive advantage, which could have a material adverse effect on our business, financial condition, and results of operations.</w:t>
      </w:r>
    </w:p>
    <w:p>
      <w:pPr>
        <w:spacing w:after="0" w:line="62"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government regulation, including import, export, economic sanctions, and anti-corruption laws and regulations, that may expose us to liability and increase our costs.</w:t>
      </w:r>
    </w:p>
    <w:p>
      <w:pPr>
        <w:spacing w:after="0" w:line="62" w:lineRule="exact"/>
        <w:rPr>
          <w:rFonts w:ascii="Arial" w:cs="Arial" w:eastAsia="Arial" w:hAnsi="Arial"/>
          <w:sz w:val="18"/>
          <w:szCs w:val="18"/>
          <w:color w:val="auto"/>
        </w:rPr>
      </w:pPr>
    </w:p>
    <w:p>
      <w:pPr>
        <w:ind w:left="1020" w:right="60" w:hanging="503"/>
        <w:spacing w:after="0" w:line="24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7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principal stockholders have the ability to influence the outcome of director elections and other matters requiring stockholder approval.</w:t>
      </w:r>
    </w:p>
    <w:p>
      <w:pPr>
        <w:spacing w:after="0" w:line="126" w:lineRule="exact"/>
        <w:rPr>
          <w:rFonts w:ascii="Arial" w:cs="Arial" w:eastAsia="Arial" w:hAnsi="Arial"/>
          <w:sz w:val="16"/>
          <w:szCs w:val="16"/>
          <w:color w:val="auto"/>
        </w:rPr>
      </w:pPr>
    </w:p>
    <w:p>
      <w:pPr>
        <w:ind w:left="1020" w:right="20" w:hanging="503"/>
        <w:spacing w:after="0" w:line="24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our existing stockholders, executive officers,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PART I—FINANCIAL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1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Condensed Consolidated Balance Sheets</w:t>
      </w:r>
    </w:p>
    <w:p>
      <w:pPr>
        <w:ind w:left="4020"/>
        <w:spacing w:after="0" w:line="234" w:lineRule="auto"/>
        <w:rPr>
          <w:sz w:val="20"/>
          <w:szCs w:val="20"/>
          <w:color w:val="auto"/>
        </w:rPr>
      </w:pPr>
      <w:r>
        <w:rPr>
          <w:rFonts w:ascii="Arial" w:cs="Arial" w:eastAsia="Arial" w:hAnsi="Arial"/>
          <w:sz w:val="18"/>
          <w:szCs w:val="18"/>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9"/>
              </w:rPr>
              <w:t>As of</w:t>
            </w:r>
          </w:p>
        </w:tc>
        <w:tc>
          <w:tcPr>
            <w:tcW w:w="22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162"/>
        </w:trPr>
        <w:tc>
          <w:tcPr>
            <w:tcW w:w="7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520"/>
              <w:spacing w:after="0" w:line="162" w:lineRule="exact"/>
              <w:rPr>
                <w:sz w:val="20"/>
                <w:szCs w:val="20"/>
                <w:color w:val="auto"/>
              </w:rPr>
            </w:pPr>
            <w:r>
              <w:rPr>
                <w:rFonts w:ascii="Arial" w:cs="Arial" w:eastAsia="Arial" w:hAnsi="Arial"/>
                <w:sz w:val="16"/>
                <w:szCs w:val="16"/>
                <w:b w:val="1"/>
                <w:bCs w:val="1"/>
                <w:color w:val="auto"/>
                <w:w w:val="97"/>
              </w:rPr>
              <w:t>March 31,</w:t>
            </w:r>
          </w:p>
        </w:tc>
        <w:tc>
          <w:tcPr>
            <w:tcW w:w="220" w:type="dxa"/>
            <w:vAlign w:val="bottom"/>
          </w:tcPr>
          <w:p>
            <w:pPr>
              <w:spacing w:after="0"/>
              <w:rPr>
                <w:sz w:val="14"/>
                <w:szCs w:val="14"/>
                <w:color w:val="auto"/>
              </w:rPr>
            </w:pPr>
          </w:p>
        </w:tc>
        <w:tc>
          <w:tcPr>
            <w:tcW w:w="154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9"/>
              </w:rPr>
              <w:t>2022</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300,422</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307,445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tcPr>
          <w:p>
            <w:pPr>
              <w:ind w:left="200"/>
              <w:spacing w:after="0" w:line="152" w:lineRule="exact"/>
              <w:rPr>
                <w:sz w:val="20"/>
                <w:szCs w:val="20"/>
                <w:color w:val="auto"/>
              </w:rPr>
            </w:pPr>
            <w:r>
              <w:rPr>
                <w:rFonts w:ascii="Arial" w:cs="Arial" w:eastAsia="Arial" w:hAnsi="Arial"/>
                <w:sz w:val="16"/>
                <w:szCs w:val="16"/>
                <w:color w:val="auto"/>
              </w:rPr>
              <w:t>Accounts receivable, net of allowance for doubtful accounts of $258</w:t>
            </w:r>
          </w:p>
        </w:tc>
        <w:tc>
          <w:tcPr>
            <w:tcW w:w="26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23,273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20,444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660" w:type="dxa"/>
            <w:vAlign w:val="bottom"/>
          </w:tcPr>
          <w:p>
            <w:pPr>
              <w:ind w:left="320"/>
              <w:spacing w:after="0"/>
              <w:rPr>
                <w:sz w:val="20"/>
                <w:szCs w:val="20"/>
                <w:color w:val="auto"/>
              </w:rPr>
            </w:pPr>
            <w:r>
              <w:rPr>
                <w:rFonts w:ascii="Arial" w:cs="Arial" w:eastAsia="Arial" w:hAnsi="Arial"/>
                <w:sz w:val="16"/>
                <w:szCs w:val="16"/>
                <w:color w:val="auto"/>
              </w:rPr>
              <w:t>and $85 as of March 31, 2022 and December 31, 2021, respectively</w:t>
            </w:r>
          </w:p>
        </w:tc>
        <w:tc>
          <w:tcPr>
            <w:tcW w:w="2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21,577</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19,116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Deferred commissions, current</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8,876</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60" w:type="dxa"/>
            <w:vAlign w:val="bottom"/>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354,148</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355,117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6,235</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4,832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Intangible assets, net</w:t>
            </w: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3,065</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4,073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4,073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Restricted cash, noncurrent</w:t>
            </w: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850</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Deferred commissions, noncurrent</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22,199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20,573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11,398</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12,225</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shd w:val="clear" w:color="auto" w:fill="CFF0FC"/>
          </w:tcPr>
          <w:p>
            <w:pPr>
              <w:ind w:left="380"/>
              <w:spacing w:after="0" w:line="169" w:lineRule="exact"/>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414,193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400,388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66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2,035</w:t>
            </w:r>
          </w:p>
        </w:tc>
        <w:tc>
          <w:tcPr>
            <w:tcW w:w="22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3,363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expenses</w:t>
            </w: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22,697</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17,936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75,137</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69,294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60" w:type="dxa"/>
            <w:vAlign w:val="bottom"/>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99,869</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90,593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9,632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Noncurrent liabilities</w:t>
            </w:r>
          </w:p>
        </w:tc>
        <w:tc>
          <w:tcPr>
            <w:tcW w:w="2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1,843</w:t>
            </w: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3,247</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660" w:type="dxa"/>
            <w:vAlign w:val="bottom"/>
          </w:tcPr>
          <w:p>
            <w:pPr>
              <w:ind w:left="380"/>
              <w:spacing w:after="0" w:line="183" w:lineRule="exact"/>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111,344</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93,840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Commitments and contingencies (Note 8)</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Preferred stock, $0.00001 par value per share; 20,000 shares authorized</w:t>
            </w: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320"/>
              <w:spacing w:after="0" w:line="162" w:lineRule="exact"/>
              <w:rPr>
                <w:sz w:val="20"/>
                <w:szCs w:val="20"/>
                <w:color w:val="auto"/>
              </w:rPr>
            </w:pPr>
            <w:r>
              <w:rPr>
                <w:rFonts w:ascii="Arial" w:cs="Arial" w:eastAsia="Arial" w:hAnsi="Arial"/>
                <w:sz w:val="16"/>
                <w:szCs w:val="16"/>
                <w:color w:val="auto"/>
              </w:rPr>
              <w:t>as of March 31, 2022 and December 31, 2021; zero shares issued and</w:t>
            </w:r>
          </w:p>
        </w:tc>
        <w:tc>
          <w:tcPr>
            <w:tcW w:w="260" w:type="dxa"/>
            <w:vAlign w:val="bottom"/>
            <w:shd w:val="clear" w:color="auto" w:fill="CFF0FC"/>
          </w:tcPr>
          <w:p>
            <w:pPr>
              <w:spacing w:after="0"/>
              <w:rPr>
                <w:sz w:val="14"/>
                <w:szCs w:val="14"/>
                <w:color w:val="auto"/>
              </w:rPr>
            </w:pPr>
          </w:p>
        </w:tc>
        <w:tc>
          <w:tcPr>
            <w:tcW w:w="15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4"/>
                <w:szCs w:val="14"/>
                <w:color w:val="auto"/>
              </w:rPr>
            </w:pPr>
          </w:p>
        </w:tc>
        <w:tc>
          <w:tcPr>
            <w:tcW w:w="15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6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outstanding as of March 31, 2022 and December 31, 2021</w:t>
            </w:r>
          </w:p>
        </w:tc>
        <w:tc>
          <w:tcPr>
            <w:tcW w:w="260" w:type="dxa"/>
            <w:vAlign w:val="bottom"/>
            <w:shd w:val="clear" w:color="auto" w:fill="CFF0FC"/>
          </w:tcPr>
          <w:p>
            <w:pPr>
              <w:spacing w:after="0"/>
              <w:rPr>
                <w:sz w:val="17"/>
                <w:szCs w:val="17"/>
                <w:color w:val="auto"/>
              </w:rPr>
            </w:pPr>
          </w:p>
        </w:tc>
        <w:tc>
          <w:tcPr>
            <w:tcW w:w="1560" w:type="dxa"/>
            <w:vAlign w:val="bottom"/>
            <w:gridSpan w:val="2"/>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660" w:type="dxa"/>
            <w:vAlign w:val="bottom"/>
          </w:tcPr>
          <w:p>
            <w:pPr>
              <w:ind w:left="200"/>
              <w:spacing w:after="0" w:line="152" w:lineRule="exact"/>
              <w:rPr>
                <w:sz w:val="20"/>
                <w:szCs w:val="20"/>
                <w:color w:val="auto"/>
              </w:rPr>
            </w:pPr>
            <w:r>
              <w:rPr>
                <w:rFonts w:ascii="Arial" w:cs="Arial" w:eastAsia="Arial" w:hAnsi="Arial"/>
                <w:sz w:val="16"/>
                <w:szCs w:val="16"/>
                <w:color w:val="auto"/>
              </w:rPr>
              <w:t>Class A common stock, $0.00001 par value per share; 600,000 shares</w:t>
            </w: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320"/>
              <w:spacing w:after="0" w:line="162" w:lineRule="exact"/>
              <w:rPr>
                <w:sz w:val="20"/>
                <w:szCs w:val="20"/>
                <w:color w:val="auto"/>
              </w:rPr>
            </w:pPr>
            <w:r>
              <w:rPr>
                <w:rFonts w:ascii="Arial" w:cs="Arial" w:eastAsia="Arial" w:hAnsi="Arial"/>
                <w:sz w:val="16"/>
                <w:szCs w:val="16"/>
                <w:color w:val="auto"/>
              </w:rPr>
              <w:t>authorized as of March 31, 2022 and December 31, 2021; 59,712 and 58,725</w:t>
            </w:r>
          </w:p>
        </w:tc>
        <w:tc>
          <w:tcPr>
            <w:tcW w:w="26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660" w:type="dxa"/>
            <w:vAlign w:val="bottom"/>
          </w:tcPr>
          <w:p>
            <w:pPr>
              <w:ind w:left="320"/>
              <w:spacing w:after="0"/>
              <w:rPr>
                <w:sz w:val="20"/>
                <w:szCs w:val="20"/>
                <w:color w:val="auto"/>
              </w:rPr>
            </w:pPr>
            <w:r>
              <w:rPr>
                <w:rFonts w:ascii="Arial" w:cs="Arial" w:eastAsia="Arial" w:hAnsi="Arial"/>
                <w:sz w:val="16"/>
                <w:szCs w:val="16"/>
                <w:color w:val="auto"/>
              </w:rPr>
              <w:t>shares issued and outstanding as of March 31, 2022 and December 31, 2021, respectively</w:t>
            </w:r>
          </w:p>
        </w:tc>
        <w:tc>
          <w:tcPr>
            <w:tcW w:w="2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66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Class B common stock, $0.00001 par value per share; 600,000</w:t>
            </w: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320"/>
              <w:spacing w:after="0" w:line="162" w:lineRule="exact"/>
              <w:rPr>
                <w:sz w:val="20"/>
                <w:szCs w:val="20"/>
                <w:color w:val="auto"/>
              </w:rPr>
            </w:pPr>
            <w:r>
              <w:rPr>
                <w:rFonts w:ascii="Arial" w:cs="Arial" w:eastAsia="Arial" w:hAnsi="Arial"/>
                <w:sz w:val="16"/>
                <w:szCs w:val="16"/>
                <w:color w:val="auto"/>
              </w:rPr>
              <w:t>shares authorized as of March 31, 2022 and December 31, 2021; 51,795</w:t>
            </w:r>
          </w:p>
        </w:tc>
        <w:tc>
          <w:tcPr>
            <w:tcW w:w="2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320"/>
              <w:spacing w:after="0" w:line="162" w:lineRule="exact"/>
              <w:rPr>
                <w:sz w:val="20"/>
                <w:szCs w:val="20"/>
                <w:color w:val="auto"/>
              </w:rPr>
            </w:pPr>
            <w:r>
              <w:rPr>
                <w:rFonts w:ascii="Arial" w:cs="Arial" w:eastAsia="Arial" w:hAnsi="Arial"/>
                <w:sz w:val="16"/>
                <w:szCs w:val="16"/>
                <w:color w:val="auto"/>
              </w:rPr>
              <w:t>and 51,151 shares issued and outstanding as of March 31, 2022 and</w:t>
            </w:r>
          </w:p>
        </w:tc>
        <w:tc>
          <w:tcPr>
            <w:tcW w:w="260" w:type="dxa"/>
            <w:vAlign w:val="bottom"/>
            <w:shd w:val="clear" w:color="auto" w:fill="CFF0FC"/>
          </w:tcPr>
          <w:p>
            <w:pPr>
              <w:spacing w:after="0"/>
              <w:rPr>
                <w:sz w:val="14"/>
                <w:szCs w:val="14"/>
                <w:color w:val="auto"/>
              </w:rPr>
            </w:pPr>
          </w:p>
        </w:tc>
        <w:tc>
          <w:tcPr>
            <w:tcW w:w="15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4"/>
                <w:szCs w:val="14"/>
                <w:color w:val="auto"/>
              </w:rPr>
            </w:pPr>
          </w:p>
        </w:tc>
        <w:tc>
          <w:tcPr>
            <w:tcW w:w="15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6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December 31, 2021, respectively</w:t>
            </w:r>
          </w:p>
        </w:tc>
        <w:tc>
          <w:tcPr>
            <w:tcW w:w="260" w:type="dxa"/>
            <w:vAlign w:val="bottom"/>
            <w:shd w:val="clear" w:color="auto" w:fill="CFF0FC"/>
          </w:tcPr>
          <w:p>
            <w:pPr>
              <w:spacing w:after="0"/>
              <w:rPr>
                <w:sz w:val="17"/>
                <w:szCs w:val="17"/>
                <w:color w:val="auto"/>
              </w:rPr>
            </w:pPr>
          </w:p>
        </w:tc>
        <w:tc>
          <w:tcPr>
            <w:tcW w:w="1560" w:type="dxa"/>
            <w:vAlign w:val="bottom"/>
            <w:gridSpan w:val="2"/>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504,859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486,354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Accumulated deficit</w:t>
            </w:r>
          </w:p>
        </w:tc>
        <w:tc>
          <w:tcPr>
            <w:tcW w:w="26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(202,011 )</w:t>
            </w:r>
          </w:p>
        </w:tc>
        <w:tc>
          <w:tcPr>
            <w:tcW w:w="22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(179,807 )</w:t>
            </w:r>
          </w:p>
        </w:tc>
        <w:tc>
          <w:tcPr>
            <w:tcW w:w="0" w:type="dxa"/>
            <w:vAlign w:val="bottom"/>
          </w:tcPr>
          <w:p>
            <w:pPr>
              <w:spacing w:after="0"/>
              <w:rPr>
                <w:sz w:val="1"/>
                <w:szCs w:val="1"/>
                <w:color w:val="auto"/>
              </w:rPr>
            </w:pPr>
          </w:p>
        </w:tc>
      </w:tr>
      <w:tr>
        <w:trPr>
          <w:trHeight w:val="183"/>
        </w:trPr>
        <w:tc>
          <w:tcPr>
            <w:tcW w:w="7660" w:type="dxa"/>
            <w:vAlign w:val="bottom"/>
            <w:tcBorders>
              <w:top w:val="single" w:sz="8" w:color="CFF0FC"/>
            </w:tcBorders>
          </w:tcPr>
          <w:p>
            <w:pPr>
              <w:ind w:left="380"/>
              <w:spacing w:after="0" w:line="183" w:lineRule="exact"/>
              <w:rPr>
                <w:sz w:val="20"/>
                <w:szCs w:val="20"/>
                <w:color w:val="auto"/>
              </w:rPr>
            </w:pPr>
            <w:r>
              <w:rPr>
                <w:rFonts w:ascii="Arial" w:cs="Arial" w:eastAsia="Arial" w:hAnsi="Arial"/>
                <w:sz w:val="16"/>
                <w:szCs w:val="16"/>
                <w:color w:val="auto"/>
              </w:rPr>
              <w:t>Total stockholders’ equity</w:t>
            </w:r>
          </w:p>
        </w:tc>
        <w:tc>
          <w:tcPr>
            <w:tcW w:w="26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302,849</w:t>
            </w:r>
          </w:p>
        </w:tc>
        <w:tc>
          <w:tcPr>
            <w:tcW w:w="22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306,548</w:t>
            </w: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shd w:val="clear" w:color="auto" w:fill="CFF0FC"/>
          </w:tcPr>
          <w:p>
            <w:pPr>
              <w:ind w:left="380"/>
              <w:spacing w:after="0" w:line="169" w:lineRule="exact"/>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414,193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400,388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-2973705</wp:posOffset>
            </wp:positionV>
            <wp:extent cx="51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-2956560</wp:posOffset>
            </wp:positionV>
            <wp:extent cx="51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-2973705</wp:posOffset>
            </wp:positionV>
            <wp:extent cx="51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-2956560</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-1976755</wp:posOffset>
            </wp:positionV>
            <wp:extent cx="5143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-1976755</wp:posOffset>
            </wp:positionV>
            <wp:extent cx="514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-279400</wp:posOffset>
            </wp:positionV>
            <wp:extent cx="5143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-279400</wp:posOffset>
            </wp:positionV>
            <wp:extent cx="5143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514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ind w:right="40"/>
        <w:spacing w:after="0" w:line="234" w:lineRule="auto"/>
        <w:rPr>
          <w:sz w:val="20"/>
          <w:szCs w:val="20"/>
          <w:color w:val="auto"/>
        </w:rPr>
      </w:pPr>
      <w:r>
        <w:rPr>
          <w:rFonts w:ascii="Arial" w:cs="Arial" w:eastAsia="Arial" w:hAnsi="Arial"/>
          <w:sz w:val="18"/>
          <w:szCs w:val="18"/>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580" w:type="dxa"/>
            <w:vAlign w:val="bottom"/>
          </w:tcPr>
          <w:p>
            <w:pPr>
              <w:spacing w:after="0"/>
              <w:rPr>
                <w:sz w:val="19"/>
                <w:szCs w:val="19"/>
                <w:color w:val="auto"/>
              </w:rPr>
            </w:pPr>
          </w:p>
        </w:tc>
        <w:tc>
          <w:tcPr>
            <w:tcW w:w="3660" w:type="dxa"/>
            <w:vAlign w:val="bottom"/>
            <w:gridSpan w:val="6"/>
          </w:tcPr>
          <w:p>
            <w:pPr>
              <w:jc w:val="right"/>
              <w:ind w:right="63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758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6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r>
      <w:tr>
        <w:trPr>
          <w:trHeight w:val="196"/>
        </w:trPr>
        <w:tc>
          <w:tcPr>
            <w:tcW w:w="7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7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980" w:type="dxa"/>
            <w:vAlign w:val="bottom"/>
            <w:shd w:val="clear" w:color="auto" w:fill="CFF0FC"/>
          </w:tcPr>
          <w:p>
            <w:pPr>
              <w:jc w:val="right"/>
              <w:ind w:right="790"/>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53,065</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33,110</w:t>
            </w:r>
          </w:p>
        </w:tc>
        <w:tc>
          <w:tcPr>
            <w:tcW w:w="240" w:type="dxa"/>
            <w:vAlign w:val="bottom"/>
            <w:shd w:val="clear" w:color="auto" w:fill="CFF0FC"/>
          </w:tcPr>
          <w:p>
            <w:pPr>
              <w:spacing w:after="0"/>
              <w:rPr>
                <w:sz w:val="17"/>
                <w:szCs w:val="17"/>
                <w:color w:val="auto"/>
              </w:rPr>
            </w:pPr>
          </w:p>
        </w:tc>
      </w:tr>
      <w:tr>
        <w:trPr>
          <w:trHeight w:val="203"/>
        </w:trPr>
        <w:tc>
          <w:tcPr>
            <w:tcW w:w="7580" w:type="dxa"/>
            <w:vAlign w:val="bottom"/>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16,063</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10,255</w:t>
            </w:r>
          </w:p>
        </w:tc>
        <w:tc>
          <w:tcPr>
            <w:tcW w:w="240" w:type="dxa"/>
            <w:vAlign w:val="bottom"/>
          </w:tcPr>
          <w:p>
            <w:pPr>
              <w:spacing w:after="0"/>
              <w:rPr>
                <w:sz w:val="17"/>
                <w:szCs w:val="17"/>
                <w:color w:val="auto"/>
              </w:rPr>
            </w:pPr>
          </w:p>
        </w:tc>
      </w:tr>
      <w:tr>
        <w:trPr>
          <w:trHeight w:val="196"/>
        </w:trPr>
        <w:tc>
          <w:tcPr>
            <w:tcW w:w="7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Gross profit</w:t>
            </w:r>
          </w:p>
        </w:tc>
        <w:tc>
          <w:tcPr>
            <w:tcW w:w="9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37,002</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22,855</w:t>
            </w:r>
          </w:p>
        </w:tc>
        <w:tc>
          <w:tcPr>
            <w:tcW w:w="240" w:type="dxa"/>
            <w:vAlign w:val="bottom"/>
            <w:tcBorders>
              <w:bottom w:val="single" w:sz="8" w:color="CFF0FC"/>
            </w:tcBorders>
            <w:shd w:val="clear" w:color="auto" w:fill="CFF0FC"/>
          </w:tcPr>
          <w:p>
            <w:pPr>
              <w:spacing w:after="0"/>
              <w:rPr>
                <w:sz w:val="17"/>
                <w:szCs w:val="17"/>
                <w:color w:val="auto"/>
              </w:rPr>
            </w:pPr>
          </w:p>
        </w:tc>
      </w:tr>
      <w:tr>
        <w:trPr>
          <w:trHeight w:val="196"/>
        </w:trPr>
        <w:tc>
          <w:tcPr>
            <w:tcW w:w="758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7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16,501</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6,985</w:t>
            </w:r>
          </w:p>
        </w:tc>
        <w:tc>
          <w:tcPr>
            <w:tcW w:w="240" w:type="dxa"/>
            <w:vAlign w:val="bottom"/>
            <w:shd w:val="clear" w:color="auto" w:fill="CFF0FC"/>
          </w:tcPr>
          <w:p>
            <w:pPr>
              <w:spacing w:after="0"/>
              <w:rPr>
                <w:sz w:val="17"/>
                <w:szCs w:val="17"/>
                <w:color w:val="auto"/>
              </w:rPr>
            </w:pP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28,130</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16,770</w:t>
            </w:r>
          </w:p>
        </w:tc>
        <w:tc>
          <w:tcPr>
            <w:tcW w:w="240" w:type="dxa"/>
            <w:vAlign w:val="bottom"/>
          </w:tcPr>
          <w:p>
            <w:pPr>
              <w:spacing w:after="0"/>
              <w:rPr>
                <w:sz w:val="17"/>
                <w:szCs w:val="17"/>
                <w:color w:val="auto"/>
              </w:rPr>
            </w:pPr>
          </w:p>
        </w:tc>
      </w:tr>
      <w:tr>
        <w:trPr>
          <w:trHeight w:val="203"/>
        </w:trPr>
        <w:tc>
          <w:tcPr>
            <w:tcW w:w="75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14,362</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5,249</w:t>
            </w:r>
          </w:p>
        </w:tc>
        <w:tc>
          <w:tcPr>
            <w:tcW w:w="240" w:type="dxa"/>
            <w:vAlign w:val="bottom"/>
            <w:tcBorders>
              <w:bottom w:val="single" w:sz="8" w:color="CFF0FC"/>
            </w:tcBorders>
            <w:shd w:val="clear" w:color="auto" w:fill="CFF0FC"/>
          </w:tcPr>
          <w:p>
            <w:pPr>
              <w:spacing w:after="0"/>
              <w:rPr>
                <w:sz w:val="17"/>
                <w:szCs w:val="17"/>
                <w:color w:val="auto"/>
              </w:rPr>
            </w:pPr>
          </w:p>
        </w:tc>
      </w:tr>
      <w:tr>
        <w:trPr>
          <w:trHeight w:val="196"/>
        </w:trPr>
        <w:tc>
          <w:tcPr>
            <w:tcW w:w="758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58,993</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29,004</w:t>
            </w:r>
          </w:p>
        </w:tc>
        <w:tc>
          <w:tcPr>
            <w:tcW w:w="240" w:type="dxa"/>
            <w:vAlign w:val="bottom"/>
          </w:tcPr>
          <w:p>
            <w:pPr>
              <w:spacing w:after="0"/>
              <w:rPr>
                <w:sz w:val="17"/>
                <w:szCs w:val="17"/>
                <w:color w:val="auto"/>
              </w:rPr>
            </w:pPr>
          </w:p>
        </w:tc>
      </w:tr>
      <w:tr>
        <w:trPr>
          <w:trHeight w:val="196"/>
        </w:trPr>
        <w:tc>
          <w:tcPr>
            <w:tcW w:w="7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Other income (expense), net</w:t>
            </w:r>
          </w:p>
        </w:tc>
        <w:tc>
          <w:tcPr>
            <w:tcW w:w="9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7580" w:type="dxa"/>
            <w:vAlign w:val="bottom"/>
          </w:tcPr>
          <w:p>
            <w:pPr>
              <w:ind w:left="380"/>
              <w:spacing w:after="0" w:line="196" w:lineRule="exact"/>
              <w:rPr>
                <w:sz w:val="20"/>
                <w:szCs w:val="20"/>
                <w:color w:val="auto"/>
              </w:rPr>
            </w:pPr>
            <w:r>
              <w:rPr>
                <w:rFonts w:ascii="Arial" w:cs="Arial" w:eastAsia="Arial" w:hAnsi="Arial"/>
                <w:sz w:val="18"/>
                <w:szCs w:val="18"/>
                <w:color w:val="auto"/>
              </w:rPr>
              <w:t>Loss before provision for income taxes</w:t>
            </w:r>
          </w:p>
        </w:tc>
        <w:tc>
          <w:tcPr>
            <w:tcW w:w="980" w:type="dxa"/>
            <w:vAlign w:val="bottom"/>
          </w:tcPr>
          <w:p>
            <w:pPr>
              <w:spacing w:after="0"/>
              <w:rPr>
                <w:sz w:val="17"/>
                <w:szCs w:val="17"/>
                <w:color w:val="auto"/>
              </w:rPr>
            </w:pPr>
          </w:p>
        </w:tc>
        <w:tc>
          <w:tcPr>
            <w:tcW w:w="8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w w:val="91"/>
              </w:rPr>
              <w:t>(21,905 )</w:t>
            </w:r>
          </w:p>
        </w:tc>
        <w:tc>
          <w:tcPr>
            <w:tcW w:w="360" w:type="dxa"/>
            <w:vAlign w:val="bottom"/>
          </w:tcPr>
          <w:p>
            <w:pPr>
              <w:spacing w:after="0"/>
              <w:rPr>
                <w:sz w:val="17"/>
                <w:szCs w:val="17"/>
                <w:color w:val="auto"/>
              </w:rPr>
            </w:pPr>
          </w:p>
        </w:tc>
        <w:tc>
          <w:tcPr>
            <w:tcW w:w="14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(6,161 )</w:t>
            </w:r>
          </w:p>
        </w:tc>
      </w:tr>
      <w:tr>
        <w:trPr>
          <w:trHeight w:val="203"/>
        </w:trPr>
        <w:tc>
          <w:tcPr>
            <w:tcW w:w="7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315</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278</w:t>
            </w:r>
          </w:p>
        </w:tc>
        <w:tc>
          <w:tcPr>
            <w:tcW w:w="240" w:type="dxa"/>
            <w:vAlign w:val="bottom"/>
            <w:tcBorders>
              <w:bottom w:val="single" w:sz="8" w:color="CFF0FC"/>
            </w:tcBorders>
            <w:shd w:val="clear" w:color="auto" w:fill="CFF0FC"/>
          </w:tcPr>
          <w:p>
            <w:pPr>
              <w:spacing w:after="0"/>
              <w:rPr>
                <w:sz w:val="17"/>
                <w:szCs w:val="17"/>
                <w:color w:val="auto"/>
              </w:rPr>
            </w:pPr>
          </w:p>
        </w:tc>
      </w:tr>
      <w:tr>
        <w:trPr>
          <w:trHeight w:val="196"/>
        </w:trPr>
        <w:tc>
          <w:tcPr>
            <w:tcW w:w="7580" w:type="dxa"/>
            <w:vAlign w:val="bottom"/>
          </w:tcPr>
          <w:p>
            <w:pPr>
              <w:ind w:left="380"/>
              <w:spacing w:after="0" w:line="196" w:lineRule="exact"/>
              <w:rPr>
                <w:sz w:val="20"/>
                <w:szCs w:val="20"/>
                <w:color w:val="auto"/>
              </w:rPr>
            </w:pPr>
            <w:r>
              <w:rPr>
                <w:rFonts w:ascii="Arial" w:cs="Arial" w:eastAsia="Arial" w:hAnsi="Arial"/>
                <w:sz w:val="18"/>
                <w:szCs w:val="18"/>
                <w:color w:val="auto"/>
              </w:rPr>
              <w:t>Net loss</w:t>
            </w:r>
          </w:p>
        </w:tc>
        <w:tc>
          <w:tcPr>
            <w:tcW w:w="980" w:type="dxa"/>
            <w:vAlign w:val="bottom"/>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w w:val="91"/>
              </w:rPr>
              <w:t>(22,220 )</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(6,439 )</w:t>
            </w:r>
          </w:p>
        </w:tc>
      </w:tr>
      <w:tr>
        <w:trPr>
          <w:trHeight w:val="20"/>
        </w:trPr>
        <w:tc>
          <w:tcPr>
            <w:tcW w:w="7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75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attributable to Class A and Class B common stockholders:</w:t>
            </w:r>
          </w:p>
        </w:tc>
        <w:tc>
          <w:tcPr>
            <w:tcW w:w="9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203"/>
        </w:trPr>
        <w:tc>
          <w:tcPr>
            <w:tcW w:w="7580" w:type="dxa"/>
            <w:vAlign w:val="bottom"/>
          </w:tcPr>
          <w:p>
            <w:pPr>
              <w:ind w:left="380"/>
              <w:spacing w:after="0" w:line="202" w:lineRule="exact"/>
              <w:rPr>
                <w:sz w:val="20"/>
                <w:szCs w:val="20"/>
                <w:color w:val="auto"/>
              </w:rPr>
            </w:pPr>
            <w:r>
              <w:rPr>
                <w:rFonts w:ascii="Arial" w:cs="Arial" w:eastAsia="Arial" w:hAnsi="Arial"/>
                <w:sz w:val="18"/>
                <w:szCs w:val="18"/>
                <w:color w:val="auto"/>
              </w:rPr>
              <w:t>Basic and diluted</w:t>
            </w:r>
          </w:p>
        </w:tc>
        <w:tc>
          <w:tcPr>
            <w:tcW w:w="980" w:type="dxa"/>
            <w:vAlign w:val="bottom"/>
          </w:tcPr>
          <w:p>
            <w:pPr>
              <w:jc w:val="right"/>
              <w:ind w:right="79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(0.20 )</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(0.23 )</w:t>
            </w:r>
          </w:p>
        </w:tc>
      </w:tr>
      <w:tr>
        <w:trPr>
          <w:trHeight w:val="20"/>
        </w:trPr>
        <w:tc>
          <w:tcPr>
            <w:tcW w:w="7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43"/>
        </w:trPr>
        <w:tc>
          <w:tcPr>
            <w:tcW w:w="758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Weighted-average shares used in computing net loss per share attributable to Class A</w:t>
            </w:r>
          </w:p>
        </w:tc>
        <w:tc>
          <w:tcPr>
            <w:tcW w:w="9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r>
      <w:tr>
        <w:trPr>
          <w:trHeight w:val="216"/>
        </w:trPr>
        <w:tc>
          <w:tcPr>
            <w:tcW w:w="7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and Class B common stockholders: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03"/>
        </w:trPr>
        <w:tc>
          <w:tcPr>
            <w:tcW w:w="7580" w:type="dxa"/>
            <w:vAlign w:val="bottom"/>
          </w:tcPr>
          <w:p>
            <w:pPr>
              <w:ind w:left="380"/>
              <w:spacing w:after="0" w:line="202" w:lineRule="exact"/>
              <w:rPr>
                <w:sz w:val="20"/>
                <w:szCs w:val="20"/>
                <w:color w:val="auto"/>
              </w:rPr>
            </w:pPr>
            <w:r>
              <w:rPr>
                <w:rFonts w:ascii="Arial" w:cs="Arial" w:eastAsia="Arial" w:hAnsi="Arial"/>
                <w:sz w:val="18"/>
                <w:szCs w:val="18"/>
                <w:color w:val="auto"/>
              </w:rPr>
              <w:t>Basic and diluted</w:t>
            </w: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9"/>
              </w:rPr>
              <w:t>109,553</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27,926</w:t>
            </w:r>
          </w:p>
        </w:tc>
        <w:tc>
          <w:tcPr>
            <w:tcW w:w="240" w:type="dxa"/>
            <w:vAlign w:val="bottom"/>
          </w:tcPr>
          <w:p>
            <w:pPr>
              <w:spacing w:after="0"/>
              <w:rPr>
                <w:sz w:val="17"/>
                <w:szCs w:val="17"/>
                <w:color w:val="auto"/>
              </w:rPr>
            </w:pPr>
          </w:p>
        </w:tc>
      </w:tr>
      <w:tr>
        <w:trPr>
          <w:trHeight w:val="20"/>
        </w:trPr>
        <w:tc>
          <w:tcPr>
            <w:tcW w:w="7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-1899285</wp:posOffset>
            </wp:positionV>
            <wp:extent cx="5143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-1899285</wp:posOffset>
            </wp:positionV>
            <wp:extent cx="5143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-1376680</wp:posOffset>
            </wp:positionV>
            <wp:extent cx="5143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-1376680</wp:posOffset>
            </wp:positionV>
            <wp:extent cx="5143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-1102360</wp:posOffset>
            </wp:positionV>
            <wp:extent cx="5143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-1102360</wp:posOffset>
            </wp:positionV>
            <wp:extent cx="5143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-836295</wp:posOffset>
            </wp:positionV>
            <wp:extent cx="5143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-836295</wp:posOffset>
            </wp:positionV>
            <wp:extent cx="5143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 Equity (Deficit)</w:t>
      </w:r>
    </w:p>
    <w:p>
      <w:pPr>
        <w:ind w:left="5040"/>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2240" w:type="dxa"/>
            <w:vAlign w:val="bottom"/>
            <w:gridSpan w:val="5"/>
          </w:tcPr>
          <w:p>
            <w:pPr>
              <w:ind w:left="480"/>
              <w:spacing w:after="0"/>
              <w:rPr>
                <w:sz w:val="20"/>
                <w:szCs w:val="20"/>
                <w:color w:val="auto"/>
              </w:rPr>
            </w:pPr>
            <w:r>
              <w:rPr>
                <w:rFonts w:ascii="Arial" w:cs="Arial" w:eastAsia="Arial" w:hAnsi="Arial"/>
                <w:sz w:val="13"/>
                <w:szCs w:val="13"/>
                <w:b w:val="1"/>
                <w:bCs w:val="1"/>
                <w:color w:val="auto"/>
              </w:rPr>
              <w:t>Redeemable convertible</w:t>
            </w:r>
          </w:p>
        </w:tc>
        <w:tc>
          <w:tcPr>
            <w:tcW w:w="220" w:type="dxa"/>
            <w:vAlign w:val="bottom"/>
          </w:tcPr>
          <w:p>
            <w:pPr>
              <w:spacing w:after="0"/>
              <w:rPr>
                <w:sz w:val="13"/>
                <w:szCs w:val="13"/>
                <w:color w:val="auto"/>
              </w:rPr>
            </w:pPr>
          </w:p>
        </w:tc>
        <w:tc>
          <w:tcPr>
            <w:tcW w:w="20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91"/>
              </w:rPr>
              <w:t>Class A and Class B common stock</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restart"/>
          </w:tcPr>
          <w:p>
            <w:pPr>
              <w:jc w:val="right"/>
              <w:ind w:right="237"/>
              <w:spacing w:after="0"/>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13"/>
                <w:szCs w:val="13"/>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560" w:type="dxa"/>
            <w:vAlign w:val="bottom"/>
            <w:tcBorders>
              <w:bottom w:val="single" w:sz="8" w:color="auto"/>
            </w:tcBorders>
            <w:gridSpan w:val="4"/>
          </w:tcPr>
          <w:p>
            <w:pPr>
              <w:ind w:left="720"/>
              <w:spacing w:after="0"/>
              <w:rPr>
                <w:sz w:val="20"/>
                <w:szCs w:val="20"/>
                <w:color w:val="auto"/>
              </w:rPr>
            </w:pPr>
            <w:r>
              <w:rPr>
                <w:rFonts w:ascii="Arial" w:cs="Arial" w:eastAsia="Arial" w:hAnsi="Arial"/>
                <w:sz w:val="13"/>
                <w:szCs w:val="13"/>
                <w:b w:val="1"/>
                <w:bCs w:val="1"/>
                <w:color w:val="auto"/>
                <w:w w:val="86"/>
              </w:rPr>
              <w:t>preferred stock</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Borders>
              <w:bottom w:val="single" w:sz="8" w:color="auto"/>
            </w:tcBorders>
            <w:gridSpan w:val="4"/>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paid-in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1000" w:type="dxa"/>
            <w:vAlign w:val="bottom"/>
          </w:tcPr>
          <w:p>
            <w:pPr>
              <w:ind w:left="320"/>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2"/>
                <w:szCs w:val="12"/>
                <w:color w:val="auto"/>
              </w:rPr>
            </w:pPr>
          </w:p>
        </w:tc>
        <w:tc>
          <w:tcPr>
            <w:tcW w:w="1280" w:type="dxa"/>
            <w:vAlign w:val="bottom"/>
            <w:gridSpan w:val="2"/>
          </w:tcPr>
          <w:p>
            <w:pPr>
              <w:jc w:val="right"/>
              <w:ind w:right="560"/>
              <w:spacing w:after="0" w:line="142" w:lineRule="exact"/>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7"/>
              </w:rPr>
              <w:t>capital</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437"/>
              <w:spacing w:after="0" w:line="142" w:lineRule="exact"/>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2"/>
                <w:szCs w:val="12"/>
                <w:color w:val="auto"/>
              </w:rPr>
            </w:pPr>
          </w:p>
        </w:tc>
        <w:tc>
          <w:tcPr>
            <w:tcW w:w="1060" w:type="dxa"/>
            <w:vAlign w:val="bottom"/>
            <w:gridSpan w:val="2"/>
          </w:tcPr>
          <w:p>
            <w:pPr>
              <w:jc w:val="center"/>
              <w:ind w:right="40"/>
              <w:spacing w:after="0" w:line="142" w:lineRule="exact"/>
              <w:rPr>
                <w:sz w:val="20"/>
                <w:szCs w:val="20"/>
                <w:color w:val="auto"/>
              </w:rPr>
            </w:pPr>
            <w:r>
              <w:rPr>
                <w:rFonts w:ascii="Arial" w:cs="Arial" w:eastAsia="Arial" w:hAnsi="Arial"/>
                <w:sz w:val="13"/>
                <w:szCs w:val="13"/>
                <w:b w:val="1"/>
                <w:bCs w:val="1"/>
                <w:color w:val="auto"/>
                <w:w w:val="87"/>
              </w:rPr>
              <w:t>equity (deficit)</w:t>
            </w:r>
          </w:p>
        </w:tc>
        <w:tc>
          <w:tcPr>
            <w:tcW w:w="0" w:type="dxa"/>
            <w:vAlign w:val="bottom"/>
          </w:tcPr>
          <w:p>
            <w:pPr>
              <w:spacing w:after="0"/>
              <w:rPr>
                <w:sz w:val="1"/>
                <w:szCs w:val="1"/>
                <w:color w:val="auto"/>
              </w:rPr>
            </w:pPr>
          </w:p>
        </w:tc>
      </w:tr>
      <w:tr>
        <w:trPr>
          <w:trHeight w:val="142"/>
        </w:trPr>
        <w:tc>
          <w:tcPr>
            <w:tcW w:w="278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Balance at December 31, 2021</w:t>
            </w:r>
          </w:p>
        </w:tc>
        <w:tc>
          <w:tcPr>
            <w:tcW w:w="1000" w:type="dxa"/>
            <w:vAlign w:val="bottom"/>
            <w:tcBorders>
              <w:top w:val="single" w:sz="8" w:color="auto"/>
            </w:tcBorders>
            <w:shd w:val="clear" w:color="auto" w:fill="CFF0FC"/>
          </w:tcPr>
          <w:p>
            <w:pPr>
              <w:ind w:left="860"/>
              <w:spacing w:after="0" w:line="142" w:lineRule="exact"/>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ind w:left="560"/>
              <w:spacing w:after="0" w:line="142" w:lineRule="exact"/>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109,876</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w:t>
            </w:r>
          </w:p>
        </w:tc>
        <w:tc>
          <w:tcPr>
            <w:tcW w:w="340" w:type="dxa"/>
            <w:vAlign w:val="bottom"/>
            <w:gridSpan w:val="2"/>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486,354</w:t>
            </w:r>
          </w:p>
        </w:tc>
        <w:tc>
          <w:tcPr>
            <w:tcW w:w="340" w:type="dxa"/>
            <w:vAlign w:val="bottom"/>
            <w:gridSpan w:val="2"/>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(179,807</w:t>
            </w:r>
          </w:p>
        </w:tc>
        <w:tc>
          <w:tcPr>
            <w:tcW w:w="200" w:type="dxa"/>
            <w:vAlign w:val="bottom"/>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306,548</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000" w:type="dxa"/>
            <w:vAlign w:val="bottom"/>
          </w:tcPr>
          <w:p>
            <w:pPr>
              <w:ind w:left="86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560"/>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13,785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13,785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1000" w:type="dxa"/>
            <w:vAlign w:val="bottom"/>
            <w:shd w:val="clear" w:color="auto" w:fill="CFF0FC"/>
          </w:tcPr>
          <w:p>
            <w:pPr>
              <w:ind w:left="86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ind w:left="560"/>
              <w:spacing w:after="0"/>
              <w:rPr>
                <w:sz w:val="20"/>
                <w:szCs w:val="20"/>
                <w:color w:val="auto"/>
              </w:rPr>
            </w:pPr>
            <w:r>
              <w:rPr>
                <w:rFonts w:ascii="Arial" w:cs="Arial" w:eastAsia="Arial" w:hAnsi="Arial"/>
                <w:sz w:val="13"/>
                <w:szCs w:val="13"/>
                <w:color w:val="auto"/>
                <w:w w:val="76"/>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1,603</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3,977</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3,977</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1000" w:type="dxa"/>
            <w:vAlign w:val="bottom"/>
          </w:tcPr>
          <w:p>
            <w:pPr>
              <w:ind w:left="86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560"/>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743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 stock units</w:t>
            </w:r>
          </w:p>
        </w:tc>
        <w:tc>
          <w:tcPr>
            <w:tcW w:w="1000" w:type="dxa"/>
            <w:vAlign w:val="bottom"/>
            <w:shd w:val="clear" w:color="auto" w:fill="CFF0FC"/>
          </w:tcPr>
          <w:p>
            <w:pPr>
              <w:ind w:left="86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ind w:left="560"/>
              <w:spacing w:after="0"/>
              <w:rPr>
                <w:sz w:val="20"/>
                <w:szCs w:val="20"/>
                <w:color w:val="auto"/>
              </w:rPr>
            </w:pPr>
            <w:r>
              <w:rPr>
                <w:rFonts w:ascii="Arial" w:cs="Arial" w:eastAsia="Arial" w:hAnsi="Arial"/>
                <w:sz w:val="13"/>
                <w:szCs w:val="13"/>
                <w:color w:val="auto"/>
                <w:w w:val="76"/>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2780" w:type="dxa"/>
            <w:vAlign w:val="bottom"/>
          </w:tcPr>
          <w:p>
            <w:pPr>
              <w:ind w:left="20"/>
              <w:spacing w:after="0" w:line="108" w:lineRule="exact"/>
              <w:rPr>
                <w:sz w:val="20"/>
                <w:szCs w:val="20"/>
                <w:color w:val="auto"/>
              </w:rPr>
            </w:pPr>
            <w:r>
              <w:rPr>
                <w:rFonts w:ascii="Arial" w:cs="Arial" w:eastAsia="Arial" w:hAnsi="Arial"/>
                <w:sz w:val="12"/>
                <w:szCs w:val="12"/>
                <w:color w:val="auto"/>
              </w:rPr>
              <w:t>Donation of common stock and repurchase of</w:t>
            </w:r>
          </w:p>
        </w:tc>
        <w:tc>
          <w:tcPr>
            <w:tcW w:w="1000" w:type="dxa"/>
            <w:vAlign w:val="bottom"/>
            <w:vMerge w:val="restart"/>
          </w:tcPr>
          <w:p>
            <w:pPr>
              <w:ind w:left="86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ind w:left="560"/>
              <w:spacing w:after="0"/>
              <w:rPr>
                <w:sz w:val="20"/>
                <w:szCs w:val="20"/>
                <w:color w:val="auto"/>
              </w:rPr>
            </w:pPr>
            <w:r>
              <w:rPr>
                <w:rFonts w:ascii="Arial" w:cs="Arial" w:eastAsia="Arial" w:hAnsi="Arial"/>
                <w:sz w:val="13"/>
                <w:szCs w:val="13"/>
                <w:color w:val="auto"/>
                <w:w w:val="76"/>
              </w:rPr>
              <w:t>—</w:t>
            </w:r>
          </w:p>
        </w:tc>
        <w:tc>
          <w:tcPr>
            <w:tcW w:w="150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(3 )</w:t>
            </w: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9"/>
                <w:szCs w:val="9"/>
                <w:color w:val="auto"/>
              </w:rPr>
            </w:pPr>
          </w:p>
        </w:tc>
        <w:tc>
          <w:tcPr>
            <w:tcW w:w="10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780" w:type="dxa"/>
            <w:vAlign w:val="bottom"/>
          </w:tcPr>
          <w:p>
            <w:pPr>
              <w:ind w:left="20"/>
              <w:spacing w:after="0"/>
              <w:rPr>
                <w:sz w:val="20"/>
                <w:szCs w:val="20"/>
                <w:color w:val="auto"/>
              </w:rPr>
            </w:pPr>
            <w:r>
              <w:rPr>
                <w:rFonts w:ascii="Arial" w:cs="Arial" w:eastAsia="Arial" w:hAnsi="Arial"/>
                <w:sz w:val="13"/>
                <w:szCs w:val="13"/>
                <w:color w:val="auto"/>
              </w:rPr>
              <w:t>unvested stock options</w:t>
            </w: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Cumulative impact of Topic 842 adoption</w:t>
            </w:r>
          </w:p>
        </w:tc>
        <w:tc>
          <w:tcPr>
            <w:tcW w:w="1000" w:type="dxa"/>
            <w:vAlign w:val="bottom"/>
            <w:shd w:val="clear" w:color="auto" w:fill="CFF0FC"/>
          </w:tcPr>
          <w:p>
            <w:pPr>
              <w:ind w:left="86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ind w:left="560"/>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00" w:type="dxa"/>
            <w:vAlign w:val="bottom"/>
          </w:tcPr>
          <w:p>
            <w:pPr>
              <w:ind w:left="86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560"/>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77"/>
              <w:spacing w:after="0"/>
              <w:rPr>
                <w:sz w:val="20"/>
                <w:szCs w:val="20"/>
                <w:color w:val="auto"/>
              </w:rPr>
            </w:pPr>
            <w:r>
              <w:rPr>
                <w:rFonts w:ascii="Arial" w:cs="Arial" w:eastAsia="Arial" w:hAnsi="Arial"/>
                <w:sz w:val="13"/>
                <w:szCs w:val="13"/>
                <w:color w:val="auto"/>
              </w:rPr>
              <w:t>(22,220 )</w:t>
            </w:r>
          </w:p>
        </w:tc>
        <w:tc>
          <w:tcPr>
            <w:tcW w:w="14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(22,220 )</w:t>
            </w:r>
          </w:p>
        </w:tc>
        <w:tc>
          <w:tcPr>
            <w:tcW w:w="0" w:type="dxa"/>
            <w:vAlign w:val="bottom"/>
          </w:tcPr>
          <w:p>
            <w:pPr>
              <w:spacing w:after="0"/>
              <w:rPr>
                <w:sz w:val="1"/>
                <w:szCs w:val="1"/>
                <w:color w:val="auto"/>
              </w:rPr>
            </w:pPr>
          </w:p>
        </w:tc>
      </w:tr>
      <w:tr>
        <w:trPr>
          <w:trHeight w:val="195"/>
        </w:trPr>
        <w:tc>
          <w:tcPr>
            <w:tcW w:w="2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at March 31, 2022</w:t>
            </w:r>
          </w:p>
        </w:tc>
        <w:tc>
          <w:tcPr>
            <w:tcW w:w="100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3"/>
                <w:szCs w:val="13"/>
                <w:color w:val="auto"/>
                <w:w w:val="91"/>
              </w:rPr>
              <w:t>—</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3"/>
                <w:szCs w:val="13"/>
                <w:color w:val="auto"/>
                <w:w w:val="76"/>
              </w:rPr>
              <w:t>—</w:t>
            </w:r>
          </w:p>
        </w:tc>
        <w:tc>
          <w:tcPr>
            <w:tcW w:w="2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111,507</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504,859</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(202,011</w:t>
            </w:r>
          </w:p>
        </w:tc>
        <w:tc>
          <w:tcPr>
            <w:tcW w:w="200" w:type="dxa"/>
            <w:vAlign w:val="bottom"/>
            <w:tcBorders>
              <w:bottom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w w:val="91"/>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302,849</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-25400</wp:posOffset>
            </wp:positionV>
            <wp:extent cx="342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-8255</wp:posOffset>
            </wp:positionV>
            <wp:extent cx="342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-25400</wp:posOffset>
            </wp:positionV>
            <wp:extent cx="342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-8255</wp:posOffset>
            </wp:positionV>
            <wp:extent cx="342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-25400</wp:posOffset>
            </wp:positionV>
            <wp:extent cx="431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-8255</wp:posOffset>
            </wp:positionV>
            <wp:extent cx="431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-25400</wp:posOffset>
            </wp:positionV>
            <wp:extent cx="254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254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-25400</wp:posOffset>
            </wp:positionV>
            <wp:extent cx="254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254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342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342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3"/>
                <w:szCs w:val="13"/>
                <w:color w:val="auto"/>
              </w:rPr>
            </w:pPr>
          </w:p>
        </w:tc>
        <w:tc>
          <w:tcPr>
            <w:tcW w:w="2260" w:type="dxa"/>
            <w:vAlign w:val="bottom"/>
            <w:gridSpan w:val="4"/>
          </w:tcPr>
          <w:p>
            <w:pPr>
              <w:jc w:val="right"/>
              <w:ind w:right="417"/>
              <w:spacing w:after="0"/>
              <w:rPr>
                <w:sz w:val="20"/>
                <w:szCs w:val="20"/>
                <w:color w:val="auto"/>
              </w:rPr>
            </w:pPr>
            <w:r>
              <w:rPr>
                <w:rFonts w:ascii="Arial" w:cs="Arial" w:eastAsia="Arial" w:hAnsi="Arial"/>
                <w:sz w:val="13"/>
                <w:szCs w:val="13"/>
                <w:b w:val="1"/>
                <w:bCs w:val="1"/>
                <w:color w:val="auto"/>
              </w:rPr>
              <w:t>Redeemable convertible</w:t>
            </w:r>
          </w:p>
        </w:tc>
        <w:tc>
          <w:tcPr>
            <w:tcW w:w="220" w:type="dxa"/>
            <w:vAlign w:val="bottom"/>
          </w:tcPr>
          <w:p>
            <w:pPr>
              <w:spacing w:after="0"/>
              <w:rPr>
                <w:sz w:val="13"/>
                <w:szCs w:val="13"/>
                <w:color w:val="auto"/>
              </w:rPr>
            </w:pPr>
          </w:p>
        </w:tc>
        <w:tc>
          <w:tcPr>
            <w:tcW w:w="20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90"/>
              </w:rPr>
              <w:t>Class A and Class B common stock</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jc w:val="right"/>
              <w:ind w:right="217"/>
              <w:spacing w:after="0"/>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3"/>
                <w:szCs w:val="13"/>
                <w:color w:val="auto"/>
              </w:rPr>
            </w:pPr>
          </w:p>
        </w:tc>
        <w:tc>
          <w:tcPr>
            <w:tcW w:w="104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preferred stock</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tcBorders>
              <w:bottom w:val="single" w:sz="8" w:color="auto"/>
            </w:tcBorders>
            <w:gridSpan w:val="3"/>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paid-in</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0" w:type="dxa"/>
            <w:vAlign w:val="bottom"/>
          </w:tcPr>
          <w:p>
            <w:pPr>
              <w:jc w:val="right"/>
              <w:ind w:right="257"/>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ind w:right="157"/>
              <w:spacing w:after="0" w:line="142" w:lineRule="exact"/>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2"/>
                <w:szCs w:val="12"/>
                <w:color w:val="auto"/>
              </w:rPr>
            </w:pPr>
          </w:p>
        </w:tc>
        <w:tc>
          <w:tcPr>
            <w:tcW w:w="1080" w:type="dxa"/>
            <w:vAlign w:val="bottom"/>
          </w:tcPr>
          <w:p>
            <w:pPr>
              <w:jc w:val="right"/>
              <w:ind w:right="297"/>
              <w:spacing w:after="0" w:line="142" w:lineRule="exact"/>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417"/>
              <w:spacing w:after="0" w:line="142" w:lineRule="exact"/>
              <w:rPr>
                <w:sz w:val="20"/>
                <w:szCs w:val="20"/>
                <w:color w:val="auto"/>
              </w:rPr>
            </w:pPr>
            <w:r>
              <w:rPr>
                <w:rFonts w:ascii="Arial" w:cs="Arial" w:eastAsia="Arial" w:hAnsi="Arial"/>
                <w:sz w:val="13"/>
                <w:szCs w:val="13"/>
                <w:b w:val="1"/>
                <w:bCs w:val="1"/>
                <w:color w:val="auto"/>
              </w:rPr>
              <w:t>deficit</w:t>
            </w:r>
          </w:p>
        </w:tc>
        <w:tc>
          <w:tcPr>
            <w:tcW w:w="180" w:type="dxa"/>
            <w:vAlign w:val="bottom"/>
          </w:tcPr>
          <w:p>
            <w:pPr>
              <w:spacing w:after="0"/>
              <w:rPr>
                <w:sz w:val="12"/>
                <w:szCs w:val="12"/>
                <w:color w:val="auto"/>
              </w:rPr>
            </w:pPr>
          </w:p>
        </w:tc>
        <w:tc>
          <w:tcPr>
            <w:tcW w:w="1040" w:type="dxa"/>
            <w:vAlign w:val="bottom"/>
            <w:gridSpan w:val="2"/>
          </w:tcPr>
          <w:p>
            <w:pPr>
              <w:jc w:val="center"/>
              <w:ind w:right="17"/>
              <w:spacing w:after="0" w:line="142" w:lineRule="exact"/>
              <w:rPr>
                <w:sz w:val="20"/>
                <w:szCs w:val="20"/>
                <w:color w:val="auto"/>
              </w:rPr>
            </w:pPr>
            <w:r>
              <w:rPr>
                <w:rFonts w:ascii="Arial" w:cs="Arial" w:eastAsia="Arial" w:hAnsi="Arial"/>
                <w:sz w:val="13"/>
                <w:szCs w:val="13"/>
                <w:b w:val="1"/>
                <w:bCs w:val="1"/>
                <w:color w:val="auto"/>
                <w:w w:val="89"/>
              </w:rPr>
              <w:t>equity (deficit)</w:t>
            </w:r>
          </w:p>
        </w:tc>
        <w:tc>
          <w:tcPr>
            <w:tcW w:w="0" w:type="dxa"/>
            <w:vAlign w:val="bottom"/>
          </w:tcPr>
          <w:p>
            <w:pPr>
              <w:spacing w:after="0"/>
              <w:rPr>
                <w:sz w:val="1"/>
                <w:szCs w:val="1"/>
                <w:color w:val="auto"/>
              </w:rPr>
            </w:pPr>
          </w:p>
        </w:tc>
      </w:tr>
      <w:tr>
        <w:trPr>
          <w:trHeight w:val="142"/>
        </w:trPr>
        <w:tc>
          <w:tcPr>
            <w:tcW w:w="2820" w:type="dxa"/>
            <w:vAlign w:val="bottom"/>
          </w:tcPr>
          <w:p>
            <w:pPr>
              <w:ind w:left="20"/>
              <w:spacing w:after="0" w:line="141" w:lineRule="exact"/>
              <w:rPr>
                <w:sz w:val="20"/>
                <w:szCs w:val="20"/>
                <w:color w:val="auto"/>
              </w:rPr>
            </w:pPr>
            <w:r>
              <w:rPr>
                <w:rFonts w:ascii="Arial" w:cs="Arial" w:eastAsia="Arial" w:hAnsi="Arial"/>
                <w:sz w:val="13"/>
                <w:szCs w:val="13"/>
                <w:color w:val="auto"/>
              </w:rPr>
              <w:t>Balance at December 31, 2020</w:t>
            </w: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61,717</w:t>
            </w:r>
          </w:p>
        </w:tc>
        <w:tc>
          <w:tcPr>
            <w:tcW w:w="220" w:type="dxa"/>
            <w:vAlign w:val="bottom"/>
          </w:tcPr>
          <w:p>
            <w:pPr>
              <w:spacing w:after="0"/>
              <w:rPr>
                <w:sz w:val="12"/>
                <w:szCs w:val="12"/>
                <w:color w:val="auto"/>
              </w:rPr>
            </w:pPr>
          </w:p>
        </w:tc>
        <w:tc>
          <w:tcPr>
            <w:tcW w:w="36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187,811</w:t>
            </w:r>
          </w:p>
        </w:tc>
        <w:tc>
          <w:tcPr>
            <w:tcW w:w="220" w:type="dxa"/>
            <w:vAlign w:val="bottom"/>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27,924</w:t>
            </w:r>
          </w:p>
        </w:tc>
        <w:tc>
          <w:tcPr>
            <w:tcW w:w="200" w:type="dxa"/>
            <w:vAlign w:val="bottom"/>
          </w:tcPr>
          <w:p>
            <w:pPr>
              <w:spacing w:after="0"/>
              <w:rPr>
                <w:sz w:val="12"/>
                <w:szCs w:val="12"/>
                <w:color w:val="auto"/>
              </w:rPr>
            </w:pPr>
          </w:p>
        </w:tc>
        <w:tc>
          <w:tcPr>
            <w:tcW w:w="780" w:type="dxa"/>
            <w:vAlign w:val="bottom"/>
            <w:tcBorders>
              <w:top w:val="single" w:sz="8" w:color="auto"/>
            </w:tcBorders>
          </w:tcPr>
          <w:p>
            <w:pPr>
              <w:jc w:val="right"/>
              <w:ind w:right="59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8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37,704</w:t>
            </w:r>
          </w:p>
        </w:tc>
        <w:tc>
          <w:tcPr>
            <w:tcW w:w="180" w:type="dxa"/>
            <w:vAlign w:val="bottom"/>
          </w:tcPr>
          <w:p>
            <w:pPr>
              <w:spacing w:after="0"/>
              <w:rPr>
                <w:sz w:val="12"/>
                <w:szCs w:val="12"/>
                <w:color w:val="auto"/>
              </w:rPr>
            </w:pPr>
          </w:p>
        </w:tc>
        <w:tc>
          <w:tcPr>
            <w:tcW w:w="1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(104,824</w:t>
            </w:r>
          </w:p>
        </w:tc>
        <w:tc>
          <w:tcPr>
            <w:tcW w:w="200" w:type="dxa"/>
            <w:vAlign w:val="bottom"/>
          </w:tcPr>
          <w:p>
            <w:pPr>
              <w:jc w:val="right"/>
              <w:ind w:right="77"/>
              <w:spacing w:after="0" w:line="141" w:lineRule="exact"/>
              <w:rPr>
                <w:sz w:val="20"/>
                <w:szCs w:val="20"/>
                <w:color w:val="auto"/>
              </w:rPr>
            </w:pPr>
            <w:r>
              <w:rPr>
                <w:rFonts w:ascii="Arial" w:cs="Arial" w:eastAsia="Arial" w:hAnsi="Arial"/>
                <w:sz w:val="13"/>
                <w:szCs w:val="13"/>
                <w:color w:val="auto"/>
                <w:w w:val="91"/>
              </w:rPr>
              <w:t>)</w:t>
            </w:r>
          </w:p>
        </w:tc>
        <w:tc>
          <w:tcPr>
            <w:tcW w:w="1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(67,120</w:t>
            </w:r>
          </w:p>
        </w:tc>
        <w:tc>
          <w:tcPr>
            <w:tcW w:w="60" w:type="dxa"/>
            <w:vAlign w:val="bottom"/>
          </w:tcPr>
          <w:p>
            <w:pPr>
              <w:jc w:val="right"/>
              <w:spacing w:after="0" w:line="141"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48"/>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2,628</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2,628</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1,226</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1,488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77"/>
              <w:spacing w:after="0"/>
              <w:rPr>
                <w:sz w:val="20"/>
                <w:szCs w:val="20"/>
                <w:color w:val="auto"/>
              </w:rPr>
            </w:pPr>
            <w:r>
              <w:rPr>
                <w:rFonts w:ascii="Arial" w:cs="Arial" w:eastAsia="Arial" w:hAnsi="Arial"/>
                <w:sz w:val="13"/>
                <w:szCs w:val="13"/>
                <w:color w:val="auto"/>
              </w:rPr>
              <w:t>(6,439 )</w:t>
            </w:r>
          </w:p>
        </w:tc>
        <w:tc>
          <w:tcPr>
            <w:tcW w:w="180" w:type="dxa"/>
            <w:vAlign w:val="bottom"/>
          </w:tcPr>
          <w:p>
            <w:pPr>
              <w:spacing w:after="0"/>
              <w:rPr>
                <w:sz w:val="12"/>
                <w:szCs w:val="12"/>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(6,439 )</w:t>
            </w:r>
          </w:p>
        </w:tc>
        <w:tc>
          <w:tcPr>
            <w:tcW w:w="0" w:type="dxa"/>
            <w:vAlign w:val="bottom"/>
          </w:tcPr>
          <w:p>
            <w:pPr>
              <w:spacing w:after="0"/>
              <w:rPr>
                <w:sz w:val="1"/>
                <w:szCs w:val="1"/>
                <w:color w:val="auto"/>
              </w:rPr>
            </w:pPr>
          </w:p>
        </w:tc>
      </w:tr>
      <w:tr>
        <w:trPr>
          <w:trHeight w:val="195"/>
        </w:trPr>
        <w:tc>
          <w:tcPr>
            <w:tcW w:w="2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at March 31, 2021</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61,717</w:t>
            </w:r>
          </w:p>
        </w:tc>
        <w:tc>
          <w:tcPr>
            <w:tcW w:w="2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187,811</w:t>
            </w:r>
          </w:p>
        </w:tc>
        <w:tc>
          <w:tcPr>
            <w:tcW w:w="2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29,150</w:t>
            </w:r>
          </w:p>
        </w:tc>
        <w:tc>
          <w:tcPr>
            <w:tcW w:w="2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ind w:right="597"/>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41,999</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(111,263</w:t>
            </w:r>
          </w:p>
        </w:tc>
        <w:tc>
          <w:tcPr>
            <w:tcW w:w="200" w:type="dxa"/>
            <w:vAlign w:val="bottom"/>
            <w:tcBorders>
              <w:bottom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w w:val="91"/>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(69,264</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-25400</wp:posOffset>
            </wp:positionV>
            <wp:extent cx="342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-8255</wp:posOffset>
            </wp:positionV>
            <wp:extent cx="342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-25400</wp:posOffset>
            </wp:positionV>
            <wp:extent cx="342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-8255</wp:posOffset>
            </wp:positionV>
            <wp:extent cx="342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-25400</wp:posOffset>
            </wp:positionV>
            <wp:extent cx="342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-8255</wp:posOffset>
            </wp:positionV>
            <wp:extent cx="342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-25400</wp:posOffset>
            </wp:positionV>
            <wp:extent cx="254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254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-25400</wp:posOffset>
            </wp:positionV>
            <wp:extent cx="254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254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342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342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ind w:left="5040"/>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tcPr>
          <w:p>
            <w:pPr>
              <w:spacing w:after="0"/>
              <w:rPr>
                <w:sz w:val="17"/>
                <w:szCs w:val="17"/>
                <w:color w:val="auto"/>
              </w:rPr>
            </w:pPr>
          </w:p>
        </w:tc>
        <w:tc>
          <w:tcPr>
            <w:tcW w:w="4000" w:type="dxa"/>
            <w:vAlign w:val="bottom"/>
            <w:gridSpan w:val="6"/>
          </w:tcPr>
          <w:p>
            <w:pPr>
              <w:jc w:val="right"/>
              <w:ind w:right="801"/>
              <w:spacing w:after="0"/>
              <w:rPr>
                <w:sz w:val="20"/>
                <w:szCs w:val="20"/>
                <w:color w:val="auto"/>
              </w:rPr>
            </w:pPr>
            <w:r>
              <w:rPr>
                <w:rFonts w:ascii="Arial" w:cs="Arial" w:eastAsia="Arial" w:hAnsi="Arial"/>
                <w:sz w:val="18"/>
                <w:szCs w:val="18"/>
                <w:b w:val="1"/>
                <w:bCs w:val="1"/>
                <w:color w:val="auto"/>
              </w:rPr>
              <w:t>Three Months Ended March 31,</w:t>
            </w:r>
          </w:p>
        </w:tc>
      </w:tr>
      <w:tr>
        <w:trPr>
          <w:trHeight w:val="221"/>
        </w:trPr>
        <w:tc>
          <w:tcPr>
            <w:tcW w:w="724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r>
      <w:tr>
        <w:trPr>
          <w:trHeight w:val="196"/>
        </w:trPr>
        <w:tc>
          <w:tcPr>
            <w:tcW w:w="7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flows from operating activities:</w:t>
            </w:r>
          </w:p>
        </w:tc>
        <w:tc>
          <w:tcPr>
            <w:tcW w:w="13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724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1340" w:type="dxa"/>
            <w:vAlign w:val="bottom"/>
          </w:tcPr>
          <w:p>
            <w:pPr>
              <w:jc w:val="right"/>
              <w:ind w:right="11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(22,220 )</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(6,439 )</w:t>
            </w:r>
          </w:p>
        </w:tc>
      </w:tr>
      <w:tr>
        <w:trPr>
          <w:trHeight w:val="203"/>
        </w:trPr>
        <w:tc>
          <w:tcPr>
            <w:tcW w:w="7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3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2"/>
        </w:trPr>
        <w:tc>
          <w:tcPr>
            <w:tcW w:w="7240" w:type="dxa"/>
            <w:vAlign w:val="bottom"/>
          </w:tcPr>
          <w:p>
            <w:pPr>
              <w:ind w:left="380"/>
              <w:spacing w:after="0" w:line="202" w:lineRule="exact"/>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901</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541</w:t>
            </w:r>
          </w:p>
        </w:tc>
        <w:tc>
          <w:tcPr>
            <w:tcW w:w="220" w:type="dxa"/>
            <w:vAlign w:val="bottom"/>
          </w:tcPr>
          <w:p>
            <w:pPr>
              <w:spacing w:after="0"/>
              <w:rPr>
                <w:sz w:val="17"/>
                <w:szCs w:val="17"/>
                <w:color w:val="auto"/>
              </w:rPr>
            </w:pPr>
          </w:p>
        </w:tc>
      </w:tr>
      <w:tr>
        <w:trPr>
          <w:trHeight w:val="203"/>
        </w:trPr>
        <w:tc>
          <w:tcPr>
            <w:tcW w:w="72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Stock-based compensation expense</w:t>
            </w:r>
          </w:p>
        </w:tc>
        <w:tc>
          <w:tcPr>
            <w:tcW w:w="13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13,503</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2,577</w:t>
            </w:r>
          </w:p>
        </w:tc>
        <w:tc>
          <w:tcPr>
            <w:tcW w:w="220" w:type="dxa"/>
            <w:vAlign w:val="bottom"/>
            <w:shd w:val="clear" w:color="auto" w:fill="CFF0FC"/>
          </w:tcPr>
          <w:p>
            <w:pPr>
              <w:spacing w:after="0"/>
              <w:rPr>
                <w:sz w:val="17"/>
                <w:szCs w:val="17"/>
                <w:color w:val="auto"/>
              </w:rPr>
            </w:pPr>
          </w:p>
        </w:tc>
      </w:tr>
      <w:tr>
        <w:trPr>
          <w:trHeight w:val="203"/>
        </w:trPr>
        <w:tc>
          <w:tcPr>
            <w:tcW w:w="7240" w:type="dxa"/>
            <w:vAlign w:val="bottom"/>
          </w:tcPr>
          <w:p>
            <w:pPr>
              <w:ind w:left="380"/>
              <w:spacing w:after="0" w:line="202" w:lineRule="exact"/>
              <w:rPr>
                <w:sz w:val="20"/>
                <w:szCs w:val="20"/>
                <w:color w:val="auto"/>
              </w:rPr>
            </w:pPr>
            <w:r>
              <w:rPr>
                <w:rFonts w:ascii="Arial" w:cs="Arial" w:eastAsia="Arial" w:hAnsi="Arial"/>
                <w:sz w:val="18"/>
                <w:szCs w:val="18"/>
                <w:color w:val="auto"/>
              </w:rPr>
              <w:t>Other</w:t>
            </w:r>
          </w:p>
        </w:tc>
        <w:tc>
          <w:tcPr>
            <w:tcW w:w="1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220" w:type="dxa"/>
            <w:vAlign w:val="bottom"/>
          </w:tcPr>
          <w:p>
            <w:pPr>
              <w:spacing w:after="0"/>
              <w:rPr>
                <w:sz w:val="17"/>
                <w:szCs w:val="17"/>
                <w:color w:val="auto"/>
              </w:rPr>
            </w:pPr>
          </w:p>
        </w:tc>
      </w:tr>
      <w:tr>
        <w:trPr>
          <w:trHeight w:val="203"/>
        </w:trPr>
        <w:tc>
          <w:tcPr>
            <w:tcW w:w="72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Non-cash operating lease costs</w:t>
            </w:r>
          </w:p>
        </w:tc>
        <w:tc>
          <w:tcPr>
            <w:tcW w:w="13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809</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r>
      <w:tr>
        <w:trPr>
          <w:trHeight w:val="203"/>
        </w:trPr>
        <w:tc>
          <w:tcPr>
            <w:tcW w:w="7240" w:type="dxa"/>
            <w:vAlign w:val="bottom"/>
          </w:tcPr>
          <w:p>
            <w:pPr>
              <w:ind w:left="3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724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Accounts receivable</w:t>
            </w:r>
          </w:p>
        </w:tc>
        <w:tc>
          <w:tcPr>
            <w:tcW w:w="13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(2,905 )</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2,126</w:t>
            </w:r>
          </w:p>
        </w:tc>
        <w:tc>
          <w:tcPr>
            <w:tcW w:w="220" w:type="dxa"/>
            <w:vAlign w:val="bottom"/>
            <w:shd w:val="clear" w:color="auto" w:fill="CFF0FC"/>
          </w:tcPr>
          <w:p>
            <w:pPr>
              <w:spacing w:after="0"/>
              <w:rPr>
                <w:sz w:val="17"/>
                <w:szCs w:val="17"/>
                <w:color w:val="auto"/>
              </w:rPr>
            </w:pPr>
          </w:p>
        </w:tc>
      </w:tr>
      <w:tr>
        <w:trPr>
          <w:trHeight w:val="203"/>
        </w:trPr>
        <w:tc>
          <w:tcPr>
            <w:tcW w:w="7240" w:type="dxa"/>
            <w:vAlign w:val="bottom"/>
          </w:tcPr>
          <w:p>
            <w:pPr>
              <w:ind w:left="5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340" w:type="dxa"/>
            <w:vAlign w:val="bottom"/>
          </w:tcPr>
          <w:p>
            <w:pPr>
              <w:spacing w:after="0"/>
              <w:rPr>
                <w:sz w:val="17"/>
                <w:szCs w:val="17"/>
                <w:color w:val="auto"/>
              </w:rPr>
            </w:pPr>
          </w:p>
        </w:tc>
        <w:tc>
          <w:tcPr>
            <w:tcW w:w="9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(2,460 )</w:t>
            </w:r>
          </w:p>
        </w:tc>
        <w:tc>
          <w:tcPr>
            <w:tcW w:w="340" w:type="dxa"/>
            <w:vAlign w:val="bottom"/>
          </w:tcPr>
          <w:p>
            <w:pPr>
              <w:spacing w:after="0"/>
              <w:rPr>
                <w:sz w:val="17"/>
                <w:szCs w:val="17"/>
                <w:color w:val="auto"/>
              </w:rPr>
            </w:pPr>
          </w:p>
        </w:tc>
        <w:tc>
          <w:tcPr>
            <w:tcW w:w="13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(2,251 )</w:t>
            </w:r>
          </w:p>
        </w:tc>
      </w:tr>
      <w:tr>
        <w:trPr>
          <w:trHeight w:val="203"/>
        </w:trPr>
        <w:tc>
          <w:tcPr>
            <w:tcW w:w="724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Deferred commissions</w:t>
            </w:r>
          </w:p>
        </w:tc>
        <w:tc>
          <w:tcPr>
            <w:tcW w:w="13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(2,391 )</w:t>
            </w: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(1,269 )</w:t>
            </w:r>
          </w:p>
        </w:tc>
      </w:tr>
      <w:tr>
        <w:trPr>
          <w:trHeight w:val="203"/>
        </w:trPr>
        <w:tc>
          <w:tcPr>
            <w:tcW w:w="7240" w:type="dxa"/>
            <w:vAlign w:val="bottom"/>
          </w:tcPr>
          <w:p>
            <w:pPr>
              <w:ind w:left="560"/>
              <w:spacing w:after="0" w:line="202" w:lineRule="exact"/>
              <w:rPr>
                <w:sz w:val="20"/>
                <w:szCs w:val="20"/>
                <w:color w:val="auto"/>
              </w:rPr>
            </w:pPr>
            <w:r>
              <w:rPr>
                <w:rFonts w:ascii="Arial" w:cs="Arial" w:eastAsia="Arial" w:hAnsi="Arial"/>
                <w:sz w:val="18"/>
                <w:szCs w:val="18"/>
                <w:color w:val="auto"/>
              </w:rPr>
              <w:t>Other noncurrent assets</w:t>
            </w:r>
          </w:p>
        </w:tc>
        <w:tc>
          <w:tcPr>
            <w:tcW w:w="1340" w:type="dxa"/>
            <w:vAlign w:val="bottom"/>
          </w:tcPr>
          <w:p>
            <w:pPr>
              <w:spacing w:after="0"/>
              <w:rPr>
                <w:sz w:val="17"/>
                <w:szCs w:val="17"/>
                <w:color w:val="auto"/>
              </w:rPr>
            </w:pPr>
          </w:p>
        </w:tc>
        <w:tc>
          <w:tcPr>
            <w:tcW w:w="9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(836 )</w:t>
            </w:r>
          </w:p>
        </w:tc>
        <w:tc>
          <w:tcPr>
            <w:tcW w:w="340" w:type="dxa"/>
            <w:vAlign w:val="bottom"/>
          </w:tcPr>
          <w:p>
            <w:pPr>
              <w:spacing w:after="0"/>
              <w:rPr>
                <w:sz w:val="17"/>
                <w:szCs w:val="17"/>
                <w:color w:val="auto"/>
              </w:rPr>
            </w:pPr>
          </w:p>
        </w:tc>
        <w:tc>
          <w:tcPr>
            <w:tcW w:w="13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(1,316 )</w:t>
            </w:r>
          </w:p>
        </w:tc>
      </w:tr>
      <w:tr>
        <w:trPr>
          <w:trHeight w:val="203"/>
        </w:trPr>
        <w:tc>
          <w:tcPr>
            <w:tcW w:w="724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Accounts payable</w:t>
            </w:r>
          </w:p>
        </w:tc>
        <w:tc>
          <w:tcPr>
            <w:tcW w:w="13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(1,328 )</w:t>
            </w: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(1,555 )</w:t>
            </w:r>
          </w:p>
        </w:tc>
      </w:tr>
      <w:tr>
        <w:trPr>
          <w:trHeight w:val="203"/>
        </w:trPr>
        <w:tc>
          <w:tcPr>
            <w:tcW w:w="7240" w:type="dxa"/>
            <w:vAlign w:val="bottom"/>
          </w:tcPr>
          <w:p>
            <w:pPr>
              <w:ind w:left="560"/>
              <w:spacing w:after="0" w:line="202" w:lineRule="exact"/>
              <w:rPr>
                <w:sz w:val="20"/>
                <w:szCs w:val="20"/>
                <w:color w:val="auto"/>
              </w:rPr>
            </w:pPr>
            <w:r>
              <w:rPr>
                <w:rFonts w:ascii="Arial" w:cs="Arial" w:eastAsia="Arial" w:hAnsi="Arial"/>
                <w:sz w:val="18"/>
                <w:szCs w:val="18"/>
                <w:color w:val="auto"/>
              </w:rPr>
              <w:t>Accrued expenses</w:t>
            </w:r>
          </w:p>
        </w:tc>
        <w:tc>
          <w:tcPr>
            <w:tcW w:w="1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2,946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(737 )</w:t>
            </w:r>
          </w:p>
        </w:tc>
      </w:tr>
      <w:tr>
        <w:trPr>
          <w:trHeight w:val="203"/>
        </w:trPr>
        <w:tc>
          <w:tcPr>
            <w:tcW w:w="724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Deferred revenue</w:t>
            </w:r>
          </w:p>
        </w:tc>
        <w:tc>
          <w:tcPr>
            <w:tcW w:w="13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5,843</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7,630</w:t>
            </w:r>
          </w:p>
        </w:tc>
        <w:tc>
          <w:tcPr>
            <w:tcW w:w="220" w:type="dxa"/>
            <w:vAlign w:val="bottom"/>
            <w:shd w:val="clear" w:color="auto" w:fill="CFF0FC"/>
          </w:tcPr>
          <w:p>
            <w:pPr>
              <w:spacing w:after="0"/>
              <w:rPr>
                <w:sz w:val="17"/>
                <w:szCs w:val="17"/>
                <w:color w:val="auto"/>
              </w:rPr>
            </w:pPr>
          </w:p>
        </w:tc>
      </w:tr>
      <w:tr>
        <w:trPr>
          <w:trHeight w:val="203"/>
        </w:trPr>
        <w:tc>
          <w:tcPr>
            <w:tcW w:w="7240" w:type="dxa"/>
            <w:vAlign w:val="bottom"/>
          </w:tcPr>
          <w:p>
            <w:pPr>
              <w:ind w:left="560"/>
              <w:spacing w:after="0" w:line="202" w:lineRule="exact"/>
              <w:rPr>
                <w:sz w:val="20"/>
                <w:szCs w:val="20"/>
                <w:color w:val="auto"/>
              </w:rPr>
            </w:pPr>
            <w:r>
              <w:rPr>
                <w:rFonts w:ascii="Arial" w:cs="Arial" w:eastAsia="Arial" w:hAnsi="Arial"/>
                <w:sz w:val="18"/>
                <w:szCs w:val="18"/>
                <w:color w:val="auto"/>
              </w:rPr>
              <w:t>Operating lease liabilities</w:t>
            </w:r>
          </w:p>
        </w:tc>
        <w:tc>
          <w:tcPr>
            <w:tcW w:w="1340" w:type="dxa"/>
            <w:vAlign w:val="bottom"/>
          </w:tcPr>
          <w:p>
            <w:pPr>
              <w:spacing w:after="0"/>
              <w:rPr>
                <w:sz w:val="17"/>
                <w:szCs w:val="17"/>
                <w:color w:val="auto"/>
              </w:rPr>
            </w:pPr>
          </w:p>
        </w:tc>
        <w:tc>
          <w:tcPr>
            <w:tcW w:w="9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(269 )</w:t>
            </w:r>
          </w:p>
        </w:tc>
        <w:tc>
          <w:tcPr>
            <w:tcW w:w="3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r>
      <w:tr>
        <w:trPr>
          <w:trHeight w:val="196"/>
        </w:trPr>
        <w:tc>
          <w:tcPr>
            <w:tcW w:w="7240" w:type="dxa"/>
            <w:vAlign w:val="bottom"/>
            <w:tcBorders>
              <w:bottom w:val="single" w:sz="8" w:color="CFF0FC"/>
            </w:tcBorders>
            <w:shd w:val="clear" w:color="auto" w:fill="CFF0FC"/>
          </w:tcPr>
          <w:p>
            <w:pPr>
              <w:ind w:left="740"/>
              <w:spacing w:after="0" w:line="196" w:lineRule="exact"/>
              <w:rPr>
                <w:sz w:val="20"/>
                <w:szCs w:val="20"/>
                <w:color w:val="auto"/>
              </w:rPr>
            </w:pPr>
            <w:r>
              <w:rPr>
                <w:rFonts w:ascii="Arial" w:cs="Arial" w:eastAsia="Arial" w:hAnsi="Arial"/>
                <w:sz w:val="18"/>
                <w:szCs w:val="18"/>
                <w:color w:val="auto"/>
              </w:rPr>
              <w:t>Net cash used in operating activities</w:t>
            </w:r>
          </w:p>
        </w:tc>
        <w:tc>
          <w:tcPr>
            <w:tcW w:w="134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(8,289</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(462</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r>
      <w:tr>
        <w:trPr>
          <w:trHeight w:val="196"/>
        </w:trPr>
        <w:tc>
          <w:tcPr>
            <w:tcW w:w="7240" w:type="dxa"/>
            <w:vAlign w:val="bottom"/>
          </w:tcPr>
          <w:p>
            <w:pPr>
              <w:ind w:left="20"/>
              <w:spacing w:after="0" w:line="196" w:lineRule="exact"/>
              <w:rPr>
                <w:sz w:val="20"/>
                <w:szCs w:val="20"/>
                <w:color w:val="auto"/>
              </w:rPr>
            </w:pPr>
            <w:r>
              <w:rPr>
                <w:rFonts w:ascii="Arial" w:cs="Arial" w:eastAsia="Arial" w:hAnsi="Arial"/>
                <w:sz w:val="18"/>
                <w:szCs w:val="18"/>
                <w:color w:val="auto"/>
              </w:rPr>
              <w:t>Cash flows from investing activities:</w:t>
            </w: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7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 of property and equipment</w:t>
            </w:r>
          </w:p>
        </w:tc>
        <w:tc>
          <w:tcPr>
            <w:tcW w:w="13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(713 )</w:t>
            </w: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(250 )</w:t>
            </w:r>
          </w:p>
        </w:tc>
      </w:tr>
      <w:tr>
        <w:trPr>
          <w:trHeight w:val="203"/>
        </w:trPr>
        <w:tc>
          <w:tcPr>
            <w:tcW w:w="7240" w:type="dxa"/>
            <w:vAlign w:val="bottom"/>
          </w:tcPr>
          <w:p>
            <w:pPr>
              <w:ind w:left="200"/>
              <w:spacing w:after="0" w:line="202" w:lineRule="exact"/>
              <w:rPr>
                <w:sz w:val="20"/>
                <w:szCs w:val="20"/>
                <w:color w:val="auto"/>
              </w:rPr>
            </w:pPr>
            <w:r>
              <w:rPr>
                <w:rFonts w:ascii="Arial" w:cs="Arial" w:eastAsia="Arial" w:hAnsi="Arial"/>
                <w:sz w:val="18"/>
                <w:szCs w:val="18"/>
                <w:color w:val="auto"/>
              </w:rPr>
              <w:t>Capitalization of internal-use software costs</w:t>
            </w:r>
          </w:p>
        </w:tc>
        <w:tc>
          <w:tcPr>
            <w:tcW w:w="1340" w:type="dxa"/>
            <w:vAlign w:val="bottom"/>
          </w:tcPr>
          <w:p>
            <w:pPr>
              <w:spacing w:after="0"/>
              <w:rPr>
                <w:sz w:val="17"/>
                <w:szCs w:val="17"/>
                <w:color w:val="auto"/>
              </w:rPr>
            </w:pPr>
          </w:p>
        </w:tc>
        <w:tc>
          <w:tcPr>
            <w:tcW w:w="9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(594 )</w:t>
            </w:r>
          </w:p>
        </w:tc>
        <w:tc>
          <w:tcPr>
            <w:tcW w:w="340" w:type="dxa"/>
            <w:vAlign w:val="bottom"/>
          </w:tcPr>
          <w:p>
            <w:pPr>
              <w:spacing w:after="0"/>
              <w:rPr>
                <w:sz w:val="17"/>
                <w:szCs w:val="17"/>
                <w:color w:val="auto"/>
              </w:rPr>
            </w:pPr>
          </w:p>
        </w:tc>
        <w:tc>
          <w:tcPr>
            <w:tcW w:w="13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(381 )</w:t>
            </w:r>
          </w:p>
        </w:tc>
      </w:tr>
      <w:tr>
        <w:trPr>
          <w:trHeight w:val="196"/>
        </w:trPr>
        <w:tc>
          <w:tcPr>
            <w:tcW w:w="7240" w:type="dxa"/>
            <w:vAlign w:val="bottom"/>
            <w:tcBorders>
              <w:bottom w:val="single" w:sz="8" w:color="CFF0FC"/>
            </w:tcBorders>
            <w:shd w:val="clear" w:color="auto" w:fill="CFF0FC"/>
          </w:tcPr>
          <w:p>
            <w:pPr>
              <w:ind w:left="740"/>
              <w:spacing w:after="0" w:line="196" w:lineRule="exact"/>
              <w:rPr>
                <w:sz w:val="20"/>
                <w:szCs w:val="20"/>
                <w:color w:val="auto"/>
              </w:rPr>
            </w:pPr>
            <w:r>
              <w:rPr>
                <w:rFonts w:ascii="Arial" w:cs="Arial" w:eastAsia="Arial" w:hAnsi="Arial"/>
                <w:sz w:val="18"/>
                <w:szCs w:val="18"/>
                <w:color w:val="auto"/>
              </w:rPr>
              <w:t>Net cash used in investing activities</w:t>
            </w:r>
          </w:p>
        </w:tc>
        <w:tc>
          <w:tcPr>
            <w:tcW w:w="134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(1,307</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(631</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r>
      <w:tr>
        <w:trPr>
          <w:trHeight w:val="196"/>
        </w:trPr>
        <w:tc>
          <w:tcPr>
            <w:tcW w:w="7240" w:type="dxa"/>
            <w:vAlign w:val="bottom"/>
          </w:tcPr>
          <w:p>
            <w:pPr>
              <w:ind w:left="20"/>
              <w:spacing w:after="0" w:line="196" w:lineRule="exact"/>
              <w:rPr>
                <w:sz w:val="20"/>
                <w:szCs w:val="20"/>
                <w:color w:val="auto"/>
              </w:rPr>
            </w:pPr>
            <w:r>
              <w:rPr>
                <w:rFonts w:ascii="Arial" w:cs="Arial" w:eastAsia="Arial" w:hAnsi="Arial"/>
                <w:sz w:val="18"/>
                <w:szCs w:val="18"/>
                <w:color w:val="auto"/>
              </w:rPr>
              <w:t>Cash flows from financing activities:</w:t>
            </w: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7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the exercise of stock options</w:t>
            </w:r>
          </w:p>
        </w:tc>
        <w:tc>
          <w:tcPr>
            <w:tcW w:w="13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3,989</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2,018</w:t>
            </w:r>
          </w:p>
        </w:tc>
        <w:tc>
          <w:tcPr>
            <w:tcW w:w="220" w:type="dxa"/>
            <w:vAlign w:val="bottom"/>
            <w:shd w:val="clear" w:color="auto" w:fill="CFF0FC"/>
          </w:tcPr>
          <w:p>
            <w:pPr>
              <w:spacing w:after="0"/>
              <w:rPr>
                <w:sz w:val="17"/>
                <w:szCs w:val="17"/>
                <w:color w:val="auto"/>
              </w:rPr>
            </w:pPr>
          </w:p>
        </w:tc>
      </w:tr>
      <w:tr>
        <w:trPr>
          <w:trHeight w:val="203"/>
        </w:trPr>
        <w:tc>
          <w:tcPr>
            <w:tcW w:w="7240" w:type="dxa"/>
            <w:vAlign w:val="bottom"/>
          </w:tcPr>
          <w:p>
            <w:pPr>
              <w:ind w:left="200"/>
              <w:spacing w:after="0" w:line="202" w:lineRule="exact"/>
              <w:rPr>
                <w:sz w:val="20"/>
                <w:szCs w:val="20"/>
                <w:color w:val="auto"/>
              </w:rPr>
            </w:pPr>
            <w:r>
              <w:rPr>
                <w:rFonts w:ascii="Arial" w:cs="Arial" w:eastAsia="Arial" w:hAnsi="Arial"/>
                <w:sz w:val="18"/>
                <w:szCs w:val="18"/>
                <w:color w:val="auto"/>
              </w:rPr>
              <w:t>Cash received for tax withholding obligations on equity award settlements</w:t>
            </w:r>
          </w:p>
        </w:tc>
        <w:tc>
          <w:tcPr>
            <w:tcW w:w="1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7,342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287</w:t>
            </w:r>
          </w:p>
        </w:tc>
        <w:tc>
          <w:tcPr>
            <w:tcW w:w="220" w:type="dxa"/>
            <w:vAlign w:val="bottom"/>
          </w:tcPr>
          <w:p>
            <w:pPr>
              <w:spacing w:after="0"/>
              <w:rPr>
                <w:sz w:val="17"/>
                <w:szCs w:val="17"/>
                <w:color w:val="auto"/>
              </w:rPr>
            </w:pPr>
          </w:p>
        </w:tc>
      </w:tr>
      <w:tr>
        <w:trPr>
          <w:trHeight w:val="203"/>
        </w:trPr>
        <w:tc>
          <w:tcPr>
            <w:tcW w:w="7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paid for tax withholding obligations on equity award settlements</w:t>
            </w:r>
          </w:p>
        </w:tc>
        <w:tc>
          <w:tcPr>
            <w:tcW w:w="13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(8,758 )</w:t>
            </w: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(287 )</w:t>
            </w:r>
          </w:p>
        </w:tc>
      </w:tr>
      <w:tr>
        <w:trPr>
          <w:trHeight w:val="196"/>
        </w:trPr>
        <w:tc>
          <w:tcPr>
            <w:tcW w:w="7240" w:type="dxa"/>
            <w:vAlign w:val="bottom"/>
            <w:tcBorders>
              <w:top w:val="single" w:sz="8" w:color="CFF0FC"/>
            </w:tcBorders>
          </w:tcPr>
          <w:p>
            <w:pPr>
              <w:ind w:left="74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13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2,573</w:t>
            </w:r>
          </w:p>
        </w:tc>
        <w:tc>
          <w:tcPr>
            <w:tcW w:w="22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2,018</w:t>
            </w:r>
          </w:p>
        </w:tc>
        <w:tc>
          <w:tcPr>
            <w:tcW w:w="220" w:type="dxa"/>
            <w:vAlign w:val="bottom"/>
            <w:tcBorders>
              <w:top w:val="single" w:sz="8" w:color="CFF0FC"/>
            </w:tcBorders>
          </w:tcPr>
          <w:p>
            <w:pPr>
              <w:spacing w:after="0"/>
              <w:rPr>
                <w:sz w:val="17"/>
                <w:szCs w:val="17"/>
                <w:color w:val="auto"/>
              </w:rPr>
            </w:pPr>
          </w:p>
        </w:tc>
      </w:tr>
      <w:tr>
        <w:trPr>
          <w:trHeight w:val="196"/>
        </w:trPr>
        <w:tc>
          <w:tcPr>
            <w:tcW w:w="7240" w:type="dxa"/>
            <w:vAlign w:val="bottom"/>
            <w:shd w:val="clear" w:color="auto" w:fill="CFF0FC"/>
          </w:tcPr>
          <w:p>
            <w:pPr>
              <w:ind w:left="740"/>
              <w:spacing w:after="0" w:line="196" w:lineRule="exact"/>
              <w:rPr>
                <w:sz w:val="20"/>
                <w:szCs w:val="20"/>
                <w:color w:val="auto"/>
              </w:rPr>
            </w:pPr>
            <w:r>
              <w:rPr>
                <w:rFonts w:ascii="Arial" w:cs="Arial" w:eastAsia="Arial" w:hAnsi="Arial"/>
                <w:sz w:val="18"/>
                <w:szCs w:val="18"/>
                <w:color w:val="auto"/>
              </w:rPr>
              <w:t>Net increase (decrease) in cash, cash equivalents, and restricted cash</w:t>
            </w:r>
          </w:p>
        </w:tc>
        <w:tc>
          <w:tcPr>
            <w:tcW w:w="13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(7,023</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925</w:t>
            </w:r>
          </w:p>
        </w:tc>
        <w:tc>
          <w:tcPr>
            <w:tcW w:w="220" w:type="dxa"/>
            <w:vAlign w:val="bottom"/>
            <w:shd w:val="clear" w:color="auto" w:fill="CFF0FC"/>
          </w:tcPr>
          <w:p>
            <w:pPr>
              <w:spacing w:after="0"/>
              <w:rPr>
                <w:sz w:val="17"/>
                <w:szCs w:val="17"/>
                <w:color w:val="auto"/>
              </w:rPr>
            </w:pPr>
          </w:p>
        </w:tc>
      </w:tr>
      <w:tr>
        <w:trPr>
          <w:trHeight w:val="202"/>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restricted cash at beginning of period</w:t>
            </w:r>
          </w:p>
        </w:tc>
        <w:tc>
          <w:tcPr>
            <w:tcW w:w="1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308,295</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118,863</w:t>
            </w:r>
          </w:p>
        </w:tc>
        <w:tc>
          <w:tcPr>
            <w:tcW w:w="220" w:type="dxa"/>
            <w:vAlign w:val="bottom"/>
          </w:tcPr>
          <w:p>
            <w:pPr>
              <w:spacing w:after="0"/>
              <w:rPr>
                <w:sz w:val="17"/>
                <w:szCs w:val="17"/>
                <w:color w:val="auto"/>
              </w:rPr>
            </w:pPr>
          </w:p>
        </w:tc>
      </w:tr>
      <w:tr>
        <w:trPr>
          <w:trHeight w:val="236"/>
        </w:trPr>
        <w:tc>
          <w:tcPr>
            <w:tcW w:w="72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1340" w:type="dxa"/>
            <w:vAlign w:val="bottom"/>
            <w:tcBorders>
              <w:bottom w:val="single" w:sz="8" w:color="auto"/>
            </w:tcBorders>
            <w:shd w:val="clear" w:color="auto" w:fill="CFF0FC"/>
          </w:tcPr>
          <w:p>
            <w:pPr>
              <w:jc w:val="right"/>
              <w:ind w:right="115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301,272</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119,788</w:t>
            </w:r>
          </w:p>
        </w:tc>
        <w:tc>
          <w:tcPr>
            <w:tcW w:w="220" w:type="dxa"/>
            <w:vAlign w:val="bottom"/>
            <w:tcBorders>
              <w:bottom w:val="single" w:sz="8" w:color="CFF0FC"/>
            </w:tcBorders>
            <w:shd w:val="clear" w:color="auto" w:fill="CFF0FC"/>
          </w:tcPr>
          <w:p>
            <w:pPr>
              <w:spacing w:after="0"/>
              <w:rPr>
                <w:sz w:val="20"/>
                <w:szCs w:val="20"/>
                <w:color w:val="auto"/>
              </w:rPr>
            </w:pPr>
          </w:p>
        </w:tc>
      </w:tr>
      <w:tr>
        <w:trPr>
          <w:trHeight w:val="183"/>
        </w:trPr>
        <w:tc>
          <w:tcPr>
            <w:tcW w:w="7240" w:type="dxa"/>
            <w:vAlign w:val="bottom"/>
          </w:tcPr>
          <w:p>
            <w:pPr>
              <w:ind w:left="20"/>
              <w:spacing w:after="0" w:line="183" w:lineRule="exact"/>
              <w:rPr>
                <w:sz w:val="20"/>
                <w:szCs w:val="20"/>
                <w:color w:val="auto"/>
              </w:rPr>
            </w:pPr>
            <w:r>
              <w:rPr>
                <w:rFonts w:ascii="Arial" w:cs="Arial" w:eastAsia="Arial" w:hAnsi="Arial"/>
                <w:sz w:val="18"/>
                <w:szCs w:val="18"/>
                <w:color w:val="auto"/>
              </w:rPr>
              <w:t>Supplemental disclosure of cash flow information:</w:t>
            </w:r>
          </w:p>
        </w:tc>
        <w:tc>
          <w:tcPr>
            <w:tcW w:w="1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7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paid for income taxes</w:t>
            </w:r>
          </w:p>
        </w:tc>
        <w:tc>
          <w:tcPr>
            <w:tcW w:w="1340" w:type="dxa"/>
            <w:vAlign w:val="bottom"/>
            <w:shd w:val="clear" w:color="auto" w:fill="CFF0FC"/>
          </w:tcPr>
          <w:p>
            <w:pPr>
              <w:jc w:val="right"/>
              <w:ind w:right="115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w:t>
            </w:r>
          </w:p>
        </w:tc>
        <w:tc>
          <w:tcPr>
            <w:tcW w:w="220" w:type="dxa"/>
            <w:vAlign w:val="bottom"/>
            <w:shd w:val="clear" w:color="auto" w:fill="CFF0FC"/>
          </w:tcPr>
          <w:p>
            <w:pPr>
              <w:spacing w:after="0"/>
              <w:rPr>
                <w:sz w:val="17"/>
                <w:szCs w:val="17"/>
                <w:color w:val="auto"/>
              </w:rPr>
            </w:pP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Non-cash investing and financing activities:</w:t>
            </w: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7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Vesting of early exercised options</w:t>
            </w:r>
          </w:p>
        </w:tc>
        <w:tc>
          <w:tcPr>
            <w:tcW w:w="1340" w:type="dxa"/>
            <w:vAlign w:val="bottom"/>
            <w:shd w:val="clear" w:color="auto" w:fill="CFF0FC"/>
          </w:tcPr>
          <w:p>
            <w:pPr>
              <w:jc w:val="right"/>
              <w:ind w:right="115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743</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179</w:t>
            </w:r>
          </w:p>
        </w:tc>
        <w:tc>
          <w:tcPr>
            <w:tcW w:w="220" w:type="dxa"/>
            <w:vAlign w:val="bottom"/>
            <w:shd w:val="clear" w:color="auto" w:fill="CFF0FC"/>
          </w:tcPr>
          <w:p>
            <w:pPr>
              <w:spacing w:after="0"/>
              <w:rPr>
                <w:sz w:val="17"/>
                <w:szCs w:val="17"/>
                <w:color w:val="auto"/>
              </w:rPr>
            </w:pPr>
          </w:p>
        </w:tc>
      </w:tr>
      <w:tr>
        <w:trPr>
          <w:trHeight w:val="203"/>
        </w:trPr>
        <w:tc>
          <w:tcPr>
            <w:tcW w:w="7240" w:type="dxa"/>
            <w:vAlign w:val="bottom"/>
          </w:tcPr>
          <w:p>
            <w:pPr>
              <w:ind w:left="200"/>
              <w:spacing w:after="0" w:line="202" w:lineRule="exact"/>
              <w:rPr>
                <w:sz w:val="20"/>
                <w:szCs w:val="20"/>
                <w:color w:val="auto"/>
              </w:rPr>
            </w:pPr>
            <w:r>
              <w:rPr>
                <w:rFonts w:ascii="Arial" w:cs="Arial" w:eastAsia="Arial" w:hAnsi="Arial"/>
                <w:sz w:val="18"/>
                <w:szCs w:val="18"/>
                <w:color w:val="auto"/>
              </w:rPr>
              <w:t>Purchases of property and equipment included in liabilities</w:t>
            </w:r>
          </w:p>
        </w:tc>
        <w:tc>
          <w:tcPr>
            <w:tcW w:w="1340" w:type="dxa"/>
            <w:vAlign w:val="bottom"/>
          </w:tcPr>
          <w:p>
            <w:pPr>
              <w:jc w:val="right"/>
              <w:ind w:right="115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c>
          <w:tcPr>
            <w:tcW w:w="22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r>
      <w:tr>
        <w:trPr>
          <w:trHeight w:val="203"/>
        </w:trPr>
        <w:tc>
          <w:tcPr>
            <w:tcW w:w="7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Capitalization of internal-use software costs</w:t>
            </w:r>
          </w:p>
        </w:tc>
        <w:tc>
          <w:tcPr>
            <w:tcW w:w="1340" w:type="dxa"/>
            <w:vAlign w:val="bottom"/>
            <w:shd w:val="clear" w:color="auto" w:fill="CFF0FC"/>
          </w:tcPr>
          <w:p>
            <w:pPr>
              <w:jc w:val="right"/>
              <w:ind w:right="115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282</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-2388235</wp:posOffset>
            </wp:positionV>
            <wp:extent cx="5143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-2388235</wp:posOffset>
            </wp:positionV>
            <wp:extent cx="5143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-1856740</wp:posOffset>
            </wp:positionV>
            <wp:extent cx="5143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-1856740</wp:posOffset>
            </wp:positionV>
            <wp:extent cx="5143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-1333500</wp:posOffset>
            </wp:positionV>
            <wp:extent cx="5143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-1333500</wp:posOffset>
            </wp:positionV>
            <wp:extent cx="5143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-796290</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-779145</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-796290</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-779145</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2" w:lineRule="exact"/>
        <w:rPr>
          <w:sz w:val="20"/>
          <w:szCs w:val="20"/>
          <w:color w:val="auto"/>
        </w:rPr>
      </w:pPr>
    </w:p>
    <w:p>
      <w:pPr>
        <w:ind w:right="6300" w:firstLine="8"/>
        <w:spacing w:after="0" w:line="362" w:lineRule="auto"/>
        <w:tabs>
          <w:tab w:leader="none" w:pos="50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Business and Significant Accounting Policies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Amplitude, Inc. (the “Company”) was incorporated in the state of Delaware in 2011 and is headquartered in San Francisco, California. The Company provides a Digital Optimization System that helps companies analyze their customer behavior within digital products. The Company delivers its application over the Internet as a subscription service using a software-as-a-service (“SaaS”) model. The Company’s arrangements with customers do not provide the customer with the right to take possession of the software supporting the cloud-based application service at any time. The Company also offers customer support related to initial implementation setup, ongoing support services, and application training.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Long-lived assets outside of the United States are immaterial. For information regarding the Company’s revenue by geographic area, see Note 2 below.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 condensed consolidated financial statements have been prepared in accordance with U.S. generally accepted accounting principles ("U.S. GAAP" or "GAAP") and include the accounts of Amplitude, Inc. and its wholly owned subsidiaries. All intercompany balances and transactions have been eliminated in consolidation. The reporting currency of the Company is the United States dollar. The functional currency of the Company’s foreign subsidiaries is also the United States dollar.</w:t>
      </w:r>
    </w:p>
    <w:p>
      <w:pPr>
        <w:spacing w:after="0" w:line="80"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The unaudited condensed consolidated balance sheet as of December 31, 2021 included herein was derived from the audited financial statements as of that date, but does not include all disclosures, including certain notes required by U.S. GAAP on an annual reporting basis. In management's opinion, the unaudited condensed consolidated financial statements reflect all normal recurring adjustments necessary to state fairly the balance sheet, statements of operations, statements of redeemable convertible preferred stock and stockholders' equity (deficit), and statements of cash flows for the interim periods, but are not necessarily indicative of the results of operations to be anticipated for the full fiscal year or any future period.</w:t>
      </w:r>
    </w:p>
    <w:p>
      <w:pPr>
        <w:spacing w:after="0" w:line="51" w:lineRule="exact"/>
        <w:rPr>
          <w:sz w:val="20"/>
          <w:szCs w:val="20"/>
          <w:color w:val="auto"/>
        </w:rPr>
      </w:pPr>
    </w:p>
    <w:p>
      <w:pPr>
        <w:ind w:right="520" w:firstLine="509"/>
        <w:spacing w:after="0" w:line="291"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notes included in the Company’s Annual Report on Form 10-K for the year ended December 31, 2021 (the "2021 Form 10-K") .</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04"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Certain amounts in the prior period financial statements have been reclassified to conform to the presentation of the current period condensed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condensed consolidated financial statements and accompanying notes. These estimates are based on information available as of the date of the financial statements and may involve subjective or significant judgment by the Company; therefore, actual results could differ from the Company’s estimates. Items subject to such estimates and assumptions include, but are not limited to the:</w:t>
      </w:r>
    </w:p>
    <w:p>
      <w:pPr>
        <w:spacing w:after="0" w:line="64" w:lineRule="exact"/>
        <w:rPr>
          <w:sz w:val="20"/>
          <w:szCs w:val="20"/>
          <w:color w:val="auto"/>
        </w:rPr>
      </w:pPr>
    </w:p>
    <w:p>
      <w:pPr>
        <w:ind w:left="1140" w:hanging="369"/>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period of benefit for deferred commissions;</w:t>
      </w:r>
    </w:p>
    <w:p>
      <w:pPr>
        <w:spacing w:after="0" w:line="103" w:lineRule="exact"/>
        <w:rPr>
          <w:rFonts w:ascii="Arial" w:cs="Arial" w:eastAsia="Arial" w:hAnsi="Arial"/>
          <w:sz w:val="18"/>
          <w:szCs w:val="18"/>
          <w:color w:val="auto"/>
        </w:rPr>
      </w:pPr>
    </w:p>
    <w:p>
      <w:pPr>
        <w:ind w:left="1140" w:hanging="369"/>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useful lives of long-lived assets;</w:t>
      </w:r>
    </w:p>
    <w:p>
      <w:pPr>
        <w:spacing w:after="0" w:line="103" w:lineRule="exact"/>
        <w:rPr>
          <w:rFonts w:ascii="Arial" w:cs="Arial" w:eastAsia="Arial" w:hAnsi="Arial"/>
          <w:sz w:val="18"/>
          <w:szCs w:val="18"/>
          <w:color w:val="auto"/>
        </w:rPr>
      </w:pPr>
    </w:p>
    <w:p>
      <w:pPr>
        <w:ind w:left="1140" w:right="40" w:hanging="369"/>
        <w:spacing w:after="0" w:line="261"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valuation of the Company’s common stock and stock-based awards for periods prior to the direct listing of the Company's Class A common stock on the Nasdaq Capital Market (the "Direct Listing");</w:t>
      </w:r>
    </w:p>
    <w:p>
      <w:pPr>
        <w:spacing w:after="0" w:line="62" w:lineRule="exact"/>
        <w:rPr>
          <w:rFonts w:ascii="Arial" w:cs="Arial" w:eastAsia="Arial" w:hAnsi="Arial"/>
          <w:sz w:val="18"/>
          <w:szCs w:val="18"/>
          <w:color w:val="auto"/>
        </w:rPr>
      </w:pPr>
    </w:p>
    <w:p>
      <w:pPr>
        <w:ind w:left="1140" w:hanging="369"/>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valuation of goodwill and intangible assets;</w:t>
      </w:r>
    </w:p>
    <w:p>
      <w:pPr>
        <w:spacing w:after="0" w:line="103" w:lineRule="exact"/>
        <w:rPr>
          <w:rFonts w:ascii="Arial" w:cs="Arial" w:eastAsia="Arial" w:hAnsi="Arial"/>
          <w:sz w:val="18"/>
          <w:szCs w:val="18"/>
          <w:color w:val="auto"/>
        </w:rPr>
      </w:pPr>
    </w:p>
    <w:p>
      <w:pPr>
        <w:ind w:left="1140" w:hanging="369"/>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recognition, measurement, and valuation of deferred tax assets and income tax uncertainties; and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ind w:left="1140" w:hanging="369"/>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incremental borrowing rate used for operating leases.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While the duration and extent of the COVID-19 pandemic depends on future developments that cannot be accurately predicted at this time, such as the extent and effectiveness of containment actions, it has already had an adverse effect on the global economy and the lasting effects of the pandemic continue to be unknown. The Company may experience customer losses, including due to bankruptcy or customers ceasing operations, which may result in delays in collections or an inability to collect accounts receivable from these customers. The extent to which COVID-19 may continue to impact the Company’s financial condition, results of operations, or liquidity continues to remain uncertain, and as of the date of issuance of these financial statements, the Company is not aware of any specific event or circumstance that would require an update to its estimates or judgments or an adjustment to the carrying value of the Company’s assets or liabilities. These estimates may change, as new events occur and additional information is obtained, which will be recognized in the consolidated financial statements as soon as they become known. Actual results could differ from those estimates, and any such differences may be material to the Company’s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 and Significant Customers</w:t>
      </w:r>
    </w:p>
    <w:p>
      <w:pPr>
        <w:spacing w:after="0" w:line="104" w:lineRule="exact"/>
        <w:rPr>
          <w:sz w:val="20"/>
          <w:szCs w:val="20"/>
          <w:color w:val="auto"/>
        </w:rPr>
      </w:pPr>
    </w:p>
    <w:p>
      <w:pPr>
        <w:ind w:right="200" w:firstLine="509"/>
        <w:spacing w:after="0" w:line="270" w:lineRule="auto"/>
        <w:rPr>
          <w:sz w:val="20"/>
          <w:szCs w:val="20"/>
          <w:color w:val="auto"/>
        </w:rPr>
      </w:pPr>
      <w:r>
        <w:rPr>
          <w:rFonts w:ascii="Arial" w:cs="Arial" w:eastAsia="Arial" w:hAnsi="Arial"/>
          <w:sz w:val="17"/>
          <w:szCs w:val="17"/>
          <w:color w:val="auto"/>
        </w:rPr>
        <w:t>Financial instruments that subject the Company to concentrations of credit risk consist primarily of cash and cash equivalents, restricted cash, and accounts receivable. Although the Company deposits its cash with high-quality, credit-rated financial institutions, the deposits, at times, may exceed federally insured limits. The Company has not experienced any losses on its deposits of cash and cash equivalents.</w:t>
      </w:r>
    </w:p>
    <w:p>
      <w:pPr>
        <w:spacing w:after="0" w:line="164"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No customer accounted for 10% or more of total revenue for the three months ended March 31, 2022 and 2021. As of the quarter ended March 31, 2022, no customer accounted for 10% of accounts receivable. As of the year ended December 31, 2021, one customer represented 10% of accounts receivable.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04" w:lineRule="exact"/>
        <w:rPr>
          <w:sz w:val="20"/>
          <w:szCs w:val="20"/>
          <w:color w:val="auto"/>
        </w:rPr>
      </w:pPr>
    </w:p>
    <w:p>
      <w:pPr>
        <w:ind w:right="180" w:firstLine="509"/>
        <w:spacing w:after="0" w:line="270" w:lineRule="auto"/>
        <w:rPr>
          <w:sz w:val="20"/>
          <w:szCs w:val="20"/>
          <w:color w:val="auto"/>
        </w:rPr>
      </w:pPr>
      <w:r>
        <w:rPr>
          <w:rFonts w:ascii="Arial" w:cs="Arial" w:eastAsia="Arial" w:hAnsi="Arial"/>
          <w:sz w:val="17"/>
          <w:szCs w:val="17"/>
          <w:color w:val="auto"/>
        </w:rPr>
        <w:t>The Company's significant accounting policies are described in the 2021 Form 10-K. There have been no significant changes to these policies that have had a material impact on the Company's condensed consolidated financial statements and related notes for the three months ended March 31, 2022 other than for the adoption of new accounting guidance related to leases effective January 1, 2022 further described below.</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04"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The Company determines if an arrangement is, or contains, a lease at inception. Leases arise from contractual obligations that convey the right to control the use of identified property, plant or equipment for a period of time in exchange for consideration. The Company determines whether an arrangement is or contains a lease at inception, based on whether there is an identified asset and whether the Company controls the use of the identified asset throughout the period of use. At lease commencement date, the Company determines lease classification between finance and operating, allocates the consideration to the lease and non-lease components and recognizes a right-of-use ("ROU") asset and corresponding lease liability for each lease component. ROU assets represent the Company’s right to use an underlying asset for the lease term and lease liabilities represent the Company’s obligation to make lease payments based on the lease contracts.</w:t>
      </w:r>
    </w:p>
    <w:p>
      <w:pPr>
        <w:spacing w:after="0" w:line="72"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Operating lease ROU assets and liabilities were recognized at adoption date or lease commencement date, if the commencement date was after January 1, 2022, based on the present value of lease payments over the remaining lease term. The Company’s lease contracts do not provide an implicit rate, as such the Company used its incremental borrowing rate based on the information available at adoption date or lease commencement date, if the commencement date was after January 1, 2022, in determining the present value of lease payments. The operating lease ROU assets also include any lease payments made to the lessors at or before the lease commencement date, and excludes lease incentives. The lease terms may include options to extend or terminate the lease when it is reasonably certain that the Company will exercise that option.</w:t>
      </w:r>
    </w:p>
    <w:p>
      <w:pPr>
        <w:spacing w:after="0" w:line="67"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The lease liability is initially measured as the present value of the remaining lease payments over the lease term. The discount rate used to determine the present value is the Company's incremental borrowing rate unless the interest rate implicit in the lease is readily determinable. The Company estimates the incremental borrowing rate based on the information available at lease commencement date for borrowings with a similar term. The ROU asset is initially measured as the present value of the lease payments, adjusted for initial direct costs, prepaid lease payments to lessors and lease incentives. The operating lease right-of-use assets and liabilities recognized at January 1, 2022, the adoption date, were based on the present value of lease payments over the remaining lease term as of that date, using the incremental borrowing rate as of that date.</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0" w:name="page11"/>
    <w:bookmarkEnd w:id="10"/>
    <w:p>
      <w:pPr>
        <w:ind w:right="20" w:firstLine="509"/>
        <w:spacing w:after="0" w:line="276" w:lineRule="auto"/>
        <w:rPr>
          <w:sz w:val="20"/>
          <w:szCs w:val="20"/>
          <w:color w:val="auto"/>
        </w:rPr>
      </w:pPr>
      <w:r>
        <w:rPr>
          <w:rFonts w:ascii="Arial" w:cs="Arial" w:eastAsia="Arial" w:hAnsi="Arial"/>
          <w:sz w:val="16"/>
          <w:szCs w:val="16"/>
          <w:color w:val="auto"/>
        </w:rPr>
        <w:t>The Company elected the practical expedients to not recognize right-of-use assets and liabilities for leases with a term of less than twelve months and to not separate non-lease components from the associated lease components for the Company's office leases and certain other asset classes. The total consideration includes fixed payments and contractual escalation provisions. The Company is responsible for maintenance, insurance, property taxes and other variable payments, which are expensed as incurred. The Company's leases include options to renew or terminate. The Company includes the option to renew or terminate in the determination of the lease term when the option is deemed to be reasonably certain that the Company will exercise that option. The Company accounts for changes in the expected lease term as a modification of the original contract.</w:t>
      </w:r>
    </w:p>
    <w:p>
      <w:pPr>
        <w:spacing w:after="0" w:line="53" w:lineRule="exact"/>
        <w:rPr>
          <w:sz w:val="20"/>
          <w:szCs w:val="20"/>
          <w:color w:val="auto"/>
        </w:rPr>
      </w:pPr>
    </w:p>
    <w:p>
      <w:pPr>
        <w:ind w:right="340" w:firstLine="509"/>
        <w:spacing w:after="0" w:line="243" w:lineRule="auto"/>
        <w:rPr>
          <w:sz w:val="20"/>
          <w:szCs w:val="20"/>
          <w:color w:val="auto"/>
        </w:rPr>
      </w:pPr>
      <w:r>
        <w:rPr>
          <w:rFonts w:ascii="Arial" w:cs="Arial" w:eastAsia="Arial" w:hAnsi="Arial"/>
          <w:sz w:val="18"/>
          <w:szCs w:val="18"/>
          <w:color w:val="auto"/>
        </w:rPr>
        <w:t>Operating leases are classified in "Operating lease right-of-use assets" and "Operating lease liabilities, noncurrent" on the Company's condensed consolidated balance sheets. The current balance of the operating lease liabilities is included within "Accrued expenses" on the Company's condensed consolidated balance sheets. Operating lease expense is recognized on a straight-line basis over the expected lease term and included in "Operating expenses" in the Company's condensed consolidated statements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4"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No. 2016-02, </w:t>
      </w:r>
      <w:r>
        <w:rPr>
          <w:rFonts w:ascii="Arial" w:cs="Arial" w:eastAsia="Arial" w:hAnsi="Arial"/>
          <w:sz w:val="16"/>
          <w:szCs w:val="16"/>
          <w:i w:val="1"/>
          <w:iCs w:val="1"/>
          <w:color w:val="auto"/>
        </w:rPr>
        <w:t>Leases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842)</w:t>
      </w:r>
      <w:r>
        <w:rPr>
          <w:rFonts w:ascii="Arial" w:cs="Arial" w:eastAsia="Arial" w:hAnsi="Arial"/>
          <w:sz w:val="16"/>
          <w:szCs w:val="16"/>
          <w:color w:val="auto"/>
        </w:rPr>
        <w:t>, which requires companies to recognize lease liabilities and corresponding right-of-use leased assets on the balance sheets and to disclose key</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about leasing arrangements. Qualitative and quantitative disclosures will be enhanced to better understand the amount, timing, and uncertainty of cash flows arising from leases. ASU No. 2016-02 is effective for annual periods beginning after December 15, 2021, with early adoption permitted.</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Additionally, in 2018 and 2019, the FASB issued the following Topic 842–related ASUs:</w:t>
      </w:r>
    </w:p>
    <w:p>
      <w:pPr>
        <w:spacing w:after="0" w:line="104" w:lineRule="exact"/>
        <w:rPr>
          <w:sz w:val="20"/>
          <w:szCs w:val="20"/>
          <w:color w:val="auto"/>
        </w:rPr>
      </w:pPr>
    </w:p>
    <w:p>
      <w:pPr>
        <w:ind w:left="1140" w:right="180" w:hanging="369"/>
        <w:spacing w:after="0" w:line="261"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2018-01, </w:t>
      </w:r>
      <w:r>
        <w:rPr>
          <w:rFonts w:ascii="Arial" w:cs="Arial" w:eastAsia="Arial" w:hAnsi="Arial"/>
          <w:sz w:val="18"/>
          <w:szCs w:val="18"/>
          <w:i w:val="1"/>
          <w:iCs w:val="1"/>
          <w:color w:val="auto"/>
        </w:rPr>
        <w:t>Land Easement Practical Expedient for Transition to Topic 842</w:t>
      </w:r>
      <w:r>
        <w:rPr>
          <w:rFonts w:ascii="Arial" w:cs="Arial" w:eastAsia="Arial" w:hAnsi="Arial"/>
          <w:sz w:val="18"/>
          <w:szCs w:val="18"/>
          <w:color w:val="auto"/>
        </w:rPr>
        <w:t>, which clarifies the applicability of Topic 842 to land easements and provides an optional transition practical expedient for existing land easements;</w:t>
      </w:r>
    </w:p>
    <w:p>
      <w:pPr>
        <w:spacing w:after="0" w:line="62" w:lineRule="exact"/>
        <w:rPr>
          <w:rFonts w:ascii="Arial" w:cs="Arial" w:eastAsia="Arial" w:hAnsi="Arial"/>
          <w:sz w:val="18"/>
          <w:szCs w:val="18"/>
          <w:color w:val="auto"/>
        </w:rPr>
      </w:pPr>
    </w:p>
    <w:p>
      <w:pPr>
        <w:ind w:left="1140" w:hanging="369"/>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which makes certain technical corrections to Topic 842;</w:t>
      </w:r>
    </w:p>
    <w:p>
      <w:pPr>
        <w:spacing w:after="0" w:line="103" w:lineRule="exact"/>
        <w:rPr>
          <w:rFonts w:ascii="Arial" w:cs="Arial" w:eastAsia="Arial" w:hAnsi="Arial"/>
          <w:sz w:val="18"/>
          <w:szCs w:val="18"/>
          <w:color w:val="auto"/>
        </w:rPr>
      </w:pPr>
    </w:p>
    <w:p>
      <w:pPr>
        <w:ind w:left="1140" w:right="60" w:hanging="369"/>
        <w:spacing w:after="0" w:line="248"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which allows companies to adopt Topic 842 without revising comparative period reporting or disclosures and provides an optional practical expedient to lessors to not separate lease and non-lease components of a contract if certain criteria are met; and</w:t>
      </w:r>
    </w:p>
    <w:p>
      <w:pPr>
        <w:spacing w:after="0" w:line="73" w:lineRule="exact"/>
        <w:rPr>
          <w:rFonts w:ascii="Arial" w:cs="Arial" w:eastAsia="Arial" w:hAnsi="Arial"/>
          <w:sz w:val="18"/>
          <w:szCs w:val="18"/>
          <w:color w:val="auto"/>
        </w:rPr>
      </w:pPr>
    </w:p>
    <w:p>
      <w:pPr>
        <w:ind w:left="1140" w:right="220" w:hanging="369"/>
        <w:spacing w:after="0" w:line="248"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2019-01, </w:t>
      </w:r>
      <w:r>
        <w:rPr>
          <w:rFonts w:ascii="Arial" w:cs="Arial" w:eastAsia="Arial" w:hAnsi="Arial"/>
          <w:sz w:val="18"/>
          <w:szCs w:val="18"/>
          <w:i w:val="1"/>
          <w:iCs w:val="1"/>
          <w:color w:val="auto"/>
        </w:rPr>
        <w:t>Leases (Topic 842): Codification Improvements</w:t>
      </w:r>
      <w:r>
        <w:rPr>
          <w:rFonts w:ascii="Arial" w:cs="Arial" w:eastAsia="Arial" w:hAnsi="Arial"/>
          <w:sz w:val="18"/>
          <w:szCs w:val="18"/>
          <w:color w:val="auto"/>
        </w:rPr>
        <w:t>, which provides guidance for certain lessors on determining the fair value of an underlying asset in a lease and on the cash flow statement presentation of lease payments received; ASU No. 2019-01 also clarifies disclosures required in interim periods after adoption of ASU No. 2016-02 in the year of adoption.</w:t>
      </w:r>
    </w:p>
    <w:p>
      <w:pPr>
        <w:spacing w:after="0" w:line="7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Company adopted the new standard as of January 1, 2022, and recognized a cumulative-effect adjustment to the opening balance of accumulated deficit as of adoption date. The Company elected the optional transition approach to not apply Topic 842 in the comparative periods presented. The Company elected the relief package of practical expedients to not reassess whether existing contracts contain leases, the lease term and classification for existing leases and whether existing initial direct costs meet the new definition. The adoption of Topic 842 resulted in the recognition of total right-of-use of $11.6 million and total lease liabilities of $13.2 million as of the date of adoption. Additionally, the Company has derecognized $1.6 million in deferred rent upon adoption of this standard. The adoption of Topic 842 did not have a material impact to the condensed consolidated statements of operations or statements of cash flows.</w:t>
      </w:r>
    </w:p>
    <w:p>
      <w:pPr>
        <w:spacing w:after="0" w:line="19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which eliminates Step 2 from the goodwill impairment test. Step 2 measures a goodwill impairment loss by comparing the implied fair value of a reporting unit’s goodwill with the carrying amount of that goodwill. Instead, entities will record an impairment charge based on the excess of a reporting unit’s carrying amount over its fair value (i.e., measure the charge based on today’s Step 1). This update is effective for annual and interim impairment tests performed in periods beginning after December 15, 2022. The Company early adopted the standard as of January 1, 2022. The adoption of ASC 350 did not have a material impact to the condensed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4"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i w:val="1"/>
          <w:iCs w:val="1"/>
          <w:color w:val="auto"/>
        </w:rPr>
        <w:t xml:space="preserve">Financial Instruments - Credit Losses: </w:t>
      </w:r>
      <w:r>
        <w:rPr>
          <w:rFonts w:ascii="Arial" w:cs="Arial" w:eastAsia="Arial" w:hAnsi="Arial"/>
          <w:sz w:val="18"/>
          <w:szCs w:val="18"/>
          <w:color w:val="auto"/>
        </w:rPr>
        <w:t>In June 2016, the FASB issued ASU No. 2016-13,</w:t>
      </w:r>
      <w:r>
        <w:rPr>
          <w:rFonts w:ascii="Arial" w:cs="Arial" w:eastAsia="Arial" w:hAnsi="Arial"/>
          <w:sz w:val="18"/>
          <w:szCs w:val="18"/>
          <w:i w:val="1"/>
          <w:iCs w:val="1"/>
          <w:color w:val="auto"/>
        </w:rPr>
        <w:t xml:space="preserve"> Financial Instruments (Topic 326). </w:t>
      </w:r>
      <w:r>
        <w:rPr>
          <w:rFonts w:ascii="Arial" w:cs="Arial" w:eastAsia="Arial" w:hAnsi="Arial"/>
          <w:sz w:val="18"/>
          <w:szCs w:val="18"/>
          <w:color w:val="auto"/>
        </w:rPr>
        <w:t>This standard revises</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U.S. GAAP methodology by requiring measurement and immediate recognition of expected credit losses on in-scope financial instruments, including trade receivables. ASU No. 2016-13 is effective for annual periods beginning after December 15, 2022, with early adoption permitted in fiscal years beginning after December 31, 2018. The Company is currently in the process of evaluating the impact of adoption on its consolidated financial statements.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 w:name="page12"/>
    <w:bookmarkEnd w:id="11"/>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Remaining Performance Obligations</w:t>
      </w:r>
    </w:p>
    <w:p>
      <w:pPr>
        <w:spacing w:after="0" w:line="104"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The amount of revenue recognized in the three months ended March 31, 2022 that was included in deferred revenue as of December 31, 2021 was $35.7 million.</w:t>
      </w:r>
    </w:p>
    <w:p>
      <w:pPr>
        <w:spacing w:after="0" w:line="171"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As of March 31, 2022 and December 31, 2021, unrecognized transaction price related to remaining performance obligations was $194.4 million and $170.1 million, respectively. The Company’s remaining performance obligations as of March 31, 2022 and December 31, 2021 are expected to be recognized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center"/>
              <w:ind w:right="230"/>
              <w:spacing w:after="0"/>
              <w:rPr>
                <w:sz w:val="20"/>
                <w:szCs w:val="20"/>
                <w:color w:val="auto"/>
              </w:rPr>
            </w:pPr>
            <w:r>
              <w:rPr>
                <w:rFonts w:ascii="Arial" w:cs="Arial" w:eastAsia="Arial" w:hAnsi="Arial"/>
                <w:sz w:val="18"/>
                <w:szCs w:val="18"/>
                <w:b w:val="1"/>
                <w:bCs w:val="1"/>
                <w:color w:val="auto"/>
                <w:w w:val="84"/>
              </w:rPr>
              <w:t>As of</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As of</w:t>
            </w:r>
          </w:p>
        </w:tc>
        <w:tc>
          <w:tcPr>
            <w:tcW w:w="60" w:type="dxa"/>
            <w:vAlign w:val="bottom"/>
          </w:tcPr>
          <w:p>
            <w:pPr>
              <w:spacing w:after="0"/>
              <w:rPr>
                <w:sz w:val="17"/>
                <w:szCs w:val="17"/>
                <w:color w:val="auto"/>
              </w:rPr>
            </w:pPr>
          </w:p>
        </w:tc>
      </w:tr>
      <w:tr>
        <w:trPr>
          <w:trHeight w:val="176"/>
        </w:trPr>
        <w:tc>
          <w:tcPr>
            <w:tcW w:w="7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93"/>
              </w:rPr>
              <w:t>March 31,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0"/>
              </w:rPr>
              <w:t>December 31,</w:t>
            </w:r>
          </w:p>
        </w:tc>
        <w:tc>
          <w:tcPr>
            <w:tcW w:w="60" w:type="dxa"/>
            <w:vAlign w:val="bottom"/>
          </w:tcPr>
          <w:p>
            <w:pPr>
              <w:spacing w:after="0"/>
              <w:rPr>
                <w:sz w:val="15"/>
                <w:szCs w:val="15"/>
                <w:color w:val="auto"/>
              </w:rPr>
            </w:pPr>
          </w:p>
        </w:tc>
      </w:tr>
      <w:tr>
        <w:trPr>
          <w:trHeight w:val="216"/>
        </w:trPr>
        <w:tc>
          <w:tcPr>
            <w:tcW w:w="7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60" w:type="dxa"/>
            <w:vAlign w:val="bottom"/>
          </w:tcPr>
          <w:p>
            <w:pPr>
              <w:spacing w:after="0"/>
              <w:rPr>
                <w:sz w:val="18"/>
                <w:szCs w:val="18"/>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Less than or equal to 12 months</w:t>
            </w: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149,583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137,266</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Greater than 12 months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44,851</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32,868</w:t>
            </w:r>
          </w:p>
        </w:tc>
        <w:tc>
          <w:tcPr>
            <w:tcW w:w="60" w:type="dxa"/>
            <w:vAlign w:val="bottom"/>
          </w:tcPr>
          <w:p>
            <w:pPr>
              <w:spacing w:after="0"/>
              <w:rPr>
                <w:sz w:val="17"/>
                <w:szCs w:val="17"/>
                <w:color w:val="auto"/>
              </w:rPr>
            </w:pPr>
          </w:p>
        </w:tc>
      </w:tr>
      <w:tr>
        <w:trPr>
          <w:trHeight w:val="236"/>
        </w:trPr>
        <w:tc>
          <w:tcPr>
            <w:tcW w:w="76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remaining performance obligations</w:t>
            </w:r>
          </w:p>
        </w:tc>
        <w:tc>
          <w:tcPr>
            <w:tcW w:w="28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194,434</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170,134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-25400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04" w:lineRule="exact"/>
        <w:rPr>
          <w:sz w:val="20"/>
          <w:szCs w:val="20"/>
          <w:color w:val="auto"/>
        </w:rPr>
      </w:pPr>
    </w:p>
    <w:p>
      <w:pPr>
        <w:ind w:right="740" w:firstLine="509"/>
        <w:spacing w:after="0" w:line="261" w:lineRule="auto"/>
        <w:rPr>
          <w:sz w:val="20"/>
          <w:szCs w:val="20"/>
          <w:color w:val="auto"/>
        </w:rPr>
      </w:pPr>
      <w:r>
        <w:rPr>
          <w:rFonts w:ascii="Arial" w:cs="Arial" w:eastAsia="Arial" w:hAnsi="Arial"/>
          <w:sz w:val="18"/>
          <w:szCs w:val="18"/>
          <w:color w:val="auto"/>
        </w:rPr>
        <w:t>The following table shows the Company’s disaggregation of revenue by geographic areas, as determined based on the billing address of its customers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8"/>
        </w:trPr>
        <w:tc>
          <w:tcPr>
            <w:tcW w:w="32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60" w:type="dxa"/>
            <w:vAlign w:val="bottom"/>
            <w:gridSpan w:val="3"/>
          </w:tcPr>
          <w:p>
            <w:pPr>
              <w:jc w:val="right"/>
              <w:ind w:right="530"/>
              <w:spacing w:after="0" w:line="198" w:lineRule="exact"/>
              <w:rPr>
                <w:sz w:val="20"/>
                <w:szCs w:val="20"/>
                <w:color w:val="auto"/>
              </w:rPr>
            </w:pPr>
            <w:r>
              <w:rPr>
                <w:rFonts w:ascii="Arial" w:cs="Arial" w:eastAsia="Arial" w:hAnsi="Arial"/>
                <w:sz w:val="18"/>
                <w:szCs w:val="18"/>
                <w:b w:val="1"/>
                <w:bCs w:val="1"/>
                <w:color w:val="auto"/>
              </w:rPr>
              <w:t>March 31,</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1"/>
        </w:trPr>
        <w:tc>
          <w:tcPr>
            <w:tcW w:w="3260" w:type="dxa"/>
            <w:vAlign w:val="bottom"/>
          </w:tcPr>
          <w:p>
            <w:pPr>
              <w:spacing w:after="0"/>
              <w:rPr>
                <w:sz w:val="19"/>
                <w:szCs w:val="19"/>
                <w:color w:val="auto"/>
              </w:rPr>
            </w:pPr>
          </w:p>
        </w:tc>
        <w:tc>
          <w:tcPr>
            <w:tcW w:w="5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96"/>
        </w:trPr>
        <w:tc>
          <w:tcPr>
            <w:tcW w:w="32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434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33,521</w:t>
            </w:r>
          </w:p>
        </w:tc>
        <w:tc>
          <w:tcPr>
            <w:tcW w:w="2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21,028</w:t>
            </w:r>
          </w:p>
        </w:tc>
        <w:tc>
          <w:tcPr>
            <w:tcW w:w="220" w:type="dxa"/>
            <w:vAlign w:val="bottom"/>
            <w:shd w:val="clear" w:color="auto" w:fill="CFF0FC"/>
          </w:tcPr>
          <w:p>
            <w:pPr>
              <w:spacing w:after="0"/>
              <w:rPr>
                <w:sz w:val="17"/>
                <w:szCs w:val="17"/>
                <w:color w:val="auto"/>
              </w:rPr>
            </w:pPr>
          </w:p>
        </w:tc>
      </w:tr>
      <w:tr>
        <w:trPr>
          <w:trHeight w:val="203"/>
        </w:trPr>
        <w:tc>
          <w:tcPr>
            <w:tcW w:w="3260" w:type="dxa"/>
            <w:vAlign w:val="bottom"/>
          </w:tcPr>
          <w:p>
            <w:pPr>
              <w:ind w:left="20"/>
              <w:spacing w:after="0" w:line="202" w:lineRule="exact"/>
              <w:rPr>
                <w:sz w:val="20"/>
                <w:szCs w:val="20"/>
                <w:color w:val="auto"/>
              </w:rPr>
            </w:pPr>
            <w:r>
              <w:rPr>
                <w:rFonts w:ascii="Arial" w:cs="Arial" w:eastAsia="Arial" w:hAnsi="Arial"/>
                <w:sz w:val="18"/>
                <w:szCs w:val="18"/>
                <w:color w:val="auto"/>
              </w:rPr>
              <w:t>International</w:t>
            </w:r>
          </w:p>
        </w:tc>
        <w:tc>
          <w:tcPr>
            <w:tcW w:w="43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19,544</w:t>
            </w:r>
          </w:p>
        </w:tc>
        <w:tc>
          <w:tcPr>
            <w:tcW w:w="2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12,082</w:t>
            </w:r>
          </w:p>
        </w:tc>
        <w:tc>
          <w:tcPr>
            <w:tcW w:w="220" w:type="dxa"/>
            <w:vAlign w:val="bottom"/>
          </w:tcPr>
          <w:p>
            <w:pPr>
              <w:spacing w:after="0"/>
              <w:rPr>
                <w:sz w:val="17"/>
                <w:szCs w:val="17"/>
                <w:color w:val="auto"/>
              </w:rPr>
            </w:pPr>
          </w:p>
        </w:tc>
      </w:tr>
      <w:tr>
        <w:trPr>
          <w:trHeight w:val="236"/>
        </w:trPr>
        <w:tc>
          <w:tcPr>
            <w:tcW w:w="32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revenue</w:t>
            </w:r>
          </w:p>
        </w:tc>
        <w:tc>
          <w:tcPr>
            <w:tcW w:w="43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90"/>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53,065</w:t>
            </w:r>
          </w:p>
        </w:tc>
        <w:tc>
          <w:tcPr>
            <w:tcW w:w="2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830"/>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8"/>
              </w:rPr>
              <w:t>33,110</w:t>
            </w:r>
          </w:p>
        </w:tc>
        <w:tc>
          <w:tcPr>
            <w:tcW w:w="220" w:type="dxa"/>
            <w:vAlign w:val="bottom"/>
            <w:tcBorders>
              <w:bottom w:val="single" w:sz="8" w:color="CFF0FC"/>
            </w:tcBorders>
            <w:shd w:val="clear" w:color="auto" w:fill="CFF0FC"/>
          </w:tcPr>
          <w:p>
            <w:pPr>
              <w:spacing w:after="0"/>
              <w:rPr>
                <w:sz w:val="20"/>
                <w:szCs w:val="20"/>
                <w:color w:val="auto"/>
              </w:rPr>
            </w:pPr>
          </w:p>
        </w:tc>
      </w:tr>
      <w:tr>
        <w:trPr>
          <w:trHeight w:val="507"/>
        </w:trPr>
        <w:tc>
          <w:tcPr>
            <w:tcW w:w="3260" w:type="dxa"/>
            <w:vAlign w:val="bottom"/>
          </w:tcPr>
          <w:p>
            <w:pPr>
              <w:spacing w:after="0"/>
              <w:rPr>
                <w:sz w:val="24"/>
                <w:szCs w:val="24"/>
                <w:color w:val="auto"/>
              </w:rPr>
            </w:pPr>
          </w:p>
        </w:tc>
        <w:tc>
          <w:tcPr>
            <w:tcW w:w="4340" w:type="dxa"/>
            <w:vAlign w:val="bottom"/>
          </w:tcPr>
          <w:p>
            <w:pPr>
              <w:jc w:val="right"/>
              <w:ind w:right="1790"/>
              <w:spacing w:after="0"/>
              <w:rPr>
                <w:sz w:val="20"/>
                <w:szCs w:val="20"/>
                <w:color w:val="auto"/>
              </w:rPr>
            </w:pPr>
            <w:r>
              <w:rPr>
                <w:rFonts w:ascii="Arial" w:cs="Arial" w:eastAsia="Arial" w:hAnsi="Arial"/>
                <w:sz w:val="18"/>
                <w:szCs w:val="18"/>
                <w:color w:val="auto"/>
              </w:rPr>
              <w:t>12</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1"/>
        </w:trPr>
        <w:tc>
          <w:tcPr>
            <w:tcW w:w="3260" w:type="dxa"/>
            <w:vAlign w:val="bottom"/>
            <w:tcBorders>
              <w:bottom w:val="single" w:sz="8" w:color="9A9A9A"/>
            </w:tcBorders>
          </w:tcPr>
          <w:p>
            <w:pPr>
              <w:spacing w:after="0"/>
              <w:rPr>
                <w:sz w:val="8"/>
                <w:szCs w:val="8"/>
                <w:color w:val="auto"/>
              </w:rPr>
            </w:pPr>
          </w:p>
        </w:tc>
        <w:tc>
          <w:tcPr>
            <w:tcW w:w="43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-436880</wp:posOffset>
            </wp:positionV>
            <wp:extent cx="431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-419100</wp:posOffset>
            </wp:positionV>
            <wp:extent cx="431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-436880</wp:posOffset>
            </wp:positionV>
            <wp:extent cx="431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-419100</wp:posOffset>
            </wp:positionV>
            <wp:extent cx="431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04"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Commissions paid upon the initial acquisition of a contract are deferred and then amortized on a straight-line basis over a period of benefit, determined to be five years. The following table represents a rollforward of the Company’s deferred commissions for the three months ended March 31, 2022 and 2021 (in thousands):</w:t>
      </w:r>
    </w:p>
    <w:p>
      <w:pPr>
        <w:spacing w:after="0" w:line="193" w:lineRule="exact"/>
        <w:rPr>
          <w:sz w:val="20"/>
          <w:szCs w:val="20"/>
          <w:color w:val="auto"/>
        </w:rPr>
      </w:pPr>
    </w:p>
    <w:p>
      <w:pPr>
        <w:jc w:val="center"/>
        <w:ind w:left="7580"/>
        <w:spacing w:after="0"/>
        <w:rPr>
          <w:sz w:val="20"/>
          <w:szCs w:val="20"/>
          <w:color w:val="auto"/>
        </w:rPr>
      </w:pPr>
      <w:r>
        <w:rPr>
          <w:rFonts w:ascii="Arial" w:cs="Arial" w:eastAsia="Arial" w:hAnsi="Arial"/>
          <w:sz w:val="18"/>
          <w:szCs w:val="18"/>
          <w:b w:val="1"/>
          <w:bCs w:val="1"/>
          <w:color w:val="auto"/>
        </w:rPr>
        <w:t>Three Months Ended</w:t>
      </w:r>
    </w:p>
    <w:p>
      <w:pPr>
        <w:jc w:val="center"/>
        <w:ind w:left="7580"/>
        <w:spacing w:after="0" w:line="234" w:lineRule="auto"/>
        <w:rPr>
          <w:sz w:val="20"/>
          <w:szCs w:val="20"/>
          <w:color w:val="auto"/>
        </w:rPr>
      </w:pPr>
      <w:r>
        <w:rPr>
          <w:rFonts w:ascii="Arial" w:cs="Arial" w:eastAsia="Arial" w:hAnsi="Arial"/>
          <w:sz w:val="18"/>
          <w:szCs w:val="18"/>
          <w:b w:val="1"/>
          <w:bCs w:val="1"/>
          <w:color w:val="auto"/>
        </w:rPr>
        <w:t>March 31,</w:t>
      </w:r>
    </w:p>
    <w:tbl>
      <w:tblPr>
        <w:tblLayout w:type="fixed"/>
        <w:tblInd w:w="0" w:type="dxa"/>
        <w:tblCellMar>
          <w:top w:w="0" w:type="dxa"/>
          <w:left w:w="0" w:type="dxa"/>
          <w:bottom w:w="0" w:type="dxa"/>
          <w:right w:w="0" w:type="dxa"/>
        </w:tblCellMar>
      </w:tblPr>
      <w:tr>
        <w:trPr>
          <w:trHeight w:val="202"/>
        </w:trPr>
        <w:tc>
          <w:tcPr>
            <w:tcW w:w="768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0"/>
              <w:spacing w:after="0" w:line="201"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1060" w:type="dxa"/>
            <w:vAlign w:val="bottom"/>
            <w:shd w:val="clear" w:color="auto" w:fill="CFF0FC"/>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28,685</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19,440</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Additions to deferred commissions</w:t>
            </w:r>
          </w:p>
        </w:tc>
        <w:tc>
          <w:tcPr>
            <w:tcW w:w="10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4,421</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2,692</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Amortization of deferred commissions</w:t>
            </w:r>
          </w:p>
        </w:tc>
        <w:tc>
          <w:tcPr>
            <w:tcW w:w="10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w w:val="99"/>
              </w:rPr>
              <w:t>(2,031 )</w:t>
            </w: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(1,423 )</w:t>
            </w:r>
          </w:p>
        </w:tc>
      </w:tr>
      <w:tr>
        <w:trPr>
          <w:trHeight w:val="196"/>
        </w:trPr>
        <w:tc>
          <w:tcPr>
            <w:tcW w:w="76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Ending balance</w:t>
            </w:r>
          </w:p>
        </w:tc>
        <w:tc>
          <w:tcPr>
            <w:tcW w:w="10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31,075</w:t>
            </w:r>
          </w:p>
        </w:tc>
        <w:tc>
          <w:tcPr>
            <w:tcW w:w="26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20,709</w:t>
            </w:r>
          </w:p>
        </w:tc>
        <w:tc>
          <w:tcPr>
            <w:tcW w:w="80" w:type="dxa"/>
            <w:vAlign w:val="bottom"/>
            <w:tcBorders>
              <w:top w:val="single" w:sz="8" w:color="CFF0FC"/>
            </w:tcBorders>
          </w:tcPr>
          <w:p>
            <w:pPr>
              <w:spacing w:after="0"/>
              <w:rPr>
                <w:sz w:val="17"/>
                <w:szCs w:val="17"/>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commissions, current portion</w:t>
            </w:r>
          </w:p>
        </w:tc>
        <w:tc>
          <w:tcPr>
            <w:tcW w:w="10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8,876</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5,990</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Deferred commissions, net of current portion</w:t>
            </w:r>
          </w:p>
        </w:tc>
        <w:tc>
          <w:tcPr>
            <w:tcW w:w="10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22,199</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14,719</w:t>
            </w:r>
          </w:p>
        </w:tc>
        <w:tc>
          <w:tcPr>
            <w:tcW w:w="8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deferred commissions</w:t>
            </w:r>
          </w:p>
        </w:tc>
        <w:tc>
          <w:tcPr>
            <w:tcW w:w="1060" w:type="dxa"/>
            <w:vAlign w:val="bottom"/>
            <w:tcBorders>
              <w:bottom w:val="single" w:sz="8" w:color="auto"/>
            </w:tcBorders>
            <w:shd w:val="clear" w:color="auto" w:fill="CFF0FC"/>
          </w:tcPr>
          <w:p>
            <w:pPr>
              <w:jc w:val="right"/>
              <w:ind w:right="870"/>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8"/>
              </w:rPr>
              <w:t>31,075</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20,709</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-561975</wp:posOffset>
            </wp:positionV>
            <wp:extent cx="5143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-561975</wp:posOffset>
            </wp:positionV>
            <wp:extent cx="5143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51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13"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Components</w:t>
      </w:r>
    </w:p>
    <w:p>
      <w:pPr>
        <w:spacing w:after="0" w:line="10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tables show the Company’s financial statement details as of March 31, 2022 and 2021 and December 31, 2021 and 2020.</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represents the Company's cash, cash equivalents, and restricted cash at each period end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As of March 31,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As of December 31,</w:t>
            </w:r>
          </w:p>
        </w:tc>
        <w:tc>
          <w:tcPr>
            <w:tcW w:w="60" w:type="dxa"/>
            <w:vAlign w:val="bottom"/>
          </w:tcPr>
          <w:p>
            <w:pPr>
              <w:spacing w:after="0"/>
              <w:rPr>
                <w:sz w:val="18"/>
                <w:szCs w:val="18"/>
                <w:color w:val="auto"/>
              </w:rPr>
            </w:pPr>
          </w:p>
        </w:tc>
      </w:tr>
      <w:tr>
        <w:trPr>
          <w:trHeight w:val="221"/>
        </w:trPr>
        <w:tc>
          <w:tcPr>
            <w:tcW w:w="5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9"/>
                <w:szCs w:val="19"/>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300,422</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118,708</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307,445</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117,783</w:t>
            </w:r>
          </w:p>
        </w:tc>
        <w:tc>
          <w:tcPr>
            <w:tcW w:w="60" w:type="dxa"/>
            <w:vAlign w:val="bottom"/>
            <w:shd w:val="clear" w:color="auto" w:fill="CFF0FC"/>
          </w:tcPr>
          <w:p>
            <w:pPr>
              <w:spacing w:after="0"/>
              <w:rPr>
                <w:sz w:val="17"/>
                <w:szCs w:val="17"/>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Restricted cash, current</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1,080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1,080</w:t>
            </w:r>
          </w:p>
        </w:tc>
        <w:tc>
          <w:tcPr>
            <w:tcW w:w="60" w:type="dxa"/>
            <w:vAlign w:val="bottom"/>
          </w:tcPr>
          <w:p>
            <w:pPr>
              <w:spacing w:after="0"/>
              <w:rPr>
                <w:sz w:val="17"/>
                <w:szCs w:val="17"/>
                <w:color w:val="auto"/>
              </w:rPr>
            </w:pPr>
          </w:p>
        </w:tc>
      </w:tr>
      <w:tr>
        <w:trPr>
          <w:trHeight w:val="203"/>
        </w:trPr>
        <w:tc>
          <w:tcPr>
            <w:tcW w:w="57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cash, noncurrent</w:t>
            </w: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850</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850</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760" w:type="dxa"/>
            <w:vAlign w:val="bottom"/>
          </w:tcPr>
          <w:p>
            <w:pPr>
              <w:ind w:left="20"/>
              <w:spacing w:after="0" w:line="182" w:lineRule="exact"/>
              <w:rPr>
                <w:sz w:val="20"/>
                <w:szCs w:val="20"/>
                <w:color w:val="auto"/>
              </w:rPr>
            </w:pPr>
            <w:r>
              <w:rPr>
                <w:rFonts w:ascii="Arial" w:cs="Arial" w:eastAsia="Arial" w:hAnsi="Arial"/>
                <w:sz w:val="18"/>
                <w:szCs w:val="18"/>
                <w:color w:val="auto"/>
              </w:rPr>
              <w:t>Total cash, cash equivalents, and restricted cash</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301,272</w:t>
            </w:r>
          </w:p>
        </w:tc>
        <w:tc>
          <w:tcPr>
            <w:tcW w:w="48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119,788</w:t>
            </w:r>
          </w:p>
        </w:tc>
        <w:tc>
          <w:tcPr>
            <w:tcW w:w="42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308,295</w:t>
            </w:r>
          </w:p>
        </w:tc>
        <w:tc>
          <w:tcPr>
            <w:tcW w:w="48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118,863</w:t>
            </w:r>
          </w:p>
        </w:tc>
        <w:tc>
          <w:tcPr>
            <w:tcW w:w="60" w:type="dxa"/>
            <w:vAlign w:val="bottom"/>
          </w:tcPr>
          <w:p>
            <w:pPr>
              <w:spacing w:after="0"/>
              <w:rPr>
                <w:sz w:val="17"/>
                <w:szCs w:val="17"/>
                <w:color w:val="auto"/>
              </w:rPr>
            </w:pPr>
          </w:p>
        </w:tc>
      </w:tr>
      <w:tr>
        <w:trPr>
          <w:trHeight w:val="20"/>
        </w:trPr>
        <w:tc>
          <w:tcPr>
            <w:tcW w:w="5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-159385</wp:posOffset>
            </wp:positionV>
            <wp:extent cx="431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-159385</wp:posOffset>
            </wp:positionV>
            <wp:extent cx="3429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-159385</wp:posOffset>
            </wp:positionV>
            <wp:extent cx="3429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wp:posOffset>
            </wp:positionV>
            <wp:extent cx="3429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Prepaid expenses and other current assets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Prepaid hosting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prepaid expense and other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As of</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As of</w:t>
            </w:r>
          </w:p>
        </w:tc>
      </w:tr>
      <w:tr>
        <w:trPr>
          <w:trHeight w:val="175"/>
        </w:trPr>
        <w:tc>
          <w:tcPr>
            <w:tcW w:w="260" w:type="dxa"/>
            <w:vAlign w:val="bottom"/>
          </w:tcPr>
          <w:p>
            <w:pPr>
              <w:spacing w:after="0"/>
              <w:rPr>
                <w:sz w:val="15"/>
                <w:szCs w:val="15"/>
                <w:color w:val="auto"/>
              </w:rPr>
            </w:pPr>
          </w:p>
        </w:tc>
        <w:tc>
          <w:tcPr>
            <w:tcW w:w="136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96"/>
              </w:rPr>
              <w:t>March 31,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8"/>
              </w:rPr>
              <w:t>December 31,</w:t>
            </w:r>
          </w:p>
        </w:tc>
      </w:tr>
      <w:tr>
        <w:trPr>
          <w:trHeight w:val="216"/>
        </w:trPr>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r>
      <w:tr>
        <w:trPr>
          <w:trHeight w:val="384"/>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10,777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9,216</w:t>
            </w:r>
          </w:p>
        </w:tc>
      </w:tr>
      <w:tr>
        <w:trPr>
          <w:trHeight w:val="217"/>
        </w:trPr>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10,800</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9,900</w:t>
            </w:r>
          </w:p>
        </w:tc>
      </w:tr>
      <w:tr>
        <w:trPr>
          <w:trHeight w:val="196"/>
        </w:trPr>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21,577</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19,116</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60" w:space="720"/>
            <w:col w:w="3560"/>
          </w:cols>
          <w:pgMar w:left="320" w:top="652" w:right="339" w:bottom="1440" w:gutter="0" w:footer="0" w:header="0"/>
          <w:type w:val="continuous"/>
        </w:sectPr>
      </w:pP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ind w:left="520"/>
              <w:spacing w:after="0"/>
              <w:rPr>
                <w:sz w:val="20"/>
                <w:szCs w:val="20"/>
                <w:color w:val="auto"/>
              </w:rPr>
            </w:pPr>
            <w:r>
              <w:rPr>
                <w:rFonts w:ascii="Arial" w:cs="Arial" w:eastAsia="Arial" w:hAnsi="Arial"/>
                <w:sz w:val="18"/>
                <w:szCs w:val="18"/>
                <w:color w:val="auto"/>
              </w:rPr>
              <w:t>Accrued expenses consisted of the following (in thousands):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7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As of</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As of</w:t>
            </w:r>
          </w:p>
        </w:tc>
        <w:tc>
          <w:tcPr>
            <w:tcW w:w="60" w:type="dxa"/>
            <w:vAlign w:val="bottom"/>
          </w:tcPr>
          <w:p>
            <w:pPr>
              <w:spacing w:after="0"/>
              <w:rPr>
                <w:sz w:val="24"/>
                <w:szCs w:val="24"/>
                <w:color w:val="auto"/>
              </w:rPr>
            </w:pPr>
          </w:p>
        </w:tc>
      </w:tr>
      <w:tr>
        <w:trPr>
          <w:trHeight w:val="175"/>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96"/>
              </w:rPr>
              <w:t>March 31,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5"/>
                <w:szCs w:val="15"/>
                <w:color w:val="auto"/>
              </w:rPr>
            </w:pPr>
          </w:p>
        </w:tc>
      </w:tr>
      <w:tr>
        <w:trPr>
          <w:trHeight w:val="216"/>
        </w:trPr>
        <w:tc>
          <w:tcPr>
            <w:tcW w:w="7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60" w:type="dxa"/>
            <w:vAlign w:val="bottom"/>
          </w:tcPr>
          <w:p>
            <w:pPr>
              <w:spacing w:after="0"/>
              <w:rPr>
                <w:sz w:val="18"/>
                <w:szCs w:val="18"/>
                <w:color w:val="auto"/>
              </w:rPr>
            </w:pPr>
          </w:p>
        </w:tc>
      </w:t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commission</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4,719</w:t>
            </w:r>
          </w:p>
        </w:tc>
        <w:tc>
          <w:tcPr>
            <w:tcW w:w="4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4,708</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Accrued payroll and employee related taxes</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1,568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2,689</w:t>
            </w:r>
          </w:p>
        </w:tc>
        <w:tc>
          <w:tcPr>
            <w:tcW w:w="6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sales tax</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267</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932</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Liability from early exercised stock options</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2,974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3,708</w:t>
            </w:r>
          </w:p>
        </w:tc>
        <w:tc>
          <w:tcPr>
            <w:tcW w:w="6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2021 Employee Stock Purchase Plan withholding</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3,499</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981</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 current</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3,795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5,875</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4,918</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0"/>
              <w:spacing w:after="0" w:line="182" w:lineRule="exact"/>
              <w:rPr>
                <w:sz w:val="20"/>
                <w:szCs w:val="20"/>
                <w:color w:val="auto"/>
              </w:rPr>
            </w:pPr>
            <w:r>
              <w:rPr>
                <w:rFonts w:ascii="Arial" w:cs="Arial" w:eastAsia="Arial" w:hAnsi="Arial"/>
                <w:sz w:val="18"/>
                <w:szCs w:val="18"/>
                <w:color w:val="auto"/>
              </w:rPr>
              <w:t>Total accrued expenses</w:t>
            </w:r>
          </w:p>
        </w:tc>
        <w:tc>
          <w:tcPr>
            <w:tcW w:w="260" w:type="dxa"/>
            <w:vAlign w:val="bottom"/>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182" w:lineRule="exact"/>
              <w:rPr>
                <w:sz w:val="20"/>
                <w:szCs w:val="20"/>
                <w:color w:val="auto"/>
              </w:rPr>
            </w:pPr>
            <w:r>
              <w:rPr>
                <w:rFonts w:ascii="Arial" w:cs="Arial" w:eastAsia="Arial" w:hAnsi="Arial"/>
                <w:sz w:val="18"/>
                <w:szCs w:val="18"/>
                <w:color w:val="auto"/>
              </w:rPr>
              <w:t>22,697</w:t>
            </w:r>
          </w:p>
        </w:tc>
        <w:tc>
          <w:tcPr>
            <w:tcW w:w="44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82" w:lineRule="exact"/>
              <w:rPr>
                <w:sz w:val="20"/>
                <w:szCs w:val="20"/>
                <w:color w:val="auto"/>
              </w:rPr>
            </w:pPr>
            <w:r>
              <w:rPr>
                <w:rFonts w:ascii="Arial" w:cs="Arial" w:eastAsia="Arial" w:hAnsi="Arial"/>
                <w:sz w:val="18"/>
                <w:szCs w:val="18"/>
                <w:color w:val="auto"/>
              </w:rPr>
              <w:t>17,936</w:t>
            </w:r>
          </w:p>
        </w:tc>
        <w:tc>
          <w:tcPr>
            <w:tcW w:w="6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-159385</wp:posOffset>
            </wp:positionV>
            <wp:extent cx="4318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13" w:lineRule="exact"/>
        <w:rPr>
          <w:sz w:val="20"/>
          <w:szCs w:val="20"/>
          <w:color w:val="auto"/>
        </w:rPr>
      </w:pPr>
    </w:p>
    <w:p>
      <w:pPr>
        <w:jc w:val="both"/>
        <w:ind w:right="8320" w:firstLine="8"/>
        <w:spacing w:after="0" w:line="434" w:lineRule="auto"/>
        <w:tabs>
          <w:tab w:leader="none" w:pos="509"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Intangible Assets and Goodwill </w:t>
      </w:r>
      <w:r>
        <w:rPr>
          <w:rFonts w:ascii="Arial" w:cs="Arial" w:eastAsia="Arial" w:hAnsi="Arial"/>
          <w:sz w:val="15"/>
          <w:szCs w:val="15"/>
          <w:b w:val="1"/>
          <w:bCs w:val="1"/>
          <w:i w:val="1"/>
          <w:iCs w:val="1"/>
          <w:color w:val="auto"/>
        </w:rPr>
        <w:t>Intangible Assets Other Than Goodwill</w:t>
      </w:r>
    </w:p>
    <w:p>
      <w:pPr>
        <w:spacing w:after="0" w:line="1" w:lineRule="exact"/>
        <w:rPr>
          <w:rFonts w:ascii="Arial" w:cs="Arial" w:eastAsia="Arial" w:hAnsi="Arial"/>
          <w:sz w:val="15"/>
          <w:szCs w:val="15"/>
          <w:b w:val="1"/>
          <w:bCs w:val="1"/>
          <w:color w:val="auto"/>
        </w:rPr>
      </w:pPr>
    </w:p>
    <w:p>
      <w:pPr>
        <w:ind w:left="520"/>
        <w:spacing w:after="0"/>
        <w:rPr>
          <w:rFonts w:ascii="Arial" w:cs="Arial" w:eastAsia="Arial" w:hAnsi="Arial"/>
          <w:sz w:val="15"/>
          <w:szCs w:val="15"/>
          <w:b w:val="1"/>
          <w:bCs w:val="1"/>
          <w:color w:val="auto"/>
        </w:rPr>
      </w:pPr>
      <w:r>
        <w:rPr>
          <w:rFonts w:ascii="Arial" w:cs="Arial" w:eastAsia="Arial" w:hAnsi="Arial"/>
          <w:sz w:val="18"/>
          <w:szCs w:val="18"/>
          <w:color w:val="auto"/>
        </w:rPr>
        <w:t>Intangible assets, net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b w:val="1"/>
                <w:bCs w:val="1"/>
                <w:color w:val="auto"/>
                <w:w w:val="89"/>
              </w:rPr>
              <w:t>As of March 31, 2022</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gridSpan w:val="6"/>
          </w:tcPr>
          <w:p>
            <w:pPr>
              <w:jc w:val="right"/>
              <w:ind w:right="797"/>
              <w:spacing w:after="0"/>
              <w:rPr>
                <w:sz w:val="20"/>
                <w:szCs w:val="20"/>
                <w:color w:val="auto"/>
              </w:rPr>
            </w:pPr>
            <w:r>
              <w:rPr>
                <w:rFonts w:ascii="Arial" w:cs="Arial" w:eastAsia="Arial" w:hAnsi="Arial"/>
                <w:sz w:val="18"/>
                <w:szCs w:val="18"/>
                <w:b w:val="1"/>
                <w:bCs w:val="1"/>
                <w:color w:val="auto"/>
              </w:rPr>
              <w:t>As of December 31, 2021</w:t>
            </w:r>
          </w:p>
        </w:tc>
        <w:tc>
          <w:tcPr>
            <w:tcW w:w="0" w:type="dxa"/>
            <w:vAlign w:val="bottom"/>
          </w:tcPr>
          <w:p>
            <w:pPr>
              <w:spacing w:after="0"/>
              <w:rPr>
                <w:sz w:val="1"/>
                <w:szCs w:val="1"/>
                <w:color w:val="auto"/>
              </w:rPr>
            </w:pPr>
          </w:p>
        </w:tc>
      </w:tr>
      <w:tr>
        <w:trPr>
          <w:trHeight w:val="133"/>
        </w:trPr>
        <w:tc>
          <w:tcPr>
            <w:tcW w:w="2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Borders>
              <w:top w:val="single" w:sz="8" w:color="auto"/>
            </w:tcBorders>
            <w:vMerge w:val="restart"/>
          </w:tcPr>
          <w:p>
            <w:pPr>
              <w:jc w:val="right"/>
              <w:ind w:right="117"/>
              <w:spacing w:after="0"/>
              <w:rPr>
                <w:sz w:val="20"/>
                <w:szCs w:val="20"/>
                <w:color w:val="auto"/>
              </w:rPr>
            </w:pPr>
            <w:r>
              <w:rPr>
                <w:rFonts w:ascii="Arial" w:cs="Arial" w:eastAsia="Arial" w:hAnsi="Arial"/>
                <w:sz w:val="14"/>
                <w:szCs w:val="14"/>
                <w:b w:val="1"/>
                <w:bCs w:val="1"/>
                <w:color w:val="auto"/>
              </w:rPr>
              <w:t>Accumulated</w:t>
            </w:r>
          </w:p>
        </w:tc>
        <w:tc>
          <w:tcPr>
            <w:tcW w:w="220" w:type="dxa"/>
            <w:vAlign w:val="bottom"/>
            <w:vMerge w:val="restart"/>
          </w:tcPr>
          <w:p>
            <w:pPr>
              <w:spacing w:after="0"/>
              <w:rPr>
                <w:sz w:val="11"/>
                <w:szCs w:val="11"/>
                <w:color w:val="auto"/>
              </w:rPr>
            </w:pPr>
          </w:p>
        </w:tc>
        <w:tc>
          <w:tcPr>
            <w:tcW w:w="1100" w:type="dxa"/>
            <w:vAlign w:val="bottom"/>
            <w:tcBorders>
              <w:top w:val="single" w:sz="8" w:color="auto"/>
            </w:tcBorders>
            <w:vMerge w:val="restart"/>
          </w:tcPr>
          <w:p>
            <w:pPr>
              <w:jc w:val="right"/>
              <w:ind w:right="77"/>
              <w:spacing w:after="0"/>
              <w:rPr>
                <w:sz w:val="20"/>
                <w:szCs w:val="20"/>
                <w:color w:val="auto"/>
              </w:rPr>
            </w:pPr>
            <w:r>
              <w:rPr>
                <w:rFonts w:ascii="Arial" w:cs="Arial" w:eastAsia="Arial" w:hAnsi="Arial"/>
                <w:sz w:val="14"/>
                <w:szCs w:val="14"/>
                <w:b w:val="1"/>
                <w:bCs w:val="1"/>
                <w:color w:val="auto"/>
              </w:rPr>
              <w:t>Net Carrying</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102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4"/>
                <w:szCs w:val="14"/>
                <w:b w:val="1"/>
                <w:bCs w:val="1"/>
                <w:color w:val="auto"/>
              </w:rPr>
              <w:t>Accumulated</w:t>
            </w:r>
          </w:p>
        </w:tc>
        <w:tc>
          <w:tcPr>
            <w:tcW w:w="200" w:type="dxa"/>
            <w:vAlign w:val="bottom"/>
            <w:gridSpan w:val="2"/>
            <w:vMerge w:val="restart"/>
          </w:tcPr>
          <w:p>
            <w:pPr>
              <w:spacing w:after="0"/>
              <w:rPr>
                <w:sz w:val="11"/>
                <w:szCs w:val="11"/>
                <w:color w:val="auto"/>
              </w:rPr>
            </w:pPr>
          </w:p>
        </w:tc>
        <w:tc>
          <w:tcPr>
            <w:tcW w:w="1300" w:type="dxa"/>
            <w:vAlign w:val="bottom"/>
            <w:tcBorders>
              <w:top w:val="single" w:sz="8" w:color="auto"/>
            </w:tcBorders>
            <w:vMerge w:val="restart"/>
          </w:tcPr>
          <w:p>
            <w:pPr>
              <w:jc w:val="right"/>
              <w:ind w:right="217"/>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Amortization</w:t>
            </w:r>
          </w:p>
        </w:tc>
        <w:tc>
          <w:tcPr>
            <w:tcW w:w="200" w:type="dxa"/>
            <w:vAlign w:val="bottom"/>
            <w:gridSpan w:val="2"/>
          </w:tcPr>
          <w:p>
            <w:pPr>
              <w:spacing w:after="0"/>
              <w:rPr>
                <w:sz w:val="14"/>
                <w:szCs w:val="14"/>
                <w:color w:val="auto"/>
              </w:rPr>
            </w:pPr>
          </w:p>
        </w:tc>
        <w:tc>
          <w:tcPr>
            <w:tcW w:w="13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Developed technology</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5,550</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(2,759 ) $</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2,791</w:t>
            </w:r>
          </w:p>
        </w:tc>
        <w:tc>
          <w:tcPr>
            <w:tcW w:w="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5,550</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(2,303 ) $</w:t>
            </w:r>
          </w:p>
        </w:tc>
        <w:tc>
          <w:tcPr>
            <w:tcW w:w="13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3,247</w:t>
            </w:r>
          </w:p>
        </w:tc>
        <w:tc>
          <w:tcPr>
            <w:tcW w:w="0" w:type="dxa"/>
            <w:vAlign w:val="bottom"/>
          </w:tcPr>
          <w:p>
            <w:pPr>
              <w:spacing w:after="0"/>
              <w:rPr>
                <w:sz w:val="1"/>
                <w:szCs w:val="1"/>
                <w:color w:val="auto"/>
              </w:rPr>
            </w:pPr>
          </w:p>
        </w:tc>
      </w:tr>
      <w:tr>
        <w:trPr>
          <w:trHeight w:val="203"/>
        </w:trPr>
        <w:tc>
          <w:tcPr>
            <w:tcW w:w="2560" w:type="dxa"/>
            <w:vAlign w:val="bottom"/>
          </w:tcPr>
          <w:p>
            <w:pPr>
              <w:ind w:left="20"/>
              <w:spacing w:after="0" w:line="202" w:lineRule="exact"/>
              <w:rPr>
                <w:sz w:val="20"/>
                <w:szCs w:val="20"/>
                <w:color w:val="auto"/>
              </w:rPr>
            </w:pPr>
            <w:r>
              <w:rPr>
                <w:rFonts w:ascii="Arial" w:cs="Arial" w:eastAsia="Arial" w:hAnsi="Arial"/>
                <w:sz w:val="18"/>
                <w:szCs w:val="18"/>
                <w:color w:val="auto"/>
              </w:rPr>
              <w:t>Customer related</w:t>
            </w:r>
          </w:p>
        </w:tc>
        <w:tc>
          <w:tcPr>
            <w:tcW w:w="9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76"/>
              <w:spacing w:after="0" w:line="202" w:lineRule="exact"/>
              <w:rPr>
                <w:sz w:val="20"/>
                <w:szCs w:val="20"/>
                <w:color w:val="auto"/>
              </w:rPr>
            </w:pPr>
            <w:r>
              <w:rPr>
                <w:rFonts w:ascii="Arial" w:cs="Arial" w:eastAsia="Arial" w:hAnsi="Arial"/>
                <w:sz w:val="18"/>
                <w:szCs w:val="18"/>
                <w:color w:val="auto"/>
              </w:rPr>
              <w:t>(126 )</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274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20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(93 )</w:t>
            </w: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ind w:left="200"/>
              <w:spacing w:after="0" w:line="182" w:lineRule="exact"/>
              <w:rPr>
                <w:sz w:val="20"/>
                <w:szCs w:val="20"/>
                <w:color w:val="auto"/>
              </w:rPr>
            </w:pPr>
            <w:r>
              <w:rPr>
                <w:rFonts w:ascii="Arial" w:cs="Arial" w:eastAsia="Arial" w:hAnsi="Arial"/>
                <w:sz w:val="18"/>
                <w:szCs w:val="18"/>
                <w:color w:val="auto"/>
              </w:rPr>
              <w:t>Intangible assets, net</w:t>
            </w:r>
          </w:p>
        </w:tc>
        <w:tc>
          <w:tcPr>
            <w:tcW w:w="9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5,950</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(2,885</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3"/>
                <w:szCs w:val="13"/>
                <w:color w:val="auto"/>
              </w:rPr>
              <w:t xml:space="preserve"> $</w:t>
            </w:r>
          </w:p>
        </w:tc>
        <w:tc>
          <w:tcPr>
            <w:tcW w:w="11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3,065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5,950</w:t>
            </w:r>
          </w:p>
        </w:tc>
        <w:tc>
          <w:tcPr>
            <w:tcW w:w="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(2,396</w:t>
            </w:r>
          </w:p>
        </w:tc>
        <w:tc>
          <w:tcPr>
            <w:tcW w:w="20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w w:val="75"/>
              </w:rPr>
              <w:t>) $</w:t>
            </w:r>
          </w:p>
        </w:tc>
        <w:tc>
          <w:tcPr>
            <w:tcW w:w="1300" w:type="dxa"/>
            <w:vAlign w:val="bottom"/>
            <w:tcBorders>
              <w:top w:val="single" w:sz="8" w:color="auto"/>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-869315</wp:posOffset>
            </wp:positionV>
            <wp:extent cx="102235" cy="3340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235" cy="334010"/>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-869315</wp:posOffset>
            </wp:positionV>
            <wp:extent cx="85090" cy="3340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090" cy="334010"/>
                    </a:xfrm>
                    <a:prstGeom prst="rect">
                      <a:avLst/>
                    </a:prstGeom>
                    <a:noFill/>
                  </pic:spPr>
                </pic:pic>
              </a:graphicData>
            </a:graphic>
          </wp:anchor>
        </w:drawing>
        <w:drawing>
          <wp:anchor simplePos="0" relativeHeight="251657728" behindDoc="1" locked="0" layoutInCell="0" allowOverlap="1">
            <wp:simplePos x="0" y="0"/>
            <wp:positionH relativeFrom="column">
              <wp:posOffset>4672965</wp:posOffset>
            </wp:positionH>
            <wp:positionV relativeFrom="paragraph">
              <wp:posOffset>-869315</wp:posOffset>
            </wp:positionV>
            <wp:extent cx="68580" cy="3340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334010"/>
                    </a:xfrm>
                    <a:prstGeom prst="rect">
                      <a:avLst/>
                    </a:prstGeom>
                    <a:noFill/>
                  </pic:spPr>
                </pic:pic>
              </a:graphicData>
            </a:graphic>
          </wp:anchor>
        </w:drawing>
        <w:drawing>
          <wp:anchor simplePos="0" relativeHeight="251657728" behindDoc="1" locked="0" layoutInCell="0" allowOverlap="1">
            <wp:simplePos x="0" y="0"/>
            <wp:positionH relativeFrom="column">
              <wp:posOffset>5393055</wp:posOffset>
            </wp:positionH>
            <wp:positionV relativeFrom="paragraph">
              <wp:posOffset>-869315</wp:posOffset>
            </wp:positionV>
            <wp:extent cx="93980" cy="3340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3980" cy="334010"/>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-869315</wp:posOffset>
            </wp:positionV>
            <wp:extent cx="76835" cy="3340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33401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-869315</wp:posOffset>
            </wp:positionV>
            <wp:extent cx="68580" cy="3340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33401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-24765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-7620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-24765</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431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431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Amortization expense of intangible assets was $0.5 million and $0.2 million for the three months ended March 31, 2022 and 2021, respectively.</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2022, future amortization expense is expected to be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8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Remainder of 2022</w:t>
            </w:r>
          </w:p>
        </w:tc>
        <w:tc>
          <w:tcPr>
            <w:tcW w:w="57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5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1,239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57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5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57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80" w:type="dxa"/>
            <w:vAlign w:val="bottom"/>
          </w:tcPr>
          <w:p>
            <w:pPr>
              <w:ind w:left="200"/>
              <w:spacing w:after="0" w:line="182" w:lineRule="exact"/>
              <w:rPr>
                <w:sz w:val="20"/>
                <w:szCs w:val="20"/>
                <w:color w:val="auto"/>
              </w:rPr>
            </w:pPr>
            <w:r>
              <w:rPr>
                <w:rFonts w:ascii="Arial" w:cs="Arial" w:eastAsia="Arial" w:hAnsi="Arial"/>
                <w:sz w:val="18"/>
                <w:szCs w:val="18"/>
                <w:color w:val="auto"/>
              </w:rPr>
              <w:t>Total</w:t>
            </w:r>
          </w:p>
        </w:tc>
        <w:tc>
          <w:tcPr>
            <w:tcW w:w="6100" w:type="dxa"/>
            <w:vAlign w:val="bottom"/>
            <w:gridSpan w:val="2"/>
          </w:tcPr>
          <w:p>
            <w:pPr>
              <w:jc w:val="right"/>
              <w:ind w:right="190"/>
              <w:spacing w:after="0" w:line="182" w:lineRule="exact"/>
              <w:rPr>
                <w:sz w:val="20"/>
                <w:szCs w:val="20"/>
                <w:color w:val="auto"/>
              </w:rPr>
            </w:pPr>
            <w:r>
              <w:rPr>
                <w:rFonts w:ascii="Arial" w:cs="Arial" w:eastAsia="Arial" w:hAnsi="Arial"/>
                <w:sz w:val="18"/>
                <w:szCs w:val="18"/>
                <w:color w:val="auto"/>
              </w:rPr>
              <w:t>$</w:t>
            </w:r>
          </w:p>
        </w:tc>
        <w:tc>
          <w:tcPr>
            <w:tcW w:w="1600" w:type="dxa"/>
            <w:vAlign w:val="bottom"/>
          </w:tcPr>
          <w:p>
            <w:pPr>
              <w:jc w:val="right"/>
              <w:spacing w:after="0" w:line="182" w:lineRule="exact"/>
              <w:rPr>
                <w:sz w:val="20"/>
                <w:szCs w:val="20"/>
                <w:color w:val="auto"/>
              </w:rPr>
            </w:pPr>
            <w:r>
              <w:rPr>
                <w:rFonts w:ascii="Arial" w:cs="Arial" w:eastAsia="Arial" w:hAnsi="Arial"/>
                <w:sz w:val="18"/>
                <w:szCs w:val="18"/>
                <w:color w:val="auto"/>
              </w:rPr>
              <w:t>3,065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5720" w:type="dxa"/>
            <w:vAlign w:val="bottom"/>
            <w:vMerge w:val="restart"/>
          </w:tcPr>
          <w:p>
            <w:pPr>
              <w:jc w:val="right"/>
              <w:ind w:right="3390"/>
              <w:spacing w:after="0"/>
              <w:rPr>
                <w:sz w:val="20"/>
                <w:szCs w:val="20"/>
                <w:color w:val="auto"/>
              </w:rPr>
            </w:pPr>
            <w:r>
              <w:rPr>
                <w:rFonts w:ascii="Arial" w:cs="Arial" w:eastAsia="Arial" w:hAnsi="Arial"/>
                <w:sz w:val="18"/>
                <w:szCs w:val="18"/>
                <w:color w:val="auto"/>
              </w:rPr>
              <w:t>14</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3480" w:type="dxa"/>
            <w:vAlign w:val="bottom"/>
          </w:tcPr>
          <w:p>
            <w:pPr>
              <w:spacing w:after="0"/>
              <w:rPr>
                <w:sz w:val="24"/>
                <w:szCs w:val="24"/>
                <w:color w:val="auto"/>
              </w:rPr>
            </w:pPr>
          </w:p>
        </w:tc>
        <w:tc>
          <w:tcPr>
            <w:tcW w:w="57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80" w:type="dxa"/>
            <w:vAlign w:val="bottom"/>
            <w:tcBorders>
              <w:bottom w:val="single" w:sz="8" w:color="9A9A9A"/>
            </w:tcBorders>
          </w:tcPr>
          <w:p>
            <w:pPr>
              <w:spacing w:after="0"/>
              <w:rPr>
                <w:sz w:val="8"/>
                <w:szCs w:val="8"/>
                <w:color w:val="auto"/>
              </w:rPr>
            </w:pPr>
          </w:p>
        </w:tc>
        <w:tc>
          <w:tcPr>
            <w:tcW w:w="57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-725170</wp:posOffset>
            </wp:positionV>
            <wp:extent cx="431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4" w:name="page15"/>
    <w:bookmarkEnd w:id="14"/>
    <w:p>
      <w:pPr>
        <w:ind w:right="6260" w:firstLine="8"/>
        <w:spacing w:after="0" w:line="362" w:lineRule="auto"/>
        <w:tabs>
          <w:tab w:leader="none" w:pos="509"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(Deficit) and Equity Incentive Plans </w:t>
      </w:r>
      <w:r>
        <w:rPr>
          <w:rFonts w:ascii="Arial" w:cs="Arial" w:eastAsia="Arial" w:hAnsi="Arial"/>
          <w:sz w:val="18"/>
          <w:szCs w:val="18"/>
          <w:b w:val="1"/>
          <w:bCs w:val="1"/>
          <w:i w:val="1"/>
          <w:iCs w:val="1"/>
          <w:color w:val="auto"/>
        </w:rPr>
        <w:t>Preferred stock</w:t>
      </w:r>
    </w:p>
    <w:p>
      <w:pPr>
        <w:spacing w:after="0" w:line="1" w:lineRule="exact"/>
        <w:rPr>
          <w:sz w:val="20"/>
          <w:szCs w:val="20"/>
          <w:color w:val="auto"/>
        </w:rPr>
      </w:pPr>
    </w:p>
    <w:p>
      <w:pPr>
        <w:ind w:right="160" w:firstLine="509"/>
        <w:spacing w:after="0" w:line="270" w:lineRule="auto"/>
        <w:rPr>
          <w:sz w:val="20"/>
          <w:szCs w:val="20"/>
          <w:color w:val="auto"/>
        </w:rPr>
      </w:pPr>
      <w:r>
        <w:rPr>
          <w:rFonts w:ascii="Arial" w:cs="Arial" w:eastAsia="Arial" w:hAnsi="Arial"/>
          <w:sz w:val="17"/>
          <w:szCs w:val="17"/>
          <w:color w:val="auto"/>
        </w:rPr>
        <w:t>In connection with the Direct Listing, on September 21, 2021, an amended and restated certificate of incorporation of the Company was filed with the Secretary of State of the State of Delaware, which authorized the issuance of 20 million shares of undesignated preferred stock with a par value of $0.00001 per share and rights and preferences, including voting rights, designated from time to time by the board of directors.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04"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Company has two classes of common stock: Class A common stock and Class B common stock. The Company's amended and restated certificate of incorporation authorizes the issuance of 600 million shares of Class A common stock and 600 million shares of Class B common stock. The shares of Class A common stock and Class B common stock are identical, except with respect to voting, conversion, and transfer rights. Each share of Class A common stock is entitled to one vote. Each share of Class B common stock is entitled to five votes. Class A and Class B common stock each have a par value of $0.00001 per share, and are referred to as common stock throughout the notes to the condensed consolidated financial statements, unless otherwise noted. Holders of common stock are entitled to receive any dividends whenever funds are legally available and if declared by the board of directors.</w:t>
      </w:r>
    </w:p>
    <w:p>
      <w:pPr>
        <w:spacing w:after="0" w:line="83"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Shares of Class B common stock may be converted to Class A common stock at any time at the option of the stockholder. Shares of Class B common stock will also automatically convert into one share of Class A common stock upon any transfer, except for certain permitted transfers described in the Company's amended and restated certificate of incorporation. In addition, each share of Class B common stock held by the Company's three cofounders (or any of such founder’s affiliates) will convert automatically into one share of Class A common stock on the earlier of: (i) the death or incapacity of such founder or (ii) the date that is six months following the date on which such founder is no longer an employee or director of the Company (unless such founder has rejoined the Company during such six-month period). Each outstanding share of the Company's Class B common stock will also convert automatically into one share of Class A common stock on the date that is six months following the date on which no founder is an employee or director of the Company (unless a founder has rejoined the Company during such six-month period). In addition, any transfer by a founder (or such founder’s affiliates) to one or more of the other founders (or such founders’ affiliates) will not result in the automatic conversion of such shares of Class B common stock to Class A common stock. Once converted into Class A common stock, the Class B common stock may not be reissued.</w:t>
      </w:r>
    </w:p>
    <w:p>
      <w:pPr>
        <w:sectPr>
          <w:pgSz w:w="11900" w:h="16838" w:orient="portrait"/>
          <w:cols w:equalWidth="0" w:num="1">
            <w:col w:w="11200"/>
          </w:cols>
          <w:pgMar w:left="320" w:top="675" w:right="379" w:bottom="1440" w:gutter="0" w:footer="0" w:header="0"/>
        </w:sectPr>
      </w:pP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has reserved shares of its common stock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2014 Stock Option and Grant Plan and 2021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Equity plan stock options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0"/>
        <w:spacing w:after="0" w:line="234" w:lineRule="auto"/>
        <w:rPr>
          <w:sz w:val="20"/>
          <w:szCs w:val="20"/>
          <w:color w:val="auto"/>
        </w:rPr>
      </w:pPr>
      <w:r>
        <w:rPr>
          <w:rFonts w:ascii="Arial" w:cs="Arial" w:eastAsia="Arial" w:hAnsi="Arial"/>
          <w:sz w:val="18"/>
          <w:szCs w:val="18"/>
          <w:color w:val="auto"/>
        </w:rPr>
        <w:t>RSUs outstanding</w:t>
      </w:r>
    </w:p>
    <w:p>
      <w:pPr>
        <w:ind w:left="200"/>
        <w:spacing w:after="0" w:line="235" w:lineRule="auto"/>
        <w:rPr>
          <w:sz w:val="20"/>
          <w:szCs w:val="20"/>
          <w:color w:val="auto"/>
        </w:rPr>
      </w:pPr>
      <w:r>
        <w:rPr>
          <w:rFonts w:ascii="Arial" w:cs="Arial" w:eastAsia="Arial" w:hAnsi="Arial"/>
          <w:sz w:val="18"/>
          <w:szCs w:val="18"/>
          <w:color w:val="auto"/>
        </w:rPr>
        <w:t>Shares available for future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2021 Employee Stock Purchase Plan:</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available for future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reserved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As of</w:t>
      </w:r>
    </w:p>
    <w:p>
      <w:pPr>
        <w:spacing w:after="0" w:line="203" w:lineRule="auto"/>
        <w:rPr>
          <w:sz w:val="20"/>
          <w:szCs w:val="20"/>
          <w:color w:val="auto"/>
        </w:rPr>
      </w:pPr>
      <w:r>
        <w:rPr>
          <w:rFonts w:ascii="Arial" w:cs="Arial" w:eastAsia="Arial" w:hAnsi="Arial"/>
          <w:sz w:val="18"/>
          <w:szCs w:val="18"/>
          <w:b w:val="1"/>
          <w:bCs w:val="1"/>
          <w:color w:val="auto"/>
        </w:rPr>
        <w:t>March 31,</w:t>
      </w:r>
    </w:p>
    <w:p>
      <w:pPr>
        <w:ind w:left="240"/>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-3175</wp:posOffset>
            </wp:positionV>
            <wp:extent cx="1028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18,076,050</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4,090,669</w:t>
      </w:r>
    </w:p>
    <w:p>
      <w:pPr>
        <w:jc w:val="right"/>
        <w:spacing w:after="0"/>
        <w:rPr>
          <w:sz w:val="20"/>
          <w:szCs w:val="20"/>
          <w:color w:val="auto"/>
        </w:rPr>
      </w:pPr>
      <w:r>
        <w:rPr>
          <w:rFonts w:ascii="Arial" w:cs="Arial" w:eastAsia="Arial" w:hAnsi="Arial"/>
          <w:sz w:val="18"/>
          <w:szCs w:val="18"/>
          <w:color w:val="auto"/>
        </w:rPr>
        <w:t>23,630,605</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3,762,132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6350</wp:posOffset>
            </wp:positionV>
            <wp:extent cx="1028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49,559,456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 of</w:t>
      </w:r>
    </w:p>
    <w:p>
      <w:pPr>
        <w:spacing w:after="0" w:line="203" w:lineRule="auto"/>
        <w:rPr>
          <w:sz w:val="20"/>
          <w:szCs w:val="20"/>
          <w:color w:val="auto"/>
        </w:rPr>
      </w:pPr>
      <w:r>
        <w:rPr>
          <w:rFonts w:ascii="Arial" w:cs="Arial" w:eastAsia="Arial" w:hAnsi="Arial"/>
          <w:sz w:val="18"/>
          <w:szCs w:val="18"/>
          <w:b w:val="1"/>
          <w:bCs w:val="1"/>
          <w:color w:val="auto"/>
        </w:rPr>
        <w:t>December 31,</w:t>
      </w:r>
    </w:p>
    <w:p>
      <w:pPr>
        <w:ind w:left="360"/>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-3175</wp:posOffset>
            </wp:positionV>
            <wp:extent cx="1028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37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21,214,155</w:t>
      </w:r>
    </w:p>
    <w:p>
      <w:pPr>
        <w:spacing w:after="0" w:line="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1,716,614</w:t>
      </w:r>
    </w:p>
    <w:p>
      <w:pPr>
        <w:jc w:val="right"/>
        <w:ind w:right="40"/>
        <w:spacing w:after="0"/>
        <w:rPr>
          <w:sz w:val="20"/>
          <w:szCs w:val="20"/>
          <w:color w:val="auto"/>
        </w:rPr>
      </w:pPr>
      <w:r>
        <w:rPr>
          <w:rFonts w:ascii="Arial" w:cs="Arial" w:eastAsia="Arial" w:hAnsi="Arial"/>
          <w:sz w:val="18"/>
          <w:szCs w:val="18"/>
          <w:color w:val="auto"/>
        </w:rPr>
        <w:t>19,005,008</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2,663,371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20955</wp:posOffset>
            </wp:positionV>
            <wp:extent cx="1028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44,599,148</w:t>
      </w:r>
    </w:p>
    <w:p>
      <w:pPr>
        <w:spacing w:after="0" w:line="226" w:lineRule="exact"/>
        <w:rPr>
          <w:sz w:val="20"/>
          <w:szCs w:val="20"/>
          <w:color w:val="auto"/>
        </w:rPr>
      </w:pPr>
    </w:p>
    <w:p>
      <w:pPr>
        <w:sectPr>
          <w:pgSz w:w="11900" w:h="16838" w:orient="portrait"/>
          <w:cols w:equalWidth="0" w:num="3">
            <w:col w:w="7380" w:space="720"/>
            <w:col w:w="1200" w:space="520"/>
            <w:col w:w="1380"/>
          </w:cols>
          <w:pgMar w:left="320" w:top="675" w:right="379" w:bottom="1440" w:gutter="0" w:footer="0" w:header="0"/>
          <w:type w:val="continuous"/>
        </w:sect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75" w:right="3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Stock Option and Grant Plan</w:t>
      </w:r>
    </w:p>
    <w:p>
      <w:pPr>
        <w:spacing w:after="0" w:line="104"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In December 2014, the Company adopted its 2014 Stock Option and Grant Plan (as amended, the “2014 Plan”), pursuant to which shares of the Company’s common stock were reserved for the issuance of stock options (incentive and non-statutory), restricted stock units ("RSUs"), and restricted stock to employees, directors, and consultants under terms and provisions established by the board of directors and approved by the Company’s stockholders. The 2014 Plan was terminated in September 2021 in connection with the Direct Listing but continues to govern the terms of outstanding awards that were granted prior to the termination of the 2014 Plan. No further equity awards will be granted under the 2014 Plan. With the establishment of the 2021 Incentive Award Plan (the "2021 Plan") as further discussed below, upon the expiration, forfeiture, cancellation, or reacquisition of any shares of Class A common stock underlying outstanding stock-based awards granted under the 2014 Plan, an equal number of shares of Class A common stock will become available for grant under the 2021 Plan.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Incentive Award Plan</w:t>
      </w:r>
    </w:p>
    <w:p>
      <w:pPr>
        <w:spacing w:after="0" w:line="104"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In August 2021, the Company's board of directors adopted, and its stockholders approved, the 2021 Plan, which became effective in connection with the Direct Listing. The 2021 Plan provides for the grant of incentive stock options, nonqualified stock options, stock appreciation rights, restricted stock awards, RSU awards, performance bonus awards, performance stock units, dividend equivalent awards and other forms of equity compensation (collectively, "equity awards"). A total of 18,643,596 shares of the Company's Class A common stock have been reserved for issuance under the 2021 Plan in addition to (i) any shares available for issuance under the 2014 Plan as of the effective date of the 2021 Plan, (ii) the number of shares represented by awards outstanding under the Company's 2014 Plan (“Prior Plan Awards”) that become available upon the expiration, forfeiture, cancellation, or reacquisition of any shares of Class A common stock underlying outstanding stock awards granted under the 2014 Plan, and (iii) an annual increase on the first day of each fiscal year beginning in 2022 and ending in 2031, equal to the lesser of (A) 5% of the shares of the Company's common stock outstanding (on an as-converted basis) on the last day of the immediately preceding fiscal year and (B) such smaller number of shares of stock as determined by the Company's board of directors; provided, however, that no more than 88,000,000 shares of stock may be issued upon the exercise of incentive stock options.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104" w:lineRule="exact"/>
        <w:rPr>
          <w:sz w:val="20"/>
          <w:szCs w:val="20"/>
          <w:color w:val="auto"/>
        </w:rPr>
      </w:pPr>
    </w:p>
    <w:p>
      <w:pPr>
        <w:ind w:right="240" w:firstLine="509"/>
        <w:spacing w:after="0" w:line="291" w:lineRule="auto"/>
        <w:rPr>
          <w:sz w:val="20"/>
          <w:szCs w:val="20"/>
          <w:color w:val="auto"/>
        </w:rPr>
      </w:pPr>
      <w:r>
        <w:rPr>
          <w:rFonts w:ascii="Arial" w:cs="Arial" w:eastAsia="Arial" w:hAnsi="Arial"/>
          <w:sz w:val="17"/>
          <w:szCs w:val="17"/>
          <w:color w:val="auto"/>
        </w:rPr>
        <w:t>Stock options granted under the 2014 Plan and the 2021 Plan (collectively, the "combined stock plans") generally vest based on continued service over four years. Options issued outside of the combined stock plans were immaterial and therefore not discussed further below.</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Option activity under the Company's combined stock plans for the three months ended March 31, 2022 is set forth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5"/>
              </w:rPr>
              <w:t>average</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87"/>
              </w:rPr>
              <w:t>Aggregate</w:t>
            </w:r>
          </w:p>
        </w:tc>
        <w:tc>
          <w:tcPr>
            <w:tcW w:w="60" w:type="dxa"/>
            <w:vAlign w:val="bottom"/>
          </w:tcPr>
          <w:p>
            <w:pPr>
              <w:spacing w:after="0"/>
              <w:rPr>
                <w:sz w:val="17"/>
                <w:szCs w:val="17"/>
                <w:color w:val="auto"/>
              </w:rPr>
            </w:pPr>
          </w:p>
        </w:tc>
      </w:tr>
      <w:tr>
        <w:trPr>
          <w:trHeight w:val="203"/>
        </w:trPr>
        <w:tc>
          <w:tcPr>
            <w:tcW w:w="5180" w:type="dxa"/>
            <w:vAlign w:val="bottom"/>
          </w:tcPr>
          <w:p>
            <w:pPr>
              <w:spacing w:after="0"/>
              <w:rPr>
                <w:sz w:val="17"/>
                <w:szCs w:val="17"/>
                <w:color w:val="auto"/>
              </w:rPr>
            </w:pPr>
          </w:p>
        </w:tc>
        <w:tc>
          <w:tcPr>
            <w:tcW w:w="150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17"/>
                <w:szCs w:val="17"/>
                <w:color w:val="auto"/>
              </w:rPr>
            </w:pPr>
          </w:p>
        </w:tc>
        <w:tc>
          <w:tcPr>
            <w:tcW w:w="11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88"/>
              </w:rPr>
              <w:t>average</w:t>
            </w:r>
          </w:p>
        </w:tc>
        <w:tc>
          <w:tcPr>
            <w:tcW w:w="22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remaining</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1"/>
              </w:rPr>
              <w:t>intrinsic</w:t>
            </w:r>
          </w:p>
        </w:tc>
        <w:tc>
          <w:tcPr>
            <w:tcW w:w="60" w:type="dxa"/>
            <w:vAlign w:val="bottom"/>
          </w:tcPr>
          <w:p>
            <w:pPr>
              <w:spacing w:after="0"/>
              <w:rPr>
                <w:sz w:val="17"/>
                <w:szCs w:val="17"/>
                <w:color w:val="auto"/>
              </w:rPr>
            </w:pPr>
          </w:p>
        </w:tc>
      </w:tr>
      <w:tr>
        <w:trPr>
          <w:trHeight w:val="203"/>
        </w:trPr>
        <w:tc>
          <w:tcPr>
            <w:tcW w:w="5180" w:type="dxa"/>
            <w:vAlign w:val="bottom"/>
          </w:tcPr>
          <w:p>
            <w:pPr>
              <w:spacing w:after="0"/>
              <w:rPr>
                <w:sz w:val="17"/>
                <w:szCs w:val="17"/>
                <w:color w:val="auto"/>
              </w:rPr>
            </w:pPr>
          </w:p>
        </w:tc>
        <w:tc>
          <w:tcPr>
            <w:tcW w:w="150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84"/>
              </w:rPr>
              <w:t>stock</w:t>
            </w:r>
          </w:p>
        </w:tc>
        <w:tc>
          <w:tcPr>
            <w:tcW w:w="200" w:type="dxa"/>
            <w:vAlign w:val="bottom"/>
          </w:tcPr>
          <w:p>
            <w:pPr>
              <w:spacing w:after="0"/>
              <w:rPr>
                <w:sz w:val="17"/>
                <w:szCs w:val="17"/>
                <w:color w:val="auto"/>
              </w:rPr>
            </w:pPr>
          </w:p>
        </w:tc>
        <w:tc>
          <w:tcPr>
            <w:tcW w:w="11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83"/>
              </w:rPr>
              <w:t>exercise</w:t>
            </w:r>
          </w:p>
        </w:tc>
        <w:tc>
          <w:tcPr>
            <w:tcW w:w="22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8"/>
              </w:rPr>
              <w:t>contractual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86"/>
              </w:rPr>
              <w:t>value</w:t>
            </w:r>
          </w:p>
        </w:tc>
        <w:tc>
          <w:tcPr>
            <w:tcW w:w="60" w:type="dxa"/>
            <w:vAlign w:val="bottom"/>
          </w:tcPr>
          <w:p>
            <w:pPr>
              <w:spacing w:after="0"/>
              <w:rPr>
                <w:sz w:val="17"/>
                <w:szCs w:val="17"/>
                <w:color w:val="auto"/>
              </w:rPr>
            </w:pPr>
          </w:p>
        </w:tc>
      </w:tr>
      <w:tr>
        <w:trPr>
          <w:trHeight w:val="221"/>
        </w:trPr>
        <w:tc>
          <w:tcPr>
            <w:tcW w:w="518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options</w:t>
            </w:r>
          </w:p>
        </w:tc>
        <w:tc>
          <w:tcPr>
            <w:tcW w:w="200" w:type="dxa"/>
            <w:vAlign w:val="bottom"/>
          </w:tcPr>
          <w:p>
            <w:pPr>
              <w:spacing w:after="0"/>
              <w:rPr>
                <w:sz w:val="19"/>
                <w:szCs w:val="19"/>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price</w:t>
            </w:r>
          </w:p>
        </w:tc>
        <w:tc>
          <w:tcPr>
            <w:tcW w:w="2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Pr>
          <w:p>
            <w:pPr>
              <w:spacing w:after="0"/>
              <w:rPr>
                <w:sz w:val="19"/>
                <w:szCs w:val="19"/>
                <w:color w:val="auto"/>
              </w:rPr>
            </w:pPr>
          </w:p>
        </w:tc>
      </w:tr>
      <w:tr>
        <w:trPr>
          <w:trHeight w:val="196"/>
        </w:trPr>
        <w:tc>
          <w:tcPr>
            <w:tcW w:w="51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Balances as of December 31, 2021</w:t>
            </w: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21,214,155</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4.15</w:t>
            </w:r>
          </w:p>
        </w:tc>
        <w:tc>
          <w:tcPr>
            <w:tcW w:w="2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8.12</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1,035,039</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180" w:type="dxa"/>
            <w:vAlign w:val="bottom"/>
          </w:tcPr>
          <w:p>
            <w:pPr>
              <w:ind w:left="20"/>
              <w:spacing w:after="0" w:line="196" w:lineRule="exact"/>
              <w:rPr>
                <w:sz w:val="20"/>
                <w:szCs w:val="20"/>
                <w:color w:val="auto"/>
              </w:rPr>
            </w:pPr>
            <w:r>
              <w:rPr>
                <w:rFonts w:ascii="Arial" w:cs="Arial" w:eastAsia="Arial" w:hAnsi="Arial"/>
                <w:sz w:val="18"/>
                <w:szCs w:val="18"/>
                <w:color w:val="auto"/>
              </w:rPr>
              <w:t>Exercised</w:t>
            </w:r>
          </w:p>
        </w:tc>
        <w:tc>
          <w:tcPr>
            <w:tcW w:w="15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(1,603,403 )</w:t>
            </w:r>
          </w:p>
        </w:tc>
        <w:tc>
          <w:tcPr>
            <w:tcW w:w="2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2.49</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Cancelled/forfeited</w:t>
            </w:r>
          </w:p>
        </w:tc>
        <w:tc>
          <w:tcPr>
            <w:tcW w:w="15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(1,534,702 )</w:t>
            </w: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7.89</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196"/>
        </w:trPr>
        <w:tc>
          <w:tcPr>
            <w:tcW w:w="518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color w:val="auto"/>
              </w:rPr>
              <w:t>Balances as of March 31, 2022</w:t>
            </w:r>
            <w:r>
              <w:rPr>
                <w:rFonts w:ascii="Arial" w:cs="Arial" w:eastAsia="Arial" w:hAnsi="Arial"/>
                <w:sz w:val="21"/>
                <w:szCs w:val="21"/>
                <w:color w:val="auto"/>
                <w:vertAlign w:val="superscript"/>
              </w:rPr>
              <w:t>(1)</w:t>
            </w:r>
          </w:p>
        </w:tc>
        <w:tc>
          <w:tcPr>
            <w:tcW w:w="12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18,076,050</w:t>
            </w: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3.99</w:t>
            </w:r>
          </w:p>
        </w:tc>
        <w:tc>
          <w:tcPr>
            <w:tcW w:w="1320" w:type="dxa"/>
            <w:vAlign w:val="bottom"/>
            <w:tcBorders>
              <w:top w:val="single" w:sz="8" w:color="CFF0FC"/>
            </w:tcBorders>
            <w:gridSpan w:val="2"/>
          </w:tcPr>
          <w:p>
            <w:pPr>
              <w:jc w:val="right"/>
              <w:spacing w:after="0" w:line="182" w:lineRule="exact"/>
              <w:rPr>
                <w:sz w:val="20"/>
                <w:szCs w:val="20"/>
                <w:color w:val="auto"/>
              </w:rPr>
            </w:pPr>
            <w:r>
              <w:rPr>
                <w:rFonts w:ascii="Arial" w:cs="Arial" w:eastAsia="Arial" w:hAnsi="Arial"/>
                <w:sz w:val="18"/>
                <w:szCs w:val="18"/>
                <w:color w:val="auto"/>
              </w:rPr>
              <w:t>7.88</w:t>
            </w:r>
          </w:p>
        </w:tc>
        <w:tc>
          <w:tcPr>
            <w:tcW w:w="400" w:type="dxa"/>
            <w:vAlign w:val="bottom"/>
            <w:tcBorders>
              <w:top w:val="single" w:sz="8" w:color="CFF0FC"/>
            </w:tcBorders>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2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261,018</w:t>
            </w:r>
          </w:p>
        </w:tc>
        <w:tc>
          <w:tcPr>
            <w:tcW w:w="60" w:type="dxa"/>
            <w:vAlign w:val="bottom"/>
            <w:tcBorders>
              <w:top w:val="single" w:sz="8" w:color="CFF0FC"/>
            </w:tcBorders>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1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Exercisable as of March 31, 2022</w:t>
            </w:r>
            <w:r>
              <w:rPr>
                <w:rFonts w:ascii="Arial" w:cs="Arial" w:eastAsia="Arial" w:hAnsi="Arial"/>
                <w:sz w:val="21"/>
                <w:szCs w:val="21"/>
                <w:color w:val="auto"/>
                <w:vertAlign w:val="superscript"/>
              </w:rPr>
              <w:t>(2)</w:t>
            </w: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12,120,800</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2.86</w:t>
            </w:r>
          </w:p>
        </w:tc>
        <w:tc>
          <w:tcPr>
            <w:tcW w:w="13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7.48</w:t>
            </w:r>
          </w:p>
        </w:tc>
        <w:tc>
          <w:tcPr>
            <w:tcW w:w="40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188,721</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-579120</wp:posOffset>
            </wp:positionV>
            <wp:extent cx="7747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-313690</wp:posOffset>
            </wp:positionV>
            <wp:extent cx="7747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-25400</wp:posOffset>
            </wp:positionV>
            <wp:extent cx="77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-8255</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8572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393" w:lineRule="exact"/>
        <w:rPr>
          <w:sz w:val="20"/>
          <w:szCs w:val="20"/>
          <w:color w:val="auto"/>
        </w:rPr>
      </w:pPr>
    </w:p>
    <w:p>
      <w:pPr>
        <w:ind w:left="380" w:hanging="372"/>
        <w:spacing w:after="0" w:line="250" w:lineRule="auto"/>
        <w:tabs>
          <w:tab w:leader="none" w:pos="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no forfeitures are estimated due to the Company's adoption of ASU No. 2016-09, all options are vested or expected to vest. As of March 31, 2022, no options were outstanding that were subject to a future performance condition</w:t>
      </w:r>
    </w:p>
    <w:p>
      <w:pPr>
        <w:ind w:left="380" w:hanging="372"/>
        <w:spacing w:after="0"/>
        <w:tabs>
          <w:tab w:leader="none" w:pos="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Exercisable shares include vested options as well as unvested shares that can be early exercised</w:t>
      </w:r>
    </w:p>
    <w:p>
      <w:pPr>
        <w:spacing w:after="0" w:line="10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During December 2020, the Company granted 1,756,545 stock options to two executives which contain both a service condition and a performance condition. Based on the terms of the options, the vesting commencement date is defined as the date on which a registration statement on Form S-1 filed with the SEC becomes effective (a “QPO Event”). In conjunction with the Direct Listing, a QPO Event occurred and therefore the options began to vest 1/24th each month subsequent to September 21, 2021. During the three months ended March 31, 2022, the Company recognized $0.5 million in expense related to these awards using the accelerated attribution method. The unrecognized stock-based compensation expense was $1.2 million and $1.7 million as of March 31, 2022 and December 31, 2021, respectively.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 w:name="page17"/>
    <w:bookmarkEnd w:id="16"/>
    <w:p>
      <w:pPr>
        <w:ind w:right="60" w:firstLine="509"/>
        <w:spacing w:after="0" w:line="248" w:lineRule="auto"/>
        <w:rPr>
          <w:sz w:val="20"/>
          <w:szCs w:val="20"/>
          <w:color w:val="auto"/>
        </w:rPr>
      </w:pPr>
      <w:r>
        <w:rPr>
          <w:rFonts w:ascii="Arial" w:cs="Arial" w:eastAsia="Arial" w:hAnsi="Arial"/>
          <w:sz w:val="18"/>
          <w:szCs w:val="18"/>
          <w:color w:val="auto"/>
        </w:rPr>
        <w:t>The aggregate intrinsic values of options are calculated as the difference between the exercise price of the options and the market price for shares of the Company’s common stock as of each period-end. The total intrinsic value of options exercised for the three months ended March 31, 2022 and 2021 was $25.6 million and $7.2 million, respectively.</w:t>
      </w:r>
    </w:p>
    <w:p>
      <w:pPr>
        <w:spacing w:after="0" w:line="7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No stock options were granted during the three months ended March 31, 2022. Stock options granted during the three months ended March 31, 2021 had a weighted average grant date fair value of $3.42 per share. With the exception of the performance options detailed above, the fair value is being expensed over the vesting period of the options on a straight-line basis as the services are being provided. The total grant date fair value of shares vested during the three months ended March 31, 2022 and 2021 was $4.6 million and $1.7 million, respectively. No tax benefits were realized from options during the periods.</w:t>
      </w:r>
    </w:p>
    <w:p>
      <w:pPr>
        <w:spacing w:after="0" w:line="81" w:lineRule="exact"/>
        <w:rPr>
          <w:sz w:val="20"/>
          <w:szCs w:val="20"/>
          <w:color w:val="auto"/>
        </w:rPr>
      </w:pPr>
    </w:p>
    <w:p>
      <w:pPr>
        <w:ind w:right="200" w:firstLine="509"/>
        <w:spacing w:after="0" w:line="294" w:lineRule="auto"/>
        <w:rPr>
          <w:sz w:val="20"/>
          <w:szCs w:val="20"/>
          <w:color w:val="auto"/>
        </w:rPr>
      </w:pPr>
      <w:r>
        <w:rPr>
          <w:rFonts w:ascii="Arial" w:cs="Arial" w:eastAsia="Arial" w:hAnsi="Arial"/>
          <w:sz w:val="16"/>
          <w:szCs w:val="16"/>
          <w:color w:val="auto"/>
        </w:rPr>
        <w:t>As of March 31, 2022, total unrecognized stock-based compensation expense related to options outstanding under the combined stock plans was $31.3 million. This unrecognized expense as of March 31, 2022 is expected to be recognized over the weighted average remaining vesting period of 2.52 years. As of March 31, 2022, the Company had 374,500 shares of non-employee stock options outstanding under the combined stock plans.</w:t>
      </w:r>
    </w:p>
    <w:p>
      <w:pPr>
        <w:spacing w:after="0" w:line="147"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The fair value of each option granted to employees under the 2021 Plan is estimated on the grant date using the Black-Scholes pricing model. Based on the nature of the underlying options granted under the 2014 Plan, the fair value of each option granted to employees is estimated on the date of grant using the Monte Carlo simulation model.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04" w:lineRule="exact"/>
        <w:rPr>
          <w:sz w:val="20"/>
          <w:szCs w:val="20"/>
          <w:color w:val="auto"/>
        </w:rPr>
      </w:pPr>
    </w:p>
    <w:p>
      <w:pPr>
        <w:ind w:right="160" w:firstLine="509"/>
        <w:spacing w:after="0" w:line="259" w:lineRule="auto"/>
        <w:rPr>
          <w:sz w:val="20"/>
          <w:szCs w:val="20"/>
          <w:color w:val="auto"/>
        </w:rPr>
      </w:pPr>
      <w:r>
        <w:rPr>
          <w:rFonts w:ascii="Arial" w:cs="Arial" w:eastAsia="Arial" w:hAnsi="Arial"/>
          <w:sz w:val="17"/>
          <w:szCs w:val="17"/>
          <w:color w:val="auto"/>
        </w:rPr>
        <w:t>RSUs granted under the 2021 Plan generally vest based on continued service, typically over a three- to four-year period. RSUs granted pursuant to the 2014 Plan vest according to a service condition as well as a performance condition, through a liquidity event, including (i) a change in control of the Company or (ii) the initial public offering of the Company’s equity securities, following which the securities shall be publicly traded, which includes a direct listing. As a result of the Direct Listing, the performance condition for all RSUs granted pursuant to the 2014 Plan has been met. During the three months ended March 31, 2022, the Company recorded $6.1 million in expense related to RSUs.</w:t>
      </w:r>
    </w:p>
    <w:p>
      <w:pPr>
        <w:spacing w:after="0" w:line="66"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No RSUs were granted during the three months ended March 31, 2021 and no stock-based compensation expense had been recognized during this period as the Company evaluated the performance condition being met as not probable as of March 31, 2021.</w:t>
      </w:r>
    </w:p>
    <w:p>
      <w:pPr>
        <w:spacing w:after="0" w:line="63"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As of March 31, 2022, total unrecognized stock-based compensation expense related to RSUs was $101.4 million. This unrecognized expense as of March 31, 2022 is expected to be recognized over the weighted average remaining vesting period of 2.63 years. As of March 31, 2022, the Company had 254,892 shares of non-employee RSUs outstanding under the combined stock plans.</w:t>
      </w:r>
    </w:p>
    <w:p>
      <w:pPr>
        <w:sectPr>
          <w:pgSz w:w="11900" w:h="16838" w:orient="portrait"/>
          <w:cols w:equalWidth="0" w:num="1">
            <w:col w:w="11220"/>
          </w:cols>
          <w:pgMar w:left="320" w:top="436" w:right="359" w:bottom="1440" w:gutter="0" w:footer="0" w:header="0"/>
        </w:sectPr>
      </w:pP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RSU activity during the three months ended March 31, 2022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Vested</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Cancelled/forfeited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March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40" w:type="dxa"/>
            <w:vAlign w:val="bottom"/>
            <w:gridSpan w:val="2"/>
            <w:vMerge w:val="restart"/>
          </w:tcPr>
          <w:p>
            <w:pPr>
              <w:jc w:val="right"/>
              <w:ind w:right="840"/>
              <w:spacing w:after="0"/>
              <w:rPr>
                <w:sz w:val="20"/>
                <w:szCs w:val="20"/>
                <w:color w:val="auto"/>
              </w:rPr>
            </w:pPr>
            <w:r>
              <w:rPr>
                <w:rFonts w:ascii="Arial" w:cs="Arial" w:eastAsia="Arial" w:hAnsi="Arial"/>
                <w:sz w:val="18"/>
                <w:szCs w:val="18"/>
                <w:b w:val="1"/>
                <w:bCs w:val="1"/>
                <w:color w:val="auto"/>
              </w:rPr>
              <w:t>Restricted stock</w:t>
            </w:r>
          </w:p>
        </w:tc>
        <w:tc>
          <w:tcPr>
            <w:tcW w:w="300" w:type="dxa"/>
            <w:vAlign w:val="bottom"/>
          </w:tcPr>
          <w:p>
            <w:pPr>
              <w:spacing w:after="0"/>
              <w:rPr>
                <w:sz w:val="18"/>
                <w:szCs w:val="18"/>
                <w:color w:val="auto"/>
              </w:rPr>
            </w:pPr>
          </w:p>
        </w:tc>
        <w:tc>
          <w:tcPr>
            <w:tcW w:w="2080" w:type="dxa"/>
            <w:vAlign w:val="bottom"/>
          </w:tcPr>
          <w:p>
            <w:pPr>
              <w:jc w:val="right"/>
              <w:ind w:right="410"/>
              <w:spacing w:after="0"/>
              <w:rPr>
                <w:sz w:val="20"/>
                <w:szCs w:val="20"/>
                <w:color w:val="auto"/>
              </w:rPr>
            </w:pPr>
            <w:r>
              <w:rPr>
                <w:rFonts w:ascii="Arial" w:cs="Arial" w:eastAsia="Arial" w:hAnsi="Arial"/>
                <w:sz w:val="18"/>
                <w:szCs w:val="18"/>
                <w:b w:val="1"/>
                <w:bCs w:val="1"/>
                <w:color w:val="auto"/>
              </w:rPr>
              <w:t>Weighted-average</w:t>
            </w:r>
          </w:p>
        </w:tc>
        <w:tc>
          <w:tcPr>
            <w:tcW w:w="0" w:type="dxa"/>
            <w:vAlign w:val="bottom"/>
          </w:tcPr>
          <w:p>
            <w:pPr>
              <w:spacing w:after="0"/>
              <w:rPr>
                <w:sz w:val="1"/>
                <w:szCs w:val="1"/>
                <w:color w:val="auto"/>
              </w:rPr>
            </w:pPr>
          </w:p>
        </w:tc>
      </w:tr>
      <w:tr>
        <w:trPr>
          <w:trHeight w:val="175"/>
        </w:trPr>
        <w:tc>
          <w:tcPr>
            <w:tcW w:w="26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tcPr>
          <w:p>
            <w:pPr>
              <w:ind w:left="300"/>
              <w:spacing w:after="0" w:line="176" w:lineRule="exact"/>
              <w:rPr>
                <w:sz w:val="20"/>
                <w:szCs w:val="20"/>
                <w:color w:val="auto"/>
              </w:rPr>
            </w:pPr>
            <w:r>
              <w:rPr>
                <w:rFonts w:ascii="Arial" w:cs="Arial" w:eastAsia="Arial" w:hAnsi="Arial"/>
                <w:sz w:val="18"/>
                <w:szCs w:val="18"/>
                <w:b w:val="1"/>
                <w:bCs w:val="1"/>
                <w:color w:val="auto"/>
              </w:rPr>
              <w:t>grant date fair</w:t>
            </w:r>
          </w:p>
        </w:tc>
        <w:tc>
          <w:tcPr>
            <w:tcW w:w="0" w:type="dxa"/>
            <w:vAlign w:val="bottom"/>
          </w:tcPr>
          <w:p>
            <w:pPr>
              <w:spacing w:after="0"/>
              <w:rPr>
                <w:sz w:val="1"/>
                <w:szCs w:val="1"/>
                <w:color w:val="auto"/>
              </w:rPr>
            </w:pPr>
          </w:p>
        </w:tc>
      </w:tr>
      <w:tr>
        <w:trPr>
          <w:trHeight w:val="216"/>
        </w:trPr>
        <w:tc>
          <w:tcPr>
            <w:tcW w:w="2640" w:type="dxa"/>
            <w:vAlign w:val="bottom"/>
            <w:gridSpan w:val="2"/>
          </w:tcPr>
          <w:p>
            <w:pPr>
              <w:jc w:val="right"/>
              <w:ind w:right="1260"/>
              <w:spacing w:after="0"/>
              <w:rPr>
                <w:sz w:val="20"/>
                <w:szCs w:val="20"/>
                <w:color w:val="auto"/>
              </w:rPr>
            </w:pPr>
            <w:r>
              <w:rPr>
                <w:rFonts w:ascii="Arial" w:cs="Arial" w:eastAsia="Arial" w:hAnsi="Arial"/>
                <w:sz w:val="18"/>
                <w:szCs w:val="18"/>
                <w:b w:val="1"/>
                <w:bCs w:val="1"/>
                <w:color w:val="auto"/>
              </w:rPr>
              <w:t>units</w:t>
            </w:r>
          </w:p>
        </w:tc>
        <w:tc>
          <w:tcPr>
            <w:tcW w:w="300" w:type="dxa"/>
            <w:vAlign w:val="bottom"/>
          </w:tcPr>
          <w:p>
            <w:pPr>
              <w:spacing w:after="0"/>
              <w:rPr>
                <w:sz w:val="18"/>
                <w:szCs w:val="18"/>
                <w:color w:val="auto"/>
              </w:rPr>
            </w:pPr>
          </w:p>
        </w:tc>
        <w:tc>
          <w:tcPr>
            <w:tcW w:w="2080" w:type="dxa"/>
            <w:vAlign w:val="bottom"/>
          </w:tcPr>
          <w:p>
            <w:pPr>
              <w:ind w:left="300"/>
              <w:spacing w:after="0"/>
              <w:rPr>
                <w:sz w:val="20"/>
                <w:szCs w:val="20"/>
                <w:color w:val="auto"/>
              </w:rPr>
            </w:pPr>
            <w:r>
              <w:rPr>
                <w:rFonts w:ascii="Arial" w:cs="Arial" w:eastAsia="Arial" w:hAnsi="Arial"/>
                <w:sz w:val="18"/>
                <w:szCs w:val="18"/>
                <w:b w:val="1"/>
                <w:bCs w:val="1"/>
                <w:color w:val="auto"/>
              </w:rPr>
              <w:t>value per share</w:t>
            </w:r>
          </w:p>
        </w:tc>
        <w:tc>
          <w:tcPr>
            <w:tcW w:w="0" w:type="dxa"/>
            <w:vAlign w:val="bottom"/>
          </w:tcPr>
          <w:p>
            <w:pPr>
              <w:spacing w:after="0"/>
              <w:rPr>
                <w:sz w:val="1"/>
                <w:szCs w:val="1"/>
                <w:color w:val="auto"/>
              </w:rPr>
            </w:pPr>
          </w:p>
        </w:tc>
      </w:tr>
      <w:tr>
        <w:trPr>
          <w:trHeight w:val="196"/>
        </w:trPr>
        <w:tc>
          <w:tcPr>
            <w:tcW w:w="2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1,716,614</w:t>
            </w:r>
          </w:p>
        </w:tc>
        <w:tc>
          <w:tcPr>
            <w:tcW w:w="260" w:type="dxa"/>
            <w:vAlign w:val="bottom"/>
          </w:tcPr>
          <w:p>
            <w:pPr>
              <w:spacing w:after="0"/>
              <w:rPr>
                <w:sz w:val="17"/>
                <w:szCs w:val="17"/>
                <w:color w:val="auto"/>
              </w:rPr>
            </w:pPr>
          </w:p>
        </w:tc>
        <w:tc>
          <w:tcPr>
            <w:tcW w:w="300" w:type="dxa"/>
            <w:vAlign w:val="bottom"/>
            <w:tcBorders>
              <w:top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38.40</w:t>
            </w:r>
          </w:p>
        </w:tc>
        <w:tc>
          <w:tcPr>
            <w:tcW w:w="0" w:type="dxa"/>
            <w:vAlign w:val="bottom"/>
          </w:tcPr>
          <w:p>
            <w:pPr>
              <w:spacing w:after="0"/>
              <w:rPr>
                <w:sz w:val="1"/>
                <w:szCs w:val="1"/>
                <w:color w:val="auto"/>
              </w:rPr>
            </w:pPr>
          </w:p>
        </w:tc>
      </w:tr>
      <w:tr>
        <w:trPr>
          <w:trHeight w:val="182"/>
        </w:trPr>
        <w:tc>
          <w:tcPr>
            <w:tcW w:w="2380" w:type="dxa"/>
            <w:vAlign w:val="bottom"/>
          </w:tcPr>
          <w:p>
            <w:pPr>
              <w:jc w:val="right"/>
              <w:spacing w:after="0" w:line="182" w:lineRule="exact"/>
              <w:rPr>
                <w:sz w:val="20"/>
                <w:szCs w:val="20"/>
                <w:color w:val="auto"/>
              </w:rPr>
            </w:pPr>
            <w:r>
              <w:rPr>
                <w:rFonts w:ascii="Arial" w:cs="Arial" w:eastAsia="Arial" w:hAnsi="Arial"/>
                <w:sz w:val="18"/>
                <w:szCs w:val="18"/>
                <w:color w:val="auto"/>
              </w:rPr>
              <w:t>2,463,780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tcPr>
          <w:p>
            <w:pPr>
              <w:jc w:val="right"/>
              <w:spacing w:after="0" w:line="182" w:lineRule="exact"/>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03"/>
        </w:trPr>
        <w:tc>
          <w:tcPr>
            <w:tcW w:w="2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(30,905 )</w:t>
            </w:r>
          </w:p>
        </w:tc>
        <w:tc>
          <w:tcPr>
            <w:tcW w:w="300" w:type="dxa"/>
            <w:vAlign w:val="bottom"/>
          </w:tcPr>
          <w:p>
            <w:pPr>
              <w:spacing w:after="0"/>
              <w:rPr>
                <w:sz w:val="17"/>
                <w:szCs w:val="17"/>
                <w:color w:val="auto"/>
              </w:rPr>
            </w:pP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17"/>
        </w:trPr>
        <w:tc>
          <w:tcPr>
            <w:tcW w:w="2640" w:type="dxa"/>
            <w:vAlign w:val="bottom"/>
            <w:gridSpan w:val="2"/>
          </w:tcPr>
          <w:p>
            <w:pPr>
              <w:jc w:val="right"/>
              <w:ind w:right="180"/>
              <w:spacing w:after="0"/>
              <w:rPr>
                <w:sz w:val="20"/>
                <w:szCs w:val="20"/>
                <w:color w:val="auto"/>
              </w:rPr>
            </w:pPr>
            <w:r>
              <w:rPr>
                <w:rFonts w:ascii="Arial" w:cs="Arial" w:eastAsia="Arial" w:hAnsi="Arial"/>
                <w:sz w:val="18"/>
                <w:szCs w:val="18"/>
                <w:color w:val="auto"/>
              </w:rPr>
              <w:t>(58,820 )</w:t>
            </w:r>
          </w:p>
        </w:tc>
        <w:tc>
          <w:tcPr>
            <w:tcW w:w="3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196"/>
        </w:trPr>
        <w:tc>
          <w:tcPr>
            <w:tcW w:w="23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4,090,669</w:t>
            </w:r>
          </w:p>
        </w:tc>
        <w:tc>
          <w:tcPr>
            <w:tcW w:w="260" w:type="dxa"/>
            <w:vAlign w:val="bottom"/>
          </w:tcPr>
          <w:p>
            <w:pPr>
              <w:spacing w:after="0"/>
              <w:rPr>
                <w:sz w:val="17"/>
                <w:szCs w:val="17"/>
                <w:color w:val="auto"/>
              </w:rPr>
            </w:pPr>
          </w:p>
        </w:tc>
        <w:tc>
          <w:tcPr>
            <w:tcW w:w="300" w:type="dxa"/>
            <w:vAlign w:val="bottom"/>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line="182" w:lineRule="exact"/>
              <w:rPr>
                <w:sz w:val="20"/>
                <w:szCs w:val="20"/>
                <w:color w:val="auto"/>
              </w:rPr>
            </w:pPr>
            <w:r>
              <w:rPr>
                <w:rFonts w:ascii="Arial" w:cs="Arial" w:eastAsia="Arial" w:hAnsi="Arial"/>
                <w:sz w:val="18"/>
                <w:szCs w:val="18"/>
                <w:color w:val="auto"/>
              </w:rPr>
              <w:t>28.66</w:t>
            </w:r>
          </w:p>
        </w:tc>
        <w:tc>
          <w:tcPr>
            <w:tcW w:w="0" w:type="dxa"/>
            <w:vAlign w:val="bottom"/>
          </w:tcPr>
          <w:p>
            <w:pPr>
              <w:spacing w:after="0"/>
              <w:rPr>
                <w:sz w:val="1"/>
                <w:szCs w:val="1"/>
                <w:color w:val="auto"/>
              </w:rPr>
            </w:pPr>
          </w:p>
        </w:tc>
      </w:tr>
      <w:tr>
        <w:trPr>
          <w:trHeight w:val="20"/>
        </w:trPr>
        <w:tc>
          <w:tcPr>
            <w:tcW w:w="2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20" w:space="140"/>
            <w:col w:w="5060"/>
          </w:cols>
          <w:pgMar w:left="320" w:top="436" w:right="359" w:bottom="1440" w:gutter="0" w:footer="0" w:header="0"/>
          <w:type w:val="continuous"/>
        </w:sect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2021 Employee Stock Purchase Plan</w:t>
      </w:r>
    </w:p>
    <w:p>
      <w:pPr>
        <w:spacing w:after="0" w:line="104" w:lineRule="exact"/>
        <w:rPr>
          <w:sz w:val="20"/>
          <w:szCs w:val="20"/>
          <w:color w:val="auto"/>
        </w:rPr>
      </w:pPr>
    </w:p>
    <w:p>
      <w:pPr>
        <w:ind w:right="80" w:firstLine="509"/>
        <w:spacing w:after="0" w:line="270" w:lineRule="auto"/>
        <w:rPr>
          <w:sz w:val="20"/>
          <w:szCs w:val="20"/>
          <w:color w:val="auto"/>
        </w:rPr>
      </w:pPr>
      <w:r>
        <w:rPr>
          <w:rFonts w:ascii="Arial" w:cs="Arial" w:eastAsia="Arial" w:hAnsi="Arial"/>
          <w:sz w:val="16"/>
          <w:szCs w:val="16"/>
          <w:color w:val="auto"/>
        </w:rPr>
        <w:t>In August 2021, the Company’s board of directors adopted, and its stockholders approved, the 2021 Employee Stock Purchase Plan (the "ESPP"), which became effective in connection with the Direct Listing. The ESPP authorizes the issuance of shares of common stock pursuant to purchase rights granted to employees. A total of 2,663,371 shares of the Company’s Class A common stock have been reserved for future issuance under the ESPP, in addition to any annual automatic evergreen increases in the number of shares of Class A common stock reserved for future issuance under the ESPP. The ESPP offers employees the option to purchase shares through a series of consecutive 12 month offering periods on each May 15th and November 15th (with two six-month purchase periods during each offering period). The initial offering period under the ESPP will be longer than 12 months, commencing on September 28, 2021 and ending on November 14, 2022, with the first purchase period commencing on September 28, 2021 and ending on May 14, 2022. The price at which Class A common stock is purchased under the ESPP is equal to the lower of (i) 85% of the closing trading price per share of the Company's Class A common stock on the first trading date of an offering period in which a participant is enrolled or (ii) 85% of the closing trading price per share on the purchase date, which will occur on the last trading day of each purchase period, or such other price designated by the administrator.</w:t>
      </w:r>
    </w:p>
    <w:p>
      <w:pPr>
        <w:spacing w:after="0" w:line="63" w:lineRule="exact"/>
        <w:rPr>
          <w:sz w:val="20"/>
          <w:szCs w:val="20"/>
          <w:color w:val="auto"/>
        </w:rPr>
      </w:pPr>
    </w:p>
    <w:p>
      <w:pPr>
        <w:jc w:val="both"/>
        <w:ind w:right="140" w:firstLine="509"/>
        <w:spacing w:after="0" w:line="294" w:lineRule="auto"/>
        <w:rPr>
          <w:sz w:val="20"/>
          <w:szCs w:val="20"/>
          <w:color w:val="auto"/>
        </w:rPr>
      </w:pPr>
      <w:r>
        <w:rPr>
          <w:rFonts w:ascii="Arial" w:cs="Arial" w:eastAsia="Arial" w:hAnsi="Arial"/>
          <w:sz w:val="16"/>
          <w:szCs w:val="16"/>
          <w:color w:val="auto"/>
        </w:rPr>
        <w:t>As of March 31, 2022, no shares have been purchased under the ESPP. For the three months ended March 31, 2022, the Company recognized $1.4 million of stock-based compensation expense related to the ESPP and withheld $2.5 million in contributions from employees. As of March 31, 2022, total unrecognized compensation costs related to the ESPP was $4.0 million, which will be amortized over a weighted average period of 0.62 years.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Stock-based compensation expense, net of actual forfeitures is reflected in the condensed consolidated statement of operations (in thousands):</w:t>
      </w:r>
    </w:p>
    <w:p>
      <w:pPr>
        <w:spacing w:after="0" w:line="235" w:lineRule="exact"/>
        <w:rPr>
          <w:sz w:val="20"/>
          <w:szCs w:val="20"/>
          <w:color w:val="auto"/>
        </w:rPr>
      </w:pPr>
    </w:p>
    <w:p>
      <w:pPr>
        <w:jc w:val="center"/>
        <w:ind w:left="7340"/>
        <w:spacing w:after="0"/>
        <w:rPr>
          <w:sz w:val="20"/>
          <w:szCs w:val="20"/>
          <w:color w:val="auto"/>
        </w:rPr>
      </w:pPr>
      <w:r>
        <w:rPr>
          <w:rFonts w:ascii="Arial" w:cs="Arial" w:eastAsia="Arial" w:hAnsi="Arial"/>
          <w:sz w:val="18"/>
          <w:szCs w:val="18"/>
          <w:b w:val="1"/>
          <w:bCs w:val="1"/>
          <w:color w:val="auto"/>
        </w:rPr>
        <w:t>Three Months Ended</w:t>
      </w:r>
    </w:p>
    <w:p>
      <w:pPr>
        <w:jc w:val="center"/>
        <w:ind w:left="7340"/>
        <w:spacing w:after="0" w:line="234" w:lineRule="auto"/>
        <w:rPr>
          <w:sz w:val="20"/>
          <w:szCs w:val="20"/>
          <w:color w:val="auto"/>
        </w:rPr>
      </w:pPr>
      <w:r>
        <w:rPr>
          <w:rFonts w:ascii="Arial" w:cs="Arial" w:eastAsia="Arial" w:hAnsi="Arial"/>
          <w:sz w:val="18"/>
          <w:szCs w:val="18"/>
          <w:b w:val="1"/>
          <w:bCs w:val="1"/>
          <w:color w:val="auto"/>
        </w:rPr>
        <w:t>March 31,</w:t>
      </w:r>
    </w:p>
    <w:tbl>
      <w:tblPr>
        <w:tblLayout w:type="fixed"/>
        <w:tblInd w:w="0" w:type="dxa"/>
        <w:tblCellMar>
          <w:top w:w="0" w:type="dxa"/>
          <w:left w:w="0" w:type="dxa"/>
          <w:bottom w:w="0" w:type="dxa"/>
          <w:right w:w="0" w:type="dxa"/>
        </w:tblCellMar>
      </w:tblPr>
      <w:tr>
        <w:trPr>
          <w:trHeight w:val="202"/>
        </w:trPr>
        <w:tc>
          <w:tcPr>
            <w:tcW w:w="758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0"/>
              <w:spacing w:after="0" w:line="201"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r>
      <w:tr>
        <w:trPr>
          <w:trHeight w:val="196"/>
        </w:trPr>
        <w:tc>
          <w:tcPr>
            <w:tcW w:w="7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7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040" w:type="dxa"/>
            <w:vAlign w:val="bottom"/>
            <w:shd w:val="clear" w:color="auto" w:fill="CFF0FC"/>
          </w:tcPr>
          <w:p>
            <w:pPr>
              <w:jc w:val="right"/>
              <w:ind w:right="850"/>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922</w:t>
            </w:r>
          </w:p>
        </w:tc>
        <w:tc>
          <w:tcPr>
            <w:tcW w:w="60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236</w:t>
            </w:r>
          </w:p>
        </w:tc>
        <w:tc>
          <w:tcPr>
            <w:tcW w:w="220" w:type="dxa"/>
            <w:vAlign w:val="bottom"/>
            <w:shd w:val="clear" w:color="auto" w:fill="CFF0FC"/>
          </w:tcPr>
          <w:p>
            <w:pPr>
              <w:spacing w:after="0"/>
              <w:rPr>
                <w:sz w:val="17"/>
                <w:szCs w:val="17"/>
                <w:color w:val="auto"/>
              </w:rPr>
            </w:pPr>
          </w:p>
        </w:tc>
      </w:tr>
      <w:tr>
        <w:trPr>
          <w:trHeight w:val="203"/>
        </w:trPr>
        <w:tc>
          <w:tcPr>
            <w:tcW w:w="758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0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4,284</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910</w:t>
            </w:r>
          </w:p>
        </w:tc>
        <w:tc>
          <w:tcPr>
            <w:tcW w:w="220" w:type="dxa"/>
            <w:vAlign w:val="bottom"/>
          </w:tcPr>
          <w:p>
            <w:pPr>
              <w:spacing w:after="0"/>
              <w:rPr>
                <w:sz w:val="17"/>
                <w:szCs w:val="17"/>
                <w:color w:val="auto"/>
              </w:rPr>
            </w:pPr>
          </w:p>
        </w:tc>
      </w:tr>
      <w:tr>
        <w:trPr>
          <w:trHeight w:val="203"/>
        </w:trPr>
        <w:tc>
          <w:tcPr>
            <w:tcW w:w="7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10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3,240</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823</w:t>
            </w:r>
          </w:p>
        </w:tc>
        <w:tc>
          <w:tcPr>
            <w:tcW w:w="220" w:type="dxa"/>
            <w:vAlign w:val="bottom"/>
            <w:shd w:val="clear" w:color="auto" w:fill="CFF0FC"/>
          </w:tcPr>
          <w:p>
            <w:pPr>
              <w:spacing w:after="0"/>
              <w:rPr>
                <w:sz w:val="17"/>
                <w:szCs w:val="17"/>
                <w:color w:val="auto"/>
              </w:rPr>
            </w:pPr>
          </w:p>
        </w:tc>
      </w:tr>
      <w:tr>
        <w:trPr>
          <w:trHeight w:val="203"/>
        </w:trPr>
        <w:tc>
          <w:tcPr>
            <w:tcW w:w="758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5,057</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608</w:t>
            </w:r>
          </w:p>
        </w:tc>
        <w:tc>
          <w:tcPr>
            <w:tcW w:w="220" w:type="dxa"/>
            <w:vAlign w:val="bottom"/>
          </w:tcPr>
          <w:p>
            <w:pPr>
              <w:spacing w:after="0"/>
              <w:rPr>
                <w:sz w:val="17"/>
                <w:szCs w:val="17"/>
                <w:color w:val="auto"/>
              </w:rPr>
            </w:pPr>
          </w:p>
        </w:tc>
      </w:tr>
      <w:tr>
        <w:trPr>
          <w:trHeight w:val="236"/>
        </w:trPr>
        <w:tc>
          <w:tcPr>
            <w:tcW w:w="758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Total stock-based compensation expense</w:t>
            </w:r>
          </w:p>
        </w:tc>
        <w:tc>
          <w:tcPr>
            <w:tcW w:w="1040" w:type="dxa"/>
            <w:vAlign w:val="bottom"/>
            <w:tcBorders>
              <w:bottom w:val="single" w:sz="8" w:color="auto"/>
            </w:tcBorders>
            <w:shd w:val="clear" w:color="auto" w:fill="CFF0FC"/>
          </w:tcPr>
          <w:p>
            <w:pPr>
              <w:jc w:val="right"/>
              <w:ind w:right="850"/>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8"/>
              </w:rPr>
              <w:t>13,503</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2,577</w:t>
            </w:r>
          </w:p>
        </w:tc>
        <w:tc>
          <w:tcPr>
            <w:tcW w:w="2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-25400</wp:posOffset>
            </wp:positionV>
            <wp:extent cx="431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431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43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431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13"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The Company had an effective tax rate of (1.4)% and (4.5)% for the three months ended March 31, 2022 and 2021, respectively. The Company continues to incur U.S. operating losses and has minimal profits in its foreign jurisdictions.</w:t>
      </w:r>
    </w:p>
    <w:p>
      <w:pPr>
        <w:spacing w:after="0" w:line="171"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During the three months ended March 31, 2022 and 2021, the Company has evaluated all available evidence, both positive and negative, including historical levels of income, and expectations and risks associated with estimates of future taxable income, and has determined that it is more likely than not that its net deferred tax assets will not be realized in the United States. Due to uncertainties surrounding the realization of the deferred tax assets, the Company continues to maintain a full valuation allowance against its net deferred tax assets within the United States.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Arial" w:cs="Arial" w:eastAsia="Arial" w:hAnsi="Arial"/>
                <w:sz w:val="18"/>
                <w:szCs w:val="18"/>
                <w:b w:val="1"/>
                <w:bCs w:val="1"/>
                <w:color w:val="auto"/>
              </w:rPr>
              <w:t>(7)</w:t>
            </w:r>
          </w:p>
        </w:tc>
        <w:tc>
          <w:tcPr>
            <w:tcW w:w="7280" w:type="dxa"/>
            <w:vAlign w:val="bottom"/>
          </w:tcPr>
          <w:p>
            <w:pPr>
              <w:ind w:left="160"/>
              <w:spacing w:after="0"/>
              <w:rPr>
                <w:sz w:val="20"/>
                <w:szCs w:val="20"/>
                <w:color w:val="auto"/>
              </w:rPr>
            </w:pPr>
            <w:r>
              <w:rPr>
                <w:rFonts w:ascii="Arial" w:cs="Arial" w:eastAsia="Arial" w:hAnsi="Arial"/>
                <w:sz w:val="18"/>
                <w:szCs w:val="18"/>
                <w:b w:val="1"/>
                <w:bCs w:val="1"/>
                <w:color w:val="auto"/>
              </w:rPr>
              <w:t>Operating Leases</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360" w:type="dxa"/>
            <w:vAlign w:val="bottom"/>
          </w:tcPr>
          <w:p>
            <w:pPr>
              <w:spacing w:after="0"/>
              <w:rPr>
                <w:sz w:val="24"/>
                <w:szCs w:val="24"/>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w w:val="99"/>
              </w:rPr>
              <w:t>The components of lease expense were as follows (in thousands, except years and rate):</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3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6"/>
              </w:rPr>
              <w:t>Three Months Ended</w:t>
            </w:r>
          </w:p>
        </w:tc>
      </w:tr>
      <w:tr>
        <w:trPr>
          <w:trHeight w:val="216"/>
        </w:trPr>
        <w:tc>
          <w:tcPr>
            <w:tcW w:w="3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March 31, 2022</w:t>
            </w:r>
          </w:p>
        </w:tc>
      </w:tr>
      <w:tr>
        <w:trPr>
          <w:trHeight w:val="196"/>
        </w:trPr>
        <w:tc>
          <w:tcPr>
            <w:tcW w:w="76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cost</w:t>
            </w:r>
          </w:p>
        </w:tc>
        <w:tc>
          <w:tcPr>
            <w:tcW w:w="1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807</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Short-term lease cost</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141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7640" w:type="dxa"/>
            <w:vAlign w:val="bottom"/>
            <w:tcBorders>
              <w:bottom w:val="single" w:sz="8" w:color="CFF0FC"/>
            </w:tcBorders>
            <w:gridSpan w:val="2"/>
            <w:shd w:val="clear" w:color="auto" w:fill="CFF0FC"/>
          </w:tcPr>
          <w:p>
            <w:pPr>
              <w:ind w:left="20"/>
              <w:spacing w:after="0" w:line="182" w:lineRule="exact"/>
              <w:rPr>
                <w:sz w:val="20"/>
                <w:szCs w:val="20"/>
                <w:color w:val="auto"/>
              </w:rPr>
            </w:pPr>
            <w:r>
              <w:rPr>
                <w:rFonts w:ascii="Arial" w:cs="Arial" w:eastAsia="Arial" w:hAnsi="Arial"/>
                <w:sz w:val="18"/>
                <w:szCs w:val="18"/>
                <w:color w:val="auto"/>
              </w:rPr>
              <w:t>Total lease cost</w:t>
            </w:r>
          </w:p>
        </w:tc>
        <w:tc>
          <w:tcPr>
            <w:tcW w:w="1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948</w:t>
            </w:r>
          </w:p>
        </w:tc>
        <w:tc>
          <w:tcPr>
            <w:tcW w:w="16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r>
      <w:tr>
        <w:trPr>
          <w:trHeight w:val="183"/>
        </w:trPr>
        <w:tc>
          <w:tcPr>
            <w:tcW w:w="764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Weighted average remaining term (years)</w:t>
            </w: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3.57</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76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 average discount rate</w:t>
            </w:r>
          </w:p>
        </w:tc>
        <w:tc>
          <w:tcPr>
            <w:tcW w:w="1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900" w:type="dxa"/>
            <w:vAlign w:val="bottom"/>
            <w:gridSpan w:val="4"/>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2.92 %</w:t>
            </w:r>
          </w:p>
        </w:tc>
      </w:tr>
      <w:tr>
        <w:trPr>
          <w:trHeight w:val="432"/>
        </w:trPr>
        <w:tc>
          <w:tcPr>
            <w:tcW w:w="360" w:type="dxa"/>
            <w:vAlign w:val="bottom"/>
          </w:tcPr>
          <w:p>
            <w:pPr>
              <w:spacing w:after="0"/>
              <w:rPr>
                <w:sz w:val="24"/>
                <w:szCs w:val="24"/>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w w:val="97"/>
              </w:rPr>
              <w:t>Supplemental cash flow information related to operating leases is as follows (in thousands):</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4"/>
        </w:trPr>
        <w:tc>
          <w:tcPr>
            <w:tcW w:w="3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600" w:type="dxa"/>
            <w:vAlign w:val="bottom"/>
            <w:gridSpan w:val="7"/>
          </w:tcPr>
          <w:p>
            <w:pPr>
              <w:jc w:val="right"/>
              <w:ind w:right="600"/>
              <w:spacing w:after="0"/>
              <w:rPr>
                <w:sz w:val="20"/>
                <w:szCs w:val="20"/>
                <w:color w:val="auto"/>
              </w:rPr>
            </w:pPr>
            <w:r>
              <w:rPr>
                <w:rFonts w:ascii="Arial" w:cs="Arial" w:eastAsia="Arial" w:hAnsi="Arial"/>
                <w:sz w:val="18"/>
                <w:szCs w:val="18"/>
                <w:b w:val="1"/>
                <w:bCs w:val="1"/>
                <w:color w:val="auto"/>
              </w:rPr>
              <w:t>Three Months Ended March 31,</w:t>
            </w:r>
          </w:p>
        </w:tc>
      </w:tr>
      <w:tr>
        <w:trPr>
          <w:trHeight w:val="221"/>
        </w:trPr>
        <w:tc>
          <w:tcPr>
            <w:tcW w:w="36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76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Right-of-use assets obtained in exchange for new operating lease liabilities</w:t>
            </w:r>
          </w:p>
        </w:tc>
        <w:tc>
          <w:tcPr>
            <w:tcW w:w="1220" w:type="dxa"/>
            <w:vAlign w:val="bottom"/>
            <w:tcBorders>
              <w:top w:val="single" w:sz="8" w:color="auto"/>
            </w:tcBorders>
            <w:shd w:val="clear" w:color="auto" w:fill="CFF0FC"/>
          </w:tcPr>
          <w:p>
            <w:pPr>
              <w:jc w:val="right"/>
              <w:ind w:right="103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500</w:t>
            </w:r>
          </w:p>
        </w:tc>
        <w:tc>
          <w:tcPr>
            <w:tcW w:w="260" w:type="dxa"/>
            <w:vAlign w:val="bottom"/>
            <w:shd w:val="clear" w:color="auto" w:fill="CFF0FC"/>
          </w:tcPr>
          <w:p>
            <w:pPr>
              <w:spacing w:after="0"/>
              <w:rPr>
                <w:sz w:val="17"/>
                <w:szCs w:val="17"/>
                <w:color w:val="auto"/>
              </w:rPr>
            </w:pPr>
          </w:p>
        </w:tc>
        <w:tc>
          <w:tcPr>
            <w:tcW w:w="158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30"/>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Cash paid for operating lease liabilities</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7000240</wp:posOffset>
            </wp:positionH>
            <wp:positionV relativeFrom="paragraph">
              <wp:posOffset>-1242695</wp:posOffset>
            </wp:positionV>
            <wp:extent cx="137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-1225550</wp:posOffset>
            </wp:positionV>
            <wp:extent cx="137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4"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Future minimum lease payments under non-cancellable operating leases with initial lease terms in excess of one year included in the Company’s lease liabilities as of March 31, 2022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ending December 31:</w:t>
            </w:r>
          </w:p>
        </w:tc>
        <w:tc>
          <w:tcPr>
            <w:tcW w:w="8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9180" w:type="dxa"/>
            <w:vAlign w:val="bottom"/>
          </w:tcPr>
          <w:p>
            <w:pPr>
              <w:ind w:left="200"/>
              <w:spacing w:after="0" w:line="202" w:lineRule="exact"/>
              <w:rPr>
                <w:sz w:val="20"/>
                <w:szCs w:val="20"/>
                <w:color w:val="auto"/>
              </w:rPr>
            </w:pPr>
            <w:r>
              <w:rPr>
                <w:rFonts w:ascii="Arial" w:cs="Arial" w:eastAsia="Arial" w:hAnsi="Arial"/>
                <w:sz w:val="18"/>
                <w:szCs w:val="18"/>
                <w:color w:val="auto"/>
              </w:rPr>
              <w:t>Remainder of 2022</w:t>
            </w:r>
          </w:p>
        </w:tc>
        <w:tc>
          <w:tcPr>
            <w:tcW w:w="800" w:type="dxa"/>
            <w:vAlign w:val="bottom"/>
          </w:tcPr>
          <w:p>
            <w:pPr>
              <w:jc w:val="right"/>
              <w:ind w:right="59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2,775</w:t>
            </w:r>
          </w:p>
        </w:tc>
        <w:tc>
          <w:tcPr>
            <w:tcW w:w="80" w:type="dxa"/>
            <w:vAlign w:val="bottom"/>
          </w:tcPr>
          <w:p>
            <w:pPr>
              <w:spacing w:after="0"/>
              <w:rPr>
                <w:sz w:val="17"/>
                <w:szCs w:val="17"/>
                <w:color w:val="auto"/>
              </w:rPr>
            </w:pPr>
          </w:p>
        </w:tc>
      </w:tr>
      <w:tr>
        <w:trPr>
          <w:trHeight w:val="203"/>
        </w:trPr>
        <w:tc>
          <w:tcPr>
            <w:tcW w:w="9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2023</w:t>
            </w:r>
          </w:p>
        </w:tc>
        <w:tc>
          <w:tcPr>
            <w:tcW w:w="8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3,943</w:t>
            </w:r>
          </w:p>
        </w:tc>
        <w:tc>
          <w:tcPr>
            <w:tcW w:w="80" w:type="dxa"/>
            <w:vAlign w:val="bottom"/>
            <w:shd w:val="clear" w:color="auto" w:fill="CFF0FC"/>
          </w:tcPr>
          <w:p>
            <w:pPr>
              <w:spacing w:after="0"/>
              <w:rPr>
                <w:sz w:val="17"/>
                <w:szCs w:val="17"/>
                <w:color w:val="auto"/>
              </w:rPr>
            </w:pPr>
          </w:p>
        </w:tc>
      </w:tr>
      <w:tr>
        <w:trPr>
          <w:trHeight w:val="203"/>
        </w:trPr>
        <w:tc>
          <w:tcPr>
            <w:tcW w:w="9180" w:type="dxa"/>
            <w:vAlign w:val="bottom"/>
          </w:tcPr>
          <w:p>
            <w:pPr>
              <w:ind w:left="200"/>
              <w:spacing w:after="0" w:line="202" w:lineRule="exact"/>
              <w:rPr>
                <w:sz w:val="20"/>
                <w:szCs w:val="20"/>
                <w:color w:val="auto"/>
              </w:rPr>
            </w:pPr>
            <w:r>
              <w:rPr>
                <w:rFonts w:ascii="Arial" w:cs="Arial" w:eastAsia="Arial" w:hAnsi="Arial"/>
                <w:sz w:val="18"/>
                <w:szCs w:val="18"/>
                <w:color w:val="auto"/>
              </w:rPr>
              <w:t>2024</w:t>
            </w:r>
          </w:p>
        </w:tc>
        <w:tc>
          <w:tcPr>
            <w:tcW w:w="8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3,914</w:t>
            </w:r>
          </w:p>
        </w:tc>
        <w:tc>
          <w:tcPr>
            <w:tcW w:w="80" w:type="dxa"/>
            <w:vAlign w:val="bottom"/>
          </w:tcPr>
          <w:p>
            <w:pPr>
              <w:spacing w:after="0"/>
              <w:rPr>
                <w:sz w:val="17"/>
                <w:szCs w:val="17"/>
                <w:color w:val="auto"/>
              </w:rPr>
            </w:pPr>
          </w:p>
        </w:tc>
      </w:tr>
      <w:tr>
        <w:trPr>
          <w:trHeight w:val="203"/>
        </w:trPr>
        <w:tc>
          <w:tcPr>
            <w:tcW w:w="9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2025</w:t>
            </w:r>
          </w:p>
        </w:tc>
        <w:tc>
          <w:tcPr>
            <w:tcW w:w="8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3,127</w:t>
            </w:r>
          </w:p>
        </w:tc>
        <w:tc>
          <w:tcPr>
            <w:tcW w:w="80" w:type="dxa"/>
            <w:vAlign w:val="bottom"/>
            <w:shd w:val="clear" w:color="auto" w:fill="CFF0FC"/>
          </w:tcPr>
          <w:p>
            <w:pPr>
              <w:spacing w:after="0"/>
              <w:rPr>
                <w:sz w:val="17"/>
                <w:szCs w:val="17"/>
                <w:color w:val="auto"/>
              </w:rPr>
            </w:pPr>
          </w:p>
        </w:tc>
      </w:tr>
      <w:tr>
        <w:trPr>
          <w:trHeight w:val="203"/>
        </w:trPr>
        <w:tc>
          <w:tcPr>
            <w:tcW w:w="9180" w:type="dxa"/>
            <w:vAlign w:val="bottom"/>
          </w:tcPr>
          <w:p>
            <w:pPr>
              <w:ind w:left="200"/>
              <w:spacing w:after="0" w:line="202" w:lineRule="exact"/>
              <w:rPr>
                <w:sz w:val="20"/>
                <w:szCs w:val="20"/>
                <w:color w:val="auto"/>
              </w:rPr>
            </w:pPr>
            <w:r>
              <w:rPr>
                <w:rFonts w:ascii="Arial" w:cs="Arial" w:eastAsia="Arial" w:hAnsi="Arial"/>
                <w:sz w:val="18"/>
                <w:szCs w:val="18"/>
                <w:color w:val="auto"/>
              </w:rPr>
              <w:t>2026 and thereafter</w:t>
            </w:r>
          </w:p>
        </w:tc>
        <w:tc>
          <w:tcPr>
            <w:tcW w:w="8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400</w:t>
            </w:r>
          </w:p>
        </w:tc>
        <w:tc>
          <w:tcPr>
            <w:tcW w:w="80" w:type="dxa"/>
            <w:vAlign w:val="bottom"/>
          </w:tcPr>
          <w:p>
            <w:pPr>
              <w:spacing w:after="0"/>
              <w:rPr>
                <w:sz w:val="17"/>
                <w:szCs w:val="17"/>
                <w:color w:val="auto"/>
              </w:rPr>
            </w:pPr>
          </w:p>
        </w:tc>
      </w:tr>
      <w:tr>
        <w:trPr>
          <w:trHeight w:val="196"/>
        </w:trPr>
        <w:tc>
          <w:tcPr>
            <w:tcW w:w="91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undiscounted operating lease payments</w:t>
            </w:r>
          </w:p>
        </w:tc>
        <w:tc>
          <w:tcPr>
            <w:tcW w:w="800" w:type="dxa"/>
            <w:vAlign w:val="bottom"/>
            <w:shd w:val="clear" w:color="auto" w:fill="CFF0FC"/>
          </w:tcPr>
          <w:p>
            <w:pPr>
              <w:jc w:val="right"/>
              <w:ind w:right="59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14,159</w:t>
            </w:r>
          </w:p>
        </w:tc>
        <w:tc>
          <w:tcPr>
            <w:tcW w:w="80" w:type="dxa"/>
            <w:vAlign w:val="bottom"/>
            <w:shd w:val="clear" w:color="auto" w:fill="CFF0FC"/>
          </w:tcPr>
          <w:p>
            <w:pPr>
              <w:spacing w:after="0"/>
              <w:rPr>
                <w:sz w:val="17"/>
                <w:szCs w:val="17"/>
                <w:color w:val="auto"/>
              </w:rPr>
            </w:pPr>
          </w:p>
        </w:tc>
      </w:tr>
      <w:tr>
        <w:trPr>
          <w:trHeight w:val="203"/>
        </w:trPr>
        <w:tc>
          <w:tcPr>
            <w:tcW w:w="9180" w:type="dxa"/>
            <w:vAlign w:val="bottom"/>
          </w:tcPr>
          <w:p>
            <w:pPr>
              <w:ind w:left="200"/>
              <w:spacing w:after="0" w:line="202" w:lineRule="exact"/>
              <w:rPr>
                <w:sz w:val="20"/>
                <w:szCs w:val="20"/>
                <w:color w:val="auto"/>
              </w:rPr>
            </w:pPr>
            <w:r>
              <w:rPr>
                <w:rFonts w:ascii="Arial" w:cs="Arial" w:eastAsia="Arial" w:hAnsi="Arial"/>
                <w:sz w:val="18"/>
                <w:szCs w:val="18"/>
                <w:color w:val="auto"/>
              </w:rPr>
              <w:t>Less: imputed interest</w:t>
            </w:r>
          </w:p>
        </w:tc>
        <w:tc>
          <w:tcPr>
            <w:tcW w:w="80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(732 )</w:t>
            </w:r>
          </w:p>
        </w:tc>
      </w:tr>
      <w:tr>
        <w:trPr>
          <w:trHeight w:val="236"/>
        </w:trPr>
        <w:tc>
          <w:tcPr>
            <w:tcW w:w="918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operating lease liabilities</w:t>
            </w:r>
          </w:p>
        </w:tc>
        <w:tc>
          <w:tcPr>
            <w:tcW w:w="800" w:type="dxa"/>
            <w:vAlign w:val="bottom"/>
            <w:tcBorders>
              <w:top w:val="single" w:sz="8" w:color="auto"/>
              <w:bottom w:val="single" w:sz="8" w:color="auto"/>
            </w:tcBorders>
            <w:shd w:val="clear" w:color="auto" w:fill="CFF0FC"/>
          </w:tcPr>
          <w:p>
            <w:pPr>
              <w:jc w:val="right"/>
              <w:ind w:right="590"/>
              <w:spacing w:after="0" w:line="182"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13,427</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payments under non-cancellable operating leases consisted of the following as of December 31, 2021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ending December 31:</w:t>
            </w:r>
          </w:p>
        </w:tc>
        <w:tc>
          <w:tcPr>
            <w:tcW w:w="7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9200" w:type="dxa"/>
            <w:vAlign w:val="bottom"/>
          </w:tcPr>
          <w:p>
            <w:pPr>
              <w:ind w:left="200"/>
              <w:spacing w:after="0" w:line="202" w:lineRule="exact"/>
              <w:rPr>
                <w:sz w:val="20"/>
                <w:szCs w:val="20"/>
                <w:color w:val="auto"/>
              </w:rPr>
            </w:pPr>
            <w:r>
              <w:rPr>
                <w:rFonts w:ascii="Arial" w:cs="Arial" w:eastAsia="Arial" w:hAnsi="Arial"/>
                <w:sz w:val="18"/>
                <w:szCs w:val="18"/>
                <w:color w:val="auto"/>
              </w:rPr>
              <w:t>2022</w:t>
            </w:r>
          </w:p>
        </w:tc>
        <w:tc>
          <w:tcPr>
            <w:tcW w:w="780" w:type="dxa"/>
            <w:vAlign w:val="bottom"/>
          </w:tcPr>
          <w:p>
            <w:pPr>
              <w:jc w:val="right"/>
              <w:ind w:right="5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2,767</w:t>
            </w:r>
          </w:p>
        </w:tc>
        <w:tc>
          <w:tcPr>
            <w:tcW w:w="60" w:type="dxa"/>
            <w:vAlign w:val="bottom"/>
          </w:tcPr>
          <w:p>
            <w:pPr>
              <w:spacing w:after="0"/>
              <w:rPr>
                <w:sz w:val="17"/>
                <w:szCs w:val="17"/>
                <w:color w:val="auto"/>
              </w:rPr>
            </w:pPr>
          </w:p>
        </w:tc>
      </w:tr>
      <w:tr>
        <w:trPr>
          <w:trHeight w:val="203"/>
        </w:trPr>
        <w:tc>
          <w:tcPr>
            <w:tcW w:w="92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2023</w:t>
            </w:r>
          </w:p>
        </w:tc>
        <w:tc>
          <w:tcPr>
            <w:tcW w:w="7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3,883</w:t>
            </w:r>
          </w:p>
        </w:tc>
        <w:tc>
          <w:tcPr>
            <w:tcW w:w="60" w:type="dxa"/>
            <w:vAlign w:val="bottom"/>
            <w:shd w:val="clear" w:color="auto" w:fill="CFF0FC"/>
          </w:tcPr>
          <w:p>
            <w:pPr>
              <w:spacing w:after="0"/>
              <w:rPr>
                <w:sz w:val="17"/>
                <w:szCs w:val="17"/>
                <w:color w:val="auto"/>
              </w:rPr>
            </w:pPr>
          </w:p>
        </w:tc>
      </w:tr>
      <w:tr>
        <w:trPr>
          <w:trHeight w:val="203"/>
        </w:trPr>
        <w:tc>
          <w:tcPr>
            <w:tcW w:w="9200" w:type="dxa"/>
            <w:vAlign w:val="bottom"/>
          </w:tcPr>
          <w:p>
            <w:pPr>
              <w:ind w:left="200"/>
              <w:spacing w:after="0" w:line="202" w:lineRule="exact"/>
              <w:rPr>
                <w:sz w:val="20"/>
                <w:szCs w:val="20"/>
                <w:color w:val="auto"/>
              </w:rPr>
            </w:pPr>
            <w:r>
              <w:rPr>
                <w:rFonts w:ascii="Arial" w:cs="Arial" w:eastAsia="Arial" w:hAnsi="Arial"/>
                <w:sz w:val="18"/>
                <w:szCs w:val="18"/>
                <w:color w:val="auto"/>
              </w:rPr>
              <w:t>2024</w:t>
            </w:r>
          </w:p>
        </w:tc>
        <w:tc>
          <w:tcPr>
            <w:tcW w:w="7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3,988</w:t>
            </w:r>
          </w:p>
        </w:tc>
        <w:tc>
          <w:tcPr>
            <w:tcW w:w="60" w:type="dxa"/>
            <w:vAlign w:val="bottom"/>
          </w:tcPr>
          <w:p>
            <w:pPr>
              <w:spacing w:after="0"/>
              <w:rPr>
                <w:sz w:val="17"/>
                <w:szCs w:val="17"/>
                <w:color w:val="auto"/>
              </w:rPr>
            </w:pPr>
          </w:p>
        </w:tc>
      </w:tr>
      <w:tr>
        <w:trPr>
          <w:trHeight w:val="203"/>
        </w:trPr>
        <w:tc>
          <w:tcPr>
            <w:tcW w:w="92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2025</w:t>
            </w:r>
          </w:p>
        </w:tc>
        <w:tc>
          <w:tcPr>
            <w:tcW w:w="7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3,207</w:t>
            </w:r>
          </w:p>
        </w:tc>
        <w:tc>
          <w:tcPr>
            <w:tcW w:w="60" w:type="dxa"/>
            <w:vAlign w:val="bottom"/>
            <w:shd w:val="clear" w:color="auto" w:fill="CFF0FC"/>
          </w:tcPr>
          <w:p>
            <w:pPr>
              <w:spacing w:after="0"/>
              <w:rPr>
                <w:sz w:val="17"/>
                <w:szCs w:val="17"/>
                <w:color w:val="auto"/>
              </w:rPr>
            </w:pPr>
          </w:p>
        </w:tc>
      </w:tr>
      <w:tr>
        <w:trPr>
          <w:trHeight w:val="203"/>
        </w:trPr>
        <w:tc>
          <w:tcPr>
            <w:tcW w:w="9200" w:type="dxa"/>
            <w:vAlign w:val="bottom"/>
          </w:tcPr>
          <w:p>
            <w:pPr>
              <w:ind w:left="200"/>
              <w:spacing w:after="0" w:line="202" w:lineRule="exact"/>
              <w:rPr>
                <w:sz w:val="20"/>
                <w:szCs w:val="20"/>
                <w:color w:val="auto"/>
              </w:rPr>
            </w:pPr>
            <w:r>
              <w:rPr>
                <w:rFonts w:ascii="Arial" w:cs="Arial" w:eastAsia="Arial" w:hAnsi="Arial"/>
                <w:sz w:val="18"/>
                <w:szCs w:val="18"/>
                <w:color w:val="auto"/>
              </w:rPr>
              <w:t>2026 and thereafter</w:t>
            </w:r>
          </w:p>
        </w:tc>
        <w:tc>
          <w:tcPr>
            <w:tcW w:w="7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463</w:t>
            </w:r>
          </w:p>
        </w:tc>
        <w:tc>
          <w:tcPr>
            <w:tcW w:w="60" w:type="dxa"/>
            <w:vAlign w:val="bottom"/>
          </w:tcPr>
          <w:p>
            <w:pPr>
              <w:spacing w:after="0"/>
              <w:rPr>
                <w:sz w:val="17"/>
                <w:szCs w:val="17"/>
                <w:color w:val="auto"/>
              </w:rPr>
            </w:pPr>
          </w:p>
        </w:tc>
      </w:tr>
      <w:tr>
        <w:trPr>
          <w:trHeight w:val="236"/>
        </w:trPr>
        <w:tc>
          <w:tcPr>
            <w:tcW w:w="920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minimum lease payments</w:t>
            </w:r>
          </w:p>
        </w:tc>
        <w:tc>
          <w:tcPr>
            <w:tcW w:w="780" w:type="dxa"/>
            <w:vAlign w:val="bottom"/>
            <w:tcBorders>
              <w:bottom w:val="single" w:sz="8" w:color="auto"/>
            </w:tcBorders>
            <w:shd w:val="clear" w:color="auto" w:fill="CFF0FC"/>
          </w:tcPr>
          <w:p>
            <w:pPr>
              <w:jc w:val="right"/>
              <w:ind w:right="59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14,308</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March 31, 2021, rent expense was $1.1 million.</w:t>
      </w:r>
    </w:p>
    <w:p>
      <w:pPr>
        <w:spacing w:after="0" w:line="100" w:lineRule="exact"/>
        <w:rPr>
          <w:sz w:val="20"/>
          <w:szCs w:val="20"/>
          <w:color w:val="auto"/>
        </w:rPr>
      </w:pPr>
    </w:p>
    <w:p>
      <w:pPr>
        <w:ind w:right="8180" w:firstLine="8"/>
        <w:spacing w:after="0" w:line="362" w:lineRule="auto"/>
        <w:tabs>
          <w:tab w:leader="none" w:pos="509"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Legal Matters</w:t>
      </w:r>
    </w:p>
    <w:p>
      <w:pPr>
        <w:spacing w:after="0" w:line="1" w:lineRule="exact"/>
        <w:rPr>
          <w:sz w:val="20"/>
          <w:szCs w:val="20"/>
          <w:color w:val="auto"/>
        </w:rPr>
      </w:pPr>
    </w:p>
    <w:p>
      <w:pPr>
        <w:ind w:right="200" w:firstLine="509"/>
        <w:spacing w:after="0" w:line="239" w:lineRule="auto"/>
        <w:rPr>
          <w:sz w:val="20"/>
          <w:szCs w:val="20"/>
          <w:color w:val="auto"/>
        </w:rPr>
      </w:pPr>
      <w:r>
        <w:rPr>
          <w:rFonts w:ascii="Arial" w:cs="Arial" w:eastAsia="Arial" w:hAnsi="Arial"/>
          <w:sz w:val="18"/>
          <w:szCs w:val="18"/>
          <w:color w:val="auto"/>
        </w:rPr>
        <w:t>The Company is involved in various legal and regulatory matters arising from the normal course of business activities. The Company records litigation accruals for legal matters, which are both probable and estimable. For legal proceedings for which there is a reasonable possibility of loss (meaning those losses for which the likelihood is more than remote but less than probable), the Company has determined that it does not have material exposure, or it is unable to develop a range of reasonably possible losses. Although no assurance may be given, the Company believes that it is not presently a party to any litigation of which the outcome, if determined adversely, would individually or in the aggregate be reasonably expected to have a material and adverse effect on the business, operating results, cash flows, or financial position. Legal fees are expensed in the period in which they are incurred.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0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Basic net loss per share attributable to the Company’s common stockholders is computed in conformity with the two-class method required for participating securities. Prior to the automatic conversion of all of its redeemable convertible preferred stock outstanding into Class B common stock concurrent with the Direct Listing, the Company considered all series of its redeemable convertible preferred stock to be participating securities as holders of such stock had the right to receive nonforfeitable dividends on a ratable basis in the event that a dividend was paid on common stock. Under the two-class method, the net loss attributable to common stockholders was not allocated to the redeemable convertible preferred stock as the preferred stockholders did not have a contractual obligation to share in the Company's losses.</w:t>
      </w:r>
    </w:p>
    <w:p>
      <w:pPr>
        <w:spacing w:after="0" w:line="189"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Basic net loss per share is computed by dividing the net loss attributable to the Company’s common stockholders by the weighted-average number of shares of common stock outstanding during the period. Diluted net loss per share is the same as basic net loss per share for all periods presented because the effects of potentially dilutive items were anti-dilutive given the Company’s net loss position in each period presented.</w:t>
      </w:r>
    </w:p>
    <w:p>
      <w:pPr>
        <w:spacing w:after="0" w:line="16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 rights, including the liquidation and dividend rights, of the holders of Class A and Class B common stock are identical, except with respect to voting, conversion, and transfer rights. As the liquidation and dividend rights are identical, all undistributed earnings are allocated on a proportionate basis to each class of common stock and the resulting basic and diluted net loss per share attributable to common stockholders are, therefore, the same for both Class A and Class B common stock on both an individual and a combined basis.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calculation of basic and diluted net loss per share (in thousands, except per share data):</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 attributable to Class A and Class B common stockholders</w:t>
      </w:r>
    </w:p>
    <w:p>
      <w:pPr>
        <w:spacing w:after="0" w:line="35" w:lineRule="exact"/>
        <w:rPr>
          <w:sz w:val="20"/>
          <w:szCs w:val="20"/>
          <w:color w:val="auto"/>
        </w:rPr>
      </w:pPr>
    </w:p>
    <w:p>
      <w:pPr>
        <w:ind w:left="160" w:right="600" w:hanging="134"/>
        <w:spacing w:after="0" w:line="213" w:lineRule="auto"/>
        <w:rPr>
          <w:sz w:val="20"/>
          <w:szCs w:val="20"/>
          <w:color w:val="auto"/>
        </w:rPr>
      </w:pPr>
      <w:r>
        <w:rPr>
          <w:rFonts w:ascii="Arial" w:cs="Arial" w:eastAsia="Arial" w:hAnsi="Arial"/>
          <w:sz w:val="18"/>
          <w:szCs w:val="18"/>
          <w:color w:val="auto"/>
        </w:rPr>
        <w:t>Weighted-average shares used in computing net loss per share attributable to Class A and Class B common stockholders, basic and diluted</w:t>
      </w:r>
    </w:p>
    <w:p>
      <w:pPr>
        <w:spacing w:after="0" w:line="2" w:lineRule="exact"/>
        <w:rPr>
          <w:sz w:val="20"/>
          <w:szCs w:val="20"/>
          <w:color w:val="auto"/>
        </w:rPr>
      </w:pPr>
    </w:p>
    <w:p>
      <w:pPr>
        <w:ind w:left="340" w:right="1040" w:hanging="134"/>
        <w:spacing w:after="0" w:line="239" w:lineRule="auto"/>
        <w:rPr>
          <w:sz w:val="20"/>
          <w:szCs w:val="20"/>
          <w:color w:val="auto"/>
        </w:rPr>
      </w:pPr>
      <w:r>
        <w:rPr>
          <w:rFonts w:ascii="Arial" w:cs="Arial" w:eastAsia="Arial" w:hAnsi="Arial"/>
          <w:sz w:val="17"/>
          <w:szCs w:val="17"/>
          <w:color w:val="auto"/>
        </w:rPr>
        <w:t>Net loss per share attributable to Class A and Class B common stockholders, basic and diluted</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Three Months Ended</w:t>
      </w:r>
    </w:p>
    <w:p>
      <w:pPr>
        <w:jc w:val="center"/>
        <w:ind w:right="300"/>
        <w:spacing w:after="0" w:line="234" w:lineRule="auto"/>
        <w:rPr>
          <w:sz w:val="20"/>
          <w:szCs w:val="20"/>
          <w:color w:val="auto"/>
        </w:rPr>
      </w:pPr>
      <w:r>
        <w:rPr>
          <w:rFonts w:ascii="Arial" w:cs="Arial" w:eastAsia="Arial" w:hAnsi="Arial"/>
          <w:sz w:val="18"/>
          <w:szCs w:val="18"/>
          <w:b w:val="1"/>
          <w:bCs w:val="1"/>
          <w:color w:val="auto"/>
        </w:rPr>
        <w:t>March 31,</w:t>
      </w:r>
    </w:p>
    <w:tbl>
      <w:tblPr>
        <w:tblLayout w:type="fixed"/>
        <w:tblInd w:w="0" w:type="dxa"/>
        <w:tblCellMar>
          <w:top w:w="0" w:type="dxa"/>
          <w:left w:w="0" w:type="dxa"/>
          <w:bottom w:w="0" w:type="dxa"/>
          <w:right w:w="0" w:type="dxa"/>
        </w:tblCellMar>
      </w:tblPr>
      <w:tr>
        <w:trPr>
          <w:trHeight w:val="202"/>
        </w:trPr>
        <w:tc>
          <w:tcPr>
            <w:tcW w:w="5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950"/>
              <w:spacing w:after="0" w:line="201" w:lineRule="exact"/>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910"/>
              <w:spacing w:after="0" w:line="201"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r>
      <w:tr>
        <w:trPr>
          <w:trHeight w:val="412"/>
        </w:trPr>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(22,220 )</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(6,439 )</w:t>
            </w:r>
          </w:p>
        </w:tc>
      </w:tr>
      <w:tr>
        <w:trPr>
          <w:trHeight w:val="526"/>
        </w:trPr>
        <w:tc>
          <w:tcPr>
            <w:tcW w:w="5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109,553</w:t>
            </w:r>
          </w:p>
        </w:tc>
        <w:tc>
          <w:tcPr>
            <w:tcW w:w="3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27,926</w:t>
            </w:r>
          </w:p>
        </w:tc>
        <w:tc>
          <w:tcPr>
            <w:tcW w:w="80" w:type="dxa"/>
            <w:vAlign w:val="bottom"/>
          </w:tcPr>
          <w:p>
            <w:pPr>
              <w:spacing w:after="0"/>
              <w:rPr>
                <w:sz w:val="24"/>
                <w:szCs w:val="24"/>
                <w:color w:val="auto"/>
              </w:rPr>
            </w:pPr>
          </w:p>
        </w:tc>
      </w:tr>
      <w:tr>
        <w:trPr>
          <w:trHeight w:val="331"/>
        </w:trPr>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(0.20 )</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(0.23 )</w:t>
            </w:r>
          </w:p>
        </w:tc>
      </w:tr>
      <w:tr>
        <w:trPr>
          <w:trHeight w:val="20"/>
        </w:trPr>
        <w:tc>
          <w:tcPr>
            <w:tcW w:w="5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-719455</wp:posOffset>
            </wp:positionV>
            <wp:extent cx="7132320"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-239395</wp:posOffset>
            </wp:positionV>
            <wp:extent cx="7132320" cy="2400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5080" w:space="720"/>
            <w:col w:w="5440"/>
          </w:cols>
          <w:pgMar w:left="320" w:top="1093" w:right="339" w:bottom="1440" w:gutter="0" w:footer="0" w:header="0"/>
          <w:type w:val="continuous"/>
        </w:sectPr>
      </w:pPr>
    </w:p>
    <w:p>
      <w:pPr>
        <w:spacing w:after="0" w:line="16"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The following potential common shares were excluded from the calculation of diluted net loss per share because their effect would have been anti-dilutive for the periods presented (in thousands):</w:t>
      </w:r>
    </w:p>
    <w:p>
      <w:pPr>
        <w:spacing w:after="0" w:line="182" w:lineRule="exact"/>
        <w:rPr>
          <w:sz w:val="20"/>
          <w:szCs w:val="20"/>
          <w:color w:val="auto"/>
        </w:rPr>
      </w:pPr>
    </w:p>
    <w:p>
      <w:pPr>
        <w:jc w:val="center"/>
        <w:ind w:left="5500"/>
        <w:spacing w:after="0"/>
        <w:rPr>
          <w:sz w:val="20"/>
          <w:szCs w:val="20"/>
          <w:color w:val="auto"/>
        </w:rPr>
      </w:pPr>
      <w:r>
        <w:rPr>
          <w:rFonts w:ascii="Arial" w:cs="Arial" w:eastAsia="Arial" w:hAnsi="Arial"/>
          <w:sz w:val="18"/>
          <w:szCs w:val="18"/>
          <w:b w:val="1"/>
          <w:bCs w:val="1"/>
          <w:color w:val="auto"/>
        </w:rPr>
        <w:t>Three Months Ended</w:t>
      </w:r>
    </w:p>
    <w:p>
      <w:pPr>
        <w:jc w:val="center"/>
        <w:ind w:left="5500"/>
        <w:spacing w:after="0" w:line="234" w:lineRule="auto"/>
        <w:rPr>
          <w:sz w:val="20"/>
          <w:szCs w:val="20"/>
          <w:color w:val="auto"/>
        </w:rPr>
      </w:pPr>
      <w:r>
        <w:rPr>
          <w:rFonts w:ascii="Arial" w:cs="Arial" w:eastAsia="Arial" w:hAnsi="Arial"/>
          <w:sz w:val="18"/>
          <w:szCs w:val="18"/>
          <w:b w:val="1"/>
          <w:bCs w:val="1"/>
          <w:color w:val="auto"/>
        </w:rPr>
        <w:t>March 31,</w:t>
      </w:r>
    </w:p>
    <w:tbl>
      <w:tblPr>
        <w:tblLayout w:type="fixed"/>
        <w:tblInd w:w="0" w:type="dxa"/>
        <w:tblCellMar>
          <w:top w:w="0" w:type="dxa"/>
          <w:left w:w="0" w:type="dxa"/>
          <w:bottom w:w="0" w:type="dxa"/>
          <w:right w:w="0" w:type="dxa"/>
        </w:tblCellMar>
      </w:tblPr>
      <w:tr>
        <w:trPr>
          <w:trHeight w:val="202"/>
        </w:trPr>
        <w:tc>
          <w:tcPr>
            <w:tcW w:w="5800" w:type="dxa"/>
            <w:vAlign w:val="bottom"/>
          </w:tcPr>
          <w:p>
            <w:pPr>
              <w:spacing w:after="0"/>
              <w:rPr>
                <w:sz w:val="17"/>
                <w:szCs w:val="17"/>
                <w:color w:val="auto"/>
              </w:rPr>
            </w:pPr>
          </w:p>
        </w:tc>
        <w:tc>
          <w:tcPr>
            <w:tcW w:w="1700" w:type="dxa"/>
            <w:vAlign w:val="bottom"/>
            <w:tcBorders>
              <w:bottom w:val="single" w:sz="8" w:color="auto"/>
            </w:tcBorders>
          </w:tcPr>
          <w:p>
            <w:pPr>
              <w:jc w:val="right"/>
              <w:ind w:right="190"/>
              <w:spacing w:after="0" w:line="201" w:lineRule="exact"/>
              <w:rPr>
                <w:sz w:val="20"/>
                <w:szCs w:val="20"/>
                <w:color w:val="auto"/>
              </w:rPr>
            </w:pPr>
            <w:r>
              <w:rPr>
                <w:rFonts w:ascii="Arial" w:cs="Arial" w:eastAsia="Arial" w:hAnsi="Arial"/>
                <w:sz w:val="18"/>
                <w:szCs w:val="18"/>
                <w:b w:val="1"/>
                <w:bCs w:val="1"/>
                <w:color w:val="auto"/>
              </w:rPr>
              <w:t>2022</w:t>
            </w:r>
          </w:p>
        </w:tc>
        <w:tc>
          <w:tcPr>
            <w:tcW w:w="7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tcBorders>
              <w:bottom w:val="single" w:sz="8" w:color="auto"/>
            </w:tcBorders>
          </w:tcPr>
          <w:p>
            <w:pPr>
              <w:jc w:val="right"/>
              <w:ind w:right="930"/>
              <w:spacing w:after="0" w:line="201" w:lineRule="exact"/>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7"/>
                <w:szCs w:val="17"/>
                <w:color w:val="auto"/>
              </w:rPr>
            </w:pPr>
          </w:p>
        </w:tc>
      </w:tr>
      <w:tr>
        <w:trPr>
          <w:trHeight w:val="196"/>
        </w:trPr>
        <w:tc>
          <w:tcPr>
            <w:tcW w:w="75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26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75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Redeemable convertible preferred stock</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61,717</w:t>
            </w:r>
          </w:p>
        </w:tc>
        <w:tc>
          <w:tcPr>
            <w:tcW w:w="280" w:type="dxa"/>
            <w:vAlign w:val="bottom"/>
            <w:shd w:val="clear" w:color="auto" w:fill="CFF0FC"/>
          </w:tcPr>
          <w:p>
            <w:pPr>
              <w:spacing w:after="0"/>
              <w:rPr>
                <w:sz w:val="17"/>
                <w:szCs w:val="17"/>
                <w:color w:val="auto"/>
              </w:rPr>
            </w:pPr>
          </w:p>
        </w:tc>
      </w:tr>
      <w:tr>
        <w:trPr>
          <w:trHeight w:val="203"/>
        </w:trPr>
        <w:tc>
          <w:tcPr>
            <w:tcW w:w="7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Warrants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r>
      <w:tr>
        <w:trPr>
          <w:trHeight w:val="203"/>
        </w:trPr>
        <w:tc>
          <w:tcPr>
            <w:tcW w:w="75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Non-plan stock options</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36</w:t>
            </w:r>
          </w:p>
        </w:tc>
        <w:tc>
          <w:tcPr>
            <w:tcW w:w="280" w:type="dxa"/>
            <w:vAlign w:val="bottom"/>
            <w:shd w:val="clear" w:color="auto" w:fill="CFF0FC"/>
          </w:tcPr>
          <w:p>
            <w:pPr>
              <w:spacing w:after="0"/>
              <w:rPr>
                <w:sz w:val="17"/>
                <w:szCs w:val="17"/>
                <w:color w:val="auto"/>
              </w:rPr>
            </w:pPr>
          </w:p>
        </w:tc>
      </w:tr>
      <w:tr>
        <w:trPr>
          <w:trHeight w:val="203"/>
        </w:trPr>
        <w:tc>
          <w:tcPr>
            <w:tcW w:w="7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Equity plan stock options outstanding</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18,076</w:t>
            </w:r>
          </w:p>
        </w:tc>
        <w:tc>
          <w:tcPr>
            <w:tcW w:w="2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29,424</w:t>
            </w:r>
          </w:p>
        </w:tc>
        <w:tc>
          <w:tcPr>
            <w:tcW w:w="280" w:type="dxa"/>
            <w:vAlign w:val="bottom"/>
          </w:tcPr>
          <w:p>
            <w:pPr>
              <w:spacing w:after="0"/>
              <w:rPr>
                <w:sz w:val="17"/>
                <w:szCs w:val="17"/>
                <w:color w:val="auto"/>
              </w:rPr>
            </w:pPr>
          </w:p>
        </w:tc>
      </w:tr>
      <w:tr>
        <w:trPr>
          <w:trHeight w:val="203"/>
        </w:trPr>
        <w:tc>
          <w:tcPr>
            <w:tcW w:w="75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Equity plan stock options early exercised</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607</w:t>
            </w:r>
          </w:p>
        </w:tc>
        <w:tc>
          <w:tcPr>
            <w:tcW w:w="2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373</w:t>
            </w:r>
          </w:p>
        </w:tc>
        <w:tc>
          <w:tcPr>
            <w:tcW w:w="280" w:type="dxa"/>
            <w:vAlign w:val="bottom"/>
            <w:shd w:val="clear" w:color="auto" w:fill="CFF0FC"/>
          </w:tcPr>
          <w:p>
            <w:pPr>
              <w:spacing w:after="0"/>
              <w:rPr>
                <w:sz w:val="17"/>
                <w:szCs w:val="17"/>
                <w:color w:val="auto"/>
              </w:rPr>
            </w:pPr>
          </w:p>
        </w:tc>
      </w:tr>
      <w:tr>
        <w:trPr>
          <w:trHeight w:val="203"/>
        </w:trPr>
        <w:tc>
          <w:tcPr>
            <w:tcW w:w="7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RSUs outstanding</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4,091</w:t>
            </w:r>
          </w:p>
        </w:tc>
        <w:tc>
          <w:tcPr>
            <w:tcW w:w="2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2,571</w:t>
            </w:r>
          </w:p>
        </w:tc>
        <w:tc>
          <w:tcPr>
            <w:tcW w:w="280" w:type="dxa"/>
            <w:vAlign w:val="bottom"/>
          </w:tcPr>
          <w:p>
            <w:pPr>
              <w:spacing w:after="0"/>
              <w:rPr>
                <w:sz w:val="17"/>
                <w:szCs w:val="17"/>
                <w:color w:val="auto"/>
              </w:rPr>
            </w:pPr>
          </w:p>
        </w:tc>
      </w:tr>
      <w:tr>
        <w:trPr>
          <w:trHeight w:val="203"/>
        </w:trPr>
        <w:tc>
          <w:tcPr>
            <w:tcW w:w="75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shares</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332</w:t>
            </w:r>
          </w:p>
        </w:tc>
        <w:tc>
          <w:tcPr>
            <w:tcW w:w="280" w:type="dxa"/>
            <w:vAlign w:val="bottom"/>
            <w:shd w:val="clear" w:color="auto" w:fill="CFF0FC"/>
          </w:tcPr>
          <w:p>
            <w:pPr>
              <w:spacing w:after="0"/>
              <w:rPr>
                <w:sz w:val="17"/>
                <w:szCs w:val="17"/>
                <w:color w:val="auto"/>
              </w:rPr>
            </w:pPr>
          </w:p>
        </w:tc>
        <w:tc>
          <w:tcPr>
            <w:tcW w:w="2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r>
      <w:tr>
        <w:trPr>
          <w:trHeight w:val="203"/>
        </w:trPr>
        <w:tc>
          <w:tcPr>
            <w:tcW w:w="5800" w:type="dxa"/>
            <w:vAlign w:val="bottom"/>
          </w:tcPr>
          <w:p>
            <w:pPr>
              <w:ind w:left="20"/>
              <w:spacing w:after="0" w:line="202" w:lineRule="exact"/>
              <w:rPr>
                <w:sz w:val="20"/>
                <w:szCs w:val="20"/>
                <w:color w:val="auto"/>
              </w:rPr>
            </w:pPr>
            <w:r>
              <w:rPr>
                <w:rFonts w:ascii="Arial" w:cs="Arial" w:eastAsia="Arial" w:hAnsi="Arial"/>
                <w:sz w:val="18"/>
                <w:szCs w:val="18"/>
                <w:color w:val="auto"/>
              </w:rPr>
              <w:t>Shares issuable pursuant to the ESPP</w:t>
            </w:r>
          </w:p>
        </w:tc>
        <w:tc>
          <w:tcPr>
            <w:tcW w:w="17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328</w:t>
            </w:r>
          </w:p>
        </w:tc>
        <w:tc>
          <w:tcPr>
            <w:tcW w:w="280" w:type="dxa"/>
            <w:vAlign w:val="bottom"/>
          </w:tcPr>
          <w:p>
            <w:pPr>
              <w:spacing w:after="0"/>
              <w:rPr>
                <w:sz w:val="17"/>
                <w:szCs w:val="17"/>
                <w:color w:val="auto"/>
              </w:rPr>
            </w:pPr>
          </w:p>
        </w:tc>
        <w:tc>
          <w:tcPr>
            <w:tcW w:w="2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r>
      <w:tr>
        <w:trPr>
          <w:trHeight w:val="236"/>
        </w:trPr>
        <w:tc>
          <w:tcPr>
            <w:tcW w:w="580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23,434</w:t>
            </w:r>
          </w:p>
        </w:tc>
        <w:tc>
          <w:tcPr>
            <w:tcW w:w="280" w:type="dxa"/>
            <w:vAlign w:val="bottom"/>
            <w:tcBorders>
              <w:bottom w:val="single" w:sz="8" w:color="CFF0FC"/>
            </w:tcBorders>
            <w:shd w:val="clear" w:color="auto" w:fill="CFF0FC"/>
          </w:tcPr>
          <w:p>
            <w:pPr>
              <w:spacing w:after="0"/>
              <w:rPr>
                <w:sz w:val="20"/>
                <w:szCs w:val="20"/>
                <w:color w:val="auto"/>
              </w:rPr>
            </w:pPr>
          </w:p>
        </w:tc>
        <w:tc>
          <w:tcPr>
            <w:tcW w:w="24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94,128</w:t>
            </w:r>
          </w:p>
        </w:tc>
        <w:tc>
          <w:tcPr>
            <w:tcW w:w="2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-25400</wp:posOffset>
            </wp:positionV>
            <wp:extent cx="431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431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-25400</wp:posOffset>
            </wp:positionV>
            <wp:extent cx="431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-8255</wp:posOffset>
            </wp:positionV>
            <wp:extent cx="431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13"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8"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In April 2022, the Company granted RSUs representing 0.6 million shares of Class A common stock to certain of its employees with service-based vesting conditions. The service-based vesting condition for these awards is satisfied over four years for the majority of the RSUs granted. The grant date fair value of the RSUs granted in April 2022 was approximately $11.4 million.</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consolidated financial statements and related notes appearing in our Annual Report on Form 10-K for the year ended December 31, 2021 (the "2021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 Our historical results are not necessarily indicative of the results that may be expected for any period in the future.</w:t>
      </w:r>
    </w:p>
    <w:p>
      <w:pPr>
        <w:spacing w:after="0" w:line="181"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i w:val="1"/>
          <w:iCs w:val="1"/>
          <w:color w:val="auto"/>
        </w:rPr>
        <w:t>Unless the context otherwise requires, all references in this report to "Amplitude," the "Company," "we," "our," "us," or similar terms refer to Amplitude, Inc. and its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We have built the first unified system that empowers teams to understand how digital products drive their business, thereby unleashing the full potential of product-led growth for businesses of every size, industry, and stage in their digital maturity. Our Digital Optimization System brings an entirely new depth of customer understanding with the speed of action to optimize digital experiences in the moment. We power the teams behind many of the most-beloved digital products to make the right bets, drive innovation, and maximize business outcomes.</w:t>
      </w:r>
    </w:p>
    <w:p>
      <w:pPr>
        <w:spacing w:after="0" w:line="172"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At the core of our Digital Optimization System is our Behavioral Graph, a proprietary, purpose-built behavioral database that is the largest of its kind. Our Behavioral Graph instantly finds patterns, makes recommendations, and connects customer actions along their journeys to outcomes that drive engagement, growth, and loyalty. We have architected our Behavioral Graph to power numerous products linking data to insight to action, beginning first with our product analytics solution. G2 ranked Amplitude as the #3 best software product overall and #5 best enterprise product in their 2022 Best Software Awards. The G2 Spring 2022 Report also ranked Amplitude as the #1 product analytics solution for the seventh quarter in a row, #1 in mobile analytics, and #3 in digital analytics. We have since expanded our Digital Optimization System to include products that enable cross-functional teams to personalize the digital product experiences of their customers, including our Recommend and Experiment offerings, which were both released in 2021.</w:t>
      </w:r>
    </w:p>
    <w:p>
      <w:pPr>
        <w:spacing w:after="0" w:line="163"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We have experienced significant growth in recent years driven by the rapid adoption of our Digital Optimization System by our diversified base of more than 1,700 paying customers globally. Our customers span across industries and sizes, from the leading digital innovators to those looking to transform and adapt their business in the new digital age.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08"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Acquisition and Expansion</w:t>
      </w:r>
    </w:p>
    <w:p>
      <w:pPr>
        <w:spacing w:after="0" w:line="104" w:lineRule="exact"/>
        <w:rPr>
          <w:sz w:val="20"/>
          <w:szCs w:val="20"/>
          <w:color w:val="auto"/>
        </w:rPr>
      </w:pPr>
    </w:p>
    <w:p>
      <w:pPr>
        <w:ind w:right="340" w:firstLine="509"/>
        <w:spacing w:after="0" w:line="243" w:lineRule="auto"/>
        <w:rPr>
          <w:sz w:val="20"/>
          <w:szCs w:val="20"/>
          <w:color w:val="auto"/>
        </w:rPr>
      </w:pPr>
      <w:r>
        <w:rPr>
          <w:rFonts w:ascii="Arial" w:cs="Arial" w:eastAsia="Arial" w:hAnsi="Arial"/>
          <w:sz w:val="18"/>
          <w:szCs w:val="18"/>
          <w:color w:val="auto"/>
        </w:rPr>
        <w:t>We believe that our Digital Optimization System can help businesses across industries, company size, and stages of digital maturity drive better business outcomes through optimizing the digital product experience of their customers. We are focused on continuing to acquire new customers and expanding our relationships with our existing installed base to support our long-term growth. We have invested, and expect to continue to invest, in our sales and marketing efforts to drive customer acquisition.</w:t>
      </w:r>
    </w:p>
    <w:p>
      <w:pPr>
        <w:spacing w:after="0" w:line="188"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As of March 31, 2022 and 2021, we had 1,701 and 1,145 paying customers, respectively, representing an increase of 49% year-over-year. Our relationship with some of the world’s most beloved product-led companies has resulted in increased brand credibility and access to many attractive growth opportunities.</w:t>
      </w:r>
    </w:p>
    <w:p>
      <w:pPr>
        <w:spacing w:after="0" w:line="182"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We have been successful at efficiently growing our customer spend over time as evidenced by our dollar-based net retention rates. As of March 31, 2022 and 2021, our dollar-based net retention rate was 126% and 118%, respectively, for paying customers. We continue to increase the number of customers who have entered and grown into larger subscriptions with us.</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Investments in Platform</w:t>
      </w:r>
    </w:p>
    <w:p>
      <w:pPr>
        <w:spacing w:after="0" w:line="104"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We believe that our customers will demand additional features and capabilities beyond our current platform offerings to assist them in optimizing their digital products. We have a history of, and will continue to invest significantly in, developing and delivering innovative products, features, and functionality targeted at our core customer base. In addition, we may choose to add new products and offerings or enhance our platform capabilities through acquisitions. In 2020, we acquired ClearBrain to bolster our predictive analytics capabilities, and in 2021, we acquired Iteratively, a software company that bolsters our ability to empower developers to more quickly, easily, and accurately instrument data into our platform. Going forward, we may pursue both strategic partnerships and acquisitions that we believe will be complementary to our business, accelerate customer acquisition, increase usage of our platform, and/or expand our product offerings in our core markets.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for Growth</w:t>
      </w:r>
    </w:p>
    <w:p>
      <w:pPr>
        <w:spacing w:after="0" w:line="104" w:lineRule="exact"/>
        <w:rPr>
          <w:sz w:val="20"/>
          <w:szCs w:val="20"/>
          <w:color w:val="auto"/>
        </w:rPr>
      </w:pPr>
    </w:p>
    <w:p>
      <w:pPr>
        <w:ind w:right="160" w:firstLine="509"/>
        <w:spacing w:after="0" w:line="254" w:lineRule="auto"/>
        <w:rPr>
          <w:sz w:val="20"/>
          <w:szCs w:val="20"/>
          <w:color w:val="auto"/>
        </w:rPr>
      </w:pPr>
      <w:r>
        <w:rPr>
          <w:rFonts w:ascii="Arial" w:cs="Arial" w:eastAsia="Arial" w:hAnsi="Arial"/>
          <w:sz w:val="17"/>
          <w:szCs w:val="17"/>
          <w:color w:val="auto"/>
        </w:rPr>
        <w:t>Our investment for growth encompasses multiple critical areas, including product expansion, our sales force, sales support, partner ecosystem, and our international presence. We continue to evolve our technology to ensure that we are best serving our customers’ needs. We believe this will lead to continued increased retention and positive customer referrals that will continue to generate expansion opportunities within our existing installed base and from new customers. We plan to continue to invest in our research and development organization to maintain and strengthen our market leadership position, and we believe that attracting the best engineering talent will continue to be critical to our long-term success. As we continue to invest in our platform, we expect our research and development expenses to continue to increase in dollar amount, and although we believe these expenses as a percentage of revenue will decrease over the longer term, we expect that these expenses as a percentage of revenue will increase in the short term as we invest in product innovation.</w:t>
      </w:r>
    </w:p>
    <w:p>
      <w:pPr>
        <w:spacing w:after="0" w:line="181" w:lineRule="exact"/>
        <w:rPr>
          <w:sz w:val="20"/>
          <w:szCs w:val="20"/>
          <w:color w:val="auto"/>
        </w:rPr>
      </w:pPr>
    </w:p>
    <w:p>
      <w:pPr>
        <w:ind w:right="160" w:firstLine="509"/>
        <w:spacing w:after="0" w:line="279" w:lineRule="auto"/>
        <w:rPr>
          <w:sz w:val="20"/>
          <w:szCs w:val="20"/>
          <w:color w:val="auto"/>
        </w:rPr>
      </w:pPr>
      <w:r>
        <w:rPr>
          <w:rFonts w:ascii="Arial" w:cs="Arial" w:eastAsia="Arial" w:hAnsi="Arial"/>
          <w:sz w:val="16"/>
          <w:szCs w:val="16"/>
          <w:color w:val="auto"/>
        </w:rPr>
        <w:t>We will continue to invest in expanding our sales force and associated sales support to pursue attractive growth opportunities and ensure customer success, particularly with larger enterprises where we have experienced significant traction to date. We also plan to invest in our channel partners, such as independent software vendors, and resellers, to extend our reach faster than we could do on our own. As we continue to invest in our sales efforts, we expect our sales and marketing expenses to continue to increase in dollar amount, and although we believe these expenses as a percentage of revenue will decrease over the longer term, we expect these expenses as a percentage of revenue will increase in the short term as we invest in sales growth.</w:t>
      </w:r>
    </w:p>
    <w:p>
      <w:pPr>
        <w:spacing w:after="0" w:line="159"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Finally, we see opportunities to expand offices and headcount internationally to better service targeted international markets where we believe we have significant opportunity to accelerate existing traction and success. For the three months ended March 31, 2022, 37% of our revenue was generated outside the United States. As we seek to expand our business globally, we may be adversely affected by global economic and political instability. For example, as a result of the Russia-Ukraine conflict, we terminated certain relationships with customers in Russia and some of the businesses of our customers in the impacted regions have experienced disruptions that have affected their ability to pay for our services. See "Risk Factors–Risks Related to Our Business and Industry–Our operations are international in scope, and we plan further geographical expansion, creating a variety of operational challenges."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08" w:lineRule="exact"/>
        <w:rPr>
          <w:sz w:val="20"/>
          <w:szCs w:val="20"/>
          <w:color w:val="auto"/>
        </w:rPr>
      </w:pPr>
    </w:p>
    <w:p>
      <w:pPr>
        <w:ind w:right="260" w:firstLine="509"/>
        <w:spacing w:after="0" w:line="294" w:lineRule="auto"/>
        <w:rPr>
          <w:sz w:val="20"/>
          <w:szCs w:val="20"/>
          <w:color w:val="auto"/>
        </w:rPr>
      </w:pPr>
      <w:r>
        <w:rPr>
          <w:rFonts w:ascii="Arial" w:cs="Arial" w:eastAsia="Arial" w:hAnsi="Arial"/>
          <w:sz w:val="16"/>
          <w:szCs w:val="16"/>
          <w:color w:val="auto"/>
        </w:rPr>
        <w:t>We review a number of operating and financial metrics, including the following key metrics to evaluate our business, measure our performance, identify trends affecting our business, formulate business plans, and make strategic decisions. We are not aware of any uniform standards for calculating these key metrics, which may hinder comparability with other companies who may calculate similarly-titled metrics in a different way.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8"/>
                <w:szCs w:val="18"/>
                <w:b w:val="1"/>
                <w:bCs w:val="1"/>
                <w:color w:val="auto"/>
              </w:rPr>
              <w:t>As of March 31,</w:t>
            </w:r>
          </w:p>
        </w:tc>
        <w:tc>
          <w:tcPr>
            <w:tcW w:w="5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YoY Growth</w:t>
            </w: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21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2021</w:t>
            </w: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Paying Customers</w:t>
            </w:r>
          </w:p>
        </w:tc>
        <w:tc>
          <w:tcPr>
            <w:tcW w:w="104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w:t>
            </w:r>
          </w:p>
        </w:tc>
        <w:tc>
          <w:tcPr>
            <w:tcW w:w="42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w:t>
            </w:r>
          </w:p>
        </w:tc>
        <w:tc>
          <w:tcPr>
            <w:tcW w:w="400" w:type="dxa"/>
            <w:vAlign w:val="bottom"/>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Dollar-Based Net Retention Rate</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126 %</w:t>
            </w:r>
          </w:p>
        </w:tc>
        <w:tc>
          <w:tcPr>
            <w:tcW w:w="1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118 %</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5"/>
        </w:trPr>
        <w:tc>
          <w:tcPr>
            <w:tcW w:w="6400" w:type="dxa"/>
            <w:vAlign w:val="bottom"/>
            <w:gridSpan w:val="2"/>
          </w:tcPr>
          <w:p>
            <w:pPr>
              <w:jc w:val="right"/>
              <w:ind w:right="590"/>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3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Paying Customers</w:t>
      </w:r>
    </w:p>
    <w:p>
      <w:pPr>
        <w:spacing w:after="0" w:line="104"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We believe our ability to grow the number of paying customers on our platform provides a key indicator of the demand for our platform, growth of our business, and our future business opportunities. Increasing awareness of our platform and its broad range of capabilities, coupled with the mainstream adoption of cloud-based technology, has expanded the diversity of our customer base to include organizations of different sizes across virtually all industries.</w:t>
      </w:r>
    </w:p>
    <w:p>
      <w:pPr>
        <w:spacing w:after="0" w:line="18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For purposes of customer count, a customer is defined as an entity that has a unique Dunn &amp; Bradstreet Global Ultimate (“GULT”) Data Universal Numbering System (“DUNS”) number and an active subscription contract as of the measurement date. The DUNS number is a global standard for business identification and tracking. We make exceptions for holding companies, government entities, and other organizations for which the GULT, in our judgment, does not accurately represent the Amplitude customer or the DUNS does not exist.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Dollar-Based Net Retention Rate</w:t>
      </w:r>
    </w:p>
    <w:p>
      <w:pPr>
        <w:spacing w:after="0" w:line="104"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We calculate our dollar-based net retention rate to measure our ability to retain and expand Annual Recurring Revenue ("ARR") from our customers and believe it is an indicator of the value our platform delivers to customers and our future business opportunities. Our dollar-based net retention rate compares our ARR from the same set of customers across comparable periods and reflects customer renewals, expansion, contraction, and attrition. We define ARR as the annual recurring revenue of subscription agreements at a point in time based on the terms of customers’ contracts. ARR should be viewed independently of revenue, and does not represent our U.S. GAAP revenue on an annualized basis, as it is an operating metric that can be impacted by contract start and end dates and renewal rates. ARR is not intended to be a replacement for or forecast of revenue.</w:t>
      </w:r>
    </w:p>
    <w:p>
      <w:pPr>
        <w:spacing w:after="0" w:line="16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calculate dollar-based net retention rate as of a period-end by starting with the ARR from the cohort of all customers as of 12 months prior to such period-end (the “Prior Period ARR”). We then calculate the ARR from these same customers as of the current period-end (the “Current Period ARR”). Current Period ARR includes any expansion and is net of contraction or attrition over the last 12 months, but excludes ARR from new customers as well as any overage charges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dollar-based net retention rate.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COVID-19</w:t>
      </w:r>
    </w:p>
    <w:p>
      <w:pPr>
        <w:spacing w:after="0" w:line="108"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The COVID-19 pandemic has had an adverse effect on the global economy, including the businesses of many of our customers and prospective customers and did, in the early stages of the pandemic, result in increased attrition from our smaller customers and those customers in the most impacted industries such as travel and entertainment. Overall, however, the COVID-19 pandemic has resulted in favorable trends for our business and the businesses of those customers who have been able to leverage digital optimization of their products as sales increasingly shifted online.</w:t>
      </w:r>
    </w:p>
    <w:p>
      <w:pPr>
        <w:spacing w:after="0" w:line="155"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Although we believe the COVID-19 pandemic has largely resulted in favorable trends for our business to date, we have experienced business disruptions, including requiring us to manage a significant majority of our workforce remotely and restrictions on our ability to travel to customers. Moreover, our existing and prospective customers have experienced and may continue to experience slowdowns in their businesses, including due to ongoing worldwide supply chain disruptions, which in turn has and may result in reduced demand for our platform, lengthening of sales cycles, loss of customers, and difficulties in collections. In addition, the pandemic has resulted in, and may continue to result in, significant disruption of global financial markets, which could limit our or our customers' ability to access capital on favorable terms or at all. The ongoing impact of the pandemic on our future business, financial condition, and results of operations depends on the pandemic’s duration and severity, which are difficult to assess or predict. See “Risk Factors” included under Part II, Item 1A of this Quarterly Report on Form 10-Q for further discussion of the impact of the COVID-19 pandemic on our business.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Non-GAAP Financial Measures</w:t>
      </w:r>
    </w:p>
    <w:p>
      <w:pPr>
        <w:spacing w:after="0" w:line="108"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The following table presents certain non-GAAP financial measures, along with the most directly comparable U.S. GAAP measure, for each period presented below. In addition to our results determined in accordance with U.S. GAAP, we believe these non-GAAP financial measures are useful in evaluating our operating performance. See below for a description of the non-GAAP financial measures and their limitations as an analytical tool. A reconciliation is also provided below for each non-GAAP financial measure to the most directly comparable financial measure stated in accordance with U.S. GAAP.</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6"/>
        </w:trPr>
        <w:tc>
          <w:tcPr>
            <w:tcW w:w="63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ind w:right="1150"/>
              <w:spacing w:after="0"/>
              <w:rPr>
                <w:sz w:val="20"/>
                <w:szCs w:val="20"/>
                <w:color w:val="auto"/>
              </w:rPr>
            </w:pPr>
            <w:r>
              <w:rPr>
                <w:rFonts w:ascii="Arial" w:cs="Arial" w:eastAsia="Arial" w:hAnsi="Arial"/>
                <w:sz w:val="18"/>
                <w:szCs w:val="18"/>
                <w:b w:val="1"/>
                <w:bCs w:val="1"/>
                <w:color w:val="auto"/>
                <w:w w:val="96"/>
              </w:rPr>
              <w:t>March 31,</w:t>
            </w:r>
          </w:p>
        </w:tc>
        <w:tc>
          <w:tcPr>
            <w:tcW w:w="58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r>
      <w:tr>
        <w:trPr>
          <w:trHeight w:val="223"/>
        </w:trPr>
        <w:tc>
          <w:tcPr>
            <w:tcW w:w="6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70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w w:val="86"/>
              </w:rPr>
              <w:t>(in thousands, except percentages)</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37,002</w:t>
            </w: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3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22,855</w:t>
            </w:r>
          </w:p>
        </w:tc>
        <w:tc>
          <w:tcPr>
            <w:tcW w:w="520" w:type="dxa"/>
            <w:vAlign w:val="bottom"/>
            <w:shd w:val="clear" w:color="auto" w:fill="CFF0FC"/>
          </w:tcPr>
          <w:p>
            <w:pPr>
              <w:spacing w:after="0"/>
              <w:rPr>
                <w:sz w:val="19"/>
                <w:szCs w:val="19"/>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Non-GAAP Gross Profit</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38,413</w:t>
            </w:r>
          </w:p>
        </w:tc>
        <w:tc>
          <w:tcPr>
            <w:tcW w:w="520" w:type="dxa"/>
            <w:vAlign w:val="bottom"/>
          </w:tcPr>
          <w:p>
            <w:pPr>
              <w:spacing w:after="0"/>
              <w:rPr>
                <w:sz w:val="21"/>
                <w:szCs w:val="21"/>
                <w:color w:val="auto"/>
              </w:rPr>
            </w:pPr>
          </w:p>
        </w:tc>
        <w:tc>
          <w:tcPr>
            <w:tcW w:w="1540" w:type="dxa"/>
            <w:vAlign w:val="bottom"/>
          </w:tcPr>
          <w:p>
            <w:pPr>
              <w:jc w:val="right"/>
              <w:ind w:right="13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23,313</w:t>
            </w:r>
          </w:p>
        </w:tc>
        <w:tc>
          <w:tcPr>
            <w:tcW w:w="520" w:type="dxa"/>
            <w:vAlign w:val="bottom"/>
          </w:tcPr>
          <w:p>
            <w:pPr>
              <w:spacing w:after="0"/>
              <w:rPr>
                <w:sz w:val="21"/>
                <w:szCs w:val="21"/>
                <w:color w:val="auto"/>
              </w:rPr>
            </w:pPr>
          </w:p>
        </w:tc>
      </w:tr>
      <w:tr>
        <w:trPr>
          <w:trHeight w:val="216"/>
        </w:trPr>
        <w:tc>
          <w:tcPr>
            <w:tcW w:w="6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5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30"/>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1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70 %</w:t>
            </w:r>
          </w:p>
        </w:tc>
        <w:tc>
          <w:tcPr>
            <w:tcW w:w="15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69 %</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Non-GAAP Gross Margin</w:t>
            </w:r>
          </w:p>
        </w:tc>
        <w:tc>
          <w:tcPr>
            <w:tcW w:w="1120" w:type="dxa"/>
            <w:vAlign w:val="bottom"/>
          </w:tcPr>
          <w:p>
            <w:pPr>
              <w:spacing w:after="0"/>
              <w:rPr>
                <w:sz w:val="21"/>
                <w:szCs w:val="21"/>
                <w:color w:val="auto"/>
              </w:rPr>
            </w:pPr>
          </w:p>
        </w:tc>
        <w:tc>
          <w:tcPr>
            <w:tcW w:w="1160" w:type="dxa"/>
            <w:vAlign w:val="bottom"/>
            <w:gridSpan w:val="2"/>
          </w:tcPr>
          <w:p>
            <w:pPr>
              <w:jc w:val="right"/>
              <w:ind w:right="270"/>
              <w:spacing w:after="0"/>
              <w:rPr>
                <w:sz w:val="20"/>
                <w:szCs w:val="20"/>
                <w:color w:val="auto"/>
              </w:rPr>
            </w:pPr>
            <w:r>
              <w:rPr>
                <w:rFonts w:ascii="Arial" w:cs="Arial" w:eastAsia="Arial" w:hAnsi="Arial"/>
                <w:sz w:val="18"/>
                <w:szCs w:val="18"/>
                <w:color w:val="auto"/>
              </w:rPr>
              <w:t>72 %</w:t>
            </w:r>
          </w:p>
        </w:tc>
        <w:tc>
          <w:tcPr>
            <w:tcW w:w="1540" w:type="dxa"/>
            <w:vAlign w:val="bottom"/>
          </w:tcPr>
          <w:p>
            <w:pPr>
              <w:spacing w:after="0"/>
              <w:rPr>
                <w:sz w:val="21"/>
                <w:szCs w:val="21"/>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70 %</w:t>
            </w:r>
          </w:p>
        </w:tc>
      </w:tr>
      <w:tr>
        <w:trPr>
          <w:trHeight w:val="216"/>
        </w:trPr>
        <w:tc>
          <w:tcPr>
            <w:tcW w:w="6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5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2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w w:val="97"/>
              </w:rPr>
              <w:t>(21,991 )</w:t>
            </w:r>
          </w:p>
        </w:tc>
        <w:tc>
          <w:tcPr>
            <w:tcW w:w="1540" w:type="dxa"/>
            <w:vAlign w:val="bottom"/>
            <w:shd w:val="clear" w:color="auto" w:fill="CFF0FC"/>
          </w:tcPr>
          <w:p>
            <w:pPr>
              <w:jc w:val="right"/>
              <w:ind w:right="13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w w:val="99"/>
              </w:rPr>
              <w:t>(6,149 )</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Non-GAAP Loss from Operations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50"/>
              <w:spacing w:after="0"/>
              <w:rPr>
                <w:sz w:val="20"/>
                <w:szCs w:val="20"/>
                <w:color w:val="auto"/>
              </w:rPr>
            </w:pPr>
            <w:r>
              <w:rPr>
                <w:rFonts w:ascii="Arial" w:cs="Arial" w:eastAsia="Arial" w:hAnsi="Arial"/>
                <w:sz w:val="18"/>
                <w:szCs w:val="18"/>
                <w:color w:val="auto"/>
              </w:rPr>
              <w:t>(7,726 )</w:t>
            </w:r>
          </w:p>
        </w:tc>
        <w:tc>
          <w:tcPr>
            <w:tcW w:w="1540" w:type="dxa"/>
            <w:vAlign w:val="bottom"/>
          </w:tcPr>
          <w:p>
            <w:pPr>
              <w:jc w:val="right"/>
              <w:ind w:right="133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(3,246 )</w:t>
            </w:r>
          </w:p>
        </w:tc>
      </w:tr>
      <w:tr>
        <w:trPr>
          <w:trHeight w:val="216"/>
        </w:trPr>
        <w:tc>
          <w:tcPr>
            <w:tcW w:w="6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5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2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 Margin</w:t>
            </w:r>
          </w:p>
        </w:tc>
        <w:tc>
          <w:tcPr>
            <w:tcW w:w="1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(41 )%</w:t>
            </w:r>
          </w:p>
        </w:tc>
        <w:tc>
          <w:tcPr>
            <w:tcW w:w="15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(19 )%</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Non-GAAP Loss from Operations Margin</w:t>
            </w:r>
          </w:p>
        </w:tc>
        <w:tc>
          <w:tcPr>
            <w:tcW w:w="1120" w:type="dxa"/>
            <w:vAlign w:val="bottom"/>
          </w:tcPr>
          <w:p>
            <w:pPr>
              <w:spacing w:after="0"/>
              <w:rPr>
                <w:sz w:val="21"/>
                <w:szCs w:val="21"/>
                <w:color w:val="auto"/>
              </w:rPr>
            </w:pPr>
          </w:p>
        </w:tc>
        <w:tc>
          <w:tcPr>
            <w:tcW w:w="1160" w:type="dxa"/>
            <w:vAlign w:val="bottom"/>
            <w:gridSpan w:val="2"/>
          </w:tcPr>
          <w:p>
            <w:pPr>
              <w:jc w:val="right"/>
              <w:ind w:right="210"/>
              <w:spacing w:after="0"/>
              <w:rPr>
                <w:sz w:val="20"/>
                <w:szCs w:val="20"/>
                <w:color w:val="auto"/>
              </w:rPr>
            </w:pPr>
            <w:r>
              <w:rPr>
                <w:rFonts w:ascii="Arial" w:cs="Arial" w:eastAsia="Arial" w:hAnsi="Arial"/>
                <w:sz w:val="18"/>
                <w:szCs w:val="18"/>
                <w:color w:val="auto"/>
              </w:rPr>
              <w:t>(15 )%</w:t>
            </w:r>
          </w:p>
        </w:tc>
        <w:tc>
          <w:tcPr>
            <w:tcW w:w="154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(10 )%</w:t>
            </w:r>
          </w:p>
        </w:tc>
      </w:tr>
      <w:tr>
        <w:trPr>
          <w:trHeight w:val="216"/>
        </w:trPr>
        <w:tc>
          <w:tcPr>
            <w:tcW w:w="6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5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2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(8,289 )</w:t>
            </w:r>
          </w:p>
        </w:tc>
        <w:tc>
          <w:tcPr>
            <w:tcW w:w="1540" w:type="dxa"/>
            <w:vAlign w:val="bottom"/>
            <w:shd w:val="clear" w:color="auto" w:fill="CFF0FC"/>
          </w:tcPr>
          <w:p>
            <w:pPr>
              <w:jc w:val="right"/>
              <w:ind w:right="13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(462 )</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50"/>
              <w:spacing w:after="0"/>
              <w:rPr>
                <w:sz w:val="20"/>
                <w:szCs w:val="20"/>
                <w:color w:val="auto"/>
              </w:rPr>
            </w:pPr>
            <w:r>
              <w:rPr>
                <w:rFonts w:ascii="Arial" w:cs="Arial" w:eastAsia="Arial" w:hAnsi="Arial"/>
                <w:sz w:val="18"/>
                <w:szCs w:val="18"/>
                <w:color w:val="auto"/>
              </w:rPr>
              <w:t>(9,596 )</w:t>
            </w:r>
          </w:p>
        </w:tc>
        <w:tc>
          <w:tcPr>
            <w:tcW w:w="1540" w:type="dxa"/>
            <w:vAlign w:val="bottom"/>
          </w:tcPr>
          <w:p>
            <w:pPr>
              <w:jc w:val="right"/>
              <w:ind w:right="133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(1,093 )</w:t>
            </w:r>
          </w:p>
        </w:tc>
      </w:tr>
      <w:tr>
        <w:trPr>
          <w:trHeight w:val="216"/>
        </w:trPr>
        <w:tc>
          <w:tcPr>
            <w:tcW w:w="6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5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2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 Margin</w:t>
            </w:r>
          </w:p>
        </w:tc>
        <w:tc>
          <w:tcPr>
            <w:tcW w:w="1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(16 )%</w:t>
            </w:r>
          </w:p>
        </w:tc>
        <w:tc>
          <w:tcPr>
            <w:tcW w:w="15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(1 )%</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Free Cash Flow Margin</w:t>
            </w:r>
          </w:p>
        </w:tc>
        <w:tc>
          <w:tcPr>
            <w:tcW w:w="1120" w:type="dxa"/>
            <w:vAlign w:val="bottom"/>
          </w:tcPr>
          <w:p>
            <w:pPr>
              <w:spacing w:after="0"/>
              <w:rPr>
                <w:sz w:val="21"/>
                <w:szCs w:val="21"/>
                <w:color w:val="auto"/>
              </w:rPr>
            </w:pPr>
          </w:p>
        </w:tc>
        <w:tc>
          <w:tcPr>
            <w:tcW w:w="1160" w:type="dxa"/>
            <w:vAlign w:val="bottom"/>
            <w:gridSpan w:val="2"/>
          </w:tcPr>
          <w:p>
            <w:pPr>
              <w:jc w:val="right"/>
              <w:ind w:right="210"/>
              <w:spacing w:after="0"/>
              <w:rPr>
                <w:sz w:val="20"/>
                <w:szCs w:val="20"/>
                <w:color w:val="auto"/>
              </w:rPr>
            </w:pPr>
            <w:r>
              <w:rPr>
                <w:rFonts w:ascii="Arial" w:cs="Arial" w:eastAsia="Arial" w:hAnsi="Arial"/>
                <w:sz w:val="18"/>
                <w:szCs w:val="18"/>
                <w:color w:val="auto"/>
              </w:rPr>
              <w:t>(18 )%</w:t>
            </w:r>
          </w:p>
        </w:tc>
        <w:tc>
          <w:tcPr>
            <w:tcW w:w="154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(3 )%</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Gross Profit, Non-GAAP Gross Margin, Non-GAAP Loss from Operations, and Non-GAAP Loss from Operations Margin</w:t>
      </w:r>
    </w:p>
    <w:p>
      <w:pPr>
        <w:spacing w:after="0" w:line="104" w:lineRule="exact"/>
        <w:rPr>
          <w:sz w:val="20"/>
          <w:szCs w:val="20"/>
          <w:color w:val="auto"/>
        </w:rPr>
      </w:pPr>
    </w:p>
    <w:p>
      <w:pPr>
        <w:jc w:val="both"/>
        <w:ind w:right="200" w:firstLine="509"/>
        <w:spacing w:after="0" w:line="270" w:lineRule="auto"/>
        <w:rPr>
          <w:sz w:val="20"/>
          <w:szCs w:val="20"/>
          <w:color w:val="auto"/>
        </w:rPr>
      </w:pPr>
      <w:r>
        <w:rPr>
          <w:rFonts w:ascii="Arial" w:cs="Arial" w:eastAsia="Arial" w:hAnsi="Arial"/>
          <w:sz w:val="17"/>
          <w:szCs w:val="17"/>
          <w:color w:val="auto"/>
        </w:rPr>
        <w:t>We define non-GAAP gross profit and non-GAAP gross margin as U.S. GAAP gross profit and U.S. GAAP gross margin, respectively, excluding stock-based compensation expense and related employer payroll taxes, amortization of acquired intangible assets, and non-recurring costs, such as Direct Listing costs. Non-GAAP gross margin is calculated as non-GAAP gross profit divided by total revenue.</w:t>
      </w:r>
    </w:p>
    <w:p>
      <w:pPr>
        <w:spacing w:after="0" w:line="16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define non-GAAP loss from operations and non-GAAP loss from operations margin as U.S. GAAP loss from operations and U.S. GAAP loss from operations margin, respectively, excluding stock-based compensation expense and related employer payroll taxes, amortization of acquired intangible assets, and non-recurring costs, such as Direct Listing costs. Non-GAAP loss from operations margin is calculated as non-GAAP loss from operations divided by total revenue.</w:t>
      </w:r>
    </w:p>
    <w:p>
      <w:pPr>
        <w:spacing w:after="0" w:line="188"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We exclude stock-based compensation expense and related employer payroll taxes, which is a non-cash expense, from certain of our non-GAAP financial measures because we believe that excluding this item provides meaningful supplemental information regarding operational performance. We exclude amortization of intangible assets, which is a non-cash expense, related to business combinations from certain of our non-GAAP financial measures because such expenses are related to business combinations and have no direct correlation to the operation of our business. Although we exclude these expenses from certain non-GAAP financial measures, the revenue from acquired companies subsequent to the date of acquisition is reflected in these measures and the acquired intangible assets contribute to our revenue generation. We exclude non-recurring costs from certain of our non-GAAP financial measures because such expenses do not repeat period over period and are not reflective of the ongoing operation of our business.</w:t>
      </w:r>
    </w:p>
    <w:p>
      <w:pPr>
        <w:spacing w:after="0" w:line="163" w:lineRule="exact"/>
        <w:rPr>
          <w:sz w:val="20"/>
          <w:szCs w:val="20"/>
          <w:color w:val="auto"/>
        </w:rPr>
      </w:pPr>
    </w:p>
    <w:p>
      <w:pPr>
        <w:ind w:right="160" w:firstLine="509"/>
        <w:spacing w:after="0" w:line="270" w:lineRule="auto"/>
        <w:rPr>
          <w:sz w:val="20"/>
          <w:szCs w:val="20"/>
          <w:color w:val="auto"/>
        </w:rPr>
      </w:pPr>
      <w:r>
        <w:rPr>
          <w:rFonts w:ascii="Arial" w:cs="Arial" w:eastAsia="Arial" w:hAnsi="Arial"/>
          <w:sz w:val="17"/>
          <w:szCs w:val="17"/>
          <w:color w:val="auto"/>
        </w:rPr>
        <w:t>We use non-GAAP gross margin and non-GAAP loss from operations margin in conjunction with traditional U.S. GAAP measures to evaluate our financial performance. We believe that non-GAAP gross margin and non-GAAP loss from operations margin provide our management and investors consistency and comparability with our past financial performance and facilitates period-to-period comparisons of operations.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Free Cash Flow and Free Cash Flow Margin</w:t>
      </w:r>
    </w:p>
    <w:p>
      <w:pPr>
        <w:spacing w:after="0" w:line="104" w:lineRule="exact"/>
        <w:rPr>
          <w:sz w:val="20"/>
          <w:szCs w:val="20"/>
          <w:color w:val="auto"/>
        </w:rPr>
      </w:pPr>
    </w:p>
    <w:p>
      <w:pPr>
        <w:jc w:val="both"/>
        <w:ind w:right="40" w:firstLine="509"/>
        <w:spacing w:after="0" w:line="262" w:lineRule="auto"/>
        <w:rPr>
          <w:sz w:val="20"/>
          <w:szCs w:val="20"/>
          <w:color w:val="auto"/>
        </w:rPr>
      </w:pPr>
      <w:r>
        <w:rPr>
          <w:rFonts w:ascii="Arial" w:cs="Arial" w:eastAsia="Arial" w:hAnsi="Arial"/>
          <w:sz w:val="17"/>
          <w:szCs w:val="17"/>
          <w:color w:val="auto"/>
        </w:rPr>
        <w:t>We define free cash flow as net cash used in operating activities, less cash used for purchases of property and equipment and capitalized internal-use software costs. Free cash flow margin is calculated as free cash flow divided by total revenue. We believe that free cash flow and free cash flow margin are useful indicators of liquidity that provide information to management and investors, even if negative, about the amount of cash used in our operations other than that used for investments in property and equipment and capitalized internal-use software costs.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and Reconciliations of Non-GAAP Financial Measures</w:t>
      </w:r>
    </w:p>
    <w:p>
      <w:pPr>
        <w:spacing w:after="0" w:line="104"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Non-GAAP financial measures are presented for supplemental informational purposes only. Non-GAAP financial measures have limitations as analytical tools and should not be considered in isolation or as substitutes for financial information presented under U.S. GAAP. There are a number of limitations related to the use of non-GAAP financial measures versus comparable financial measures determined under U.S.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U.S. GAAP financial measures and the reconciliations of these non-GAAP financial measures to their most directly comparable U.S. GAAP financial measures and to not rely on any single financial measure to evaluate our business.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reconcile the most directly comparable U.S. GAAP financial measure to each of these non-GAAP financial measures.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b w:val="1"/>
                <w:bCs w:val="1"/>
                <w:i w:val="1"/>
                <w:iCs w:val="1"/>
                <w:color w:val="auto"/>
              </w:rPr>
              <w:t>Non-GAAP Gross Profit and Gross Margin</w:t>
            </w: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91"/>
        </w:trPr>
        <w:tc>
          <w:tcPr>
            <w:tcW w:w="6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6"/>
        </w:trPr>
        <w:tc>
          <w:tcPr>
            <w:tcW w:w="63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1130"/>
              <w:spacing w:after="0"/>
              <w:rPr>
                <w:sz w:val="20"/>
                <w:szCs w:val="20"/>
                <w:color w:val="auto"/>
              </w:rPr>
            </w:pPr>
            <w:r>
              <w:rPr>
                <w:rFonts w:ascii="Arial" w:cs="Arial" w:eastAsia="Arial" w:hAnsi="Arial"/>
                <w:sz w:val="18"/>
                <w:szCs w:val="18"/>
                <w:b w:val="1"/>
                <w:bCs w:val="1"/>
                <w:color w:val="auto"/>
                <w:w w:val="93"/>
              </w:rPr>
              <w:t>March 31,</w:t>
            </w:r>
          </w:p>
        </w:tc>
        <w:tc>
          <w:tcPr>
            <w:tcW w:w="6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r>
      <w:tr>
        <w:trPr>
          <w:trHeight w:val="223"/>
        </w:trPr>
        <w:tc>
          <w:tcPr>
            <w:tcW w:w="6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720" w:type="dxa"/>
            <w:vAlign w:val="bottom"/>
            <w:gridSpan w:val="4"/>
          </w:tcPr>
          <w:p>
            <w:pPr>
              <w:jc w:val="right"/>
              <w:ind w:right="30"/>
              <w:spacing w:after="0"/>
              <w:rPr>
                <w:sz w:val="20"/>
                <w:szCs w:val="20"/>
                <w:color w:val="auto"/>
              </w:rPr>
            </w:pPr>
            <w:r>
              <w:rPr>
                <w:rFonts w:ascii="Arial" w:cs="Arial" w:eastAsia="Arial" w:hAnsi="Arial"/>
                <w:sz w:val="18"/>
                <w:szCs w:val="18"/>
                <w:b w:val="1"/>
                <w:bCs w:val="1"/>
                <w:i w:val="1"/>
                <w:iCs w:val="1"/>
                <w:color w:val="auto"/>
                <w:w w:val="85"/>
              </w:rPr>
              <w:t>(in thousands, except percentages)</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140" w:type="dxa"/>
            <w:vAlign w:val="bottom"/>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37,002</w:t>
            </w:r>
          </w:p>
        </w:tc>
        <w:tc>
          <w:tcPr>
            <w:tcW w:w="2020" w:type="dxa"/>
            <w:vAlign w:val="bottom"/>
            <w:gridSpan w:val="3"/>
            <w:shd w:val="clear" w:color="auto" w:fill="CFF0FC"/>
          </w:tcPr>
          <w:p>
            <w:pPr>
              <w:jc w:val="right"/>
              <w:ind w:right="13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22,855</w:t>
            </w:r>
          </w:p>
        </w:tc>
        <w:tc>
          <w:tcPr>
            <w:tcW w:w="440" w:type="dxa"/>
            <w:vAlign w:val="bottom"/>
            <w:shd w:val="clear" w:color="auto" w:fill="CFF0FC"/>
          </w:tcPr>
          <w:p>
            <w:pPr>
              <w:spacing w:after="0"/>
              <w:rPr>
                <w:sz w:val="19"/>
                <w:szCs w:val="19"/>
                <w:color w:val="auto"/>
              </w:rPr>
            </w:pPr>
          </w:p>
        </w:tc>
      </w:tr>
      <w:tr>
        <w:trPr>
          <w:trHeight w:val="229"/>
        </w:trPr>
        <w:tc>
          <w:tcPr>
            <w:tcW w:w="6320" w:type="dxa"/>
            <w:vAlign w:val="bottom"/>
          </w:tcPr>
          <w:p>
            <w:pPr>
              <w:ind w:left="460"/>
              <w:spacing w:after="0"/>
              <w:rPr>
                <w:sz w:val="20"/>
                <w:szCs w:val="20"/>
                <w:color w:val="auto"/>
              </w:rPr>
            </w:pPr>
            <w:r>
              <w:rPr>
                <w:rFonts w:ascii="Arial" w:cs="Arial" w:eastAsia="Arial" w:hAnsi="Arial"/>
                <w:sz w:val="18"/>
                <w:szCs w:val="18"/>
                <w:color w:val="auto"/>
              </w:rPr>
              <w:t>Add:</w:t>
            </w: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6320" w:type="dxa"/>
            <w:vAlign w:val="bottom"/>
            <w:shd w:val="clear" w:color="auto" w:fill="CFF0FC"/>
          </w:tcPr>
          <w:p>
            <w:pPr>
              <w:ind w:left="20"/>
              <w:spacing w:after="0" w:line="229"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4"/>
                <w:szCs w:val="24"/>
                <w:color w:val="auto"/>
                <w:vertAlign w:val="superscript"/>
              </w:rPr>
              <w:t>(1)</w:t>
            </w:r>
          </w:p>
        </w:tc>
        <w:tc>
          <w:tcPr>
            <w:tcW w:w="1140" w:type="dxa"/>
            <w:vAlign w:val="bottom"/>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2020" w:type="dxa"/>
            <w:vAlign w:val="bottom"/>
            <w:gridSpan w:val="3"/>
            <w:shd w:val="clear" w:color="auto" w:fill="CFF0FC"/>
          </w:tcPr>
          <w:p>
            <w:pPr>
              <w:jc w:val="right"/>
              <w:ind w:right="13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440" w:type="dxa"/>
            <w:vAlign w:val="bottom"/>
            <w:shd w:val="clear" w:color="auto" w:fill="CFF0FC"/>
          </w:tcPr>
          <w:p>
            <w:pPr>
              <w:spacing w:after="0"/>
              <w:rPr>
                <w:sz w:val="19"/>
                <w:szCs w:val="19"/>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Acquired intangible assets amortization</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489</w:t>
            </w:r>
          </w:p>
        </w:tc>
        <w:tc>
          <w:tcPr>
            <w:tcW w:w="2020" w:type="dxa"/>
            <w:vAlign w:val="bottom"/>
            <w:gridSpan w:val="3"/>
          </w:tcPr>
          <w:p>
            <w:pPr>
              <w:jc w:val="right"/>
              <w:ind w:right="13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222</w:t>
            </w:r>
          </w:p>
        </w:tc>
        <w:tc>
          <w:tcPr>
            <w:tcW w:w="440" w:type="dxa"/>
            <w:vAlign w:val="bottom"/>
          </w:tcPr>
          <w:p>
            <w:pPr>
              <w:spacing w:after="0"/>
              <w:rPr>
                <w:sz w:val="19"/>
                <w:szCs w:val="19"/>
                <w:color w:val="auto"/>
              </w:rPr>
            </w:pPr>
          </w:p>
        </w:tc>
      </w:tr>
      <w:tr>
        <w:trPr>
          <w:trHeight w:val="22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Non-GAAP Gross Profit</w:t>
            </w:r>
          </w:p>
        </w:tc>
        <w:tc>
          <w:tcPr>
            <w:tcW w:w="1140" w:type="dxa"/>
            <w:vAlign w:val="bottom"/>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38,413</w:t>
            </w:r>
          </w:p>
        </w:tc>
        <w:tc>
          <w:tcPr>
            <w:tcW w:w="2020" w:type="dxa"/>
            <w:vAlign w:val="bottom"/>
            <w:gridSpan w:val="3"/>
            <w:shd w:val="clear" w:color="auto" w:fill="CFF0FC"/>
          </w:tcPr>
          <w:p>
            <w:pPr>
              <w:jc w:val="right"/>
              <w:ind w:right="13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23,313</w:t>
            </w:r>
          </w:p>
        </w:tc>
        <w:tc>
          <w:tcPr>
            <w:tcW w:w="440" w:type="dxa"/>
            <w:vAlign w:val="bottom"/>
            <w:shd w:val="clear" w:color="auto" w:fill="CFF0FC"/>
          </w:tcPr>
          <w:p>
            <w:pPr>
              <w:spacing w:after="0"/>
              <w:rPr>
                <w:sz w:val="19"/>
                <w:szCs w:val="19"/>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Non-GAAP Gross Margin</w:t>
            </w:r>
          </w:p>
        </w:tc>
        <w:tc>
          <w:tcPr>
            <w:tcW w:w="114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72 %</w:t>
            </w:r>
          </w:p>
        </w:tc>
        <w:tc>
          <w:tcPr>
            <w:tcW w:w="15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70 %</w:t>
            </w:r>
          </w:p>
        </w:tc>
      </w:tr>
    </w:tbl>
    <w:p>
      <w:pPr>
        <w:ind w:left="500" w:hanging="372"/>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Stock-based compensation expense-related charges include employer payroll tax-related expenses on employee stock transactions.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b w:val="1"/>
                <w:bCs w:val="1"/>
                <w:i w:val="1"/>
                <w:iCs w:val="1"/>
                <w:color w:val="auto"/>
              </w:rPr>
              <w:t>Non-GAAP Loss From Operations and Loss From Operations Margin</w:t>
            </w: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1"/>
        </w:trPr>
        <w:tc>
          <w:tcPr>
            <w:tcW w:w="6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63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ind w:right="1150"/>
              <w:spacing w:after="0"/>
              <w:rPr>
                <w:sz w:val="20"/>
                <w:szCs w:val="20"/>
                <w:color w:val="auto"/>
              </w:rPr>
            </w:pPr>
            <w:r>
              <w:rPr>
                <w:rFonts w:ascii="Arial" w:cs="Arial" w:eastAsia="Arial" w:hAnsi="Arial"/>
                <w:sz w:val="18"/>
                <w:szCs w:val="18"/>
                <w:b w:val="1"/>
                <w:bCs w:val="1"/>
                <w:color w:val="auto"/>
                <w:w w:val="96"/>
              </w:rPr>
              <w:t>March 31,</w:t>
            </w:r>
          </w:p>
        </w:tc>
        <w:tc>
          <w:tcPr>
            <w:tcW w:w="58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r>
      <w:tr>
        <w:trPr>
          <w:trHeight w:val="223"/>
        </w:trPr>
        <w:tc>
          <w:tcPr>
            <w:tcW w:w="6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70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w w:val="86"/>
              </w:rPr>
              <w:t>(in thousands, except percentages)</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w w:val="97"/>
              </w:rPr>
              <w:t>(21,991 )</w:t>
            </w:r>
          </w:p>
        </w:tc>
        <w:tc>
          <w:tcPr>
            <w:tcW w:w="1540" w:type="dxa"/>
            <w:vAlign w:val="bottom"/>
            <w:shd w:val="clear" w:color="auto" w:fill="CFF0FC"/>
          </w:tcPr>
          <w:p>
            <w:pPr>
              <w:jc w:val="right"/>
              <w:ind w:right="13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w w:val="99"/>
              </w:rPr>
              <w:t>(6,149 )</w:t>
            </w:r>
          </w:p>
        </w:tc>
      </w:tr>
      <w:tr>
        <w:trPr>
          <w:trHeight w:val="230"/>
        </w:trPr>
        <w:tc>
          <w:tcPr>
            <w:tcW w:w="6320" w:type="dxa"/>
            <w:vAlign w:val="bottom"/>
          </w:tcPr>
          <w:p>
            <w:pPr>
              <w:ind w:left="460"/>
              <w:spacing w:after="0"/>
              <w:rPr>
                <w:sz w:val="20"/>
                <w:szCs w:val="20"/>
                <w:color w:val="auto"/>
              </w:rPr>
            </w:pPr>
            <w:r>
              <w:rPr>
                <w:rFonts w:ascii="Arial" w:cs="Arial" w:eastAsia="Arial" w:hAnsi="Arial"/>
                <w:sz w:val="18"/>
                <w:szCs w:val="18"/>
                <w:color w:val="auto"/>
              </w:rPr>
              <w:t>Add:</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9"/>
        </w:trPr>
        <w:tc>
          <w:tcPr>
            <w:tcW w:w="6320" w:type="dxa"/>
            <w:vAlign w:val="bottom"/>
            <w:shd w:val="clear" w:color="auto" w:fill="CFF0FC"/>
          </w:tcPr>
          <w:p>
            <w:pPr>
              <w:ind w:left="20"/>
              <w:spacing w:after="0" w:line="229"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4"/>
                <w:szCs w:val="24"/>
                <w:color w:val="auto"/>
                <w:vertAlign w:val="superscript"/>
              </w:rPr>
              <w:t>(1)</w:t>
            </w: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13,776</w:t>
            </w: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3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w:t>
            </w:r>
          </w:p>
        </w:tc>
        <w:tc>
          <w:tcPr>
            <w:tcW w:w="520" w:type="dxa"/>
            <w:vAlign w:val="bottom"/>
            <w:shd w:val="clear" w:color="auto" w:fill="CFF0FC"/>
          </w:tcPr>
          <w:p>
            <w:pPr>
              <w:spacing w:after="0"/>
              <w:rPr>
                <w:sz w:val="19"/>
                <w:szCs w:val="19"/>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Acquired intangible assets amortization</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489</w:t>
            </w:r>
          </w:p>
        </w:tc>
        <w:tc>
          <w:tcPr>
            <w:tcW w:w="520" w:type="dxa"/>
            <w:vAlign w:val="bottom"/>
          </w:tcPr>
          <w:p>
            <w:pPr>
              <w:spacing w:after="0"/>
              <w:rPr>
                <w:sz w:val="19"/>
                <w:szCs w:val="19"/>
                <w:color w:val="auto"/>
              </w:rPr>
            </w:pPr>
          </w:p>
        </w:tc>
        <w:tc>
          <w:tcPr>
            <w:tcW w:w="1540" w:type="dxa"/>
            <w:vAlign w:val="bottom"/>
          </w:tcPr>
          <w:p>
            <w:pPr>
              <w:jc w:val="right"/>
              <w:ind w:right="13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222</w:t>
            </w:r>
          </w:p>
        </w:tc>
        <w:tc>
          <w:tcPr>
            <w:tcW w:w="520" w:type="dxa"/>
            <w:vAlign w:val="bottom"/>
          </w:tcPr>
          <w:p>
            <w:pPr>
              <w:spacing w:after="0"/>
              <w:rPr>
                <w:sz w:val="19"/>
                <w:szCs w:val="19"/>
                <w:color w:val="auto"/>
              </w:rPr>
            </w:pPr>
          </w:p>
        </w:tc>
      </w:tr>
      <w:tr>
        <w:trPr>
          <w:trHeight w:val="230"/>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listing expenses</w:t>
            </w: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13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520" w:type="dxa"/>
            <w:vAlign w:val="bottom"/>
            <w:shd w:val="clear" w:color="auto" w:fill="CFF0FC"/>
          </w:tcPr>
          <w:p>
            <w:pPr>
              <w:spacing w:after="0"/>
              <w:rPr>
                <w:sz w:val="19"/>
                <w:szCs w:val="19"/>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Non-GAAP Loss from Operations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50"/>
              <w:spacing w:after="0"/>
              <w:rPr>
                <w:sz w:val="20"/>
                <w:szCs w:val="20"/>
                <w:color w:val="auto"/>
              </w:rPr>
            </w:pPr>
            <w:r>
              <w:rPr>
                <w:rFonts w:ascii="Arial" w:cs="Arial" w:eastAsia="Arial" w:hAnsi="Arial"/>
                <w:sz w:val="18"/>
                <w:szCs w:val="18"/>
                <w:color w:val="auto"/>
              </w:rPr>
              <w:t>(7,726 )</w:t>
            </w:r>
          </w:p>
        </w:tc>
        <w:tc>
          <w:tcPr>
            <w:tcW w:w="1540" w:type="dxa"/>
            <w:vAlign w:val="bottom"/>
          </w:tcPr>
          <w:p>
            <w:pPr>
              <w:jc w:val="right"/>
              <w:ind w:right="133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(3,246 )</w:t>
            </w:r>
          </w:p>
        </w:tc>
      </w:tr>
      <w:tr>
        <w:trPr>
          <w:trHeight w:val="22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Non-GAAP Loss from Operations Margin</w:t>
            </w:r>
          </w:p>
        </w:tc>
        <w:tc>
          <w:tcPr>
            <w:tcW w:w="1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(15 )%</w:t>
            </w:r>
          </w:p>
        </w:tc>
        <w:tc>
          <w:tcPr>
            <w:tcW w:w="15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94615</wp:posOffset>
            </wp:positionV>
            <wp:extent cx="9340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177"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Stock-based compensation expense-related charges include employer payroll tax-related expenses on employee stock transactions.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b w:val="1"/>
                <w:bCs w:val="1"/>
                <w:i w:val="1"/>
                <w:iCs w:val="1"/>
                <w:color w:val="auto"/>
              </w:rPr>
              <w:t>Free Cash Flow and Free Cash Flow Margin</w:t>
            </w: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6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63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ind w:right="1130"/>
              <w:spacing w:after="0"/>
              <w:rPr>
                <w:sz w:val="20"/>
                <w:szCs w:val="20"/>
                <w:color w:val="auto"/>
              </w:rPr>
            </w:pPr>
            <w:r>
              <w:rPr>
                <w:rFonts w:ascii="Arial" w:cs="Arial" w:eastAsia="Arial" w:hAnsi="Arial"/>
                <w:sz w:val="18"/>
                <w:szCs w:val="18"/>
                <w:b w:val="1"/>
                <w:bCs w:val="1"/>
                <w:color w:val="auto"/>
                <w:w w:val="98"/>
              </w:rPr>
              <w:t>March 31,</w:t>
            </w:r>
          </w:p>
        </w:tc>
        <w:tc>
          <w:tcPr>
            <w:tcW w:w="58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r>
      <w:tr>
        <w:trPr>
          <w:trHeight w:val="209"/>
        </w:trPr>
        <w:tc>
          <w:tcPr>
            <w:tcW w:w="63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r>
      <w:tr>
        <w:trPr>
          <w:trHeight w:val="223"/>
        </w:trPr>
        <w:tc>
          <w:tcPr>
            <w:tcW w:w="6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70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w w:val="86"/>
              </w:rPr>
              <w:t>(in thousands, except percentages)</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(1,307 )</w:t>
            </w:r>
          </w:p>
        </w:tc>
        <w:tc>
          <w:tcPr>
            <w:tcW w:w="1540" w:type="dxa"/>
            <w:vAlign w:val="bottom"/>
            <w:shd w:val="clear" w:color="auto" w:fill="CFF0FC"/>
          </w:tcPr>
          <w:p>
            <w:pPr>
              <w:jc w:val="right"/>
              <w:ind w:right="13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(631 )</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2,573</w:t>
            </w: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19"/>
                <w:szCs w:val="19"/>
                <w:color w:val="auto"/>
              </w:rPr>
            </w:pPr>
          </w:p>
        </w:tc>
      </w:tr>
      <w:tr>
        <w:trPr>
          <w:trHeight w:val="230"/>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(8,289 )</w:t>
            </w:r>
          </w:p>
        </w:tc>
        <w:tc>
          <w:tcPr>
            <w:tcW w:w="15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(462 )</w:t>
            </w:r>
          </w:p>
        </w:tc>
      </w:tr>
      <w:tr>
        <w:trPr>
          <w:trHeight w:val="229"/>
        </w:trPr>
        <w:tc>
          <w:tcPr>
            <w:tcW w:w="6320" w:type="dxa"/>
            <w:vAlign w:val="bottom"/>
          </w:tcPr>
          <w:p>
            <w:pPr>
              <w:ind w:left="480"/>
              <w:spacing w:after="0"/>
              <w:rPr>
                <w:sz w:val="20"/>
                <w:szCs w:val="20"/>
                <w:color w:val="auto"/>
              </w:rPr>
            </w:pPr>
            <w:r>
              <w:rPr>
                <w:rFonts w:ascii="Arial" w:cs="Arial" w:eastAsia="Arial" w:hAnsi="Arial"/>
                <w:sz w:val="18"/>
                <w:szCs w:val="18"/>
                <w:color w:val="auto"/>
              </w:rPr>
              <w:t>Less: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property and equipment</w:t>
            </w: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(713 )</w:t>
            </w:r>
          </w:p>
        </w:tc>
        <w:tc>
          <w:tcPr>
            <w:tcW w:w="1540" w:type="dxa"/>
            <w:vAlign w:val="bottom"/>
            <w:shd w:val="clear" w:color="auto" w:fill="CFF0FC"/>
          </w:tcPr>
          <w:p>
            <w:pPr>
              <w:jc w:val="right"/>
              <w:ind w:right="13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(250 )</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Capitalization of internal-use software costs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50"/>
              <w:spacing w:after="0"/>
              <w:rPr>
                <w:sz w:val="20"/>
                <w:szCs w:val="20"/>
                <w:color w:val="auto"/>
              </w:rPr>
            </w:pPr>
            <w:r>
              <w:rPr>
                <w:rFonts w:ascii="Arial" w:cs="Arial" w:eastAsia="Arial" w:hAnsi="Arial"/>
                <w:sz w:val="18"/>
                <w:szCs w:val="18"/>
                <w:color w:val="auto"/>
              </w:rPr>
              <w:t>(594 )</w:t>
            </w:r>
          </w:p>
        </w:tc>
        <w:tc>
          <w:tcPr>
            <w:tcW w:w="1540" w:type="dxa"/>
            <w:vAlign w:val="bottom"/>
          </w:tcPr>
          <w:p>
            <w:pPr>
              <w:jc w:val="right"/>
              <w:ind w:right="133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(381 )</w:t>
            </w:r>
          </w:p>
        </w:tc>
      </w:tr>
      <w:tr>
        <w:trPr>
          <w:trHeight w:val="22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Free Cash Flow</w:t>
            </w: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(9,596 )</w:t>
            </w:r>
          </w:p>
        </w:tc>
        <w:tc>
          <w:tcPr>
            <w:tcW w:w="1540" w:type="dxa"/>
            <w:vAlign w:val="bottom"/>
            <w:shd w:val="clear" w:color="auto" w:fill="CFF0FC"/>
          </w:tcPr>
          <w:p>
            <w:pPr>
              <w:jc w:val="right"/>
              <w:ind w:right="13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w w:val="99"/>
              </w:rPr>
              <w:t>(1,093 )</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Free Cash Flow Margin</w:t>
            </w:r>
          </w:p>
        </w:tc>
        <w:tc>
          <w:tcPr>
            <w:tcW w:w="4640" w:type="dxa"/>
            <w:vAlign w:val="bottom"/>
          </w:tcPr>
          <w:p>
            <w:pPr>
              <w:jc w:val="right"/>
              <w:ind w:right="1030"/>
              <w:spacing w:after="0"/>
              <w:rPr>
                <w:sz w:val="20"/>
                <w:szCs w:val="20"/>
                <w:color w:val="auto"/>
              </w:rPr>
            </w:pPr>
            <w:r>
              <w:rPr>
                <w:rFonts w:ascii="Arial" w:cs="Arial" w:eastAsia="Arial" w:hAnsi="Arial"/>
                <w:sz w:val="18"/>
                <w:szCs w:val="18"/>
                <w:color w:val="auto"/>
              </w:rPr>
              <w:t>(18 )%</w:t>
            </w:r>
          </w:p>
        </w:tc>
        <w:tc>
          <w:tcPr>
            <w:tcW w:w="1520" w:type="dxa"/>
            <w:vAlign w:val="bottom"/>
          </w:tcPr>
          <w:p>
            <w:pPr>
              <w:jc w:val="right"/>
              <w:spacing w:after="0"/>
              <w:rPr>
                <w:sz w:val="20"/>
                <w:szCs w:val="20"/>
                <w:color w:val="auto"/>
              </w:rPr>
            </w:pPr>
            <w:r>
              <w:rPr>
                <w:rFonts w:ascii="Arial" w:cs="Arial" w:eastAsia="Arial" w:hAnsi="Arial"/>
                <w:sz w:val="18"/>
                <w:szCs w:val="18"/>
                <w:color w:val="auto"/>
              </w:rPr>
              <w:t>(3 )%</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jc w:val="both"/>
        <w:ind w:right="100" w:firstLine="509"/>
        <w:spacing w:after="0" w:line="243" w:lineRule="auto"/>
        <w:rPr>
          <w:sz w:val="20"/>
          <w:szCs w:val="20"/>
          <w:color w:val="auto"/>
        </w:rPr>
      </w:pPr>
      <w:r>
        <w:rPr>
          <w:rFonts w:ascii="Arial" w:cs="Arial" w:eastAsia="Arial" w:hAnsi="Arial"/>
          <w:sz w:val="18"/>
          <w:szCs w:val="18"/>
          <w:color w:val="auto"/>
        </w:rPr>
        <w:t>We generate revenue primarily from sales of subscription services for customers to access our platform. Revenue is driven primarily by the number of paying customers and the level of subscription plan. We generally recognize revenue ratably over the related contractual term beginning on the date that the platform is made available to a customer. Revenue from professional services have primarily been attributed to implementation and training services. We recognize professional services revenue as services are delivered.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04"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Cost of revenue consists primarily of the cost of providing our platform to our customers and consists of third-party hosting fees, personnel-related expenses for our operations and support personnel, and amortization of our capitalized internal-use software and acquired developed software. As we acquire new customers and existing customers increase their use of our platform, we expect that our cost of revenue will continue to increase in dollar amount.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04" w:lineRule="exact"/>
        <w:rPr>
          <w:sz w:val="20"/>
          <w:szCs w:val="20"/>
          <w:color w:val="auto"/>
        </w:rPr>
      </w:pPr>
    </w:p>
    <w:p>
      <w:pPr>
        <w:jc w:val="both"/>
        <w:ind w:right="120" w:firstLine="509"/>
        <w:spacing w:after="0" w:line="284" w:lineRule="auto"/>
        <w:rPr>
          <w:sz w:val="20"/>
          <w:szCs w:val="20"/>
          <w:color w:val="auto"/>
        </w:rPr>
      </w:pPr>
      <w:r>
        <w:rPr>
          <w:rFonts w:ascii="Arial" w:cs="Arial" w:eastAsia="Arial" w:hAnsi="Arial"/>
          <w:sz w:val="16"/>
          <w:szCs w:val="16"/>
          <w:color w:val="auto"/>
        </w:rPr>
        <w:t>Gross profit, or revenue less cost of revenue, and gross margin, or gross profit as a percentage of revenue, has been and will continue to be affected by various factors, including the timing of our acquisition of new customers, renewals of, and follow-on sales to, existing customers, costs associated with operating our platform, and the extent to which we expand our operations and customer support organizations. In the long term, we expect our gross profit to increase in dollar amount and our gross margin to improve as we optimize our system performance and leverage ingested data for new products.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Personnel-related expenses are the most significant component of operating expenses and consist of salaries, benefits, stock-based compensation expense, and, in the case of sales and marketing expenses, sales commissions. Operating expenses also include an allocation of overhead costs for facilities and shared IT-related expenses. As we continue to invest in our business, we expect our operating expenses to continue to increase in dollar amount, and although we believe our operating expenses as a percentage of revenue will decrease over the longer term, we expect operating expenses as a percentage of revenue will increase in the short term as we invest in product innovation and sales growth and incur additional professional services and compliance costs as we operate as a public company.</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4" w:lineRule="exact"/>
        <w:rPr>
          <w:sz w:val="20"/>
          <w:szCs w:val="20"/>
          <w:color w:val="auto"/>
        </w:rPr>
      </w:pPr>
    </w:p>
    <w:p>
      <w:pPr>
        <w:ind w:right="80" w:firstLine="509"/>
        <w:spacing w:after="0" w:line="272" w:lineRule="auto"/>
        <w:rPr>
          <w:sz w:val="20"/>
          <w:szCs w:val="20"/>
          <w:color w:val="auto"/>
        </w:rPr>
      </w:pPr>
      <w:r>
        <w:rPr>
          <w:rFonts w:ascii="Arial" w:cs="Arial" w:eastAsia="Arial" w:hAnsi="Arial"/>
          <w:sz w:val="16"/>
          <w:szCs w:val="16"/>
          <w:color w:val="auto"/>
        </w:rPr>
        <w:t>Research and development expenses consist primarily of personnel-related expenses. These expenses also include product design costs prior to the application development stage, third-party services and consulting expenses, software subscriptions, and allocated overhead costs for overhead used in research and development activities. A substantial portion of our research and development efforts are focused on enhancing our software, including researching ways to add new features and functionality to our platform. We anticipate continuing to invest in innovation and technology development, and as a result, we expect research and development expenses to continue to increase in dollar amount but to decrease as a percentage of revenue over the longer term, although the percentage may fluctuate from quarter to quarter depending on the extent and timing of product development initiatives. In the short term, we expect research and development costs to increase as a percentage of revenue as we invest in product innovation. We also anticipate additional stock-based compensation expense in future periods due to planned increases in headcount and associated new hire grants.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04"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Sales and marketing expenses consist primarily of personnel-related expenses and expenses for performance marketing and lead generation, and brand marketing.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five years.</w:t>
      </w:r>
    </w:p>
    <w:p>
      <w:pPr>
        <w:spacing w:after="0" w:line="188"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We continue to make investments in our sales and marketing organization, and we expect sales and marketing expenses to remain our largest operating expense in dollar amount. We expect our sales and marketing expenses to continue to increase in dollar amount but to decrease as a percentage of revenue over the longer term, although the percentage may fluctuate from quarter to quarter depending on the extent and timing of our marketing initiatives, including due to our hosting of Amplify, our in-person and virtual product and growth conference, in the second quarter of fiscal 2022. In the short term, we expect sales and marketing costs to increase as a percentage of revenue as we invest in product sales growth. We also anticipate additional stock-based compensation expense in future periods due to planned increases in headcount and associated new hire grants.</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General and administrative expenses consist primarily of personnel-related expenses for our finance, human resources, information technology, and legal organizations. These expenses also include non-personnel costs, such as outside legal, accounting, and other professional fees, software subscriptions, as well as certain tax, license, and insurance-related expenses, and allocated overhead costs.</w:t>
      </w:r>
    </w:p>
    <w:p>
      <w:pPr>
        <w:spacing w:after="0" w:line="7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have also incurred certain expenses as part of operating as a publicly-traded company, including professional fees and other expenses. We expect to continue to incur additional expenses as a result of operating as a public company, including costs to comply with the rules and regulations applicable to companies listed on the Nasdaq Capital Market LLC and costs related to compliance and reporting obligations pursuant to the rules and regulations of the Securities and Exchange Commission. In addition, as a public company, we incur additional costs associated with accounting, compliance, insurance, and investor relations. As a result, we expect our general and administrative expenses to continue to increase in dollar amount for the foreseeable future but to generally decrease as a percentage of our revenue over the longer term, although the percentage may fluctuate from period to period depending on the timing and amount of our general and administrative expenses, including in the short term as we expect to incur increased compliance and professional service costs. We also anticipate additional stock-based compensation expense in future periods due to planned increases in headcount and associated new hire grants.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income (expense), net consists primarily of interest income on our cash holdings offset by foreign currency transaction gains and losses.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0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Provision for income taxes consists primarily of income taxes in certain foreign jurisdictions in which we conduct business. To date, we have not recorded any U.S. federal income tax expense, and our state and foreign income tax expenses have not been material. We have recorded deferred tax assets for U.S. federal income taxes for which we provide a full valuation allowance. These deferred tax assets primarily include net operating loss carryforwards of $415.8 million and tax credit carryforwards of $5.4 million, net of reserves as of December 31, 2021, which begin expiring in 2032 and 2033, respectively. We expect to maintain this full valuation allowance in U.S. jurisdictions for the foreseeable future as it is not more likely than not the deferred tax assets will be realized based on our history of losses.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revenue for those periods. The period-to-period comparison of financial results is not necessarily indicative of financial results to be achieved in future periods.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00" w:type="dxa"/>
            <w:vAlign w:val="bottom"/>
            <w:gridSpan w:val="3"/>
          </w:tcPr>
          <w:p>
            <w:pPr>
              <w:ind w:left="180"/>
              <w:spacing w:after="0"/>
              <w:rPr>
                <w:sz w:val="20"/>
                <w:szCs w:val="20"/>
                <w:color w:val="auto"/>
              </w:rPr>
            </w:pPr>
            <w:r>
              <w:rPr>
                <w:rFonts w:ascii="Arial" w:cs="Arial" w:eastAsia="Arial" w:hAnsi="Arial"/>
                <w:sz w:val="18"/>
                <w:szCs w:val="18"/>
                <w:b w:val="1"/>
                <w:bCs w:val="1"/>
                <w:color w:val="auto"/>
                <w:w w:val="95"/>
              </w:rPr>
              <w:t>Three Months Ended</w:t>
            </w: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16"/>
        </w:trPr>
        <w:tc>
          <w:tcPr>
            <w:tcW w:w="21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March 31,</w:t>
            </w:r>
          </w:p>
        </w:tc>
        <w:tc>
          <w:tcPr>
            <w:tcW w:w="14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r>
      <w:tr>
        <w:trPr>
          <w:trHeight w:val="196"/>
        </w:trPr>
        <w:tc>
          <w:tcPr>
            <w:tcW w:w="21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90"/>
              <w:spacing w:after="0" w:line="196" w:lineRule="exact"/>
              <w:rPr>
                <w:sz w:val="20"/>
                <w:szCs w:val="20"/>
                <w:color w:val="auto"/>
              </w:rPr>
            </w:pPr>
            <w:r>
              <w:rPr>
                <w:rFonts w:ascii="Arial" w:cs="Arial" w:eastAsia="Arial" w:hAnsi="Arial"/>
                <w:sz w:val="18"/>
                <w:szCs w:val="18"/>
                <w:b w:val="1"/>
                <w:bCs w:val="1"/>
                <w:color w:val="auto"/>
                <w:w w:val="99"/>
              </w:rPr>
              <w:t>2021</w:t>
            </w:r>
          </w:p>
        </w:tc>
        <w:tc>
          <w:tcPr>
            <w:tcW w:w="300" w:type="dxa"/>
            <w:vAlign w:val="bottom"/>
          </w:tcPr>
          <w:p>
            <w:pPr>
              <w:spacing w:after="0"/>
              <w:rPr>
                <w:sz w:val="17"/>
                <w:szCs w:val="17"/>
                <w:color w:val="auto"/>
              </w:rPr>
            </w:pPr>
          </w:p>
        </w:tc>
      </w:tr>
      <w:tr>
        <w:trPr>
          <w:trHeight w:val="196"/>
        </w:trPr>
        <w:tc>
          <w:tcPr>
            <w:tcW w:w="21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00" w:type="dxa"/>
            <w:vAlign w:val="bottom"/>
            <w:gridSpan w:val="3"/>
          </w:tcPr>
          <w:p>
            <w:pPr>
              <w:ind w:left="620"/>
              <w:spacing w:after="0" w:line="196" w:lineRule="exact"/>
              <w:rPr>
                <w:sz w:val="20"/>
                <w:szCs w:val="20"/>
                <w:color w:val="auto"/>
              </w:rPr>
            </w:pPr>
            <w:r>
              <w:rPr>
                <w:rFonts w:ascii="Arial" w:cs="Arial" w:eastAsia="Arial" w:hAnsi="Arial"/>
                <w:sz w:val="18"/>
                <w:szCs w:val="18"/>
                <w:b w:val="1"/>
                <w:bCs w:val="1"/>
                <w:i w:val="1"/>
                <w:iCs w:val="1"/>
                <w:color w:val="auto"/>
              </w:rPr>
              <w:t>(in thousands)</w:t>
            </w: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2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5480" w:type="dxa"/>
            <w:vAlign w:val="bottom"/>
            <w:gridSpan w:val="2"/>
            <w:shd w:val="clear" w:color="auto" w:fill="CFF0FC"/>
          </w:tcPr>
          <w:p>
            <w:pPr>
              <w:jc w:val="right"/>
              <w:ind w:right="109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53,065</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3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33,110</w:t>
            </w:r>
          </w:p>
        </w:tc>
        <w:tc>
          <w:tcPr>
            <w:tcW w:w="300" w:type="dxa"/>
            <w:vAlign w:val="bottom"/>
            <w:shd w:val="clear" w:color="auto" w:fill="CFF0FC"/>
          </w:tcPr>
          <w:p>
            <w:pPr>
              <w:spacing w:after="0"/>
              <w:rPr>
                <w:sz w:val="17"/>
                <w:szCs w:val="17"/>
                <w:color w:val="auto"/>
              </w:rPr>
            </w:pPr>
          </w:p>
        </w:tc>
      </w:tr>
      <w:tr>
        <w:trPr>
          <w:trHeight w:val="203"/>
        </w:trPr>
        <w:tc>
          <w:tcPr>
            <w:tcW w:w="2160" w:type="dxa"/>
            <w:vAlign w:val="bottom"/>
          </w:tcPr>
          <w:p>
            <w:pPr>
              <w:ind w:left="20"/>
              <w:spacing w:after="0" w:line="202" w:lineRule="exact"/>
              <w:rPr>
                <w:sz w:val="20"/>
                <w:szCs w:val="20"/>
                <w:color w:val="auto"/>
              </w:rPr>
            </w:pPr>
            <w:r>
              <w:rPr>
                <w:rFonts w:ascii="Arial" w:cs="Arial" w:eastAsia="Arial" w:hAnsi="Arial"/>
                <w:sz w:val="17"/>
                <w:szCs w:val="17"/>
                <w:color w:val="auto"/>
              </w:rPr>
              <w:t>Cost of revenue</w:t>
            </w:r>
            <w:r>
              <w:rPr>
                <w:rFonts w:ascii="Arial" w:cs="Arial" w:eastAsia="Arial" w:hAnsi="Arial"/>
                <w:sz w:val="23"/>
                <w:szCs w:val="23"/>
                <w:color w:val="auto"/>
                <w:vertAlign w:val="superscript"/>
              </w:rPr>
              <w:t>(1)</w:t>
            </w:r>
          </w:p>
        </w:tc>
        <w:tc>
          <w:tcPr>
            <w:tcW w:w="42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16,063</w:t>
            </w:r>
          </w:p>
        </w:tc>
        <w:tc>
          <w:tcPr>
            <w:tcW w:w="3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10,255</w:t>
            </w:r>
          </w:p>
        </w:tc>
        <w:tc>
          <w:tcPr>
            <w:tcW w:w="300" w:type="dxa"/>
            <w:vAlign w:val="bottom"/>
          </w:tcPr>
          <w:p>
            <w:pPr>
              <w:spacing w:after="0"/>
              <w:rPr>
                <w:sz w:val="17"/>
                <w:szCs w:val="17"/>
                <w:color w:val="auto"/>
              </w:rPr>
            </w:pPr>
          </w:p>
        </w:tc>
      </w:tr>
      <w:tr>
        <w:trPr>
          <w:trHeight w:val="196"/>
        </w:trPr>
        <w:tc>
          <w:tcPr>
            <w:tcW w:w="21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Gross profit</w:t>
            </w:r>
          </w:p>
        </w:tc>
        <w:tc>
          <w:tcPr>
            <w:tcW w:w="420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37,002</w:t>
            </w:r>
          </w:p>
        </w:tc>
        <w:tc>
          <w:tcPr>
            <w:tcW w:w="3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22,855</w:t>
            </w:r>
          </w:p>
        </w:tc>
        <w:tc>
          <w:tcPr>
            <w:tcW w:w="300" w:type="dxa"/>
            <w:vAlign w:val="bottom"/>
            <w:tcBorders>
              <w:bottom w:val="single" w:sz="8" w:color="CFF0FC"/>
            </w:tcBorders>
            <w:shd w:val="clear" w:color="auto" w:fill="CFF0FC"/>
          </w:tcPr>
          <w:p>
            <w:pPr>
              <w:spacing w:after="0"/>
              <w:rPr>
                <w:sz w:val="17"/>
                <w:szCs w:val="17"/>
                <w:color w:val="auto"/>
              </w:rPr>
            </w:pPr>
          </w:p>
        </w:tc>
      </w:tr>
      <w:tr>
        <w:trPr>
          <w:trHeight w:val="196"/>
        </w:trPr>
        <w:tc>
          <w:tcPr>
            <w:tcW w:w="216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4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7640" w:type="dxa"/>
            <w:vAlign w:val="bottom"/>
            <w:gridSpan w:val="3"/>
            <w:shd w:val="clear" w:color="auto" w:fill="CFF0FC"/>
          </w:tcPr>
          <w:p>
            <w:pPr>
              <w:ind w:left="200"/>
              <w:spacing w:after="0" w:line="202"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3"/>
                <w:szCs w:val="23"/>
                <w:color w:val="auto"/>
                <w:vertAlign w:val="superscript"/>
              </w:rPr>
              <w:t>(1)</w:t>
            </w: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16,501</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6,985</w:t>
            </w:r>
          </w:p>
        </w:tc>
        <w:tc>
          <w:tcPr>
            <w:tcW w:w="300" w:type="dxa"/>
            <w:vAlign w:val="bottom"/>
            <w:shd w:val="clear" w:color="auto" w:fill="CFF0FC"/>
          </w:tcPr>
          <w:p>
            <w:pPr>
              <w:spacing w:after="0"/>
              <w:rPr>
                <w:sz w:val="17"/>
                <w:szCs w:val="17"/>
                <w:color w:val="auto"/>
              </w:rPr>
            </w:pPr>
          </w:p>
        </w:tc>
      </w:tr>
      <w:tr>
        <w:trPr>
          <w:trHeight w:val="203"/>
        </w:trPr>
        <w:tc>
          <w:tcPr>
            <w:tcW w:w="2160" w:type="dxa"/>
            <w:vAlign w:val="bottom"/>
          </w:tcPr>
          <w:p>
            <w:pPr>
              <w:ind w:left="200"/>
              <w:spacing w:after="0" w:line="202"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3"/>
                <w:szCs w:val="23"/>
                <w:color w:val="auto"/>
                <w:vertAlign w:val="superscript"/>
              </w:rPr>
              <w:t>(1)</w:t>
            </w:r>
          </w:p>
        </w:tc>
        <w:tc>
          <w:tcPr>
            <w:tcW w:w="4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28,130</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16,770</w:t>
            </w:r>
          </w:p>
        </w:tc>
        <w:tc>
          <w:tcPr>
            <w:tcW w:w="300" w:type="dxa"/>
            <w:vAlign w:val="bottom"/>
          </w:tcPr>
          <w:p>
            <w:pPr>
              <w:spacing w:after="0"/>
              <w:rPr>
                <w:sz w:val="17"/>
                <w:szCs w:val="17"/>
                <w:color w:val="auto"/>
              </w:rPr>
            </w:pPr>
          </w:p>
        </w:tc>
      </w:tr>
      <w:tr>
        <w:trPr>
          <w:trHeight w:val="203"/>
        </w:trPr>
        <w:tc>
          <w:tcPr>
            <w:tcW w:w="6360" w:type="dxa"/>
            <w:vAlign w:val="bottom"/>
            <w:tcBorders>
              <w:bottom w:val="single" w:sz="8" w:color="CFF0FC"/>
            </w:tcBorders>
            <w:gridSpan w:val="2"/>
            <w:shd w:val="clear" w:color="auto" w:fill="CFF0FC"/>
          </w:tcPr>
          <w:p>
            <w:pPr>
              <w:ind w:left="200"/>
              <w:spacing w:after="0" w:line="202"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3"/>
                <w:szCs w:val="23"/>
                <w:color w:val="auto"/>
                <w:vertAlign w:val="superscript"/>
              </w:rPr>
              <w:t>(1)</w:t>
            </w:r>
          </w:p>
        </w:tc>
        <w:tc>
          <w:tcPr>
            <w:tcW w:w="12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14,362</w:t>
            </w:r>
          </w:p>
        </w:tc>
        <w:tc>
          <w:tcPr>
            <w:tcW w:w="3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5,249</w:t>
            </w:r>
          </w:p>
        </w:tc>
        <w:tc>
          <w:tcPr>
            <w:tcW w:w="30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gridSpan w:val="3"/>
          </w:tcPr>
          <w:p>
            <w:pPr>
              <w:ind w:left="520"/>
              <w:spacing w:after="0" w:line="196" w:lineRule="exact"/>
              <w:rPr>
                <w:sz w:val="20"/>
                <w:szCs w:val="20"/>
                <w:color w:val="auto"/>
              </w:rPr>
            </w:pPr>
            <w:r>
              <w:rPr>
                <w:rFonts w:ascii="Arial" w:cs="Arial" w:eastAsia="Arial" w:hAnsi="Arial"/>
                <w:sz w:val="18"/>
                <w:szCs w:val="18"/>
                <w:color w:val="auto"/>
              </w:rPr>
              <w:t>Total operating expenses</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58,993</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29,004</w:t>
            </w:r>
          </w:p>
        </w:tc>
        <w:tc>
          <w:tcPr>
            <w:tcW w:w="300" w:type="dxa"/>
            <w:vAlign w:val="bottom"/>
          </w:tcPr>
          <w:p>
            <w:pPr>
              <w:spacing w:after="0"/>
              <w:rPr>
                <w:sz w:val="17"/>
                <w:szCs w:val="17"/>
                <w:color w:val="auto"/>
              </w:rPr>
            </w:pPr>
          </w:p>
        </w:tc>
      </w:tr>
      <w:tr>
        <w:trPr>
          <w:trHeight w:val="196"/>
        </w:trPr>
        <w:tc>
          <w:tcPr>
            <w:tcW w:w="2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4200" w:type="dxa"/>
            <w:vAlign w:val="bottom"/>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(21,991</w:t>
            </w:r>
          </w:p>
        </w:tc>
        <w:tc>
          <w:tcPr>
            <w:tcW w:w="30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(6,149</w:t>
            </w:r>
          </w:p>
        </w:tc>
        <w:tc>
          <w:tcPr>
            <w:tcW w:w="30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2160" w:type="dxa"/>
            <w:vAlign w:val="bottom"/>
          </w:tcPr>
          <w:p>
            <w:pPr>
              <w:ind w:left="20"/>
              <w:spacing w:after="0" w:line="202" w:lineRule="exact"/>
              <w:rPr>
                <w:sz w:val="20"/>
                <w:szCs w:val="20"/>
                <w:color w:val="auto"/>
              </w:rPr>
            </w:pPr>
            <w:r>
              <w:rPr>
                <w:rFonts w:ascii="Arial" w:cs="Arial" w:eastAsia="Arial" w:hAnsi="Arial"/>
                <w:sz w:val="18"/>
                <w:szCs w:val="18"/>
                <w:color w:val="auto"/>
                <w:w w:val="92"/>
              </w:rPr>
              <w:t>Other income (expense), net</w:t>
            </w:r>
          </w:p>
        </w:tc>
        <w:tc>
          <w:tcPr>
            <w:tcW w:w="4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(12 )</w:t>
            </w:r>
          </w:p>
        </w:tc>
      </w:tr>
      <w:tr>
        <w:trPr>
          <w:trHeight w:val="196"/>
        </w:trPr>
        <w:tc>
          <w:tcPr>
            <w:tcW w:w="216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w w:val="93"/>
              </w:rPr>
              <w:t>Loss before provision for</w:t>
            </w:r>
          </w:p>
        </w:tc>
        <w:tc>
          <w:tcPr>
            <w:tcW w:w="4200" w:type="dxa"/>
            <w:vAlign w:val="bottom"/>
            <w:shd w:val="clear" w:color="auto" w:fill="CFF0FC"/>
          </w:tcPr>
          <w:p>
            <w:pPr>
              <w:ind w:left="40"/>
              <w:spacing w:after="0" w:line="196" w:lineRule="exact"/>
              <w:rPr>
                <w:sz w:val="20"/>
                <w:szCs w:val="20"/>
                <w:color w:val="auto"/>
              </w:rPr>
            </w:pPr>
            <w:r>
              <w:rPr>
                <w:rFonts w:ascii="Arial" w:cs="Arial" w:eastAsia="Arial" w:hAnsi="Arial"/>
                <w:sz w:val="18"/>
                <w:szCs w:val="18"/>
                <w:color w:val="auto"/>
              </w:rPr>
              <w:t>income taxes</w:t>
            </w:r>
          </w:p>
        </w:tc>
        <w:tc>
          <w:tcPr>
            <w:tcW w:w="12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(21,905</w:t>
            </w:r>
          </w:p>
        </w:tc>
        <w:tc>
          <w:tcPr>
            <w:tcW w:w="30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(6,161</w:t>
            </w:r>
          </w:p>
        </w:tc>
        <w:tc>
          <w:tcPr>
            <w:tcW w:w="30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216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42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315</w:t>
            </w:r>
          </w:p>
        </w:tc>
        <w:tc>
          <w:tcPr>
            <w:tcW w:w="3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278</w:t>
            </w:r>
          </w:p>
        </w:tc>
        <w:tc>
          <w:tcPr>
            <w:tcW w:w="300" w:type="dxa"/>
            <w:vAlign w:val="bottom"/>
          </w:tcPr>
          <w:p>
            <w:pPr>
              <w:spacing w:after="0"/>
              <w:rPr>
                <w:sz w:val="17"/>
                <w:szCs w:val="17"/>
                <w:color w:val="auto"/>
              </w:rPr>
            </w:pPr>
          </w:p>
        </w:tc>
      </w:tr>
      <w:tr>
        <w:trPr>
          <w:trHeight w:val="196"/>
        </w:trPr>
        <w:tc>
          <w:tcPr>
            <w:tcW w:w="2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4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9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(22,220</w:t>
            </w:r>
          </w:p>
        </w:tc>
        <w:tc>
          <w:tcPr>
            <w:tcW w:w="30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(6,439</w:t>
            </w:r>
          </w:p>
        </w:tc>
        <w:tc>
          <w:tcPr>
            <w:tcW w:w="30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-1325245</wp:posOffset>
            </wp:positionV>
            <wp:extent cx="5143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-1325245</wp:posOffset>
            </wp:positionV>
            <wp:extent cx="5143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-802005</wp:posOffset>
            </wp:positionV>
            <wp:extent cx="5143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-802005</wp:posOffset>
            </wp:positionV>
            <wp:extent cx="5143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23"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Amounts include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23742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60" w:type="dxa"/>
            <w:vAlign w:val="bottom"/>
            <w:gridSpan w:val="3"/>
          </w:tcPr>
          <w:p>
            <w:pPr>
              <w:ind w:left="160"/>
              <w:spacing w:after="0"/>
              <w:rPr>
                <w:sz w:val="20"/>
                <w:szCs w:val="20"/>
                <w:color w:val="auto"/>
              </w:rPr>
            </w:pPr>
            <w:r>
              <w:rPr>
                <w:rFonts w:ascii="Arial" w:cs="Arial" w:eastAsia="Arial" w:hAnsi="Arial"/>
                <w:sz w:val="18"/>
                <w:szCs w:val="18"/>
                <w:b w:val="1"/>
                <w:bCs w:val="1"/>
                <w:color w:val="auto"/>
                <w:w w:val="94"/>
              </w:rPr>
              <w:t>Three Months Ended</w:t>
            </w: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636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rPr>
              <w:t>March 31,</w:t>
            </w:r>
          </w:p>
        </w:tc>
        <w:tc>
          <w:tcPr>
            <w:tcW w:w="14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6360" w:type="dxa"/>
            <w:vAlign w:val="bottom"/>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w w:val="99"/>
              </w:rPr>
              <w:t>2021</w:t>
            </w:r>
          </w:p>
        </w:tc>
        <w:tc>
          <w:tcPr>
            <w:tcW w:w="280" w:type="dxa"/>
            <w:vAlign w:val="bottom"/>
          </w:tcPr>
          <w:p>
            <w:pPr>
              <w:spacing w:after="0"/>
              <w:rPr>
                <w:sz w:val="18"/>
                <w:szCs w:val="18"/>
                <w:color w:val="auto"/>
              </w:rPr>
            </w:pPr>
          </w:p>
        </w:tc>
      </w:tr>
      <w:tr>
        <w:trPr>
          <w:trHeight w:val="223"/>
        </w:trPr>
        <w:tc>
          <w:tcPr>
            <w:tcW w:w="6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60" w:type="dxa"/>
            <w:vAlign w:val="bottom"/>
            <w:gridSpan w:val="3"/>
          </w:tcPr>
          <w:p>
            <w:pPr>
              <w:ind w:left="580"/>
              <w:spacing w:after="0"/>
              <w:rPr>
                <w:sz w:val="20"/>
                <w:szCs w:val="20"/>
                <w:color w:val="auto"/>
              </w:rPr>
            </w:pPr>
            <w:r>
              <w:rPr>
                <w:rFonts w:ascii="Arial" w:cs="Arial" w:eastAsia="Arial" w:hAnsi="Arial"/>
                <w:sz w:val="18"/>
                <w:szCs w:val="18"/>
                <w:b w:val="1"/>
                <w:bCs w:val="1"/>
                <w:i w:val="1"/>
                <w:iCs w:val="1"/>
                <w:color w:val="auto"/>
              </w:rPr>
              <w:t>(in thousands)</w:t>
            </w: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320" w:type="dxa"/>
            <w:vAlign w:val="bottom"/>
            <w:shd w:val="clear" w:color="auto" w:fill="CFF0FC"/>
          </w:tcPr>
          <w:p>
            <w:pPr>
              <w:jc w:val="right"/>
              <w:ind w:right="11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120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CFF0FC"/>
          </w:tcPr>
          <w:p>
            <w:pPr>
              <w:spacing w:after="0"/>
              <w:rPr>
                <w:sz w:val="19"/>
                <w:szCs w:val="19"/>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4,284</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910</w:t>
            </w:r>
          </w:p>
        </w:tc>
        <w:tc>
          <w:tcPr>
            <w:tcW w:w="280" w:type="dxa"/>
            <w:vAlign w:val="bottom"/>
          </w:tcPr>
          <w:p>
            <w:pPr>
              <w:spacing w:after="0"/>
              <w:rPr>
                <w:sz w:val="19"/>
                <w:szCs w:val="19"/>
                <w:color w:val="auto"/>
              </w:rPr>
            </w:pPr>
          </w:p>
        </w:tc>
      </w:tr>
      <w:tr>
        <w:trPr>
          <w:trHeight w:val="229"/>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13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280" w:type="dxa"/>
            <w:vAlign w:val="bottom"/>
            <w:shd w:val="clear" w:color="auto" w:fill="CFF0FC"/>
          </w:tcPr>
          <w:p>
            <w:pPr>
              <w:spacing w:after="0"/>
              <w:rPr>
                <w:sz w:val="19"/>
                <w:szCs w:val="19"/>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5,057</w:t>
            </w:r>
          </w:p>
        </w:tc>
        <w:tc>
          <w:tcPr>
            <w:tcW w:w="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280" w:type="dxa"/>
            <w:vAlign w:val="bottom"/>
          </w:tcPr>
          <w:p>
            <w:pPr>
              <w:spacing w:after="0"/>
              <w:rPr>
                <w:sz w:val="18"/>
                <w:szCs w:val="18"/>
                <w:color w:val="auto"/>
              </w:rPr>
            </w:pPr>
          </w:p>
        </w:tc>
      </w:tr>
      <w:tr>
        <w:trPr>
          <w:trHeight w:val="209"/>
        </w:trPr>
        <w:tc>
          <w:tcPr>
            <w:tcW w:w="6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1320" w:type="dxa"/>
            <w:vAlign w:val="bottom"/>
            <w:tcBorders>
              <w:bottom w:val="single" w:sz="8" w:color="auto"/>
            </w:tcBorders>
            <w:shd w:val="clear" w:color="auto" w:fill="CFF0FC"/>
          </w:tcPr>
          <w:p>
            <w:pPr>
              <w:jc w:val="right"/>
              <w:ind w:right="11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13,503</w:t>
            </w: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2,577</w:t>
            </w:r>
          </w:p>
        </w:tc>
        <w:tc>
          <w:tcPr>
            <w:tcW w:w="2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-5080</wp:posOffset>
            </wp:positionV>
            <wp:extent cx="431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-5080</wp:posOffset>
            </wp:positionV>
            <wp:extent cx="4318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The following table sets forth the components of our condensed consolidated statements of operations data, for each of the periods presented, as a percentage of revenue.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60" w:type="dxa"/>
            <w:vAlign w:val="bottom"/>
            <w:gridSpan w:val="3"/>
          </w:tcPr>
          <w:p>
            <w:pPr>
              <w:jc w:val="center"/>
              <w:ind w:right="129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3"/>
          </w:tcPr>
          <w:p>
            <w:pPr>
              <w:jc w:val="center"/>
              <w:ind w:right="1290"/>
              <w:spacing w:after="0"/>
              <w:rPr>
                <w:sz w:val="20"/>
                <w:szCs w:val="20"/>
                <w:color w:val="auto"/>
              </w:rPr>
            </w:pPr>
            <w:r>
              <w:rPr>
                <w:rFonts w:ascii="Arial" w:cs="Arial" w:eastAsia="Arial" w:hAnsi="Arial"/>
                <w:sz w:val="18"/>
                <w:szCs w:val="18"/>
                <w:b w:val="1"/>
                <w:bCs w:val="1"/>
                <w:color w:val="auto"/>
                <w:w w:val="96"/>
              </w:rPr>
              <w:t>March 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1380" w:type="dxa"/>
            <w:vAlign w:val="bottom"/>
          </w:tcPr>
          <w:p>
            <w:pPr>
              <w:jc w:val="center"/>
              <w:ind w:left="570"/>
              <w:spacing w:after="0" w:line="196" w:lineRule="exact"/>
              <w:rPr>
                <w:sz w:val="20"/>
                <w:szCs w:val="20"/>
                <w:color w:val="auto"/>
              </w:rPr>
            </w:pPr>
            <w:r>
              <w:rPr>
                <w:rFonts w:ascii="Arial" w:cs="Arial" w:eastAsia="Arial" w:hAnsi="Arial"/>
                <w:sz w:val="18"/>
                <w:szCs w:val="18"/>
                <w:b w:val="1"/>
                <w:bCs w:val="1"/>
                <w:color w:val="auto"/>
                <w:w w:val="89"/>
              </w:rPr>
              <w:t>2022</w:t>
            </w:r>
          </w:p>
        </w:tc>
        <w:tc>
          <w:tcPr>
            <w:tcW w:w="3260" w:type="dxa"/>
            <w:vAlign w:val="bottom"/>
            <w:gridSpan w:val="3"/>
          </w:tcPr>
          <w:p>
            <w:pPr>
              <w:jc w:val="center"/>
              <w:ind w:left="770"/>
              <w:spacing w:after="0" w:line="196" w:lineRule="exact"/>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1380" w:type="dxa"/>
            <w:vAlign w:val="bottom"/>
            <w:tcBorders>
              <w:top w:val="single" w:sz="8" w:color="auto"/>
            </w:tcBorders>
            <w:shd w:val="clear" w:color="auto" w:fill="CFF0FC"/>
          </w:tcPr>
          <w:p>
            <w:pPr>
              <w:jc w:val="center"/>
              <w:ind w:left="550"/>
              <w:spacing w:after="0" w:line="196" w:lineRule="exact"/>
              <w:rPr>
                <w:sz w:val="20"/>
                <w:szCs w:val="20"/>
                <w:color w:val="auto"/>
              </w:rPr>
            </w:pPr>
            <w:r>
              <w:rPr>
                <w:rFonts w:ascii="Arial" w:cs="Arial" w:eastAsia="Arial" w:hAnsi="Arial"/>
                <w:sz w:val="18"/>
                <w:szCs w:val="18"/>
                <w:color w:val="auto"/>
                <w:w w:val="91"/>
              </w:rPr>
              <w:t>100%</w:t>
            </w: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38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100%</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380" w:type="dxa"/>
            <w:vAlign w:val="bottom"/>
          </w:tcPr>
          <w:p>
            <w:pPr>
              <w:jc w:val="center"/>
              <w:ind w:left="570"/>
              <w:spacing w:after="0" w:line="202" w:lineRule="exact"/>
              <w:rPr>
                <w:sz w:val="20"/>
                <w:szCs w:val="20"/>
                <w:color w:val="auto"/>
              </w:rPr>
            </w:pPr>
            <w:r>
              <w:rPr>
                <w:rFonts w:ascii="Arial" w:cs="Arial" w:eastAsia="Arial" w:hAnsi="Arial"/>
                <w:sz w:val="18"/>
                <w:szCs w:val="18"/>
                <w:color w:val="auto"/>
                <w:w w:val="88"/>
              </w:rPr>
              <w:t>30%</w:t>
            </w:r>
          </w:p>
        </w:tc>
        <w:tc>
          <w:tcPr>
            <w:tcW w:w="3260" w:type="dxa"/>
            <w:vAlign w:val="bottom"/>
            <w:gridSpan w:val="3"/>
          </w:tcPr>
          <w:p>
            <w:pPr>
              <w:jc w:val="center"/>
              <w:ind w:left="790"/>
              <w:spacing w:after="0" w:line="202" w:lineRule="exact"/>
              <w:rPr>
                <w:sz w:val="20"/>
                <w:szCs w:val="20"/>
                <w:color w:val="auto"/>
              </w:rPr>
            </w:pPr>
            <w:r>
              <w:rPr>
                <w:rFonts w:ascii="Arial" w:cs="Arial" w:eastAsia="Arial" w:hAnsi="Arial"/>
                <w:sz w:val="18"/>
                <w:szCs w:val="18"/>
                <w:color w:val="auto"/>
                <w:w w:val="94"/>
              </w:rPr>
              <w:t>31%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Gross margin</w:t>
            </w:r>
          </w:p>
        </w:tc>
        <w:tc>
          <w:tcPr>
            <w:tcW w:w="1380" w:type="dxa"/>
            <w:vAlign w:val="bottom"/>
            <w:tcBorders>
              <w:top w:val="single" w:sz="8" w:color="auto"/>
              <w:bottom w:val="single" w:sz="8" w:color="auto"/>
            </w:tcBorders>
            <w:shd w:val="clear" w:color="auto" w:fill="CFF0FC"/>
          </w:tcPr>
          <w:p>
            <w:pPr>
              <w:jc w:val="center"/>
              <w:ind w:left="570"/>
              <w:spacing w:after="0" w:line="196" w:lineRule="exact"/>
              <w:rPr>
                <w:sz w:val="20"/>
                <w:szCs w:val="20"/>
                <w:color w:val="auto"/>
              </w:rPr>
            </w:pPr>
            <w:r>
              <w:rPr>
                <w:rFonts w:ascii="Arial" w:cs="Arial" w:eastAsia="Arial" w:hAnsi="Arial"/>
                <w:sz w:val="18"/>
                <w:szCs w:val="18"/>
                <w:color w:val="auto"/>
                <w:w w:val="88"/>
              </w:rPr>
              <w:t>70%</w:t>
            </w:r>
          </w:p>
        </w:tc>
        <w:tc>
          <w:tcPr>
            <w:tcW w:w="660" w:type="dxa"/>
            <w:vAlign w:val="bottom"/>
            <w:tcBorders>
              <w:top w:val="single" w:sz="8" w:color="auto"/>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380" w:type="dxa"/>
            <w:vAlign w:val="bottom"/>
            <w:tcBorders>
              <w:top w:val="single" w:sz="8" w:color="auto"/>
              <w:bottom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4"/>
              </w:rPr>
              <w:t>69%</w:t>
            </w:r>
          </w:p>
        </w:tc>
        <w:tc>
          <w:tcPr>
            <w:tcW w:w="2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380" w:type="dxa"/>
            <w:vAlign w:val="bottom"/>
            <w:shd w:val="clear" w:color="auto" w:fill="CFF0FC"/>
          </w:tcPr>
          <w:p>
            <w:pPr>
              <w:jc w:val="center"/>
              <w:ind w:left="570"/>
              <w:spacing w:after="0" w:line="202" w:lineRule="exact"/>
              <w:rPr>
                <w:sz w:val="20"/>
                <w:szCs w:val="20"/>
                <w:color w:val="auto"/>
              </w:rPr>
            </w:pPr>
            <w:r>
              <w:rPr>
                <w:rFonts w:ascii="Arial" w:cs="Arial" w:eastAsia="Arial" w:hAnsi="Arial"/>
                <w:sz w:val="18"/>
                <w:szCs w:val="18"/>
                <w:color w:val="auto"/>
                <w:w w:val="88"/>
              </w:rPr>
              <w:t>31%</w:t>
            </w:r>
          </w:p>
        </w:tc>
        <w:tc>
          <w:tcPr>
            <w:tcW w:w="3260" w:type="dxa"/>
            <w:vAlign w:val="bottom"/>
            <w:gridSpan w:val="3"/>
            <w:shd w:val="clear" w:color="auto" w:fill="CFF0FC"/>
          </w:tcPr>
          <w:p>
            <w:pPr>
              <w:jc w:val="center"/>
              <w:ind w:left="790"/>
              <w:spacing w:after="0" w:line="202" w:lineRule="exact"/>
              <w:rPr>
                <w:sz w:val="20"/>
                <w:szCs w:val="20"/>
                <w:color w:val="auto"/>
              </w:rPr>
            </w:pPr>
            <w:r>
              <w:rPr>
                <w:rFonts w:ascii="Arial" w:cs="Arial" w:eastAsia="Arial" w:hAnsi="Arial"/>
                <w:sz w:val="18"/>
                <w:szCs w:val="18"/>
                <w:color w:val="auto"/>
                <w:w w:val="94"/>
              </w:rPr>
              <w:t>21%</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1380" w:type="dxa"/>
            <w:vAlign w:val="bottom"/>
          </w:tcPr>
          <w:p>
            <w:pPr>
              <w:jc w:val="center"/>
              <w:ind w:left="570"/>
              <w:spacing w:after="0" w:line="202" w:lineRule="exact"/>
              <w:rPr>
                <w:sz w:val="20"/>
                <w:szCs w:val="20"/>
                <w:color w:val="auto"/>
              </w:rPr>
            </w:pPr>
            <w:r>
              <w:rPr>
                <w:rFonts w:ascii="Arial" w:cs="Arial" w:eastAsia="Arial" w:hAnsi="Arial"/>
                <w:sz w:val="18"/>
                <w:szCs w:val="18"/>
                <w:color w:val="auto"/>
                <w:w w:val="88"/>
              </w:rPr>
              <w:t>53%</w:t>
            </w:r>
          </w:p>
        </w:tc>
        <w:tc>
          <w:tcPr>
            <w:tcW w:w="3260" w:type="dxa"/>
            <w:vAlign w:val="bottom"/>
            <w:gridSpan w:val="3"/>
          </w:tcPr>
          <w:p>
            <w:pPr>
              <w:jc w:val="center"/>
              <w:ind w:left="790"/>
              <w:spacing w:after="0" w:line="202" w:lineRule="exact"/>
              <w:rPr>
                <w:sz w:val="20"/>
                <w:szCs w:val="20"/>
                <w:color w:val="auto"/>
              </w:rPr>
            </w:pPr>
            <w:r>
              <w:rPr>
                <w:rFonts w:ascii="Arial" w:cs="Arial" w:eastAsia="Arial" w:hAnsi="Arial"/>
                <w:sz w:val="18"/>
                <w:szCs w:val="18"/>
                <w:color w:val="auto"/>
                <w:w w:val="94"/>
              </w:rPr>
              <w:t>51%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380" w:type="dxa"/>
            <w:vAlign w:val="bottom"/>
            <w:tcBorders>
              <w:bottom w:val="single" w:sz="8" w:color="auto"/>
            </w:tcBorders>
            <w:shd w:val="clear" w:color="auto" w:fill="CFF0FC"/>
          </w:tcPr>
          <w:p>
            <w:pPr>
              <w:jc w:val="center"/>
              <w:ind w:left="570"/>
              <w:spacing w:after="0" w:line="202" w:lineRule="exact"/>
              <w:rPr>
                <w:sz w:val="20"/>
                <w:szCs w:val="20"/>
                <w:color w:val="auto"/>
              </w:rPr>
            </w:pPr>
            <w:r>
              <w:rPr>
                <w:rFonts w:ascii="Arial" w:cs="Arial" w:eastAsia="Arial" w:hAnsi="Arial"/>
                <w:sz w:val="18"/>
                <w:szCs w:val="18"/>
                <w:color w:val="auto"/>
                <w:w w:val="88"/>
              </w:rPr>
              <w:t>27%</w:t>
            </w:r>
          </w:p>
        </w:tc>
        <w:tc>
          <w:tcPr>
            <w:tcW w:w="66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380" w:type="dxa"/>
            <w:vAlign w:val="bottom"/>
            <w:tcBorders>
              <w:bottom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94"/>
              </w:rPr>
              <w:t>16%</w:t>
            </w:r>
          </w:p>
        </w:tc>
        <w:tc>
          <w:tcPr>
            <w:tcW w:w="2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tcPr>
          <w:p>
            <w:pPr>
              <w:ind w:left="520"/>
              <w:spacing w:after="0" w:line="196" w:lineRule="exact"/>
              <w:rPr>
                <w:sz w:val="20"/>
                <w:szCs w:val="20"/>
                <w:color w:val="auto"/>
              </w:rPr>
            </w:pPr>
            <w:r>
              <w:rPr>
                <w:rFonts w:ascii="Arial" w:cs="Arial" w:eastAsia="Arial" w:hAnsi="Arial"/>
                <w:sz w:val="18"/>
                <w:szCs w:val="18"/>
                <w:color w:val="auto"/>
              </w:rPr>
              <w:t>Total operating expenses</w:t>
            </w:r>
          </w:p>
        </w:tc>
        <w:tc>
          <w:tcPr>
            <w:tcW w:w="138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86"/>
              </w:rPr>
              <w:t>111%</w:t>
            </w:r>
          </w:p>
        </w:tc>
        <w:tc>
          <w:tcPr>
            <w:tcW w:w="3260" w:type="dxa"/>
            <w:vAlign w:val="bottom"/>
            <w:gridSpan w:val="3"/>
          </w:tcPr>
          <w:p>
            <w:pPr>
              <w:jc w:val="center"/>
              <w:ind w:left="790"/>
              <w:spacing w:after="0" w:line="196" w:lineRule="exact"/>
              <w:rPr>
                <w:sz w:val="20"/>
                <w:szCs w:val="20"/>
                <w:color w:val="auto"/>
              </w:rPr>
            </w:pPr>
            <w:r>
              <w:rPr>
                <w:rFonts w:ascii="Arial" w:cs="Arial" w:eastAsia="Arial" w:hAnsi="Arial"/>
                <w:sz w:val="18"/>
                <w:szCs w:val="18"/>
                <w:color w:val="auto"/>
                <w:w w:val="94"/>
              </w:rPr>
              <w:t>88%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380" w:type="dxa"/>
            <w:vAlign w:val="bottom"/>
            <w:tcBorders>
              <w:top w:val="single" w:sz="8" w:color="auto"/>
            </w:tcBorders>
            <w:shd w:val="clear" w:color="auto" w:fill="CFF0FC"/>
          </w:tcPr>
          <w:p>
            <w:pPr>
              <w:jc w:val="center"/>
              <w:ind w:left="570"/>
              <w:spacing w:after="0" w:line="196" w:lineRule="exact"/>
              <w:rPr>
                <w:sz w:val="20"/>
                <w:szCs w:val="20"/>
                <w:color w:val="auto"/>
              </w:rPr>
            </w:pPr>
            <w:r>
              <w:rPr>
                <w:rFonts w:ascii="Arial" w:cs="Arial" w:eastAsia="Arial" w:hAnsi="Arial"/>
                <w:sz w:val="18"/>
                <w:szCs w:val="18"/>
                <w:color w:val="auto"/>
                <w:w w:val="91"/>
              </w:rPr>
              <w:t>(41)%</w:t>
            </w: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38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5"/>
              </w:rPr>
              <w:t>(19)%</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1380" w:type="dxa"/>
            <w:vAlign w:val="bottom"/>
            <w:tcBorders>
              <w:bottom w:val="single" w:sz="8" w:color="auto"/>
            </w:tcBorders>
          </w:tcPr>
          <w:p>
            <w:pPr>
              <w:jc w:val="center"/>
              <w:ind w:left="570"/>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6380" w:type="dxa"/>
            <w:vAlign w:val="bottom"/>
            <w:shd w:val="clear" w:color="auto" w:fill="CFF0FC"/>
          </w:tcPr>
          <w:p>
            <w:pPr>
              <w:ind w:left="300"/>
              <w:spacing w:after="0" w:line="156" w:lineRule="exact"/>
              <w:rPr>
                <w:sz w:val="20"/>
                <w:szCs w:val="20"/>
                <w:color w:val="auto"/>
              </w:rPr>
            </w:pPr>
            <w:r>
              <w:rPr>
                <w:rFonts w:ascii="Arial" w:cs="Arial" w:eastAsia="Arial" w:hAnsi="Arial"/>
                <w:sz w:val="18"/>
                <w:szCs w:val="18"/>
                <w:color w:val="auto"/>
              </w:rPr>
              <w:t>Loss before provision for income</w:t>
            </w:r>
          </w:p>
        </w:tc>
        <w:tc>
          <w:tcPr>
            <w:tcW w:w="1380" w:type="dxa"/>
            <w:vAlign w:val="bottom"/>
            <w:vMerge w:val="restart"/>
            <w:shd w:val="clear" w:color="auto" w:fill="CFF0FC"/>
          </w:tcPr>
          <w:p>
            <w:pPr>
              <w:jc w:val="center"/>
              <w:ind w:left="570"/>
              <w:spacing w:after="0"/>
              <w:rPr>
                <w:sz w:val="20"/>
                <w:szCs w:val="20"/>
                <w:color w:val="auto"/>
              </w:rPr>
            </w:pPr>
            <w:r>
              <w:rPr>
                <w:rFonts w:ascii="Arial" w:cs="Arial" w:eastAsia="Arial" w:hAnsi="Arial"/>
                <w:sz w:val="18"/>
                <w:szCs w:val="18"/>
                <w:color w:val="auto"/>
                <w:w w:val="91"/>
              </w:rPr>
              <w:t>(41)%</w:t>
            </w:r>
          </w:p>
        </w:tc>
        <w:tc>
          <w:tcPr>
            <w:tcW w:w="3260" w:type="dxa"/>
            <w:vAlign w:val="bottom"/>
            <w:gridSpan w:val="3"/>
            <w:vMerge w:val="restart"/>
            <w:shd w:val="clear" w:color="auto" w:fill="CFF0FC"/>
          </w:tcPr>
          <w:p>
            <w:pPr>
              <w:jc w:val="center"/>
              <w:ind w:left="790"/>
              <w:spacing w:after="0"/>
              <w:rPr>
                <w:sz w:val="20"/>
                <w:szCs w:val="20"/>
                <w:color w:val="auto"/>
              </w:rPr>
            </w:pPr>
            <w:r>
              <w:rPr>
                <w:rFonts w:ascii="Arial" w:cs="Arial" w:eastAsia="Arial" w:hAnsi="Arial"/>
                <w:sz w:val="18"/>
                <w:szCs w:val="18"/>
                <w:color w:val="auto"/>
                <w:w w:val="95"/>
              </w:rPr>
              <w:t>(19)%</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taxes</w:t>
            </w:r>
          </w:p>
        </w:tc>
        <w:tc>
          <w:tcPr>
            <w:tcW w:w="1380" w:type="dxa"/>
            <w:vAlign w:val="bottom"/>
            <w:vMerge w:val="continue"/>
            <w:shd w:val="clear" w:color="auto" w:fill="CFF0FC"/>
          </w:tcPr>
          <w:p>
            <w:pPr>
              <w:spacing w:after="0"/>
              <w:rPr>
                <w:sz w:val="18"/>
                <w:szCs w:val="18"/>
                <w:color w:val="auto"/>
              </w:rPr>
            </w:pPr>
          </w:p>
        </w:tc>
        <w:tc>
          <w:tcPr>
            <w:tcW w:w="3260" w:type="dxa"/>
            <w:vAlign w:val="bottom"/>
            <w:gridSpan w:val="3"/>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380" w:type="dxa"/>
            <w:vAlign w:val="bottom"/>
          </w:tcPr>
          <w:p>
            <w:pPr>
              <w:jc w:val="center"/>
              <w:ind w:left="570"/>
              <w:spacing w:after="0" w:line="202" w:lineRule="exact"/>
              <w:rPr>
                <w:sz w:val="20"/>
                <w:szCs w:val="20"/>
                <w:color w:val="auto"/>
              </w:rPr>
            </w:pPr>
            <w:r>
              <w:rPr>
                <w:rFonts w:ascii="Arial" w:cs="Arial" w:eastAsia="Arial" w:hAnsi="Arial"/>
                <w:sz w:val="18"/>
                <w:szCs w:val="18"/>
                <w:color w:val="auto"/>
              </w:rPr>
              <w:t>*</w:t>
            </w:r>
          </w:p>
        </w:tc>
        <w:tc>
          <w:tcPr>
            <w:tcW w:w="3260" w:type="dxa"/>
            <w:vAlign w:val="bottom"/>
            <w:gridSpan w:val="3"/>
          </w:tcPr>
          <w:p>
            <w:pPr>
              <w:jc w:val="center"/>
              <w:ind w:left="770"/>
              <w:spacing w:after="0" w:line="202" w:lineRule="exact"/>
              <w:rPr>
                <w:sz w:val="20"/>
                <w:szCs w:val="20"/>
                <w:color w:val="auto"/>
              </w:rPr>
            </w:pPr>
            <w:r>
              <w:rPr>
                <w:rFonts w:ascii="Arial" w:cs="Arial" w:eastAsia="Arial" w:hAnsi="Arial"/>
                <w:sz w:val="18"/>
                <w:szCs w:val="18"/>
                <w:color w:val="auto"/>
                <w:w w:val="92"/>
              </w:rPr>
              <w:t>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1380" w:type="dxa"/>
            <w:vAlign w:val="bottom"/>
            <w:tcBorders>
              <w:top w:val="single" w:sz="8" w:color="auto"/>
            </w:tcBorders>
            <w:shd w:val="clear" w:color="auto" w:fill="CFF0FC"/>
          </w:tcPr>
          <w:p>
            <w:pPr>
              <w:jc w:val="center"/>
              <w:ind w:left="570"/>
              <w:spacing w:after="0" w:line="196" w:lineRule="exact"/>
              <w:rPr>
                <w:sz w:val="20"/>
                <w:szCs w:val="20"/>
                <w:color w:val="auto"/>
              </w:rPr>
            </w:pPr>
            <w:r>
              <w:rPr>
                <w:rFonts w:ascii="Arial" w:cs="Arial" w:eastAsia="Arial" w:hAnsi="Arial"/>
                <w:sz w:val="18"/>
                <w:szCs w:val="18"/>
                <w:color w:val="auto"/>
                <w:w w:val="91"/>
              </w:rPr>
              <w:t>(42)%</w:t>
            </w: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38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5"/>
              </w:rPr>
              <w:t>(19)%</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-1436370</wp:posOffset>
            </wp:positionV>
            <wp:extent cx="13716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-1436370</wp:posOffset>
            </wp:positionV>
            <wp:extent cx="13716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-913765</wp:posOffset>
            </wp:positionV>
            <wp:extent cx="13716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-913765</wp:posOffset>
            </wp:positionV>
            <wp:extent cx="13716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23742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45" w:lineRule="exact"/>
        <w:rPr>
          <w:sz w:val="20"/>
          <w:szCs w:val="20"/>
          <w:color w:val="auto"/>
        </w:rPr>
      </w:pPr>
    </w:p>
    <w:p>
      <w:pPr>
        <w:ind w:left="300" w:hanging="292"/>
        <w:spacing w:after="0"/>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Note: Certain figures may not sum due to rounding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 w:name="page30"/>
    <w:bookmarkEnd w:id="29"/>
    <w:p>
      <w:pPr>
        <w:ind w:right="4260"/>
        <w:spacing w:after="0" w:line="387" w:lineRule="auto"/>
        <w:rPr>
          <w:sz w:val="20"/>
          <w:szCs w:val="20"/>
          <w:color w:val="auto"/>
        </w:rPr>
      </w:pPr>
      <w:r>
        <w:rPr>
          <w:rFonts w:ascii="Arial" w:cs="Arial" w:eastAsia="Arial" w:hAnsi="Arial"/>
          <w:sz w:val="18"/>
          <w:szCs w:val="18"/>
          <w:b w:val="1"/>
          <w:bCs w:val="1"/>
          <w:i w:val="1"/>
          <w:iCs w:val="1"/>
          <w:color w:val="auto"/>
        </w:rPr>
        <w:t xml:space="preserve">Comparison of Three Months Ended March 31, 2022 to Three Months Ended March 31, 2021 </w:t>
      </w:r>
      <w:r>
        <w:rPr>
          <w:rFonts w:ascii="Arial" w:cs="Arial" w:eastAsia="Arial" w:hAnsi="Arial"/>
          <w:sz w:val="18"/>
          <w:szCs w:val="18"/>
          <w:i w:val="1"/>
          <w:iCs w:val="1"/>
          <w:color w:val="auto"/>
        </w:rPr>
        <w:t>Revenue</w:t>
      </w:r>
    </w:p>
    <w:p>
      <w:pPr>
        <w:spacing w:after="0" w:line="73" w:lineRule="exact"/>
        <w:rPr>
          <w:sz w:val="20"/>
          <w:szCs w:val="20"/>
          <w:color w:val="auto"/>
        </w:rPr>
      </w:pPr>
    </w:p>
    <w:p>
      <w:pPr>
        <w:jc w:val="center"/>
        <w:ind w:left="1340"/>
        <w:spacing w:after="0"/>
        <w:rPr>
          <w:sz w:val="20"/>
          <w:szCs w:val="20"/>
          <w:color w:val="auto"/>
        </w:rPr>
      </w:pPr>
      <w:r>
        <w:rPr>
          <w:rFonts w:ascii="Arial" w:cs="Arial" w:eastAsia="Arial" w:hAnsi="Arial"/>
          <w:sz w:val="18"/>
          <w:szCs w:val="18"/>
          <w:b w:val="1"/>
          <w:bCs w:val="1"/>
          <w:color w:val="auto"/>
        </w:rPr>
        <w:t>Three Months Ended</w:t>
      </w:r>
    </w:p>
    <w:p>
      <w:pPr>
        <w:jc w:val="center"/>
        <w:ind w:left="1340"/>
        <w:spacing w:after="0" w:line="232" w:lineRule="auto"/>
        <w:rPr>
          <w:sz w:val="20"/>
          <w:szCs w:val="20"/>
          <w:color w:val="auto"/>
        </w:rPr>
      </w:pPr>
      <w:r>
        <w:rPr>
          <w:rFonts w:ascii="Arial" w:cs="Arial" w:eastAsia="Arial" w:hAnsi="Arial"/>
          <w:sz w:val="18"/>
          <w:szCs w:val="18"/>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23"/>
        </w:trPr>
        <w:tc>
          <w:tcPr>
            <w:tcW w:w="4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00" w:type="dxa"/>
            <w:vAlign w:val="bottom"/>
            <w:gridSpan w:val="4"/>
          </w:tcPr>
          <w:p>
            <w:pPr>
              <w:jc w:val="right"/>
              <w:ind w:right="170"/>
              <w:spacing w:after="0"/>
              <w:rPr>
                <w:sz w:val="20"/>
                <w:szCs w:val="20"/>
                <w:color w:val="auto"/>
              </w:rPr>
            </w:pPr>
            <w:r>
              <w:rPr>
                <w:rFonts w:ascii="Arial" w:cs="Arial" w:eastAsia="Arial" w:hAnsi="Arial"/>
                <w:sz w:val="18"/>
                <w:szCs w:val="18"/>
                <w:b w:val="1"/>
                <w:bCs w:val="1"/>
                <w:i w:val="1"/>
                <w:iCs w:val="1"/>
                <w:color w:val="auto"/>
                <w:w w:val="86"/>
              </w:rPr>
              <w:t>(in thousands, except percentages)</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53,065</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33,110</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19,955</w:t>
            </w:r>
          </w:p>
        </w:tc>
        <w:tc>
          <w:tcPr>
            <w:tcW w:w="1720" w:type="dxa"/>
            <w:vAlign w:val="bottom"/>
            <w:gridSpan w:val="2"/>
            <w:shd w:val="clear" w:color="auto" w:fill="CFF0FC"/>
          </w:tcPr>
          <w:p>
            <w:pPr>
              <w:jc w:val="right"/>
              <w:ind w:right="490"/>
              <w:spacing w:after="0"/>
              <w:rPr>
                <w:sz w:val="20"/>
                <w:szCs w:val="20"/>
                <w:color w:val="auto"/>
              </w:rPr>
            </w:pPr>
            <w:r>
              <w:rPr>
                <w:rFonts w:ascii="Arial" w:cs="Arial" w:eastAsia="Arial" w:hAnsi="Arial"/>
                <w:sz w:val="18"/>
                <w:szCs w:val="18"/>
                <w:color w:val="auto"/>
              </w:rPr>
              <w:t>60%</w:t>
            </w:r>
          </w:p>
        </w:tc>
      </w:tr>
    </w:tbl>
    <w:p>
      <w:pPr>
        <w:spacing w:after="0" w:line="229"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Revenue increased $20.0 million, or 60%, during the three months ended March 31, 2022 compared to the three months ended March 31, 2021. The increase in revenue was primarily due to growth of our paying customer base of 49% and revenue generated from our existing paying customers as reflected by our dollar-based net retention of 126% as of March 31, 2022.</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i w:val="1"/>
                <w:iCs w:val="1"/>
                <w:color w:val="auto"/>
              </w:rPr>
              <w:t>Cost of Revenue and Gross Margin</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93"/>
              </w:rPr>
              <w:t>March 31,</w:t>
            </w:r>
          </w:p>
        </w:tc>
        <w:tc>
          <w:tcPr>
            <w:tcW w:w="106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88"/>
              </w:rPr>
              <w:t>$ Change</w:t>
            </w:r>
          </w:p>
        </w:tc>
        <w:tc>
          <w:tcPr>
            <w:tcW w:w="220" w:type="dxa"/>
            <w:vAlign w:val="bottom"/>
          </w:tcPr>
          <w:p>
            <w:pPr>
              <w:spacing w:after="0"/>
              <w:rPr>
                <w:sz w:val="18"/>
                <w:szCs w:val="18"/>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60" w:type="dxa"/>
            <w:vAlign w:val="bottom"/>
            <w:gridSpan w:val="4"/>
          </w:tcPr>
          <w:p>
            <w:pPr>
              <w:jc w:val="right"/>
              <w:ind w:right="150"/>
              <w:spacing w:after="0"/>
              <w:rPr>
                <w:sz w:val="20"/>
                <w:szCs w:val="20"/>
                <w:color w:val="auto"/>
              </w:rPr>
            </w:pPr>
            <w:r>
              <w:rPr>
                <w:rFonts w:ascii="Arial" w:cs="Arial" w:eastAsia="Arial" w:hAnsi="Arial"/>
                <w:sz w:val="18"/>
                <w:szCs w:val="18"/>
                <w:b w:val="1"/>
                <w:bCs w:val="1"/>
                <w:i w:val="1"/>
                <w:iCs w:val="1"/>
                <w:color w:val="auto"/>
                <w:w w:val="86"/>
              </w:rPr>
              <w:t>(in thousands, except percentages)</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16,063</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10,255</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5,808</w:t>
            </w:r>
          </w:p>
        </w:tc>
        <w:tc>
          <w:tcPr>
            <w:tcW w:w="172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4"/>
              </w:rPr>
              <w:t>57%</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70 %</w:t>
            </w:r>
          </w:p>
        </w:tc>
        <w:tc>
          <w:tcPr>
            <w:tcW w:w="2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69 %</w:t>
            </w:r>
          </w:p>
        </w:tc>
        <w:tc>
          <w:tcPr>
            <w:tcW w:w="220" w:type="dxa"/>
            <w:vAlign w:val="bottom"/>
          </w:tcPr>
          <w:p>
            <w:pPr>
              <w:spacing w:after="0"/>
              <w:rPr>
                <w:sz w:val="21"/>
                <w:szCs w:val="21"/>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Cost of revenue increased $5.8 million, or 57%, during the three months ended March 31, 2022 compared to the three months ended March 31, 2021. The increase was primarily due to an increase of $3.2 million in third-party hosting costs as we increased capacity to support paying customer usage and growth of our paying customer base and $2.2 million in personnel and related expenses directly associated with an increase in headcount, including an increase in allocated overhead costs.</w:t>
      </w:r>
    </w:p>
    <w:p>
      <w:pPr>
        <w:spacing w:after="0" w:line="188"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Our gross margin increased during the three months ended March 31, 2022 compared to the three months ended March 31, 2021 mainly due to a decrease in our third-party hosting costs as a percentage of 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740" w:type="dxa"/>
            <w:vAlign w:val="bottom"/>
          </w:tcPr>
          <w:p>
            <w:pPr>
              <w:spacing w:after="0"/>
              <w:rPr>
                <w:sz w:val="24"/>
                <w:szCs w:val="24"/>
                <w:color w:val="auto"/>
              </w:rPr>
            </w:pPr>
          </w:p>
        </w:tc>
        <w:tc>
          <w:tcPr>
            <w:tcW w:w="26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March 31,</w:t>
            </w:r>
          </w:p>
        </w:tc>
        <w:tc>
          <w:tcPr>
            <w:tcW w:w="520" w:type="dxa"/>
            <w:vAlign w:val="bottom"/>
            <w:tcBorders>
              <w:bottom w:val="single" w:sz="8" w:color="auto"/>
            </w:tcBorders>
          </w:tcPr>
          <w:p>
            <w:pPr>
              <w:spacing w:after="0"/>
              <w:rPr>
                <w:sz w:val="18"/>
                <w:szCs w:val="18"/>
                <w:color w:val="auto"/>
              </w:rPr>
            </w:pPr>
          </w:p>
        </w:tc>
        <w:tc>
          <w:tcPr>
            <w:tcW w:w="240" w:type="dxa"/>
            <w:vAlign w:val="bottom"/>
            <w:vMerge w:val="restart"/>
          </w:tcPr>
          <w:p>
            <w:pPr>
              <w:spacing w:after="0"/>
              <w:rPr>
                <w:sz w:val="18"/>
                <w:szCs w:val="18"/>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Pr>
          <w:p>
            <w:pPr>
              <w:spacing w:after="0"/>
              <w:rPr>
                <w:sz w:val="18"/>
                <w:szCs w:val="18"/>
                <w:color w:val="auto"/>
              </w:rPr>
            </w:pPr>
          </w:p>
        </w:tc>
        <w:tc>
          <w:tcPr>
            <w:tcW w:w="150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240" w:type="dxa"/>
            <w:vAlign w:val="bottom"/>
            <w:vMerge w:val="continue"/>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80" w:type="dxa"/>
            <w:vAlign w:val="bottom"/>
            <w:gridSpan w:val="5"/>
          </w:tcPr>
          <w:p>
            <w:pPr>
              <w:jc w:val="right"/>
              <w:ind w:right="170"/>
              <w:spacing w:after="0"/>
              <w:rPr>
                <w:sz w:val="20"/>
                <w:szCs w:val="20"/>
                <w:color w:val="auto"/>
              </w:rPr>
            </w:pPr>
            <w:r>
              <w:rPr>
                <w:rFonts w:ascii="Arial" w:cs="Arial" w:eastAsia="Arial" w:hAnsi="Arial"/>
                <w:sz w:val="18"/>
                <w:szCs w:val="18"/>
                <w:b w:val="1"/>
                <w:bCs w:val="1"/>
                <w:i w:val="1"/>
                <w:iCs w:val="1"/>
                <w:color w:val="auto"/>
                <w:w w:val="92"/>
              </w:rPr>
              <w:t>(in thousands, except percentages)</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16,501</w:t>
            </w:r>
          </w:p>
        </w:tc>
        <w:tc>
          <w:tcPr>
            <w:tcW w:w="1160" w:type="dxa"/>
            <w:vAlign w:val="bottom"/>
            <w:gridSpan w:val="2"/>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6,985</w:t>
            </w:r>
          </w:p>
        </w:tc>
        <w:tc>
          <w:tcPr>
            <w:tcW w:w="70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9,516</w:t>
            </w:r>
          </w:p>
        </w:tc>
        <w:tc>
          <w:tcPr>
            <w:tcW w:w="172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1"/>
              </w:rPr>
              <w:t>136%</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28,130</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16,770</w:t>
            </w:r>
          </w:p>
        </w:tc>
        <w:tc>
          <w:tcPr>
            <w:tcW w:w="7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11,360</w:t>
            </w:r>
          </w:p>
        </w:tc>
        <w:tc>
          <w:tcPr>
            <w:tcW w:w="172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68%</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14,362</w:t>
            </w: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5,249</w:t>
            </w:r>
          </w:p>
        </w:tc>
        <w:tc>
          <w:tcPr>
            <w:tcW w:w="2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9,113</w:t>
            </w:r>
          </w:p>
        </w:tc>
        <w:tc>
          <w:tcPr>
            <w:tcW w:w="1720" w:type="dxa"/>
            <w:vAlign w:val="bottom"/>
            <w:tcBorders>
              <w:bottom w:val="single" w:sz="8" w:color="CFF0FC"/>
            </w:tcBorders>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1"/>
              </w:rPr>
              <w:t>174%</w:t>
            </w: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58,993</w:t>
            </w:r>
          </w:p>
        </w:tc>
        <w:tc>
          <w:tcPr>
            <w:tcW w:w="260" w:type="dxa"/>
            <w:vAlign w:val="bottom"/>
          </w:tcPr>
          <w:p>
            <w:pPr>
              <w:spacing w:after="0"/>
              <w:rPr>
                <w:sz w:val="18"/>
                <w:szCs w:val="18"/>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29,004</w:t>
            </w:r>
          </w:p>
        </w:tc>
        <w:tc>
          <w:tcPr>
            <w:tcW w:w="24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29,989</w:t>
            </w:r>
          </w:p>
        </w:tc>
        <w:tc>
          <w:tcPr>
            <w:tcW w:w="17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-150495</wp:posOffset>
            </wp:positionV>
            <wp:extent cx="5143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-150495</wp:posOffset>
            </wp:positionV>
            <wp:extent cx="4254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-150495</wp:posOffset>
            </wp:positionV>
            <wp:extent cx="4318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04"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Research and development expenses increased $9.5 million, or 136%, during the three months ended March 31, 2022 compared to the three months ended March 31, 2021. The increase was primarily due to an increase of $3.5 million in stock-based compensation expenses and related payroll taxes as a result of increased headcount, increased value of stock-based awards, and additional expense due to the satisfaction of the performance-based vesting condition of certain equity awards upon the Direct Listing. This increase was also attributable to $5.7 million in personnel and related expenses directly associated with an increase in headcount, including an increase in allocated overhead costs.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Sales and Marketing</w:t>
      </w:r>
    </w:p>
    <w:p>
      <w:pPr>
        <w:spacing w:after="0" w:line="104"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Sales and marketing expenses increased $11.4 million, or 68%, during the three months ended March 31, 2022 compared to the three months ended March 31, 2021. The increase was primarily due to an increase of $7.9 million in personnel and related expenses directly associated with an increase in headcount, including an increase in allocated overhead costs. This increase was also attributable to $2.4 million in stock-based compensation expenses and related payroll taxes as a result of increased headcount, increased value of stock-based awards, and additional expense due to the satisfaction of the performance-based vesting condition of certain equity awards upon the Direct Listing. This increase was also attributable to an increase of $0.8 million related to expenses to support our marketing, lead generation and advertising programs.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0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General and administrative expenses increased $9.1 million, or 174%, during the three months ended March 31, 2022 compared to the three months ended March 31, 2021. The increase was primarily attributable to $4.5 million in stock-based compensation expenses and related payroll taxes as a result of increased headcount, increased value of stock-based awards, and additional expense due to the satisfaction of the performance-based vesting condition of certain equity awards upon the Direct Listing. This increase was also attributable to $1.5 million in personnel and related expenses directly associated with an increase in headcount, including an increase in allocated overhead costs. This increase was also attributable to an increase in corporate expenses of $1.4 million, primarily related to increased insurance costs and a $1.0 million increase in professional services attributable to increased fees related to audit and tax services that we incurred as a public company.</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i w:val="1"/>
                <w:iCs w:val="1"/>
                <w:color w:val="auto"/>
              </w:rPr>
              <w:t>Other Income (Expense), net</w:t>
            </w: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740" w:type="dxa"/>
            <w:vAlign w:val="bottom"/>
          </w:tcPr>
          <w:p>
            <w:pPr>
              <w:spacing w:after="0"/>
              <w:rPr>
                <w:sz w:val="24"/>
                <w:szCs w:val="24"/>
                <w:color w:val="auto"/>
              </w:rPr>
            </w:pPr>
          </w:p>
        </w:tc>
        <w:tc>
          <w:tcPr>
            <w:tcW w:w="27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2"/>
              </w:rPr>
              <w:t>Three Months Ended</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ind w:right="550"/>
              <w:spacing w:after="0"/>
              <w:rPr>
                <w:sz w:val="20"/>
                <w:szCs w:val="20"/>
                <w:color w:val="auto"/>
              </w:rPr>
            </w:pPr>
            <w:r>
              <w:rPr>
                <w:rFonts w:ascii="Arial" w:cs="Arial" w:eastAsia="Arial" w:hAnsi="Arial"/>
                <w:sz w:val="18"/>
                <w:szCs w:val="18"/>
                <w:b w:val="1"/>
                <w:bCs w:val="1"/>
                <w:color w:val="auto"/>
                <w:w w:val="93"/>
              </w:rPr>
              <w:t>March 31,</w:t>
            </w:r>
          </w:p>
        </w:tc>
        <w:tc>
          <w:tcPr>
            <w:tcW w:w="4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4"/>
          </w:tcPr>
          <w:p>
            <w:pPr>
              <w:jc w:val="right"/>
              <w:spacing w:after="0"/>
              <w:rPr>
                <w:sz w:val="20"/>
                <w:szCs w:val="20"/>
                <w:color w:val="auto"/>
              </w:rPr>
            </w:pPr>
            <w:r>
              <w:rPr>
                <w:rFonts w:ascii="Arial" w:cs="Arial" w:eastAsia="Arial" w:hAnsi="Arial"/>
                <w:sz w:val="18"/>
                <w:szCs w:val="18"/>
                <w:b w:val="1"/>
                <w:bCs w:val="1"/>
                <w:i w:val="1"/>
                <w:iCs w:val="1"/>
                <w:color w:val="auto"/>
                <w:w w:val="92"/>
              </w:rPr>
              <w:t>(in thousands, except percentages)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80" w:type="dxa"/>
            <w:vAlign w:val="bottom"/>
            <w:gridSpan w:val="2"/>
            <w:shd w:val="clear" w:color="auto" w:fill="CFF0FC"/>
          </w:tcPr>
          <w:p>
            <w:pPr>
              <w:jc w:val="right"/>
              <w:ind w:right="83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FF0FC"/>
          </w:tcPr>
          <w:p>
            <w:pPr>
              <w:jc w:val="right"/>
              <w:ind w:right="990"/>
              <w:spacing w:after="0"/>
              <w:rPr>
                <w:sz w:val="20"/>
                <w:szCs w:val="20"/>
                <w:color w:val="auto"/>
              </w:rPr>
            </w:pPr>
            <w:r>
              <w:rPr>
                <w:rFonts w:ascii="Arial" w:cs="Arial" w:eastAsia="Arial" w:hAnsi="Arial"/>
                <w:sz w:val="18"/>
                <w:szCs w:val="18"/>
                <w:color w:val="auto"/>
              </w:rPr>
              <w:t>(12 )  $</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98</w:t>
            </w:r>
          </w:p>
        </w:tc>
        <w:tc>
          <w:tcPr>
            <w:tcW w:w="174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Other income (expense), net increased $0.1 million, or 817%, during the three months ended March 31, 2022 compared to the three months ended March 31, 2021. The increase was primarily related to a $0.1 million increase in interest income resulting from a higher average cash and cash equivalents balance during the three months ended March 31, 2022 compared to the three months ended March 31, 2021.</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r>
              <w:rPr>
                <w:rFonts w:ascii="Arial" w:cs="Arial" w:eastAsia="Arial" w:hAnsi="Arial"/>
                <w:sz w:val="18"/>
                <w:szCs w:val="18"/>
                <w:i w:val="1"/>
                <w:iCs w:val="1"/>
                <w:color w:val="auto"/>
              </w:rPr>
              <w:t>Provision for Income Taxes</w:t>
            </w: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600" w:type="dxa"/>
            <w:vAlign w:val="bottom"/>
          </w:tcPr>
          <w:p>
            <w:pPr>
              <w:spacing w:after="0"/>
              <w:rPr>
                <w:sz w:val="24"/>
                <w:szCs w:val="24"/>
                <w:color w:val="auto"/>
              </w:rPr>
            </w:pPr>
          </w:p>
        </w:tc>
        <w:tc>
          <w:tcPr>
            <w:tcW w:w="288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center"/>
              <w:ind w:right="450"/>
              <w:spacing w:after="0"/>
              <w:rPr>
                <w:sz w:val="20"/>
                <w:szCs w:val="20"/>
                <w:color w:val="auto"/>
              </w:rPr>
            </w:pPr>
            <w:r>
              <w:rPr>
                <w:rFonts w:ascii="Arial" w:cs="Arial" w:eastAsia="Arial" w:hAnsi="Arial"/>
                <w:sz w:val="18"/>
                <w:szCs w:val="18"/>
                <w:b w:val="1"/>
                <w:bCs w:val="1"/>
                <w:color w:val="auto"/>
                <w:w w:val="96"/>
              </w:rPr>
              <w:t>March 31,</w:t>
            </w:r>
          </w:p>
        </w:tc>
        <w:tc>
          <w:tcPr>
            <w:tcW w:w="4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Change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4"/>
          </w:tcPr>
          <w:p>
            <w:pPr>
              <w:jc w:val="right"/>
              <w:ind w:right="10"/>
              <w:spacing w:after="0"/>
              <w:rPr>
                <w:sz w:val="20"/>
                <w:szCs w:val="20"/>
                <w:color w:val="auto"/>
              </w:rPr>
            </w:pPr>
            <w:r>
              <w:rPr>
                <w:rFonts w:ascii="Arial" w:cs="Arial" w:eastAsia="Arial" w:hAnsi="Arial"/>
                <w:sz w:val="18"/>
                <w:szCs w:val="18"/>
                <w:b w:val="1"/>
                <w:bCs w:val="1"/>
                <w:i w:val="1"/>
                <w:iCs w:val="1"/>
                <w:color w:val="auto"/>
                <w:w w:val="96"/>
              </w:rPr>
              <w:t>(in thousands, except percentages)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460" w:type="dxa"/>
            <w:vAlign w:val="bottom"/>
            <w:gridSpan w:val="2"/>
            <w:shd w:val="clear" w:color="auto" w:fill="CFF0FC"/>
          </w:tcPr>
          <w:p>
            <w:pPr>
              <w:jc w:val="right"/>
              <w:ind w:right="10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340" w:type="dxa"/>
            <w:vAlign w:val="bottom"/>
            <w:gridSpan w:val="2"/>
            <w:shd w:val="clear" w:color="auto" w:fill="CFF0FC"/>
          </w:tcPr>
          <w:p>
            <w:pPr>
              <w:jc w:val="right"/>
              <w:ind w:right="9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66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300" w:firstLine="509"/>
        <w:spacing w:after="0" w:line="261" w:lineRule="auto"/>
        <w:rPr>
          <w:sz w:val="20"/>
          <w:szCs w:val="20"/>
          <w:color w:val="auto"/>
        </w:rPr>
      </w:pPr>
      <w:r>
        <w:rPr>
          <w:rFonts w:ascii="Arial" w:cs="Arial" w:eastAsia="Arial" w:hAnsi="Arial"/>
          <w:sz w:val="18"/>
          <w:szCs w:val="18"/>
          <w:color w:val="auto"/>
        </w:rPr>
        <w:t>Provision for income taxes increased $0.04 million, or 13%, during the three months ended March 31, 2022 compared to the three months ended March 31, 2021 mainly due to increased foreign taxes resulting from increased foreign income.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200" w:firstLine="509"/>
        <w:spacing w:after="0" w:line="257" w:lineRule="auto"/>
        <w:rPr>
          <w:sz w:val="20"/>
          <w:szCs w:val="20"/>
          <w:color w:val="auto"/>
        </w:rPr>
      </w:pPr>
      <w:r>
        <w:rPr>
          <w:rFonts w:ascii="Arial" w:cs="Arial" w:eastAsia="Arial" w:hAnsi="Arial"/>
          <w:sz w:val="17"/>
          <w:szCs w:val="17"/>
          <w:color w:val="auto"/>
        </w:rPr>
        <w:t>Since inception, we have financed operations primarily through the net proceeds we have received from the sales of our preferred stock and common stock as well as cash generated from the sale of subscriptions to our platform. We have generated losses from our operations as reflected in our accumulated deficit of $202.0 million as of March 31, 2022 and negative cash flows from operating activities for the three months ended March 31, 2022 and 2021. Our future capital requirements will depend on many factors, including revenue growth and costs incurred to support our platform, including growth in our customer base and customer usage, increased research and development expenses to support the growth of our business and related infrastructure, and increased general and administrative expenses to support being a publicly-traded company.</w:t>
      </w:r>
    </w:p>
    <w:p>
      <w:pPr>
        <w:spacing w:after="0" w:line="175" w:lineRule="exact"/>
        <w:rPr>
          <w:sz w:val="20"/>
          <w:szCs w:val="20"/>
          <w:color w:val="auto"/>
        </w:rPr>
      </w:pPr>
    </w:p>
    <w:p>
      <w:pPr>
        <w:ind w:right="160" w:firstLine="509"/>
        <w:spacing w:after="0" w:line="259" w:lineRule="auto"/>
        <w:rPr>
          <w:sz w:val="20"/>
          <w:szCs w:val="20"/>
          <w:color w:val="auto"/>
        </w:rPr>
      </w:pPr>
      <w:r>
        <w:rPr>
          <w:rFonts w:ascii="Arial" w:cs="Arial" w:eastAsia="Arial" w:hAnsi="Arial"/>
          <w:sz w:val="17"/>
          <w:szCs w:val="17"/>
          <w:color w:val="auto"/>
        </w:rPr>
        <w:t>As of March 31, 2022, our principal sources of liquidity were cash and cash equivalents of $300.4 million and restricted cash of $0.9 million. Additionally, a substantial source of our cash provided by operating activities is our deferred revenue, which is included on our condensed consolidated balance sheets as a liability. Deferred revenue consists of the unearned portion of billed fees for our subscriptions, which is recorded as revenue over the term of the subscription agreement. As of March 31, 2022, we had $75.1 million of deferred revenue, all of which was recorded as a current liability. This deferred revenue will be recognized as revenue when or as the related performance obligations are met.</w:t>
      </w:r>
    </w:p>
    <w:p>
      <w:pPr>
        <w:spacing w:after="0" w:line="174" w:lineRule="exact"/>
        <w:rPr>
          <w:sz w:val="20"/>
          <w:szCs w:val="20"/>
          <w:color w:val="auto"/>
        </w:rPr>
      </w:pPr>
    </w:p>
    <w:p>
      <w:pPr>
        <w:ind w:right="120" w:firstLine="509"/>
        <w:spacing w:after="0" w:line="276" w:lineRule="auto"/>
        <w:rPr>
          <w:sz w:val="20"/>
          <w:szCs w:val="20"/>
          <w:color w:val="auto"/>
        </w:rPr>
      </w:pPr>
      <w:r>
        <w:rPr>
          <w:rFonts w:ascii="Arial" w:cs="Arial" w:eastAsia="Arial" w:hAnsi="Arial"/>
          <w:sz w:val="16"/>
          <w:szCs w:val="16"/>
          <w:color w:val="auto"/>
        </w:rPr>
        <w:t>We assess our liquidity primarily through our cash on hand as well as the projected timing of billings under contract with our paying customers and related collection cycles. We believe our current cash and cash equivalents on hand will be sufficient to meet our working capital and capital expenditure requirements for at least the next 12 months. In the event that additional financing is required from outside sources, we may seek to raise additional funds at any time through equity, equity-linked arrangements, and debt. If we are unable to raise additional funds when desired and at reasonable rates, our business, results of operations, and financial condition would be adversely affected. See “Risk Factors—Risks Related to Our Business and Industry—We may require additional capital to support the growth of our business, and this capital might not be available on acceptable terms, if at all.”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4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March 31,</w:t>
            </w:r>
          </w:p>
        </w:tc>
        <w:tc>
          <w:tcPr>
            <w:tcW w:w="1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64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910"/>
              <w:spacing w:after="0" w:line="19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r>
      <w:tr>
        <w:trPr>
          <w:trHeight w:val="196"/>
        </w:trPr>
        <w:tc>
          <w:tcPr>
            <w:tcW w:w="6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(in</w:t>
            </w:r>
          </w:p>
        </w:tc>
        <w:tc>
          <w:tcPr>
            <w:tcW w:w="1220" w:type="dxa"/>
            <w:vAlign w:val="bottom"/>
            <w:gridSpan w:val="2"/>
          </w:tcPr>
          <w:p>
            <w:pPr>
              <w:jc w:val="right"/>
              <w:ind w:right="270"/>
              <w:spacing w:after="0" w:line="196" w:lineRule="exact"/>
              <w:rPr>
                <w:sz w:val="20"/>
                <w:szCs w:val="20"/>
                <w:color w:val="auto"/>
              </w:rPr>
            </w:pPr>
            <w:r>
              <w:rPr>
                <w:rFonts w:ascii="Arial" w:cs="Arial" w:eastAsia="Arial" w:hAnsi="Arial"/>
                <w:sz w:val="18"/>
                <w:szCs w:val="18"/>
                <w:b w:val="1"/>
                <w:bCs w:val="1"/>
                <w:i w:val="1"/>
                <w:iCs w:val="1"/>
                <w:color w:val="auto"/>
                <w:w w:val="86"/>
              </w:rPr>
              <w:t>thousands)</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(8,289 )</w:t>
            </w:r>
          </w:p>
        </w:tc>
        <w:tc>
          <w:tcPr>
            <w:tcW w:w="92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(462 )</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130"/>
              <w:spacing w:after="0"/>
              <w:rPr>
                <w:sz w:val="20"/>
                <w:szCs w:val="20"/>
                <w:color w:val="auto"/>
              </w:rPr>
            </w:pPr>
            <w:r>
              <w:rPr>
                <w:rFonts w:ascii="Arial" w:cs="Arial" w:eastAsia="Arial" w:hAnsi="Arial"/>
                <w:sz w:val="18"/>
                <w:szCs w:val="18"/>
                <w:color w:val="auto"/>
              </w:rPr>
              <w:t>(1,307 )</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(631 )</w:t>
            </w:r>
          </w:p>
        </w:tc>
      </w:tr>
      <w:tr>
        <w:trPr>
          <w:trHeight w:val="230"/>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2,573</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80" w:type="dxa"/>
            <w:vAlign w:val="bottom"/>
            <w:shd w:val="clear" w:color="auto" w:fill="CFF0FC"/>
          </w:tcPr>
          <w:p>
            <w:pPr>
              <w:spacing w:after="0"/>
              <w:rPr>
                <w:sz w:val="19"/>
                <w:szCs w:val="19"/>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Our largest source of operating cash is cash collection from sales of subscriptions to our paying customers. Our primary uses of cash from operating activities are for personnel-related expenses, marketing expenses, and third-party hosting-related and software expenses. In the last several years, we have generated negative cash flows from operating activities and have supplemented working capital requirements through net proceeds from the sale of preferred stock and common stock.</w:t>
      </w:r>
    </w:p>
    <w:p>
      <w:pPr>
        <w:spacing w:after="0" w:line="188"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Net cash used in operating activities of $8.3 million for the three months ended March 31, 2022 reflects our net loss of $22.2 million, adjusted by non-cash items such as stock-based compensation expense of $13.5 million, depreciation and amortization of $0.9 million, and non-cash operating lease costs of $0.8 million as well as net cash used by changes in our operating assets and liabilities of $1.4 million. The net cash used by changes in operating assets and liabilities primarily consisted of a $5.8 million increase in deferred revenue, resulting from increased billings for subscriptions, and a $1.6 million increase in accrued expenses and accounts payable, resulting primarily from increases in accrued professional services, marketing, accrued payroll, and benefits due to an increase in the size of our operations. These increases were offset by a $3.3 million increase in prepaid expenses and other current and noncurrent assets related to an increase in prepayments made in advance for future services, an increase in deferred commissions of $2.4 million, and a $2.9 million increase in accounts receivable due to higher customer billings.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2" w:name="page33"/>
    <w:bookmarkEnd w:id="32"/>
    <w:p>
      <w:pPr>
        <w:ind w:right="80" w:firstLine="509"/>
        <w:spacing w:after="0" w:line="276" w:lineRule="auto"/>
        <w:rPr>
          <w:sz w:val="20"/>
          <w:szCs w:val="20"/>
          <w:color w:val="auto"/>
        </w:rPr>
      </w:pPr>
      <w:r>
        <w:rPr>
          <w:rFonts w:ascii="Arial" w:cs="Arial" w:eastAsia="Arial" w:hAnsi="Arial"/>
          <w:sz w:val="16"/>
          <w:szCs w:val="16"/>
          <w:color w:val="auto"/>
        </w:rPr>
        <w:t>Net cash used in operating activities of $0.5 million for the three months ended March 31, 2021 reflects our net loss of $6.4 million, adjusted by non-cash items such as stock-based compensation expense of $2.6 million and depreciation and amortization of $0.5 million as well as net cash provided by changes in our operating assets and liabilities of $2.6 million. The net cash provided by changes in operating assets and liabilities primarily consisted of an increase in deferred commissions of $1.3 million, as well as a $3.6 million increase in prepaid expenses and other current and noncurrent assets related to an increase in prepayments made in advance for future services. These decreases were offset by a $7.6 million increase in deferred revenue, resulting from increased billings for subscriptions, and a $2.1 million decrease in accounts receivable due to higher collections during the period.</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Net cash used in investing activities of $1.3 million for the three months ended March 31, 2022 consisted of $0.6 million of capitalized internal-use software development costs and $0.7 million in purchases of property and equipment.</w:t>
      </w:r>
    </w:p>
    <w:p>
      <w:pPr>
        <w:spacing w:after="0" w:line="171"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Net cash used in investing activities of $0.6 million for the three months ended March 31, 2021 consisted of $0.4 million of capitalized internal-use software development costs, and $0.2 million in purchases of property and equipment.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jc w:val="both"/>
        <w:ind w:right="60" w:firstLine="509"/>
        <w:spacing w:after="0" w:line="294" w:lineRule="auto"/>
        <w:rPr>
          <w:sz w:val="20"/>
          <w:szCs w:val="20"/>
          <w:color w:val="auto"/>
        </w:rPr>
      </w:pPr>
      <w:r>
        <w:rPr>
          <w:rFonts w:ascii="Arial" w:cs="Arial" w:eastAsia="Arial" w:hAnsi="Arial"/>
          <w:sz w:val="16"/>
          <w:szCs w:val="16"/>
          <w:color w:val="auto"/>
        </w:rPr>
        <w:t>Net cash provided by financing activities of $2.6 million for the three months ended March 31, 2022 primarily consisted of $4.0 million in proceeds from the exercise of stock options offset by $1.4 million of net cash used through sales of common stock to cover tax-related amounts that had not yet been remitted to the respective taxing jurisdictions. It is expected that cash received and paid for these amounts will be cash flow neutral over time.</w:t>
      </w:r>
    </w:p>
    <w:p>
      <w:pPr>
        <w:spacing w:after="0" w:line="147"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Net cash provided by financing activities of $2.0 million for the three months ended March 31, 2021 consisted of $2.0 million in proceeds from the exercise of stock options.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Remaining performance obligations (“RPO”) as of March 31, 2022 and 2021, including the expected timing of recognition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6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As of March 31,</w:t>
            </w: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r>
      <w:tr>
        <w:trPr>
          <w:trHeight w:val="210"/>
        </w:trPr>
        <w:tc>
          <w:tcPr>
            <w:tcW w:w="55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than or equal to 12 months</w:t>
            </w: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149,583</w:t>
            </w:r>
          </w:p>
        </w:tc>
        <w:tc>
          <w:tcPr>
            <w:tcW w:w="1300" w:type="dxa"/>
            <w:vAlign w:val="bottom"/>
            <w:gridSpan w:val="2"/>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92,538</w:t>
            </w:r>
          </w:p>
        </w:tc>
        <w:tc>
          <w:tcPr>
            <w:tcW w:w="202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88"/>
              </w:rPr>
              <w:t>62%</w:t>
            </w: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Greater than 12 months</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44,851</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13,008</w:t>
            </w:r>
          </w:p>
        </w:tc>
        <w:tc>
          <w:tcPr>
            <w:tcW w:w="20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245%</w:t>
            </w:r>
          </w:p>
        </w:tc>
      </w:tr>
      <w:tr>
        <w:trPr>
          <w:trHeight w:val="209"/>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remaining performance obligations</w:t>
            </w:r>
          </w:p>
        </w:tc>
        <w:tc>
          <w:tcPr>
            <w:tcW w:w="1080" w:type="dxa"/>
            <w:vAlign w:val="bottom"/>
            <w:tcBorders>
              <w:top w:val="single" w:sz="8" w:color="auto"/>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194,434</w:t>
            </w:r>
          </w:p>
        </w:tc>
        <w:tc>
          <w:tcPr>
            <w:tcW w:w="2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105,545</w:t>
            </w:r>
          </w:p>
        </w:tc>
        <w:tc>
          <w:tcPr>
            <w:tcW w:w="260" w:type="dxa"/>
            <w:vAlign w:val="bottom"/>
            <w:tcBorders>
              <w:bottom w:val="single" w:sz="8" w:color="CFF0FC"/>
            </w:tcBorders>
            <w:shd w:val="clear" w:color="auto" w:fill="CFF0FC"/>
          </w:tcPr>
          <w:p>
            <w:pPr>
              <w:spacing w:after="0"/>
              <w:rPr>
                <w:sz w:val="18"/>
                <w:szCs w:val="18"/>
                <w:color w:val="auto"/>
              </w:rPr>
            </w:pPr>
          </w:p>
        </w:tc>
        <w:tc>
          <w:tcPr>
            <w:tcW w:w="17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-5080</wp:posOffset>
            </wp:positionV>
            <wp:extent cx="4318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-5080</wp:posOffset>
            </wp:positionV>
            <wp:extent cx="431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Our RPO represents the amount of contracted future revenue that has not yet been recognized, including both deferred revenue and non-cancellable contracted amounts that will be invoiced and recognized as revenue in future periods. RPO excludes performance obligations from overages. RPO is influenced by a number of factors, including the timing of renewals, the timing of purchases, average contract terms, and seasonality. Due to these factors, it is important to review RPO in conjunction with product revenue and other financial metrics disclosed elsewhere in this Quarterly Report on Form 10-Q.</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8"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During the three months ended March 31, 2022, there were no material changes in our contractual obligations and other commitments outside of those disclosed in the 2021 Form 10-K. For further information on our commitments and contingencies, refer to Note 8 in the consolidated financial statements contained within the 2021 Form 10-K.</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04" w:lineRule="exact"/>
        <w:rPr>
          <w:sz w:val="20"/>
          <w:szCs w:val="20"/>
          <w:color w:val="auto"/>
        </w:rPr>
      </w:pPr>
    </w:p>
    <w:p>
      <w:pPr>
        <w:ind w:right="200" w:firstLine="509"/>
        <w:spacing w:after="0" w:line="255" w:lineRule="auto"/>
        <w:rPr>
          <w:sz w:val="20"/>
          <w:szCs w:val="20"/>
          <w:color w:val="auto"/>
        </w:rPr>
      </w:pPr>
      <w:r>
        <w:rPr>
          <w:rFonts w:ascii="Arial" w:cs="Arial" w:eastAsia="Arial" w:hAnsi="Arial"/>
          <w:sz w:val="17"/>
          <w:szCs w:val="17"/>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reasonably be expected to have a material effect on our financial position, results of operations, or cash flows.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For all periods presented in this Quarterly Report on Form 10-Q,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 xml:space="preserve">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Other than the adoption of ASC 842 -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 disclosed in Note 1 to our condensed consolidated financial statements included in Part I, Item 1 of this Quarterly Report on Form 10-Q, there have been no changes to our critical accounting policies and estimates, during the three months ended March 31, 2022 as compared to those disclosed in Part II, Item 7. Management’s Discussion and Analysis of Financial Condition and Results of Operations of the 2021 Form 10-K.</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800" w:firstLine="509"/>
        <w:spacing w:after="0" w:line="261" w:lineRule="auto"/>
        <w:rPr>
          <w:sz w:val="20"/>
          <w:szCs w:val="20"/>
          <w:color w:val="auto"/>
        </w:rPr>
      </w:pPr>
      <w:r>
        <w:rPr>
          <w:rFonts w:ascii="Arial" w:cs="Arial" w:eastAsia="Arial" w:hAnsi="Arial"/>
          <w:sz w:val="18"/>
          <w:szCs w:val="18"/>
          <w:color w:val="auto"/>
        </w:rPr>
        <w:t>See Note 1 to our condensed consolidated financial statements included in Part I, Item 1 of this Quarterly Report on Form 10-Q for more information regarding recent accounting pronouncements.</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2" w:right="3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Our cash and cash equivalents consist of cash on hand. As of March 31, 2022, we had cash and cash equivalents of $300.4 million. We do not have any marketable securities and we do not enter into investments for trading or speculative purposes. Our investments are exposed to market risk due to fluctuations in interest rates, which may affect our interest income on cash and cash equivalents. However, an immediate 10% increase or decrease in interest rates would not have a material effect on the fair value of our portfolio. We therefore do not expect our operating results or cash flows to be materially affected by a sudden change in market interest rates.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04" w:lineRule="exact"/>
        <w:rPr>
          <w:sz w:val="20"/>
          <w:szCs w:val="20"/>
          <w:color w:val="auto"/>
        </w:rPr>
      </w:pPr>
    </w:p>
    <w:p>
      <w:pPr>
        <w:ind w:right="140" w:firstLine="509"/>
        <w:spacing w:after="0" w:line="274" w:lineRule="auto"/>
        <w:rPr>
          <w:sz w:val="20"/>
          <w:szCs w:val="20"/>
          <w:color w:val="auto"/>
        </w:rPr>
      </w:pPr>
      <w:r>
        <w:rPr>
          <w:rFonts w:ascii="Arial" w:cs="Arial" w:eastAsia="Arial" w:hAnsi="Arial"/>
          <w:sz w:val="16"/>
          <w:szCs w:val="16"/>
          <w:color w:val="auto"/>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and Japanese Yen. Additionally, fluctuations in foreign currency exchange rates may cause us to recognize transaction gains and losses in our condensed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 A hypothetical 10% increase or decrease in the relative value of the U.S. dollar to other currencies would not have a material effect on our operating results.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04"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Quarterly Report on Form 10-Q. Based on that evaluation, our principal executive officer and principal financial officer have concluded that as of the end of the period covered by this Quarterly Report on Form 10-Q,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during our most recent fiscal quarter that have materially affected, or are reasonably likely to materially affect, our internal control over financial reporting.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Our management, including our principal executive officer and our principal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“Legal Matters” in Note 8 to our condensed consolidated financial statements included in Part I, Item 1 of this Quarterly Report on Form 10-Q.</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196"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our condensed consolidated financial statements and related notes and the section titled “Management’s Discussion and Analysis of Financial Condition and Results of Operations.”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0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We have a limited operating history and have been growing rapidly over the last several years, which makes it difficult to forecast our future results of operations and increases the risk of your investment.</w:t>
      </w:r>
    </w:p>
    <w:p>
      <w:pPr>
        <w:spacing w:after="0" w:line="63"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auto"/>
        </w:rPr>
        <w:t>Our revenue was $167.3 million for the fiscal year ended December 31, 2021 and $53.1 million and $33.1 million for the three months ended March 31, 2022 and 2021, respectively. However, you should not rely on our historical revenue growth as an indication of our future performance.</w:t>
      </w:r>
    </w:p>
    <w:p>
      <w:pPr>
        <w:spacing w:after="0" w:line="147" w:lineRule="exact"/>
        <w:rPr>
          <w:sz w:val="20"/>
          <w:szCs w:val="20"/>
          <w:color w:val="auto"/>
        </w:rPr>
      </w:pPr>
    </w:p>
    <w:p>
      <w:pPr>
        <w:ind w:right="280" w:firstLine="509"/>
        <w:spacing w:after="0" w:line="291" w:lineRule="auto"/>
        <w:rPr>
          <w:sz w:val="20"/>
          <w:szCs w:val="20"/>
          <w:color w:val="auto"/>
        </w:rPr>
      </w:pPr>
      <w:r>
        <w:rPr>
          <w:rFonts w:ascii="Arial" w:cs="Arial" w:eastAsia="Arial" w:hAnsi="Arial"/>
          <w:sz w:val="17"/>
          <w:szCs w:val="17"/>
          <w:color w:val="auto"/>
        </w:rPr>
        <w:t>As a result of our limited operating history and our rapid growth over the last several years, our ability to accurately forecast our future results of operations is limited and subject to a number of uncertainties, including our ability to effectively plan for and model future growth.</w:t>
      </w:r>
    </w:p>
    <w:p>
      <w:pPr>
        <w:spacing w:after="0" w:line="147" w:lineRule="exact"/>
        <w:rPr>
          <w:sz w:val="20"/>
          <w:szCs w:val="20"/>
          <w:color w:val="auto"/>
        </w:rPr>
      </w:pPr>
    </w:p>
    <w:p>
      <w:pPr>
        <w:ind w:right="180" w:firstLine="509"/>
        <w:spacing w:after="0" w:line="255" w:lineRule="auto"/>
        <w:rPr>
          <w:sz w:val="20"/>
          <w:szCs w:val="20"/>
          <w:color w:val="auto"/>
        </w:rPr>
      </w:pPr>
      <w:r>
        <w:rPr>
          <w:rFonts w:ascii="Arial" w:cs="Arial" w:eastAsia="Arial" w:hAnsi="Arial"/>
          <w:sz w:val="17"/>
          <w:szCs w:val="17"/>
          <w:color w:val="auto"/>
        </w:rPr>
        <w:t>Our revenue growth rate may decline over time. In future periods, our revenue growth could slow or our revenue could decline for a number of reasons, including slowing demand for our Digital Optimization System, increased competition, changes to technology, a decrease in the growth of our overall market, or our failure, for any reason, to manage our growth effectively or continue to take advantage of growth opportunities. We have also encountered, and will continue to encounter, risks and uncertainties frequently experienced by growing companies in rapidly changing industries, such as the risks and uncertainties described in this Quarterly Report on Form 10-Q. If our assumptions regarding these risks and uncertainties and our future revenue growth are incorrect or change, or if we do not address these risks successfully, our financial condition and results of operations could differ materially from our expectations, and our business could be materially adversely affected.</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i w:val="1"/>
          <w:iCs w:val="1"/>
          <w:color w:val="auto"/>
        </w:rPr>
        <w:t>We have a history of losses. As our costs increase, we may not be able to generate sufficient revenue to achieve and sustain profitability.</w:t>
      </w:r>
    </w:p>
    <w:p>
      <w:pPr>
        <w:spacing w:after="0" w:line="115"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have experienced net losses in each period since inception. We generated net losses of $75.0 million for the fiscal year ended December 31, 2021 and $22.2 million and $6.4 million for the three months ended March 31, 2022 and 2021, respectively. As of March 31, 2022, we had an accumulated deficit of $202.0 million. We expect our costs and expenses to increase in future periods. In particular, we intend to continue to invest significant resources in:</w:t>
      </w:r>
    </w:p>
    <w:p>
      <w:pPr>
        <w:spacing w:after="0" w:line="80" w:lineRule="exact"/>
        <w:rPr>
          <w:sz w:val="20"/>
          <w:szCs w:val="20"/>
          <w:color w:val="auto"/>
        </w:rPr>
      </w:pPr>
    </w:p>
    <w:p>
      <w:pPr>
        <w:ind w:left="1020" w:right="20" w:hanging="479"/>
        <w:spacing w:after="0" w:line="291" w:lineRule="auto"/>
        <w:tabs>
          <w:tab w:leader="none" w:pos="8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development of our Digital Optimization System, including investments in our research and development team, the development or acquisition of new products, features, and functionality, and improvements to the scalability, availability, and security of our platform;</w:t>
      </w:r>
    </w:p>
    <w:p>
      <w:pPr>
        <w:spacing w:after="0" w:line="38" w:lineRule="exact"/>
        <w:rPr>
          <w:rFonts w:ascii="Arial" w:cs="Arial" w:eastAsia="Arial" w:hAnsi="Arial"/>
          <w:sz w:val="17"/>
          <w:szCs w:val="17"/>
          <w:color w:val="auto"/>
        </w:rPr>
      </w:pPr>
    </w:p>
    <w:p>
      <w:pPr>
        <w:ind w:left="1020" w:right="60" w:hanging="479"/>
        <w:spacing w:after="0" w:line="261" w:lineRule="auto"/>
        <w:tabs>
          <w:tab w:leader="none" w:pos="8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technology infrastructure, including expansion of our activities in third-party data centers that we may lease, enhancements to our network operations and infrastructure, and hiring of additional employees;</w:t>
      </w:r>
    </w:p>
    <w:p>
      <w:pPr>
        <w:spacing w:after="0" w:line="62" w:lineRule="exact"/>
        <w:rPr>
          <w:rFonts w:ascii="Arial" w:cs="Arial" w:eastAsia="Arial" w:hAnsi="Arial"/>
          <w:sz w:val="18"/>
          <w:szCs w:val="18"/>
          <w:color w:val="auto"/>
        </w:rPr>
      </w:pPr>
    </w:p>
    <w:p>
      <w:pPr>
        <w:ind w:left="900" w:hanging="35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and marketing;</w:t>
      </w:r>
    </w:p>
    <w:p>
      <w:pPr>
        <w:spacing w:after="0" w:line="103" w:lineRule="exact"/>
        <w:rPr>
          <w:rFonts w:ascii="Arial" w:cs="Arial" w:eastAsia="Arial" w:hAnsi="Arial"/>
          <w:sz w:val="18"/>
          <w:szCs w:val="18"/>
          <w:color w:val="auto"/>
        </w:rPr>
      </w:pPr>
    </w:p>
    <w:p>
      <w:pPr>
        <w:ind w:left="900" w:hanging="35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international expansion, in an effort to increase our customer base and sales; and</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administration, including legal, accounting, and other expenses.</w:t>
      </w:r>
    </w:p>
    <w:p>
      <w:pPr>
        <w:spacing w:after="0" w:line="212" w:lineRule="exact"/>
        <w:rPr>
          <w:sz w:val="20"/>
          <w:szCs w:val="20"/>
          <w:color w:val="auto"/>
        </w:rPr>
      </w:pPr>
    </w:p>
    <w:p>
      <w:pPr>
        <w:ind w:right="280" w:firstLine="509"/>
        <w:spacing w:after="0" w:line="241" w:lineRule="auto"/>
        <w:rPr>
          <w:sz w:val="20"/>
          <w:szCs w:val="20"/>
          <w:color w:val="auto"/>
        </w:rPr>
      </w:pPr>
      <w:r>
        <w:rPr>
          <w:rFonts w:ascii="Arial" w:cs="Arial" w:eastAsia="Arial" w:hAnsi="Arial"/>
          <w:sz w:val="18"/>
          <w:szCs w:val="18"/>
          <w:color w:val="auto"/>
        </w:rPr>
        <w:t>In addition, part of our business strategy is to focus on our long-term growth. As a result, our profitability may be lower in the near-term than it would be if our strategy were to maximize short-term profitability. Significant expenditures on sales and marketing efforts, expanding our platform, products, features, and functionality, and expanding our research and development, each of which we intend to continue to invest in, may not ultimately grow our business or cause long-term profitability. If we are ultimately unable to achieve profitability at the level anticipated by industry or financial analysts and our stockholders, our stock price may decline.</w:t>
      </w:r>
    </w:p>
    <w:p>
      <w:pPr>
        <w:spacing w:after="0" w:line="189"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Our efforts to grow our business may be costlier than we expect, or our revenue growth rate may be slower than we expect, and we may not be able to increase our revenue enough to offset the increase in operating expenses resulting from these investments. If we are unable to continue to grow our revenue, the value of our business and Class A common stock may significantly decrease.</w:t>
      </w:r>
    </w:p>
    <w:p>
      <w:pPr>
        <w:spacing w:after="0" w:line="29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Our business depends on our current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56" w:lineRule="exact"/>
        <w:rPr>
          <w:sz w:val="20"/>
          <w:szCs w:val="20"/>
          <w:color w:val="auto"/>
        </w:rPr>
      </w:pPr>
    </w:p>
    <w:p>
      <w:pPr>
        <w:jc w:val="both"/>
        <w:ind w:right="80" w:firstLine="509"/>
        <w:spacing w:after="0" w:line="257" w:lineRule="auto"/>
        <w:rPr>
          <w:sz w:val="20"/>
          <w:szCs w:val="20"/>
          <w:color w:val="auto"/>
        </w:rPr>
      </w:pPr>
      <w:r>
        <w:rPr>
          <w:rFonts w:ascii="Arial" w:cs="Arial" w:eastAsia="Arial" w:hAnsi="Arial"/>
          <w:sz w:val="17"/>
          <w:szCs w:val="17"/>
          <w:color w:val="auto"/>
        </w:rPr>
        <w:t>In order for us to maintain or improve our revenue growth and our results of operations, it is important that our customers renew their subscriptions when existing contract terms expire and that we expand our commercial relationships with our existing customers and attract new customers. We also seek to convert customers on our free-tier, self-service option to paid subscription contracts. Our customers have no obligation to renew their subscriptions, and our customers may not renew subscriptions with similar contract periods or at all. Some of our customers have elected not to renew their agreements with us, and it is difficult to accurately predict long-term customer retention. In addition, our ability to attract new customers will depend on market acceptance of our Digital Optimization System and the successful implementation of our marketing strategy.</w:t>
      </w:r>
    </w:p>
    <w:p>
      <w:pPr>
        <w:spacing w:after="0" w:line="175"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auto"/>
        </w:rPr>
        <w:t>Our customer retention and expansion and the rate at which we attract new customers may decline or fluctuate as a result of a number of factors, including our customers’ satisfaction with our Digital Optimization System; our support capabilities; our prices and pricing plans; the prices and value of competing products; reductions in our customers’ spending levels; new product releases; mergers and acquisitions affecting our customer base; or the effects of global economic conditions. We may be unable to timely address any retention issues with specific customers, which could materially adversely affect our results of operations. If our customers do not purchase additional subscriptions or renew their subscriptions, or if they renew on less favorable terms, or if we are unable to attract new customers, our revenue may decline or grow less quickly, which would materially adversely affect our business, financial condition, and results of operations.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7" w:name="page38"/>
    <w:bookmarkEnd w:id="37"/>
    <w:p>
      <w:pPr>
        <w:ind w:right="580"/>
        <w:spacing w:after="0" w:line="261" w:lineRule="auto"/>
        <w:rPr>
          <w:sz w:val="20"/>
          <w:szCs w:val="20"/>
          <w:color w:val="auto"/>
        </w:rPr>
      </w:pPr>
      <w:r>
        <w:rPr>
          <w:rFonts w:ascii="Arial" w:cs="Arial" w:eastAsia="Arial" w:hAnsi="Arial"/>
          <w:sz w:val="18"/>
          <w:szCs w:val="18"/>
          <w:b w:val="1"/>
          <w:bCs w:val="1"/>
          <w:i w:val="1"/>
          <w:iCs w:val="1"/>
          <w:color w:val="auto"/>
        </w:rPr>
        <w:t>We expect fluctuations in our financial results and key metrics, making it difficult to project future results. If we fail to meet the expectations of securities analysts or investors with respect to our results of operations, our stock price could decline.</w:t>
      </w:r>
    </w:p>
    <w:p>
      <w:pPr>
        <w:spacing w:after="0" w:line="63"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Our results of operations and key metrics have fluctuated in the past and are expected to fluctuate in the future due to a variety of factors, many of which are outside of our control. As a result, our past results may not be indicative of our future performance. In addition to the other risks described herein, other factors that may cause our results of operations or key metrics to fluctuate include:</w:t>
      </w:r>
    </w:p>
    <w:p>
      <w:pPr>
        <w:spacing w:after="0" w:line="74" w:lineRule="exact"/>
        <w:rPr>
          <w:sz w:val="20"/>
          <w:szCs w:val="20"/>
          <w:color w:val="auto"/>
        </w:rPr>
      </w:pPr>
    </w:p>
    <w:p>
      <w:pPr>
        <w:ind w:left="1020" w:right="120" w:hanging="479"/>
        <w:spacing w:after="0" w:line="261"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demand for, or pricing of, our Digital Optimization System, including as a result of our introduction of new products, features, and functionality;</w:t>
      </w:r>
    </w:p>
    <w:p>
      <w:pPr>
        <w:spacing w:after="0" w:line="62" w:lineRule="exact"/>
        <w:rPr>
          <w:rFonts w:ascii="Arial" w:cs="Arial" w:eastAsia="Arial" w:hAnsi="Arial"/>
          <w:sz w:val="18"/>
          <w:szCs w:val="18"/>
          <w:color w:val="auto"/>
        </w:rPr>
      </w:pPr>
    </w:p>
    <w:p>
      <w:pPr>
        <w:ind w:left="900" w:hanging="35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usage of our Digital Optimization System;</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retain existing customers;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customer expansion rates;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investments in new products, features, and functionality;</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our customers’ purchases;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speed with which customers are able to migrate data onto our platform after purchasing capacity;</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awareness of our brand on a global basis;</w:t>
      </w:r>
    </w:p>
    <w:p>
      <w:pPr>
        <w:spacing w:after="0" w:line="103" w:lineRule="exact"/>
        <w:rPr>
          <w:rFonts w:ascii="Arial" w:cs="Arial" w:eastAsia="Arial" w:hAnsi="Arial"/>
          <w:sz w:val="18"/>
          <w:szCs w:val="18"/>
          <w:color w:val="auto"/>
        </w:rPr>
      </w:pPr>
    </w:p>
    <w:p>
      <w:pPr>
        <w:ind w:left="1020" w:right="320" w:hanging="479"/>
        <w:spacing w:after="0" w:line="261"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or delays in purchasing decisions in anticipation of new products, features, or functionality developed or acquired by us or our competitors;</w:t>
      </w:r>
    </w:p>
    <w:p>
      <w:pPr>
        <w:spacing w:after="0" w:line="62" w:lineRule="exact"/>
        <w:rPr>
          <w:rFonts w:ascii="Arial" w:cs="Arial" w:eastAsia="Arial" w:hAnsi="Arial"/>
          <w:sz w:val="18"/>
          <w:szCs w:val="18"/>
          <w:color w:val="auto"/>
        </w:rPr>
      </w:pPr>
    </w:p>
    <w:p>
      <w:pPr>
        <w:ind w:left="900" w:hanging="35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03" w:lineRule="exact"/>
        <w:rPr>
          <w:rFonts w:ascii="Arial" w:cs="Arial" w:eastAsia="Arial" w:hAnsi="Arial"/>
          <w:sz w:val="18"/>
          <w:szCs w:val="18"/>
          <w:color w:val="auto"/>
        </w:rPr>
      </w:pPr>
    </w:p>
    <w:p>
      <w:pPr>
        <w:ind w:left="1020" w:right="180" w:hanging="479"/>
        <w:spacing w:after="0" w:line="261"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and timing of costs associated with our cloud computing infrastructure, particularly the cloud services provided by Amazon Web Services (“AWS”);</w:t>
      </w:r>
    </w:p>
    <w:p>
      <w:pPr>
        <w:spacing w:after="0" w:line="62" w:lineRule="exact"/>
        <w:rPr>
          <w:rFonts w:ascii="Arial" w:cs="Arial" w:eastAsia="Arial" w:hAnsi="Arial"/>
          <w:sz w:val="18"/>
          <w:szCs w:val="18"/>
          <w:color w:val="auto"/>
        </w:rPr>
      </w:pPr>
    </w:p>
    <w:p>
      <w:pPr>
        <w:ind w:left="900" w:hanging="35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amount and timing of payment for operating expenses, particularly research and development and sales and marketing expenses;</w:t>
      </w:r>
    </w:p>
    <w:p>
      <w:pPr>
        <w:spacing w:after="0" w:line="115" w:lineRule="exact"/>
        <w:rPr>
          <w:rFonts w:ascii="Arial" w:cs="Arial" w:eastAsia="Arial" w:hAnsi="Arial"/>
          <w:sz w:val="17"/>
          <w:szCs w:val="17"/>
          <w:color w:val="auto"/>
        </w:rPr>
      </w:pPr>
    </w:p>
    <w:p>
      <w:pPr>
        <w:ind w:left="900" w:hanging="35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amount and timing of non-cash expenses, including stock-based compensation, goodwill impairments, and other non-cash charges;</w:t>
      </w:r>
    </w:p>
    <w:p>
      <w:pPr>
        <w:spacing w:after="0" w:line="115" w:lineRule="exact"/>
        <w:rPr>
          <w:rFonts w:ascii="Arial" w:cs="Arial" w:eastAsia="Arial" w:hAnsi="Arial"/>
          <w:sz w:val="17"/>
          <w:szCs w:val="17"/>
          <w:color w:val="auto"/>
        </w:rPr>
      </w:pPr>
    </w:p>
    <w:p>
      <w:pPr>
        <w:ind w:left="1020" w:right="460" w:hanging="479"/>
        <w:spacing w:after="0" w:line="261"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62" w:lineRule="exact"/>
        <w:rPr>
          <w:rFonts w:ascii="Arial" w:cs="Arial" w:eastAsia="Arial" w:hAnsi="Arial"/>
          <w:sz w:val="18"/>
          <w:szCs w:val="18"/>
          <w:color w:val="auto"/>
        </w:rPr>
      </w:pPr>
    </w:p>
    <w:p>
      <w:pPr>
        <w:ind w:left="900" w:hanging="35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effects of mergers, acquisitions or strategic partnerships, and their integration;</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identify and complete merger, acquisition or strategic partnership opportunities;</w:t>
      </w:r>
    </w:p>
    <w:p>
      <w:pPr>
        <w:spacing w:after="0" w:line="103" w:lineRule="exact"/>
        <w:rPr>
          <w:rFonts w:ascii="Arial" w:cs="Arial" w:eastAsia="Arial" w:hAnsi="Arial"/>
          <w:sz w:val="18"/>
          <w:szCs w:val="18"/>
          <w:color w:val="auto"/>
        </w:rPr>
      </w:pPr>
    </w:p>
    <w:p>
      <w:pPr>
        <w:ind w:left="1020" w:right="500" w:hanging="479"/>
        <w:spacing w:after="0" w:line="291" w:lineRule="auto"/>
        <w:tabs>
          <w:tab w:leader="none" w:pos="8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general economic conditions (including inflationary economic environment), both domestically and internationally, as well as economic conditions specifically affecting industries in which our customers participate, and related difficulties in collections;</w:t>
      </w:r>
    </w:p>
    <w:p>
      <w:pPr>
        <w:spacing w:after="0" w:line="38" w:lineRule="exact"/>
        <w:rPr>
          <w:rFonts w:ascii="Arial" w:cs="Arial" w:eastAsia="Arial" w:hAnsi="Arial"/>
          <w:sz w:val="17"/>
          <w:szCs w:val="17"/>
          <w:color w:val="auto"/>
        </w:rPr>
      </w:pPr>
    </w:p>
    <w:p>
      <w:pPr>
        <w:ind w:left="1020" w:hanging="479"/>
        <w:spacing w:after="0" w:line="248"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adverse impact of climate change, natural disasters, health epidemics, including the COVID-19 pandemic, and war or other armed conflict, including Russia's invasion of Ukraine, on our business, operations, and the markets and communities in which we and our customers and partners operate;</w:t>
      </w:r>
    </w:p>
    <w:p>
      <w:pPr>
        <w:spacing w:after="0" w:line="73" w:lineRule="exact"/>
        <w:rPr>
          <w:rFonts w:ascii="Arial" w:cs="Arial" w:eastAsia="Arial" w:hAnsi="Arial"/>
          <w:sz w:val="18"/>
          <w:szCs w:val="18"/>
          <w:color w:val="auto"/>
        </w:rPr>
      </w:pPr>
    </w:p>
    <w:p>
      <w:pPr>
        <w:ind w:left="900" w:hanging="35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03" w:lineRule="exact"/>
        <w:rPr>
          <w:rFonts w:ascii="Arial" w:cs="Arial" w:eastAsia="Arial" w:hAnsi="Arial"/>
          <w:sz w:val="18"/>
          <w:szCs w:val="18"/>
          <w:color w:val="auto"/>
        </w:rPr>
      </w:pPr>
    </w:p>
    <w:p>
      <w:pPr>
        <w:ind w:left="1020" w:right="60" w:hanging="479"/>
        <w:spacing w:after="0" w:line="248"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regulatory or legal environments that may cause us to incur, among other things, expenses associated with compliance, particularly with respect to compliance with evolving privacy and data protection laws and regulations, as well as export control, economic and trade sanction, anti-corruption, and anti-money laundering laws;</w:t>
      </w:r>
    </w:p>
    <w:p>
      <w:pPr>
        <w:spacing w:after="0" w:line="73" w:lineRule="exact"/>
        <w:rPr>
          <w:rFonts w:ascii="Arial" w:cs="Arial" w:eastAsia="Arial" w:hAnsi="Arial"/>
          <w:sz w:val="18"/>
          <w:szCs w:val="18"/>
          <w:color w:val="auto"/>
        </w:rPr>
      </w:pPr>
    </w:p>
    <w:p>
      <w:pPr>
        <w:ind w:left="1020" w:right="600" w:hanging="479"/>
        <w:spacing w:after="0" w:line="291" w:lineRule="auto"/>
        <w:tabs>
          <w:tab w:leader="none" w:pos="8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overall tax rate for our business, which may be affected by the mix of income we earn in the United States and in jurisdictions with comparatively lower tax rates, the effects of stock-based compensation, and the effects of changes in our business;</w:t>
      </w:r>
    </w:p>
    <w:p>
      <w:pPr>
        <w:spacing w:after="0" w:line="38" w:lineRule="exact"/>
        <w:rPr>
          <w:rFonts w:ascii="Arial" w:cs="Arial" w:eastAsia="Arial" w:hAnsi="Arial"/>
          <w:sz w:val="17"/>
          <w:szCs w:val="17"/>
          <w:color w:val="auto"/>
        </w:rPr>
      </w:pPr>
    </w:p>
    <w:p>
      <w:pPr>
        <w:ind w:left="1020" w:hanging="479"/>
        <w:spacing w:after="0" w:line="261"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changes in tax laws or judicial or regulatory interpretations of tax laws, which are recorded in the period such laws are enacted or interpretations are issued and may significantly affect the effective tax rate of that period;</w:t>
      </w:r>
    </w:p>
    <w:p>
      <w:pPr>
        <w:spacing w:after="0" w:line="62" w:lineRule="exact"/>
        <w:rPr>
          <w:rFonts w:ascii="Arial" w:cs="Arial" w:eastAsia="Arial" w:hAnsi="Arial"/>
          <w:sz w:val="18"/>
          <w:szCs w:val="18"/>
          <w:color w:val="auto"/>
        </w:rPr>
      </w:pPr>
    </w:p>
    <w:p>
      <w:pPr>
        <w:ind w:left="900" w:hanging="35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fluctuations in currency exchange rates and changes in the proportion of our revenue and expenses denominated in foreign currencies;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38" w:name="page39"/>
    <w:bookmarkEnd w:id="38"/>
    <w:p>
      <w:pPr>
        <w:ind w:left="900" w:hanging="35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platform.</w:t>
      </w:r>
    </w:p>
    <w:p>
      <w:pPr>
        <w:spacing w:after="0" w:line="212"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Class A common stock could decline substantially, and we could face costly lawsuits, including securities class action litigation.</w:t>
      </w:r>
    </w:p>
    <w:p>
      <w:pPr>
        <w:spacing w:after="0" w:line="29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We expect to continue to focus on sales to larger organizations and may become more dependent on those relationships, which may increase the variability of our sales cycles and our results of operations.</w:t>
      </w:r>
    </w:p>
    <w:p>
      <w:pPr>
        <w:spacing w:after="0" w:line="63"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As we continue to focus on, and may become more dependent on, sales to larger organizations, we expect our sales cycles to lengthen and become less predictable. We plan our expenses based on certain assumptions about the length and variability of our sales cycle. These assumptions are based upon historical trends for sales cycles and conversion rates associated with our existing customers. Any shift in sales cycle may adversely affect our financial results. Factors that may influence the length and variability of our sales cycle include:</w:t>
      </w:r>
    </w:p>
    <w:p>
      <w:pPr>
        <w:spacing w:after="0" w:line="64" w:lineRule="exact"/>
        <w:rPr>
          <w:sz w:val="20"/>
          <w:szCs w:val="20"/>
          <w:color w:val="auto"/>
        </w:rPr>
      </w:pPr>
    </w:p>
    <w:p>
      <w:pPr>
        <w:ind w:left="900" w:hanging="35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educate prospective customers about the uses and benefits of our Digital Optimization System;</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discretionary nature of purchasing and budget cycles and decisions;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competitive nature of evaluation and purchasing processes;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evolving functionality demands;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or planned introductions of new products, features, or functionality by us or our competitors; and</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lengthy purchasing approval processes.</w:t>
      </w:r>
    </w:p>
    <w:p>
      <w:pPr>
        <w:spacing w:after="0" w:line="21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Our increasing dependence on sales to larger organizations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w:t>
      </w:r>
    </w:p>
    <w:p>
      <w:pPr>
        <w:spacing w:after="0" w:line="29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We recognize revenue over the term of our customer contracts. Consequently, downturns or upturns in new sales may not be immediately reflected in our results of operations and may be difficult to discern.</w:t>
      </w:r>
    </w:p>
    <w:p>
      <w:pPr>
        <w:spacing w:after="0" w:line="63"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generally recognize subscription revenue from customers ratably over the contracted period. As a result, a portion of the revenue we report in each quarter is derived from the recognition of deferred revenue relating to subscriptions entered into during previous quarters. Consequently, a decline in new or renewed subscriptions in a given quarter may have a small impact on our revenue results for that quarter. However, such a decline will negatively affect our revenue in future quarters. Accordingly, the effect of significant downturns in sales and market acceptance of our Digital Optimization System and potential changes in our pricing policies or rate of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contracted period of the agreement with our customer. As a result, increased growth in the number of our customers could continue to result in our recognition of more costs than revenue in the earlier periods of the terms of our agreements. Our subscription model also makes it difficult for us to rapidly increase our revenue through additional sales in any period, as revenue from new customers must be recognized over the applicable subscription term.</w:t>
      </w:r>
    </w:p>
    <w:p>
      <w:pPr>
        <w:spacing w:after="0" w:line="28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software spending, could limit our ability to grow our business and materially adversely affect our business, financial condition, and results of operations.</w:t>
      </w:r>
    </w:p>
    <w:p>
      <w:pPr>
        <w:spacing w:after="0" w:line="6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results of operations may vary based on the impact of changes in our industry or the global economy on us or our customers or potential customers. Our ability to grow revenue and the profitability of our business depend on demand for software applications generally. Historically, during economic downturns there have been reductions in spending on software applications and services generally as well as pressure for extended billing terms and other financial concessions. If economic conditions deteriorate, including as a result of inflationary pressures, our customers and prospective customers may go out of business or elect to decrease their budgets, which would limit our ability to grow our business and materially adversely affect our financial condition and results of operations. In addition, our competitors, many of whom are larger and have greater financial resources than we do, may respond to challenging market conditions by lowering prices in an attempt to attract our customers, and they may be less dependent on key industry events to generate sales for their products.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If the market for SaaS applications develops more slowly than we expect or declines, our business would be adversely affected.</w:t>
      </w:r>
    </w:p>
    <w:p>
      <w:pPr>
        <w:spacing w:after="0" w:line="104" w:lineRule="exact"/>
        <w:rPr>
          <w:sz w:val="20"/>
          <w:szCs w:val="20"/>
          <w:color w:val="auto"/>
        </w:rPr>
      </w:pPr>
    </w:p>
    <w:p>
      <w:pPr>
        <w:ind w:right="60" w:firstLine="509"/>
        <w:spacing w:after="0" w:line="251" w:lineRule="auto"/>
        <w:rPr>
          <w:sz w:val="20"/>
          <w:szCs w:val="20"/>
          <w:color w:val="auto"/>
        </w:rPr>
      </w:pPr>
      <w:r>
        <w:rPr>
          <w:rFonts w:ascii="Arial" w:cs="Arial" w:eastAsia="Arial" w:hAnsi="Arial"/>
          <w:sz w:val="17"/>
          <w:szCs w:val="17"/>
          <w:color w:val="auto"/>
        </w:rPr>
        <w:t>Our success will depend to a substantial extent on the widespread adoption of SaaS applications in general, and of SaaS applications that look to solve aspects of digital optimization. Many organizations have invested substantial personnel and financial resources to integrate traditional on-premise business software applications into their businesses, and therefore may be reluctant or unwilling to migrate to SaaS applications. It is difficult to predict customer adoption rates and demand for our Digital Optimization System, the future growth rate and size of the SaaS applications market, or the entry of competitive applications. The expansion of the SaaS applications market depends on a number of factors, including the cost, performance, and perceived value associated with SaaS, as well as the ability of SaaS providers to address data security and privacy concerns. Additionally, government agencies have adopted, or may adopt, laws and regulations, and companies have adopted and may adopt policies regarding the collection and use of personal information obtained from consumers and other individuals, or may seek to access information on our platform, either of which may reduce the overall demand for our Digital Optimization System. If we or other SaaS providers experience data security incidents, loss of customer data, disruptions in delivery, or other problems, the market for SaaS applications, including our Digital Optimization System, may be negatively affected. If SaaS applications do not continue to achieve market acceptance, or there is a reduction in demand for SaaS applications caused by a lack of customer acceptance, technological challenges, weakening economic conditions, data security or privacy concerns, governmental regulation, competing technologies and products, or decreases in spending on SaaS applications, it would result in decreased revenue and our business, financial condition, and results of operations would be materially adversely affected.</w:t>
      </w:r>
    </w:p>
    <w:p>
      <w:pPr>
        <w:spacing w:after="0" w:line="29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The market in which we operate is highly competitive, and if we do not compete effectively, our business, financial condition, and results of operations could be materially adversely affected.</w:t>
      </w:r>
    </w:p>
    <w:p>
      <w:pPr>
        <w:spacing w:after="0" w:line="63" w:lineRule="exact"/>
        <w:rPr>
          <w:sz w:val="20"/>
          <w:szCs w:val="20"/>
          <w:color w:val="auto"/>
        </w:rPr>
      </w:pPr>
    </w:p>
    <w:p>
      <w:pPr>
        <w:jc w:val="both"/>
        <w:ind w:right="240" w:firstLine="509"/>
        <w:spacing w:after="0" w:line="248" w:lineRule="auto"/>
        <w:rPr>
          <w:sz w:val="20"/>
          <w:szCs w:val="20"/>
          <w:color w:val="auto"/>
        </w:rPr>
      </w:pPr>
      <w:r>
        <w:rPr>
          <w:rFonts w:ascii="Arial" w:cs="Arial" w:eastAsia="Arial" w:hAnsi="Arial"/>
          <w:sz w:val="18"/>
          <w:szCs w:val="18"/>
          <w:color w:val="auto"/>
        </w:rPr>
        <w:t>The market for applications that looks to address digital optimization is fragmented, rapidly evolving, and highly competitive, with relatively low barriers to entry. As this market continues to mature and new technologies and competitors enter the market, we expect competition to intensify. We face competition from:</w:t>
      </w:r>
    </w:p>
    <w:p>
      <w:pPr>
        <w:spacing w:after="0" w:line="74" w:lineRule="exact"/>
        <w:rPr>
          <w:sz w:val="20"/>
          <w:szCs w:val="20"/>
          <w:color w:val="auto"/>
        </w:rPr>
      </w:pPr>
    </w:p>
    <w:p>
      <w:pPr>
        <w:ind w:left="1020" w:hanging="479"/>
        <w:spacing w:after="0" w:line="248" w:lineRule="auto"/>
        <w:tabs>
          <w:tab w:leader="none" w:pos="8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large companies that have greater name recognition, much longer operating histories, more established customers and commercial partners, and significantly greater resources than we do, such as larger sales forces and marketing budgets, broader distribution networks and global presence and more mature intellectual property portfolios;</w:t>
      </w:r>
    </w:p>
    <w:p>
      <w:pPr>
        <w:spacing w:after="0" w:line="73" w:lineRule="exact"/>
        <w:rPr>
          <w:rFonts w:ascii="Arial" w:cs="Arial" w:eastAsia="Arial" w:hAnsi="Arial"/>
          <w:sz w:val="18"/>
          <w:szCs w:val="18"/>
          <w:color w:val="auto"/>
        </w:rPr>
      </w:pPr>
    </w:p>
    <w:p>
      <w:pPr>
        <w:ind w:left="900" w:hanging="35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in-house software systems;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large integrated systems vendors;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smaller companies offering alternative SaaS applications; and</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or emerging entrants seeking to develop competing technologies.</w:t>
      </w:r>
    </w:p>
    <w:p>
      <w:pPr>
        <w:spacing w:after="0" w:line="212" w:lineRule="exact"/>
        <w:rPr>
          <w:sz w:val="20"/>
          <w:szCs w:val="20"/>
          <w:color w:val="auto"/>
        </w:rPr>
      </w:pPr>
    </w:p>
    <w:p>
      <w:pPr>
        <w:ind w:right="160" w:firstLine="509"/>
        <w:spacing w:after="0" w:line="284" w:lineRule="auto"/>
        <w:rPr>
          <w:sz w:val="20"/>
          <w:szCs w:val="20"/>
          <w:color w:val="auto"/>
        </w:rPr>
      </w:pPr>
      <w:r>
        <w:rPr>
          <w:rFonts w:ascii="Arial" w:cs="Arial" w:eastAsia="Arial" w:hAnsi="Arial"/>
          <w:sz w:val="16"/>
          <w:szCs w:val="16"/>
          <w:color w:val="auto"/>
        </w:rPr>
        <w:t>Our competitors may be able to respond more quickly and effectively than we can to new or changing opportunities, technologies, standards, or customer requirements. With the introduction of new technologies, the evolution of our Digital Optimization System, and new market entrants, we expect competition to intensify in the future. Pricing pressures and increased competition generally could result in reduced sales, reduced margins, losses, or the failure of our Digital Optimization System to achieve or maintain more widespread market acceptance, any of which could harm our business.</w:t>
      </w:r>
    </w:p>
    <w:p>
      <w:pPr>
        <w:spacing w:after="0" w:line="155"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Our competitors vary in size and in the breadth and scope of the products and services they offer. Further, other established SaaS providers not currently focused on digital optimization may expand their services to compete with us. Many of our current and potential competitors have established marketing relationships, access to larger customer bases, pre-existing customer relationships, and major distribution agreements with consultants, system integrators, and resellers. Certain of our competitors have partnered with, or have acquired, and may in the future partner with or acquire, other competitors to offer services, leveraging their collective competitive positions, which makes, or would make, it more difficult to compete with them. For all of these reasons, we may not be able to compete successfully against our current and future competitors, which would harm our business. For more information about the competitive landscape in which we operate, see "Business—Competition" in our 2021 Form 10-K.</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0" w:name="page41"/>
    <w:bookmarkEnd w:id="40"/>
    <w:p>
      <w:pPr>
        <w:ind w:right="320"/>
        <w:spacing w:after="0" w:line="261" w:lineRule="auto"/>
        <w:rPr>
          <w:sz w:val="20"/>
          <w:szCs w:val="20"/>
          <w:color w:val="auto"/>
        </w:rPr>
      </w:pPr>
      <w:r>
        <w:rPr>
          <w:rFonts w:ascii="Arial" w:cs="Arial" w:eastAsia="Arial" w:hAnsi="Arial"/>
          <w:sz w:val="18"/>
          <w:szCs w:val="18"/>
          <w:b w:val="1"/>
          <w:bCs w:val="1"/>
          <w:i w:val="1"/>
          <w:iCs w:val="1"/>
          <w:color w:val="auto"/>
        </w:rPr>
        <w:t>If we fail to innovate in response to changing customer needs and technology developments and other market requirements, our business, financial condition, and results of operations would be materially adversely affected.</w:t>
      </w:r>
    </w:p>
    <w:p>
      <w:pPr>
        <w:spacing w:after="0" w:line="63"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Our ability to attract new customers and retain and increase revenue from existing customers depends in large part on our ability to enhance and improve our Digital Optimization System and to introduce new products, features, and functionality. In order to grow our business, we must develop products, features, and functionality that reflect the changing needs of customers, and we believe that the pace of innovation will continue to accelerate. The success of any enhancement to our Digital Optimization System depends on several factors, including timely completion, adequate quality testing, and market acceptance. Any new product, feature, or functionality that we develop may not be introduced in a timely or cost-effective manner, may contain defects, or may not achieve the market acceptance necessary to generate sufficient revenue. If we are unable to successfully develop new products, features or functionality, enhance our Digital Optimization System to meet customer requirements, or otherwise gain market acceptance, our business, financial condition, and results of operations could be materially adversely affected.</w:t>
      </w:r>
    </w:p>
    <w:p>
      <w:pPr>
        <w:spacing w:after="0" w:line="181"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Because our Digital Optimization System is available over the internet, we need to continuously modify and enhance it to keep pace with changes in internet-related hardware, software, analytics, and database technologies and standards. In addition, we need to continue to invest in technologies, services and partnerships that increase the types of data processed on our platform and the ease with which customers can send data into our platform. We must also continue to enhance our data sharing and data exchange capabilities so customers can share their data with internal business units, customers, and other third parties. In addition, our platform requires third-party public cloud infrastructure to operate. We must continue to innovate to optimize our offerings for these and other public clouds that our customers require, particularly as we expand internationally. Further, the markets in which we compete are subject to evolving industry standards and regulations, resulting in increasing data governance and compliance requirements for us and our customers. To the extent we expand into the public sector and other highly regulated industries, our Digital Optimization System may need to address additional requirements specific to those industries.</w:t>
      </w:r>
    </w:p>
    <w:p>
      <w:pPr>
        <w:spacing w:after="0" w:line="18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If we are unable to enhance our Digital Optimization System to keep pace with these rapidly evolving customer requirements, or if new technologies emerge that are able to deliver competitive products at lower prices, more efficiently, more conveniently, or more securely than our platform, our business, financial condition, and results of operations would be materially adversely affected.</w:t>
      </w:r>
    </w:p>
    <w:p>
      <w:pPr>
        <w:spacing w:after="0" w:line="29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If we fail to effectively manage our growth and changes to our business over time, our business, financial condition, and results of operations would be materially adversely affected.</w:t>
      </w:r>
    </w:p>
    <w:p>
      <w:pPr>
        <w:spacing w:after="0" w:line="63"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We have experienced and expect to continue to experience rapid growth in our business, personnel and operations, which has placed, and may continue to place, significant demands on our management, operational and financial resources. We intend to continue to invest to expand our business, personnel and operations, which may cause our margins to decline, and any investments we make will occur in advance of experiencing the benefits from such investments, making it difficult to determine in a timely manner if we are efficiently allocating our resources. As usage of our Digital Optimization System grows, we will need to devote additional resources to improving our platform’s features and functionality, developing or acquiring new products, and maintaining infrastructure performance. Even if we are able to upgrade our systems and expand our personnel,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In addition, we will need to appropriately scale our internal business systems and our services organization, including customer support, to serve our growing customer base, particularly as our customer demographics change over time. Managing these changes will require significant expenditures and allocation of valuable management resources. If we fail to successfully manage our anticipated growth and change, the quality of our products may suffer, which could negatively affect our brand and reputation and harm our ability to retain and attract customers. As we continue to grow, we may need to implement more complex organizational management structures or adapt our corporate culture and work environments to changing circumstances, which could have an adverse impact on our corporate culture. Any failure to preserve our culture could harm our business, including our ability to retain and recruit personnel, innovate and operate effectively, and execute on our business strategy.</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1" w:name="page42"/>
    <w:bookmarkEnd w:id="41"/>
    <w:p>
      <w:pPr>
        <w:ind w:right="40" w:firstLine="509"/>
        <w:spacing w:after="0" w:line="291" w:lineRule="auto"/>
        <w:rPr>
          <w:sz w:val="20"/>
          <w:szCs w:val="20"/>
          <w:color w:val="auto"/>
        </w:rPr>
      </w:pPr>
      <w:r>
        <w:rPr>
          <w:rFonts w:ascii="Arial" w:cs="Arial" w:eastAsia="Arial" w:hAnsi="Arial"/>
          <w:sz w:val="17"/>
          <w:szCs w:val="17"/>
          <w:b w:val="1"/>
          <w:bCs w:val="1"/>
          <w:i w:val="1"/>
          <w:iCs w:val="1"/>
          <w:color w:val="auto"/>
        </w:rPr>
        <w:t>The COVID-19 pandemic or similar outbreaks could have an adverse impact on our business and operations, and the markets and communities in which we, our partners and customers operate, and the impact of the pandemic is difficult to assess or predict.</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continued impact and ultimate duration of the COVID-19 pandemic (including the Omicron variant and any new strains or variants of the virus)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on the global economy and our business are difficult to assess or predict. Actual and potential impacts include:</w:t>
      </w:r>
    </w:p>
    <w:p>
      <w:pPr>
        <w:spacing w:after="0" w:line="88" w:lineRule="exact"/>
        <w:rPr>
          <w:sz w:val="20"/>
          <w:szCs w:val="20"/>
          <w:color w:val="auto"/>
        </w:rPr>
      </w:pPr>
    </w:p>
    <w:p>
      <w:pPr>
        <w:ind w:left="1020" w:right="560" w:hanging="479"/>
        <w:spacing w:after="0" w:line="324" w:lineRule="auto"/>
        <w:tabs>
          <w:tab w:leader="none" w:pos="895"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customer prospects and our existing customers may experience slowdowns in their businesses, which in turn may result in reduced demand for our Digital Optimization System, lengthening of sales cycles, loss of customers, and difficulties in collections.</w:t>
      </w:r>
    </w:p>
    <w:p>
      <w:pPr>
        <w:spacing w:after="0" w:line="16" w:lineRule="exact"/>
        <w:rPr>
          <w:rFonts w:ascii="Arial" w:cs="Arial" w:eastAsia="Arial" w:hAnsi="Arial"/>
          <w:sz w:val="16"/>
          <w:szCs w:val="16"/>
          <w:color w:val="auto"/>
        </w:rPr>
      </w:pPr>
    </w:p>
    <w:p>
      <w:pPr>
        <w:ind w:left="1020" w:right="140" w:hanging="479"/>
        <w:spacing w:after="0" w:line="261" w:lineRule="auto"/>
        <w:tabs>
          <w:tab w:leader="none" w:pos="8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employees are working from home significantly more frequently than they did historically prior to the COVID-19 pandemic, which may result in decreased employee productivity and morale with increased unwanted employee attrition.</w:t>
      </w:r>
    </w:p>
    <w:p>
      <w:pPr>
        <w:spacing w:after="0" w:line="62" w:lineRule="exact"/>
        <w:rPr>
          <w:rFonts w:ascii="Arial" w:cs="Arial" w:eastAsia="Arial" w:hAnsi="Arial"/>
          <w:sz w:val="18"/>
          <w:szCs w:val="18"/>
          <w:color w:val="auto"/>
        </w:rPr>
      </w:pPr>
    </w:p>
    <w:p>
      <w:pPr>
        <w:ind w:left="900" w:hanging="35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continue to incur fixed costs, particularly for real estate, and are deriving reduced or no benefit from those costs.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continue to experience disruptions to our growth planning, such as for facilities and international expansion.</w:t>
      </w:r>
    </w:p>
    <w:p>
      <w:pPr>
        <w:spacing w:after="0" w:line="103" w:lineRule="exact"/>
        <w:rPr>
          <w:rFonts w:ascii="Arial" w:cs="Arial" w:eastAsia="Arial" w:hAnsi="Arial"/>
          <w:sz w:val="18"/>
          <w:szCs w:val="18"/>
          <w:color w:val="auto"/>
        </w:rPr>
      </w:pPr>
    </w:p>
    <w:p>
      <w:pPr>
        <w:ind w:left="1020" w:right="400" w:hanging="479"/>
        <w:spacing w:after="0" w:line="261" w:lineRule="auto"/>
        <w:tabs>
          <w:tab w:leader="none" w:pos="8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anticipate incurring costs in returning to work from our facilities around the world, including changes to the workplace, such as space planning, food service, and amenities.</w:t>
      </w:r>
    </w:p>
    <w:p>
      <w:pPr>
        <w:spacing w:after="0" w:line="62" w:lineRule="exact"/>
        <w:rPr>
          <w:rFonts w:ascii="Arial" w:cs="Arial" w:eastAsia="Arial" w:hAnsi="Arial"/>
          <w:sz w:val="18"/>
          <w:szCs w:val="18"/>
          <w:color w:val="auto"/>
        </w:rPr>
      </w:pPr>
    </w:p>
    <w:p>
      <w:pPr>
        <w:ind w:left="900" w:hanging="35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subject to legal liability for safe workplace claims.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critical vendors could go out of business.</w:t>
      </w:r>
    </w:p>
    <w:p>
      <w:pPr>
        <w:spacing w:after="0" w:line="103" w:lineRule="exact"/>
        <w:rPr>
          <w:rFonts w:ascii="Arial" w:cs="Arial" w:eastAsia="Arial" w:hAnsi="Arial"/>
          <w:sz w:val="18"/>
          <w:szCs w:val="18"/>
          <w:color w:val="auto"/>
        </w:rPr>
      </w:pPr>
    </w:p>
    <w:p>
      <w:pPr>
        <w:ind w:left="1020" w:right="340" w:hanging="479"/>
        <w:spacing w:after="0" w:line="291" w:lineRule="auto"/>
        <w:tabs>
          <w:tab w:leader="none" w:pos="895"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in-person marketing events, including customer user conferences, have been cancelled, and we may continue to experience prolonged delays in our ability to reschedule or conduct in-person marketing events and other sales and marketing activities.</w:t>
      </w:r>
    </w:p>
    <w:p>
      <w:pPr>
        <w:spacing w:after="0" w:line="38" w:lineRule="exact"/>
        <w:rPr>
          <w:rFonts w:ascii="Arial" w:cs="Arial" w:eastAsia="Arial" w:hAnsi="Arial"/>
          <w:sz w:val="17"/>
          <w:szCs w:val="17"/>
          <w:color w:val="auto"/>
        </w:rPr>
      </w:pPr>
    </w:p>
    <w:p>
      <w:pPr>
        <w:ind w:left="1020" w:right="260" w:hanging="479"/>
        <w:spacing w:after="0" w:line="248" w:lineRule="auto"/>
        <w:tabs>
          <w:tab w:leader="none" w:pos="8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continue to conduct or from time to time return to conducting our business on a fully virtual basis, as opposed to the mix of virtual and in-person interactions with customers and partners that our marketing, sales, professional services, and support organizations were accustomed to prior to the COVID-19 pandemic.</w:t>
      </w:r>
    </w:p>
    <w:p>
      <w:pPr>
        <w:spacing w:after="0" w:line="182"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As global economic conditions improve with the rollout of vaccines, business activity may not recover as quickly as anticipated. Conditions may vary between countries and regions and will be subject to the effectiveness and duration of government policies, vaccine administration rates, and other factors that may not be foreseeable. Legally required vaccine mandates have been imposed and have resulted in multiple unresolved court challenges, some of which remain ongoing. We currently require employees in North America to be fully vaccinated to utilize our office space or attend in-person company events and have implemented other health and safety protocols. It is not possible to predict with any certainty the impact that our current policies and protocols could have on our company, our workforce, and our operations. In addition, we cannot predict what policies we may determine to, or be required to, implement in the future, or the effect thereof on our business, including whether the imposition of certain policies could cause us to lose, or experience difficulties hiring, qualified personnel. It is not possible at this time to predict the duration and extent of the impact that COVID-19 could have on worldwide economic activity and our business in particular. In addition, as stay-at-home orders and other quarantine and isolation measures are lifted, the amount of time that consumers spend interacting with digital products may normalize or decline, which could slow customer demand for our Digital Optimization System. Moreover, to the extent the COVID-19 pandemic materially adversely affects our business, financial condition, and results of operations, it may also have the effect of heightening many of the other risks described in this “Risk Factors” section, including, but not limited to, those related to our ability to expand within our existing customer base, acquire new customers, develop and expand our sales and marketing capabilities, and expand internationally.</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42" w:name="page43"/>
    <w:bookmarkEnd w:id="42"/>
    <w:p>
      <w:pPr>
        <w:ind w:right="40" w:firstLine="509"/>
        <w:spacing w:after="0" w:line="248" w:lineRule="auto"/>
        <w:rPr>
          <w:sz w:val="20"/>
          <w:szCs w:val="20"/>
          <w:color w:val="auto"/>
        </w:rPr>
      </w:pPr>
      <w:r>
        <w:rPr>
          <w:rFonts w:ascii="Arial" w:cs="Arial" w:eastAsia="Arial" w:hAnsi="Arial"/>
          <w:sz w:val="18"/>
          <w:szCs w:val="18"/>
          <w:b w:val="1"/>
          <w:bCs w:val="1"/>
          <w:i w:val="1"/>
          <w:iCs w:val="1"/>
          <w:color w:val="auto"/>
        </w:rPr>
        <w:t>If our security measures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p>
    <w:p>
      <w:pPr>
        <w:spacing w:after="0" w:line="74"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Use of our platform involves the storage, transmission, and processing of our customers’ proprietary data, including personal or identifying information of their customers or employees. Unauthorized disclosure of or access to or security breaches of our platform could result in the loss of data, loss of business, severe reputational damage adversely affecting customer or investor confidence, damage to our brand, diversion of management’s attention, regulatory investigations and orders, litigation, indemnity obligations, damages for contract breach, penalties for violation of applicable laws or regulations, and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We have incurred and expect to continue to incur significant expenses to prevent security breaches, including deploying additional personnel and protection technologies, training employees, and engaging third-party experts and consultants. Even though we do not control the security measures of third parties who may have access to our customer data, our data or our platform, we may be responsible for any breach of such measures or suffer reputational harm even where we do not have recourse to the third party that caused the breach. In addition, any failure by our vendors to comply with applicable law or regulations could result in proceedings against us by governmental entities or others.</w:t>
      </w:r>
    </w:p>
    <w:p>
      <w:pPr>
        <w:spacing w:after="0" w:line="186"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Cyberattacks, denial-of-service attacks, ransomware attacks, business email compromises, computer malware, viruses, and social engineering (including phishing) are prevalent in our industry and our customers’ industries. In addition, we may experience attacks, unavailable systems, unauthorized access to systems or data or disclosure due to employee theft or misuse, denial-of-service attacks, sophisticated nation-state and nation-state supported actors, and advanced persistent threat intrusions. Electronic security attacks designed to gain access to personal, sensitive, or confidential data are constantly evolving, and such attacks continue to grow in sophistication.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the COVID-19 pandemic, we may also face increased cybersecurity risks due to our reliance on internet technology and the number of our and our service providers’ employees who are (and may continue to be) working remotely, which may create additional opportunities for cybercriminals to exploit vulnerabilities. We have previously been, and may in the future become, the target of cyberattacks by third parties seeking unauthorized access to our or our customers’ data or to disrupt our operations or ability to provide our services.</w:t>
      </w:r>
    </w:p>
    <w:p>
      <w:pPr>
        <w:spacing w:after="0" w:line="168"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auto"/>
        </w:rPr>
        <w:t>Because data security is a critical competitive factor in our industry, we make numerous statements in our customer contracts, privacy policies, terms of service, and marketing materials, providing assurances about the security of our platform including detailed descriptions of security measures we employ. Should any of these statements be untrue or become untrue, even in circumstances beyond our reasonable control, we may face claims of misrepresentation or deceptiveness by the U.S. Federal Trade Commission (the “FTC”), state, federal and foreign regulators, and private litigants.</w:t>
      </w:r>
    </w:p>
    <w:p>
      <w:pPr>
        <w:spacing w:after="0" w:line="155"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Further, we have contractual and legal obligations to notify relevant stakeholders of security breaches. Most jurisdictions have enacted laws requiring companies to notify individuals, regulatory authorities, and others of security incidents or data breaches involving certain types of data. In addition, our agreements with certain customers may require us to notify them in the event of a security incident or data breach.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incident or data breach and otherwise comply with the multitude of foreign, federal, state, and local laws and regulations relating to the unauthorized access to, or use or disclosure of, personal information. Additionally, as a result of a breach or other security incident, we could be subject to demands, claims, and litigation by private parties and investigations, related actions, and penalties by regulatory authorities. Further, if we fail to detect or remediate a security breach in a timely manner, or a breach otherwise affects a large amount of data of one or more customers, or if we suffer a cyberattack that impacts our ability to operate our platform, we may suffer damage to our reputation and our brand, and our business, financial condition, and results of operations may be materially adversely affected. Further, although we maintain insurance coverage, our insurance coverage may not be adequate for data security breaches,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our customer base, and process, store, and transmit increasingly large amounts of proprietary and sensitive data.</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3" w:name="page44"/>
    <w:bookmarkEnd w:id="43"/>
    <w:p>
      <w:pPr>
        <w:ind w:right="420"/>
        <w:spacing w:after="0" w:line="324" w:lineRule="auto"/>
        <w:rPr>
          <w:sz w:val="20"/>
          <w:szCs w:val="20"/>
          <w:color w:val="auto"/>
        </w:rPr>
      </w:pPr>
      <w:r>
        <w:rPr>
          <w:rFonts w:ascii="Arial" w:cs="Arial" w:eastAsia="Arial" w:hAnsi="Arial"/>
          <w:sz w:val="16"/>
          <w:szCs w:val="16"/>
          <w:b w:val="1"/>
          <w:bCs w:val="1"/>
          <w:i w:val="1"/>
          <w:iCs w:val="1"/>
          <w:color w:val="auto"/>
        </w:rPr>
        <w:t>We could suffer disruptions, outages, defects, and other performance and quality problems with our platform or with the public cloud and internet infrastructure on which it relies, which may materially adversely affect our business, financial condition, and results of operations.</w:t>
      </w:r>
    </w:p>
    <w:p>
      <w:pPr>
        <w:spacing w:after="0" w:line="16"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Our business and continued growth depend in part on the ability of our existing and potential customers to access our platform at any time and within an acceptable amount of time. Our agreements with customers typically provide for service level commitments. If we are unable to meet these commitments or if we suffer unexcused periods of downtime for our platform, we may be contractually obligated to provide financial credits or extend the term of the subscription for the period of unexcused downtime, or our customers may be entitled to terminate their agreements and obtain a pro rata refund. We have in the past provided, and may in the future be required to provide, financial credits and pro rata refunds as a result of not being able to meet these commitments. We have experienced, and may in the future experience, disruptions, outages, defects, and other performance and quality problems with our platform. We have also experienced, and may in the future experience, disruptions, outages, defects, and other performance and quality problems with the public cloud and internet infrastructure on which our platform relies. These problems can be caused by a variety of factors, including infrastructure changes, introductions of new functionality, vulnerabilities and defects in proprietary and open-source software, human error or misconduct, capacity constraints due to an overwhelming number of users accessing our platform simultaneously, design limitations, or denial of service attacks or other security-related incidents. The performance and availability of the cloud computing infrastructure that we use to host our platform and many of the internal tools we use to operate our business is outside our control; therefore, we are not in full control of whether we meet the service level commitments under our customer agreements. As a result, our business, financial condition, and results of operations could be materially adversely affected if we suffer unscheduled downtime that exceeds the service level commitments we have made to our customers. Any extended service outages could materially adversely affect our business and reputation.</w:t>
      </w:r>
    </w:p>
    <w:p>
      <w:pPr>
        <w:spacing w:after="0" w:line="187"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Our Digital Optimization System is proprietary, and we rely on the expertise of members of our engineering, operations, product, and software development teams for their continued performance. It may become increasingly difficult and costly to maintain and improve our performance, especially during peak usage times and as our platform becomes more complex and our user traffic increases.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materially adversely affected.</w:t>
      </w:r>
    </w:p>
    <w:p>
      <w:pPr>
        <w:spacing w:after="0" w:line="159"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We depend and rely on third-party hosted cloud services and internet infrastructure in order to operate critical functions of our business. For example, our platform and internal tools use computing, storage capabilities, bandwidth, and other services provided by AWS. If these services become unavailable due to extended outages, interruptions, or because they are no longer available on commercially reasonable terms, our expenses could increase, our ability to manage our business could be interrupted, and our processes for managing sales of and delivering our Digital Optimization System could be impaired until we are able to identify, obtain, and implement equivalent services, if we are able to do so at all. Any of these circumstances could materially adversely affect our business, financial condition, and results of operations.</w:t>
      </w:r>
    </w:p>
    <w:p>
      <w:pPr>
        <w:spacing w:after="0" w:line="175"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Any disruptions, outages, defects, and other performance and quality problems with our platform or with the public cloud and internet infrastructure on which it relies, or any material change in our contractual and other business relationships with any public cloud providers we contract with, could result in reduced use of our platform, increased expenses, including service credit obligations, and harm to our brand and reputation, any of which could have a material adverse effect on our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or perceived errors, failures, or bugs in our platform could materially adversely affect our business and growth prospects.</w:t>
      </w:r>
    </w:p>
    <w:p>
      <w:pPr>
        <w:spacing w:after="0" w:line="104" w:lineRule="exact"/>
        <w:rPr>
          <w:sz w:val="20"/>
          <w:szCs w:val="20"/>
          <w:color w:val="auto"/>
        </w:rPr>
      </w:pPr>
    </w:p>
    <w:p>
      <w:pPr>
        <w:jc w:val="both"/>
        <w:ind w:right="220" w:firstLine="509"/>
        <w:spacing w:after="0" w:line="262" w:lineRule="auto"/>
        <w:rPr>
          <w:sz w:val="20"/>
          <w:szCs w:val="20"/>
          <w:color w:val="auto"/>
        </w:rPr>
      </w:pPr>
      <w:r>
        <w:rPr>
          <w:rFonts w:ascii="Arial" w:cs="Arial" w:eastAsia="Arial" w:hAnsi="Arial"/>
          <w:sz w:val="17"/>
          <w:szCs w:val="17"/>
          <w:color w:val="auto"/>
        </w:rPr>
        <w:t>Because our platform is complex, undetected errors, failures, vulnerabilities, or bugs may occur, especially when updates are deployed. We have discovered and expect we will continue to discover software errors, failures, vulnerabilities, and bugs in our platform and anticipate that certain of these errors, failures, vulnerabilities, and bugs will only be discovered and remediated after deployment to customers. Software errors, failures, vulnerabilities, and bugs in our platform could materially adversely affect our business and growth prospects.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4" w:name="page45"/>
    <w:bookmarkEnd w:id="44"/>
    <w:p>
      <w:pPr>
        <w:ind w:right="20"/>
        <w:spacing w:after="0" w:line="261" w:lineRule="auto"/>
        <w:rPr>
          <w:sz w:val="20"/>
          <w:szCs w:val="20"/>
          <w:color w:val="auto"/>
        </w:rPr>
      </w:pPr>
      <w:r>
        <w:rPr>
          <w:rFonts w:ascii="Arial" w:cs="Arial" w:eastAsia="Arial" w:hAnsi="Arial"/>
          <w:sz w:val="18"/>
          <w:szCs w:val="18"/>
          <w:b w:val="1"/>
          <w:bCs w:val="1"/>
          <w:i w:val="1"/>
          <w:iCs w:val="1"/>
          <w:color w:val="auto"/>
        </w:rPr>
        <w:t>Any failure to offer high-quality product support may adversely affect our relationships with our customers, our reputation, and our business, financial condition, and results of operations.</w:t>
      </w:r>
    </w:p>
    <w:p>
      <w:pPr>
        <w:spacing w:after="0" w:line="63"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using our Digital Optimization System, our customers depend on our product support team to resolve complex technical and operational issues. We may be unable to respond quickly enough to accommodate short-, medium-, and long-term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materially adversely affect our results of operations. Our sales are highly dependent on our business reputation and on positive recommendations from our existing customers. Any failure to maintain high-quality product support, or a market perception that we do not maintain high-quality product support, could materially adversely affect our reputation, our ability to sell our Digital Optimization System to existing and prospective customers, our business, financial condition, and results of operations.</w:t>
      </w:r>
    </w:p>
    <w:p>
      <w:pPr>
        <w:spacing w:after="0" w:line="34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Incorrect or improper implementation or use of our Digital Optimization System could result in customer dissatisfaction and materially adversely affect our business, financial condition, and results of operations.</w:t>
      </w:r>
    </w:p>
    <w:p>
      <w:pPr>
        <w:spacing w:after="0" w:line="63"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often assist our customers in implementing our Digital Optimization System (whether through us directly or a third-party implementation partner), and they may need training in the proper use of our Digital Optimization System to maximize its potential and avoid inadequate performance. If we or our implementation partners fail to train customers on how to efficiently and effectively use our Digital Optimization System or we fail to provide adequate product support to our customers, we may lose opportunities for additional subscriptions, customers may choose not to renew or expand the use of our Digital Optimization System, we may experience negative publicity or legal claims against us, and our reputation and brand may suffer. Any of these circumstances could materially adversely affect our business, financial condition, and results of operations.</w:t>
      </w:r>
    </w:p>
    <w:p>
      <w:pPr>
        <w:spacing w:after="0" w:line="283"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b w:val="1"/>
          <w:bCs w:val="1"/>
          <w:i w:val="1"/>
          <w:iCs w:val="1"/>
          <w:color w:val="auto"/>
        </w:rPr>
        <w:t>If we fail to integrate our platform with a variety of operating systems, software applications, and platforms that are developed by others, our platform may become less marketable, less competitive, or obsolete, and our business, financial condition, results of operations, and growth prospects could be materially adversely affected.</w:t>
      </w:r>
    </w:p>
    <w:p>
      <w:pPr>
        <w:spacing w:after="0" w:line="7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Our customers and prospective customers expect our Digital Optimization System to integrate with a variety of software platforms, and we need to continuously modify and enhance our platform to adapt to changes in software, browser, and database technologies. We have developed our platform to be able to integrate with third-party SaaS applications through the interaction of application programming interfaces (“APIs”). In general, we rely on the fact that the providers of such software systems continue to allow us access to their APIs to enable these custom integrations. We are subject to the standard terms and conditions of such providers, or other agreements we may have with them, which govern the distribution, operation, and fees of such software systems, and which may be subject to change by such providers. As a result of limits or prohibitions by other parties, unacceptable terms, technical difficulties, our failure to recognize demand, or for other reasons, we may not successfully build, deploy, or offer the integrations needed. If we fail to offer a variety of integrations or the integrations that our customers and prospective customers expect and demand, then our Digital Optimization System may become less marketable, less competitive, or obsolete, and our business, financial condition, results of operations, and growth prospects could be materially adversely affected.</w:t>
      </w:r>
    </w:p>
    <w:p>
      <w:pPr>
        <w:spacing w:after="0" w:line="28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do not have the history with our subscription or pricing models necessary to accurately predict optimal pricing necessary to attract new customers and retain existing customers.</w:t>
      </w:r>
    </w:p>
    <w:p>
      <w:pPr>
        <w:spacing w:after="0" w:line="63"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We have limited experience with respect to determining the optimal prices for our Digital Optimization System and, as a result, we have in the past needed, and expect in the future that we will need, to change our pricing model from time to time. As the market for our Digital Optimization System matures, or as new competitors introduce new products or services that compete with ours, we may be unable to attract new customers at the same price or based on the same pricing models as we have used historically. Pricing decisions may also impact the mix of adoption among our subscription plans and negatively impact our overall revenue. Although we occasionally upsell within contract terms based on customer needs, substantially all of our customer contracts have a subscription period of one year or longer, for which we primarily bill annually in advance with no obligation to renew. As a result, potential changes in our pricing policies, or our rate of customer expansion or retention, may not be fully reflected in our results of operations until future periods. Moreover, larger organizations may demand price concessions. As a result, in the future we may be required to reduce our prices, which could materially adversely affect our business, financial condition, and results of operations.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5" w:name="page46"/>
    <w:bookmarkEnd w:id="45"/>
    <w:p>
      <w:pPr>
        <w:ind w:right="420"/>
        <w:spacing w:after="0" w:line="291" w:lineRule="auto"/>
        <w:rPr>
          <w:sz w:val="20"/>
          <w:szCs w:val="20"/>
          <w:color w:val="auto"/>
        </w:rPr>
      </w:pPr>
      <w:r>
        <w:rPr>
          <w:rFonts w:ascii="Arial" w:cs="Arial" w:eastAsia="Arial" w:hAnsi="Arial"/>
          <w:sz w:val="17"/>
          <w:szCs w:val="17"/>
          <w:b w:val="1"/>
          <w:bCs w:val="1"/>
          <w:i w:val="1"/>
          <w:iCs w:val="1"/>
          <w:color w:val="auto"/>
        </w:rPr>
        <w:t>Failure to effectively develop and expand our sales and marketing capabilities, including our relationships with channel partners, could harm our ability to increase our customer base and achieve broader market acceptance of our products and platform.</w:t>
      </w:r>
    </w:p>
    <w:p>
      <w:pPr>
        <w:spacing w:after="0" w:line="39"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In order to increase our sales to new and existing customers, we must expand our sales and marketing operations, including our sales force and third-party channel partners, and continue to dedicate significant resources to inbound sales and marketing programs, both domestically and internationally. Our ability to increase our customer base and achieve broader market acceptance of our products will depend, in part, on our ability to effectively organize, focus, and train our sales and marketing personnel. If we are unable to increase adoption of our Digital Optimization System by new and existing customers, especially enterprise customers, our business, financial condition, and results of operations may be materially adversely affected.</w:t>
      </w:r>
    </w:p>
    <w:p>
      <w:pPr>
        <w:spacing w:after="0" w:line="15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efforts to develop and expand our sales and marketing capabilities will require us to invest significant financial and other resources, including in industries and sales channels in which we have limited experience to date. We may not achieve anticipated revenue growth from expanding our sales and marketing capabilities, and our business, financial condition, results of operations, and growth prospects may be materially adversely affected, if we are unable to hire, develop, integrate, and retain talented and effective sales personnel and global systems integrators, consultancies, and digital agencies; if our new and existing sales personnel are unable to achieve desired productivity levels in a reasonable period of time; or if our sales and marketing programs are not effective.</w:t>
      </w:r>
    </w:p>
    <w:p>
      <w:pPr>
        <w:spacing w:after="0" w:line="29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We may be unable to build and maintain successful relationships with our channel partners or such channel partners may fail to perform, which could materially adversely affect our business, financial condition, results of operations, and growth prospects.</w:t>
      </w:r>
    </w:p>
    <w:p>
      <w:pPr>
        <w:spacing w:after="0" w:line="63"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employ a go-to-market business model whereby a portion of our revenue is generated by sales through our channel partners, such as independent software vendors and resellers, that further expand the reach of our direct sales force into additional geographies, sectors, and industries. In particular, we have entered, and intend to continue to enter, into strategic sales distributor and reseller relationships in certain international markets where we do not have a local presence. We provide certain of our channel partners with specific training and programs to assist them in selling access to our Digital Optimization System, but there can be no assurance that these steps will be effective, and restrictions on travel and other limitations as a result of the COVID-19 pandemic undermine our efforts to provide training and build relationships. In addition, if our channel partners are unsuccessful in marketing and selling access to our Digital Optimization System, it would limit our expansion into certain geographies, sectors, and industries. If we are unable to develop and maintain effective sales incentive programs for our channel partners, we may not be able to incentivize these partners to sell access to our Digital Optimization System to customers.</w:t>
      </w:r>
    </w:p>
    <w:p>
      <w:pPr>
        <w:spacing w:after="0" w:line="184"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Some of these partners may also market, sell, and support offerings that are competitive with ours, may devote more resources to the marketing, sales, and support of such competitive offerings, may have incentives to promote our competitors’ offerings to the detriment of our own, or may cease selling access to our Digital Optimization System altogether. Our channel partners could subject us to lawsuits, potential liability, and reputational harm if, for example, any of our channel partners misrepresents the functionality of our Digital Optimization System to customers or violates laws or our or their corporate policies. Our ability to achieve revenue growth in the future will depend, in part, on our success in maintaining successful relationships with our channel partners, identifying additional channel partners, including in new markets, and training our channel partners to independently sell access to our Digital Optimization System. If our channel partners are unsuccessful in selling access to our Digital Optimization System, or if we are unable to enter into arrangements with or retain a sufficient number of high-quality channel partners in each of the regions in which we sell access to our Digital Optimization System and keep them motivated to sell access to our Digital Optimization System, our business, financial condition, results of operations, and growth prospects could be adversely affected.</w:t>
      </w:r>
    </w:p>
    <w:p>
      <w:pPr>
        <w:spacing w:after="0" w:line="28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If our marketing strategies are not effective in attracting new and retaining existing customers, our business and ability to grow our revenues would be harmed.</w:t>
      </w:r>
    </w:p>
    <w:p>
      <w:pPr>
        <w:spacing w:after="0" w:line="63"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We rely on our marketing strategies consisting of a combination of online and offline marketing programs such as online advertising, blogs, public relations, social media, user conferences, educational white papers and webinars, product demos, workshops, roundtables, and customer case studies, offering customers a free-tier, self-service option, and other inbound lead generation and outbound sales strategies to drive our sales and revenue. These strategies may not continue to generate the level of sales necessary to increase our revenue. If our outbound sales efforts are unsuccessful at attracting and retaining new and existing customers, we may be unable to grow our market share and revenue. If our customer base does not continue to grow through word-of-mouth marketing and viral adoption or outbound sales efforts, we may be required to incur significantly higher sales and marketing expenses in order to acquire new subscribers, which could materially adversely affect our business and results of operations. In addition, high levels of customer satisfaction and market adoption are central to our marketing model. Any decrease in our customers’ satisfaction with our products, including as a result of actions outside of our control, could harm word-of-mouth referrals and our brand.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6" w:name="page47"/>
    <w:bookmarkEnd w:id="46"/>
    <w:p>
      <w:pPr>
        <w:ind w:right="60" w:firstLine="509"/>
        <w:spacing w:after="0" w:line="262" w:lineRule="auto"/>
        <w:rPr>
          <w:sz w:val="20"/>
          <w:szCs w:val="20"/>
          <w:color w:val="auto"/>
        </w:rPr>
      </w:pPr>
      <w:r>
        <w:rPr>
          <w:rFonts w:ascii="Arial" w:cs="Arial" w:eastAsia="Arial" w:hAnsi="Arial"/>
          <w:sz w:val="17"/>
          <w:szCs w:val="17"/>
          <w:color w:val="auto"/>
        </w:rPr>
        <w:t>Additionally, many customers never convert from our free-tier, self-service option to a paid subscription contract. Further, we often depend on individuals within an organization who initiate our free-tier, self-service option being able to convince decision-makers within their organization to convert to a subscription contract. Many of these organizations have complex and multi-layered purchasing requirements. To the extent that these free-tier customers do not become paying subscribers, we will not realize the intended benefits of this marketing strategy.</w:t>
      </w:r>
    </w:p>
    <w:p>
      <w:pPr>
        <w:spacing w:after="0" w:line="280"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b w:val="1"/>
          <w:bCs w:val="1"/>
          <w:i w:val="1"/>
          <w:iCs w:val="1"/>
          <w:color w:val="auto"/>
        </w:rPr>
        <w:t>Sales efforts to larger organizations involve risks that may not be present or that are present to a lesser extent with respect to sales to smaller organizations.</w:t>
      </w:r>
    </w:p>
    <w:p>
      <w:pPr>
        <w:spacing w:after="0" w:line="63" w:lineRule="exact"/>
        <w:rPr>
          <w:sz w:val="20"/>
          <w:szCs w:val="20"/>
          <w:color w:val="auto"/>
        </w:rPr>
      </w:pPr>
    </w:p>
    <w:p>
      <w:pPr>
        <w:ind w:right="60" w:firstLine="509"/>
        <w:spacing w:after="0" w:line="251" w:lineRule="auto"/>
        <w:rPr>
          <w:sz w:val="20"/>
          <w:szCs w:val="20"/>
          <w:color w:val="auto"/>
        </w:rPr>
      </w:pPr>
      <w:r>
        <w:rPr>
          <w:rFonts w:ascii="Arial" w:cs="Arial" w:eastAsia="Arial" w:hAnsi="Arial"/>
          <w:sz w:val="17"/>
          <w:szCs w:val="17"/>
          <w:color w:val="auto"/>
        </w:rPr>
        <w:t>We have experienced rapid growth in our customer base since our inception. Although our growth strategy includes acquiring new customers across industries, company size, and stages of digital maturity, we believe there is continued significant opportunity to continue to penetrate the largest global organizations. Sales to larger organizations involve risks that may not be present or that are present to a lesser extent with sales to smaller organizations, such as longer sales cycles, more complex customer requirements, substantial upfront sales costs, and less predictability in completing some of our sales. For example, enterprise customers, which we define as customers with more than 1,500 employees, may require considerable time to evaluate and test our Digital Optimization System prior to making a purchase decision and placing an order. A number of factors influence the length and variability of our sales cycle, including the need to educate potential customers about the uses and benefits of our Digital Optimization System,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enterprises typically taking longer to complete. During the quarter ended March 31, 2022, the average length of our sales cycle to enterprises was four to six months, as compared to one to two months to non-enterprise customers. In addition, larger organizations may demand more features and integration services. Sales to larger organizations also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If we fail to effectively manage these risks associated with sales cycles and sales to larger organizations, our business, financial condition, and results of operations may be materially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and enhance our brand, our business, financial condition, and results of operations may be materially adversely affected.</w:t>
      </w:r>
    </w:p>
    <w:p>
      <w:pPr>
        <w:spacing w:after="0" w:line="138"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We believe that maintaining and enhancing our reputation as a differentiated and category-defining company in digital optimization is critical to our relationships with our existing customers and to our ability to attract new customers. The successful promotion of our brand attributes will depend on a number of factors, including our marketing efforts, our ability to ensure that our platform remains reliable and secure, our ability to continue to develop high-quality software, and our ability to successfully differentiate our Digital Optimization System from competitive products and services. In addition, independent industry analysts often provide reviews of our Digital Optimization System, as well as products and services offered by our competitors, and perception of our Digital Optimization System in the marketplace may be significantly influenced by these reviews. If these reviews are negative, or less positive as compared to those of our competitors’ products and services, our brand may be adversely affected. It may also be difficult to maintain and enhance our brand in connection with sales through channel or strategic partners.</w:t>
      </w:r>
    </w:p>
    <w:p>
      <w:pPr>
        <w:spacing w:after="0" w:line="208"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The promotion of our brand requires us to make substantial expenditures, and we anticipate that the expenditures will increase as our market becomes more competitive, as we expand into new markets, and as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materially adversely affect our business, financial condition, and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are international in scope, and we plan further geographic expansion, creating a variety of operational challenges.</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For the year ended December 31, 2021 and the three months ended March 31, 2022, 36% and 37% of our revenue was generated outside the United States, respectively. A component of our growth strategy involves the further expansion of our operations and customer base internationally, which will require significant dedication of management attention and financial resources. We are continuing to adapt to and develop strategies to address international markets, but there is no guarantee that such efforts will have the desired effect. Our sales organization outside the United States is substantially smaller than our sales organization in the United States, and to date, only a very small portion of our sales has been driven by resellers or other channel partners. To the extent we are unable to effectively engage with non-U.S. customers due to our limited sales force capacity and limited channel partners, we may be unable to effectively grow in international markets.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7" w:name="page48"/>
    <w:bookmarkEnd w:id="47"/>
    <w:p>
      <w:pPr>
        <w:ind w:left="520"/>
        <w:spacing w:after="0"/>
        <w:rPr>
          <w:sz w:val="20"/>
          <w:szCs w:val="20"/>
          <w:color w:val="auto"/>
        </w:rPr>
      </w:pPr>
      <w:r>
        <w:rPr>
          <w:rFonts w:ascii="Arial" w:cs="Arial" w:eastAsia="Arial" w:hAnsi="Arial"/>
          <w:sz w:val="18"/>
          <w:szCs w:val="18"/>
          <w:color w:val="auto"/>
        </w:rPr>
        <w:t>Our current and future international business and operations involve a variety of risks, including:</w:t>
      </w:r>
    </w:p>
    <w:p>
      <w:pPr>
        <w:spacing w:after="0" w:line="104" w:lineRule="exact"/>
        <w:rPr>
          <w:sz w:val="20"/>
          <w:szCs w:val="20"/>
          <w:color w:val="auto"/>
        </w:rPr>
      </w:pPr>
    </w:p>
    <w:p>
      <w:pPr>
        <w:ind w:left="900" w:hanging="35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slower than anticipated public cloud adoption by international businesses;</w:t>
      </w:r>
    </w:p>
    <w:p>
      <w:pPr>
        <w:spacing w:after="0" w:line="103" w:lineRule="exact"/>
        <w:rPr>
          <w:rFonts w:ascii="Arial" w:cs="Arial" w:eastAsia="Arial" w:hAnsi="Arial"/>
          <w:sz w:val="18"/>
          <w:szCs w:val="18"/>
          <w:color w:val="auto"/>
        </w:rPr>
      </w:pPr>
    </w:p>
    <w:p>
      <w:pPr>
        <w:ind w:left="1020" w:right="440" w:hanging="479"/>
        <w:spacing w:after="0" w:line="291" w:lineRule="auto"/>
        <w:tabs>
          <w:tab w:leader="none" w:pos="895"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which may be unexpected, in a specific country’s or region’s political, economic, or legal and regulatory environment, including Brexit, armed conflicts, pandemics, terrorist activities, tariffs, trade wars, or long-term environmental risks;</w:t>
      </w:r>
    </w:p>
    <w:p>
      <w:pPr>
        <w:spacing w:after="0" w:line="38" w:lineRule="exact"/>
        <w:rPr>
          <w:rFonts w:ascii="Arial" w:cs="Arial" w:eastAsia="Arial" w:hAnsi="Arial"/>
          <w:sz w:val="17"/>
          <w:szCs w:val="17"/>
          <w:color w:val="auto"/>
        </w:rPr>
      </w:pPr>
    </w:p>
    <w:p>
      <w:pPr>
        <w:ind w:left="900" w:hanging="35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need to adapt and localize our Digital Optimization System for specific countries;</w:t>
      </w:r>
    </w:p>
    <w:p>
      <w:pPr>
        <w:spacing w:after="0" w:line="103" w:lineRule="exact"/>
        <w:rPr>
          <w:rFonts w:ascii="Arial" w:cs="Arial" w:eastAsia="Arial" w:hAnsi="Arial"/>
          <w:sz w:val="18"/>
          <w:szCs w:val="18"/>
          <w:color w:val="auto"/>
        </w:rPr>
      </w:pPr>
    </w:p>
    <w:p>
      <w:pPr>
        <w:ind w:left="1020" w:right="420" w:hanging="479"/>
        <w:spacing w:after="0" w:line="261"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payment cycles and greater difficulty enforcing contracts, collecting accounts receivable, or satisfying revenue recognition criteria, especially in emerging markets;</w:t>
      </w:r>
    </w:p>
    <w:p>
      <w:pPr>
        <w:spacing w:after="0" w:line="62" w:lineRule="exact"/>
        <w:rPr>
          <w:rFonts w:ascii="Arial" w:cs="Arial" w:eastAsia="Arial" w:hAnsi="Arial"/>
          <w:sz w:val="18"/>
          <w:szCs w:val="18"/>
          <w:color w:val="auto"/>
        </w:rPr>
      </w:pPr>
    </w:p>
    <w:p>
      <w:pPr>
        <w:ind w:left="1020" w:right="220" w:hanging="479"/>
        <w:spacing w:after="0" w:line="261"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evolving, and more stringent regulations relating to privacy and data security and the unauthorized use of, or access to, commercial and personal information, particularly in Europe;</w:t>
      </w:r>
    </w:p>
    <w:p>
      <w:pPr>
        <w:spacing w:after="0" w:line="62" w:lineRule="exact"/>
        <w:rPr>
          <w:rFonts w:ascii="Arial" w:cs="Arial" w:eastAsia="Arial" w:hAnsi="Arial"/>
          <w:sz w:val="18"/>
          <w:szCs w:val="18"/>
          <w:color w:val="auto"/>
        </w:rPr>
      </w:pPr>
    </w:p>
    <w:p>
      <w:pPr>
        <w:ind w:left="1020" w:hanging="479"/>
        <w:spacing w:after="0" w:line="261"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62" w:lineRule="exact"/>
        <w:rPr>
          <w:rFonts w:ascii="Arial" w:cs="Arial" w:eastAsia="Arial" w:hAnsi="Arial"/>
          <w:sz w:val="18"/>
          <w:szCs w:val="18"/>
          <w:color w:val="auto"/>
        </w:rPr>
      </w:pPr>
    </w:p>
    <w:p>
      <w:pPr>
        <w:ind w:left="1020" w:right="140" w:hanging="479"/>
        <w:spacing w:after="0" w:line="248"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73" w:lineRule="exact"/>
        <w:rPr>
          <w:rFonts w:ascii="Arial" w:cs="Arial" w:eastAsia="Arial" w:hAnsi="Arial"/>
          <w:sz w:val="18"/>
          <w:szCs w:val="18"/>
          <w:color w:val="auto"/>
        </w:rPr>
      </w:pPr>
    </w:p>
    <w:p>
      <w:pPr>
        <w:ind w:left="1020" w:right="240" w:hanging="479"/>
        <w:spacing w:after="0" w:line="261"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rFonts w:ascii="Arial" w:cs="Arial" w:eastAsia="Arial" w:hAnsi="Arial"/>
          <w:sz w:val="18"/>
          <w:szCs w:val="18"/>
          <w:color w:val="auto"/>
        </w:rPr>
      </w:pPr>
    </w:p>
    <w:p>
      <w:pPr>
        <w:ind w:left="900" w:hanging="35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103" w:lineRule="exact"/>
        <w:rPr>
          <w:rFonts w:ascii="Arial" w:cs="Arial" w:eastAsia="Arial" w:hAnsi="Arial"/>
          <w:sz w:val="18"/>
          <w:szCs w:val="18"/>
          <w:color w:val="auto"/>
        </w:rPr>
      </w:pPr>
    </w:p>
    <w:p>
      <w:pPr>
        <w:ind w:left="1020" w:right="600" w:hanging="479"/>
        <w:spacing w:after="0" w:line="261"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2" w:lineRule="exact"/>
        <w:rPr>
          <w:rFonts w:ascii="Arial" w:cs="Arial" w:eastAsia="Arial" w:hAnsi="Arial"/>
          <w:sz w:val="18"/>
          <w:szCs w:val="18"/>
          <w:color w:val="auto"/>
        </w:rPr>
      </w:pPr>
    </w:p>
    <w:p>
      <w:pPr>
        <w:ind w:left="900" w:hanging="359"/>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limitations on our ability to reinvest earnings from operations in one country to fund the capital needs of our operations in other countries;</w:t>
      </w:r>
    </w:p>
    <w:p>
      <w:pPr>
        <w:spacing w:after="0" w:line="115" w:lineRule="exact"/>
        <w:rPr>
          <w:rFonts w:ascii="Arial" w:cs="Arial" w:eastAsia="Arial" w:hAnsi="Arial"/>
          <w:sz w:val="17"/>
          <w:szCs w:val="17"/>
          <w:color w:val="auto"/>
        </w:rPr>
      </w:pPr>
    </w:p>
    <w:p>
      <w:pPr>
        <w:ind w:left="900" w:hanging="35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market preferences for local vendors;</w:t>
      </w:r>
    </w:p>
    <w:p>
      <w:pPr>
        <w:spacing w:after="0" w:line="103" w:lineRule="exact"/>
        <w:rPr>
          <w:rFonts w:ascii="Arial" w:cs="Arial" w:eastAsia="Arial" w:hAnsi="Arial"/>
          <w:sz w:val="18"/>
          <w:szCs w:val="18"/>
          <w:color w:val="auto"/>
        </w:rPr>
      </w:pPr>
    </w:p>
    <w:p>
      <w:pPr>
        <w:ind w:left="1020" w:right="240" w:hanging="479"/>
        <w:spacing w:after="0" w:line="261"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obtaining, maintaining, protecting, or enforcing our intellectual property rights, including our trademarks and patents;</w:t>
      </w:r>
    </w:p>
    <w:p>
      <w:pPr>
        <w:spacing w:after="0" w:line="62" w:lineRule="exact"/>
        <w:rPr>
          <w:rFonts w:ascii="Arial" w:cs="Arial" w:eastAsia="Arial" w:hAnsi="Arial"/>
          <w:sz w:val="18"/>
          <w:szCs w:val="18"/>
          <w:color w:val="auto"/>
        </w:rPr>
      </w:pPr>
    </w:p>
    <w:p>
      <w:pPr>
        <w:ind w:left="1020" w:right="100" w:hanging="479"/>
        <w:spacing w:after="0" w:line="248"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COVID-19 or other pandemics or epidemics, or other global events, including the recent and developing war in Ukraine, that could decrease economic activity in certain markets, decrease use of our products and services, or decrease our ability to import, export, or sell our products and services to existing or new customers in international markets;</w:t>
      </w:r>
    </w:p>
    <w:p>
      <w:pPr>
        <w:spacing w:after="0" w:line="73" w:lineRule="exact"/>
        <w:rPr>
          <w:rFonts w:ascii="Arial" w:cs="Arial" w:eastAsia="Arial" w:hAnsi="Arial"/>
          <w:sz w:val="18"/>
          <w:szCs w:val="18"/>
          <w:color w:val="auto"/>
        </w:rPr>
      </w:pPr>
    </w:p>
    <w:p>
      <w:pPr>
        <w:ind w:left="1020" w:right="420" w:hanging="479"/>
        <w:spacing w:after="0" w:line="248"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exposure to liabilities under export control, economic and trade sanction, anti-corruption, and anti-money laundering laws, including the Export Administration Regulations, the OFAC regulations, the U.S. Foreign Corrupt Practices Act ("FCPA"), U.S. bribery laws, the UK Bribery Act, and similar laws and regulations in other jurisdictions;</w:t>
      </w:r>
    </w:p>
    <w:p>
      <w:pPr>
        <w:spacing w:after="0" w:line="73" w:lineRule="exact"/>
        <w:rPr>
          <w:rFonts w:ascii="Arial" w:cs="Arial" w:eastAsia="Arial" w:hAnsi="Arial"/>
          <w:sz w:val="18"/>
          <w:szCs w:val="18"/>
          <w:color w:val="auto"/>
        </w:rPr>
      </w:pPr>
    </w:p>
    <w:p>
      <w:pPr>
        <w:ind w:left="900" w:hanging="35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requirements or preferences for domestic products;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technical standards, existing or future regulatory and certification requirements, and required features and functionality;</w:t>
      </w:r>
    </w:p>
    <w:p>
      <w:pPr>
        <w:spacing w:after="0" w:line="103" w:lineRule="exact"/>
        <w:rPr>
          <w:rFonts w:ascii="Arial" w:cs="Arial" w:eastAsia="Arial" w:hAnsi="Arial"/>
          <w:sz w:val="18"/>
          <w:szCs w:val="18"/>
          <w:color w:val="auto"/>
        </w:rPr>
      </w:pPr>
    </w:p>
    <w:p>
      <w:pPr>
        <w:ind w:left="1020" w:right="280" w:hanging="479"/>
        <w:spacing w:after="0" w:line="261"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burdens of complying with laws and regulations related to privacy and data security, including the E.U. General Data Protection Regulation ("GDPR") and similar laws and regulations in other jurisdictions; and</w:t>
      </w:r>
    </w:p>
    <w:p>
      <w:pPr>
        <w:spacing w:after="0" w:line="62" w:lineRule="exact"/>
        <w:rPr>
          <w:rFonts w:ascii="Arial" w:cs="Arial" w:eastAsia="Arial" w:hAnsi="Arial"/>
          <w:sz w:val="18"/>
          <w:szCs w:val="18"/>
          <w:color w:val="auto"/>
        </w:rPr>
      </w:pPr>
    </w:p>
    <w:p>
      <w:pPr>
        <w:ind w:left="1020" w:right="240" w:hanging="479"/>
        <w:spacing w:after="0" w:line="261"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burdens of complying with laws and regulations related to taxation; and regulations, adverse tax burdens, and foreign exchange controls that could make it difficult to repatriate earnings and cash.</w:t>
      </w:r>
    </w:p>
    <w:p>
      <w:pPr>
        <w:spacing w:after="0" w:line="171"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color w:val="auto"/>
        </w:rPr>
        <w:t>If we invest substantial time and resources to further expand our international operations and are unable to do so successfully and in a timely manner, our business, financial condition, and results of operations could be materially adversely affected.</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8" w:name="page49"/>
    <w:bookmarkEnd w:id="48"/>
    <w:p>
      <w:pPr>
        <w:spacing w:after="0"/>
        <w:rPr>
          <w:sz w:val="20"/>
          <w:szCs w:val="20"/>
          <w:color w:val="auto"/>
        </w:rPr>
      </w:pPr>
      <w:r>
        <w:rPr>
          <w:rFonts w:ascii="Arial" w:cs="Arial" w:eastAsia="Arial" w:hAnsi="Arial"/>
          <w:sz w:val="15"/>
          <w:szCs w:val="15"/>
          <w:b w:val="1"/>
          <w:bCs w:val="1"/>
          <w:i w:val="1"/>
          <w:iCs w:val="1"/>
          <w:color w:val="auto"/>
        </w:rPr>
        <w:t>The ongoing military action between Russia and Ukraine could materially adversely affect our business, results of operations, and financial condition.</w:t>
      </w:r>
    </w:p>
    <w:p>
      <w:pPr>
        <w:spacing w:after="0" w:line="138"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On February 24, 2022, Russian military forces invaded Ukraine, and sustained conflict and disruption in the region is likely. Although the length, impact, and outcome of the ongoing war in Ukraine is highly unpredictable, this conflict could lead to significant market and other disruptions, including instability in financial markets, supply chain interruptions, political and social instability, changes in consumer or purchaser preferences, as well as an increase in cyberattacks, intellectual property theft, and espionage.</w:t>
      </w:r>
    </w:p>
    <w:p>
      <w:pPr>
        <w:spacing w:after="0" w:line="282" w:lineRule="exact"/>
        <w:rPr>
          <w:sz w:val="20"/>
          <w:szCs w:val="20"/>
          <w:color w:val="auto"/>
        </w:rPr>
      </w:pPr>
    </w:p>
    <w:p>
      <w:pPr>
        <w:ind w:right="340" w:firstLine="509"/>
        <w:spacing w:after="0" w:line="284" w:lineRule="auto"/>
        <w:rPr>
          <w:sz w:val="20"/>
          <w:szCs w:val="20"/>
          <w:color w:val="auto"/>
        </w:rPr>
      </w:pPr>
      <w:r>
        <w:rPr>
          <w:rFonts w:ascii="Arial" w:cs="Arial" w:eastAsia="Arial" w:hAnsi="Arial"/>
          <w:sz w:val="16"/>
          <w:szCs w:val="16"/>
          <w:color w:val="auto"/>
        </w:rPr>
        <w:t>We are actively monitoring the situation in Ukraine and assessing its impact on our business, including our business partners and customers. For example, we and various companies have voluntarily stopped seeking to increase business in Russia. Such circumstances combined with new sanctions have resulted in disruptions in our customers' businesses in the impacted regions, including, at times, their ability to pay for our services. As such, we expect a reduction in revenue from customers in the impacted regions as long as these circumstances continue.</w:t>
      </w:r>
    </w:p>
    <w:p>
      <w:pPr>
        <w:spacing w:after="0" w:line="250" w:lineRule="exact"/>
        <w:rPr>
          <w:sz w:val="20"/>
          <w:szCs w:val="20"/>
          <w:color w:val="auto"/>
        </w:rPr>
      </w:pPr>
    </w:p>
    <w:p>
      <w:pPr>
        <w:ind w:right="180" w:firstLine="509"/>
        <w:spacing w:after="0" w:line="259" w:lineRule="auto"/>
        <w:rPr>
          <w:sz w:val="20"/>
          <w:szCs w:val="20"/>
          <w:color w:val="auto"/>
        </w:rPr>
      </w:pPr>
      <w:r>
        <w:rPr>
          <w:rFonts w:ascii="Arial" w:cs="Arial" w:eastAsia="Arial" w:hAnsi="Arial"/>
          <w:sz w:val="17"/>
          <w:szCs w:val="17"/>
          <w:color w:val="auto"/>
        </w:rPr>
        <w:t>We have no way to predict the progress or outcome of the conflict in Ukraine or its impacts in Ukraine, Russia, or Belarus as the conflict, and any resulting government reactions, are rapidly developing and beyond our control. The extent and duration of the military action, sanctions, and resulting market disruptions could be significant and could potentially have a substantial impact on the global economy and our business for an unknown period of time. Any of the above-mentioned factors could materially adversely affect our business, financial condition, and results of operations. Any such disruptions may also magnify the impact of other risks described in this Quarterly Report on Form 10-Q.</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derive, and expect to continue for some time to derive, substantially all of our revenue from our Amplitude Analytics product.</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Although we recently released our Amplitude Recommend and Amplitude Experiment products, we currently derive, and expect to continue for some time to derive, substantially all of our revenue from our Amplitude Analytics product. As such, the continued growth in demand for, and market acceptance, of Amplitude Analytics is critical to our success. Demand for Amplitude Analytics and our other products and platform functionality is affected by a number of factors, many of which are beyond our control, such as continued market acceptance of our products by customers for existing and new use cases, the timing of development and release of new products, features, and functionality that are lower cost alternatives introduced by us or our competitors, technological changes and developments within the markets we serve, and growth or contraction in our addressable markets. If we are unable to continue to meet customer demands or to achieve more widespread market acceptance of our products, particularly our Amplitude Analytics product, our business, financial condition, and results of operations could be materially adversely affected.</w:t>
      </w:r>
    </w:p>
    <w:p>
      <w:pPr>
        <w:spacing w:after="0" w:line="289"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We invest significantly in research and development, and to the extent our research and development investments do not translate into new products or material enhancements to our current products, or if we do not use those investments efficiently, our business, financial condition, and results of operations would be materially adversely affected.</w:t>
      </w:r>
    </w:p>
    <w:p>
      <w:pPr>
        <w:spacing w:after="0" w:line="74"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For the year ended December 31, 2021 and the three months ended March 31, 2022 and 2021, our research and development expenses were 29%, 31%, and 21% of our revenue, respectively. If we do not spend our research and development budget efficiently or effectively on compelling innovation and technologies,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products and generate revenue, if any, from such investment. Additionally, anticipated customer demand for a product or service we are developing could decrease after the development cycle has commenced, and we would nonetheless be unable to avoid substantial costs associated with the development of any such product or service. If we expend a significant amount of resources on research and development and our efforts do not lead to the successful introduction or improvement of products that are competitive in our current or future markets, it would materially adversely affect our business, financial condition, and results of operations.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We agree to indemnify customers and other third parties, which exposes us to substantial potential liability.</w:t>
      </w:r>
    </w:p>
    <w:p>
      <w:pPr>
        <w:spacing w:after="0" w:line="10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Our contracts with customers and other third parties may include indemnification or other provisions under which we agree to indemnify or otherwise be liable to them for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customers or other third parties. These claims may require us to initiate or defend protracted and costly litigation on behalf of our customers and other third parties, regardless of the merits of these claims. We may not have adequate or any insurance coverage and may be liable for up to the full amount of the indemnified claims, which could result in substantial liability or material disruption to our business or could negatively impact our relationships with customers or other third parties, reduce demand for our products, and materially adversely affect our business, financial condition, and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127"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We do not know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materially adversely affect our business, financial condition, and results of operations. If we incur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Our intellectual property rights may not protect our business or provide us with a competitive advantage, which could have a material adverse effect on our business, financial condition, and results of operations.</w:t>
      </w:r>
    </w:p>
    <w:p>
      <w:pPr>
        <w:spacing w:after="0" w:line="63"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To be successful, we must protect our technology and brand in the United States and other jurisdictions through trademarks, trade secrets, patents, copyrights, service marks, invention assignments, contractual restrictions, and other intellectual property rights and confidentiality procedures. Despite our efforts to implement these protections, these measures may not protect our business or provide us with a competitive advantage for a variety of reasons, including:</w:t>
      </w:r>
    </w:p>
    <w:p>
      <w:pPr>
        <w:spacing w:after="0" w:line="80" w:lineRule="exact"/>
        <w:rPr>
          <w:sz w:val="20"/>
          <w:szCs w:val="20"/>
          <w:color w:val="auto"/>
        </w:rPr>
      </w:pPr>
    </w:p>
    <w:p>
      <w:pPr>
        <w:ind w:left="1020" w:right="240" w:hanging="479"/>
        <w:spacing w:after="0" w:line="261" w:lineRule="auto"/>
        <w:tabs>
          <w:tab w:leader="none" w:pos="8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failure to obtain patents and other intellectual property rights for important innovations or maintain appropriate confidentiality and other protective measures to establish and maintain our trade secrets;</w:t>
      </w:r>
    </w:p>
    <w:p>
      <w:pPr>
        <w:spacing w:after="0" w:line="62" w:lineRule="exact"/>
        <w:rPr>
          <w:rFonts w:ascii="Arial" w:cs="Arial" w:eastAsia="Arial" w:hAnsi="Arial"/>
          <w:sz w:val="18"/>
          <w:szCs w:val="18"/>
          <w:color w:val="auto"/>
        </w:rPr>
      </w:pPr>
    </w:p>
    <w:p>
      <w:pPr>
        <w:ind w:left="900" w:hanging="359"/>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uncertainty in, and evolution of, legal standards relating to the validity, enforceability, and scope of protection of intellectual property rights;</w:t>
      </w:r>
    </w:p>
    <w:p>
      <w:pPr>
        <w:spacing w:after="0" w:line="126" w:lineRule="exact"/>
        <w:rPr>
          <w:rFonts w:ascii="Arial" w:cs="Arial" w:eastAsia="Arial" w:hAnsi="Arial"/>
          <w:sz w:val="16"/>
          <w:szCs w:val="16"/>
          <w:color w:val="auto"/>
        </w:rPr>
      </w:pPr>
    </w:p>
    <w:p>
      <w:pPr>
        <w:ind w:left="900" w:hanging="35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invalidation of our intellectual property rights through administrative processes or litigation;</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inability by us to detect infringement or other misappropriation of our intellectual property rights by third parties; and</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practical, resource, or business limitations on our ability to enforce our rights.</w:t>
      </w:r>
    </w:p>
    <w:p>
      <w:pPr>
        <w:spacing w:after="0" w:line="212"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Further, the laws of certain foreign countries, particularly certain developing countries, do not provide the same level of protection of corporate proprietary information and assets, such as intellectual property, trademarks, trade secrets, know-how, and records, as the laws of the United States. As a result, we may encounter significant problems in protecting and defending our intellectual property or proprietary rights in foreign jurisdictions. Additionally, we may also be exposed to material risks of theft or unauthorized reverse engineering of our proprietary information and other intellectual property, including technical data,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0" w:name="page51"/>
    <w:bookmarkEnd w:id="50"/>
    <w:p>
      <w:pPr>
        <w:ind w:right="300" w:firstLine="509"/>
        <w:spacing w:after="0" w:line="284" w:lineRule="auto"/>
        <w:rPr>
          <w:sz w:val="20"/>
          <w:szCs w:val="20"/>
          <w:color w:val="auto"/>
        </w:rPr>
      </w:pPr>
      <w:r>
        <w:rPr>
          <w:rFonts w:ascii="Arial" w:cs="Arial" w:eastAsia="Arial" w:hAnsi="Arial"/>
          <w:sz w:val="16"/>
          <w:szCs w:val="16"/>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55"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Further, litigation may be necessary to enforce our intellectual property or proprietary rights, protect our trade secrets, or determine the validity and scope of proprietary rights claimed by others. Any litigation, whether or not resolved in our favor, could result in significant expense to us, divert the efforts of our technical and management personnel, and result in counterclaims with respect to infringement of intellectual property rights by us. If we are unable to prevent third parties from infringing upon or misappropriating our intellectual property or are required to incur substantial expenses defending our intellectual property rights, our business, financial condition, and results of operations may be materially adversely affected.</w:t>
      </w:r>
    </w:p>
    <w:p>
      <w:pPr>
        <w:spacing w:after="0" w:line="28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expensive to support, and if resolved adversely, may subject us to significant liability and increased costs of doing business, which could have a material adverse effect on us.</w:t>
      </w:r>
    </w:p>
    <w:p>
      <w:pPr>
        <w:spacing w:after="0" w:line="63"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We compete in markets where there are a large number of patents, copyrights, trademarks, trade secrets, and other intellectual and proprietary rights, as well as disputes regarding infringement of these rights. Many of the holders of patents, copyrights, trademarks, trade secrets, and other intellectual and proprietary rights have extensive intellectual property portfolios and greater resources than we do to enforce their rights. As compared to our large competitors, our patent portfolio is relatively undeveloped and may not provide a material deterrent to such assertions or provide us with a strong basis to counterclaim or negotiate settlements. Further, to the extent assertions are made against us by entities that hold patents but are not operating companies, our patent portfolio may not provide deterrence because such entities are not concerned with counterclaims.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intellectual property litigation to which we become a party may require us to do one or more of the following:</w:t>
      </w:r>
    </w:p>
    <w:p>
      <w:pPr>
        <w:spacing w:after="0" w:line="104" w:lineRule="exact"/>
        <w:rPr>
          <w:sz w:val="20"/>
          <w:szCs w:val="20"/>
          <w:color w:val="auto"/>
        </w:rPr>
      </w:pPr>
    </w:p>
    <w:p>
      <w:pPr>
        <w:ind w:left="1020" w:right="108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cease selling, licensing, or using products or features that incorporate the intellectual property rights that we allegedly infringe, misappropriate, or violate;</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subscription fee refunds, or other costs or damages, including indemnification of third parties;</w:t>
      </w:r>
    </w:p>
    <w:p>
      <w:pPr>
        <w:spacing w:after="0" w:line="62"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a license or enter into a royalty agreement, either of which may not be available on reasonable terms or at all, in order to obtain the right to sell or use the relevant intellectual property; or</w:t>
      </w:r>
    </w:p>
    <w:p>
      <w:pPr>
        <w:spacing w:after="0" w:line="62"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redesign the allegedly infringing products to avoid infringement, misappropriation, or violation, which could be costly, time-consuming, or impossible.</w:t>
      </w:r>
    </w:p>
    <w:p>
      <w:pPr>
        <w:spacing w:after="0" w:line="171"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Intellectual property litigation is typically complex, time consuming, and expensive to resolve and would divert the resources, time, and attention of our management and technical personnel,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w:t>
      </w:r>
    </w:p>
    <w:p>
      <w:pPr>
        <w:spacing w:after="0" w:line="194"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Further, such litigation may also result in adverse publicity, which could harm our reputation and ability to attract or retain customers. As we grow, we may experience a heightened risk of allegations of intellectual property infringement. An adverse result in any litigation claims against us could have a material adverse effect on our business, financial condition, and results of operations.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Our use of “open-source” software could negatively affect our ability to sell our platform and subject us to possible litigation.</w:t>
      </w:r>
    </w:p>
    <w:p>
      <w:pPr>
        <w:spacing w:after="0" w:line="104"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We use software in our Digital Optimization System that is licensed from third parties pursuant to open-source licenses. Certain open-source software licenses require a user who distributes or otherwise makes available the open-source software in connection with the user’s proprietary software to disclose publicly part or all of the source code to the user’s proprietary software. The use and distribution of open-source software may entail greater risks than the use of third-party commercial software, as open-source licensors generally do not provide warranties or other contractual protections regarding infringement claims or the quality of the code. Additionally, certain open-source software licenses are difficult to interpret and require the user of such software to make the source code of any derivative works of the open-source code and certain related software available to third parties with few restrictions on the use or further distribution of such software by such third parties. As a result, we may face claims from others seeking to enforce the terms of an open-source license, including by demanding the release of derivative works of the open-source software and our proprietary source code that was developed or used in connection with such software. These claims could also result in litigation and require us to replace certain open-source software with proprietary software licensed under costly commercial licenses or require us to devote additional research and development resources to change our platform, any of which would have a material adverse effect on our business and results of operations. Although we have implemented policies to regulate the use and incorporation of open-source software into our platform, we cannot be certain that we have not incorporated open-source software in our platform in a manner that is inconsistent with such policies. Any use of open-source software inconsistent with our policies or licensing terms could materially adversely affect our business, financial condition, and results of operations.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Risks Related to Regulatory Compliance and Legal Matters</w:t>
      </w:r>
    </w:p>
    <w:p>
      <w:pPr>
        <w:spacing w:after="0" w:line="10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economic sanctions, and anti-corruption laws and regulations, that may expose us to liability and increase our costs.</w:t>
      </w:r>
    </w:p>
    <w:p>
      <w:pPr>
        <w:spacing w:after="0" w:line="63" w:lineRule="exact"/>
        <w:rPr>
          <w:sz w:val="20"/>
          <w:szCs w:val="20"/>
          <w:color w:val="auto"/>
        </w:rPr>
      </w:pPr>
    </w:p>
    <w:p>
      <w:pPr>
        <w:ind w:right="20" w:firstLine="509"/>
        <w:spacing w:after="0" w:line="251" w:lineRule="auto"/>
        <w:rPr>
          <w:sz w:val="20"/>
          <w:szCs w:val="20"/>
          <w:color w:val="auto"/>
        </w:rPr>
      </w:pPr>
      <w:r>
        <w:rPr>
          <w:rFonts w:ascii="Arial" w:cs="Arial" w:eastAsia="Arial" w:hAnsi="Arial"/>
          <w:sz w:val="17"/>
          <w:szCs w:val="17"/>
          <w:color w:val="auto"/>
        </w:rPr>
        <w:t>Our Digital Optimization System is subject to U.S. export controls, including the U.S. Department of Commerce’s Export Administration Regulations and economic and trade sanctions regulations administered by the U.S. Department of the Treasury’s Office of Foreign Assets Control. These regulations may limit the export of our products and provision of our services outside of the United States, or may require export authorizations, including by license, a license exception, or other appropriate government authorizations, including annual or semi-annual reporting and the filing of an encryption registration.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the provision of services, including by our partners, must comply with these laws or else we may be adversely affected, through reputational harm, government investigations, penalties, and a denial or curtailment of our ability to export our products or provide services. Complying with export control and sanctions laws may be time consuming and may result in the delay or loss of sales opportunities. Although we have controls designed to prevent our services from being used in violation of such laws, we are aware of a limited number of past occasions in which persons from U.S. sanctioned countries or regions appear to have accessed our platform. We have taken measures designed to prevent such situations from reoccurring, but there can be no guarantee that such measures will be successful in every case. If we are found to be in violation of U.S. sanctions or export control laws, it could result in substantial fines and penalties for us and for individuals working for us. Changes in export or import laws, or corresponding sanctions, may delay the introduction and sale of our services in international markets, or, in some cases, prevent the export or import of our services to certain countries, regions, governments, persons, or entities altogether, which could materially adversely affect our business, financial condition, and results of operations.</w:t>
      </w:r>
    </w:p>
    <w:p>
      <w:pPr>
        <w:spacing w:after="0" w:line="183"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are also subject to various domestic and international anti-corruption laws, such as the FCPA and the UK Bribery Act, as well as other similar anti-bribery and anti-kickback laws and regulations. These laws and regulations generally prohibit companies and their employees and intermediaries from directly or indirectly authorizing, promising, offering, or providing payments or benefits to government officials and other recipients for improper purposes, such as to obtain or retain business improperly or secure an improper business advantage. We rely on certain third parties to support our sales and regulatory compliance efforts and can be held liable in certain cases for their corrupt or other illegal activities, even if we do not explicitly authorize such activities. The FCPA also requires that we keep accurate books and records and maintain a system of adequate internal controls. Although we take precautions to prevent violations of these laws, we cannot provide assurance that our internal controls and compliance systems will always prevent misconduct by our employees, agents, third parties, or business partners. Our exposure for violating these laws will increase as our international presence expands and as we increase sales and operations in foreign jurisdictions.</w:t>
      </w:r>
    </w:p>
    <w:p>
      <w:pPr>
        <w:spacing w:after="0" w:line="184"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Violations of applicable anti-corruption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Violations or allegations of violations could also result in whistleblower complaints, adverse media coverage, and investigations, any of which could have a material adverse effect on our reputation, business, and results of operations.</w:t>
      </w:r>
    </w:p>
    <w:p>
      <w:pPr>
        <w:spacing w:after="0" w:line="29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Our business may be affected by sanctions, export controls and similar measures targeting Russia and other countries and territories as well as other responses to Russia’s invasion of Ukraine.</w:t>
      </w:r>
    </w:p>
    <w:p>
      <w:pPr>
        <w:spacing w:after="0" w:line="171"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As a result of Russia’s invasion of Ukraine, governmental authorities in the United States, the European Union, and the United Kingdom, among others, launched an expansion of coordinated sanctions and export control measures, including:</w:t>
      </w:r>
    </w:p>
    <w:p>
      <w:pPr>
        <w:spacing w:after="0" w:line="63" w:lineRule="exact"/>
        <w:rPr>
          <w:sz w:val="20"/>
          <w:szCs w:val="20"/>
          <w:color w:val="auto"/>
        </w:rPr>
      </w:pPr>
    </w:p>
    <w:p>
      <w:pPr>
        <w:ind w:left="1020" w:right="46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blocking sanctions on some of the largest state-owned and private Russian financial institutions (and their subsequent removal from the Society for Worldwide Interbank Financial Telecommunication (“SWIFT”) payment system);</w:t>
      </w:r>
    </w:p>
    <w:p>
      <w:pPr>
        <w:spacing w:after="0" w:line="62"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blocking sanctions against Russian and Belarusian individuals, including the Russian President, other politicians, and those with government connections or involved in Russian military activities;</w:t>
      </w:r>
    </w:p>
    <w:p>
      <w:pPr>
        <w:spacing w:after="0" w:line="62"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blocking sanctions against certain Russian businessmen and their businesses, some of which have significant financial and trade ties to the European Union;</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blocking of Russia’s foreign currency reserves and prohibition on secondary trading in Russian sovereign debt and certain transactions with the Russian Central Bank, National Wealth Fund, and the Ministry of Finance of the Russian Federation;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expansion of sectoral sanctions in various sectors of the Russian and Belarusian economies and the defense sector;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3" w:name="page54"/>
    <w:bookmarkEnd w:id="53"/>
    <w:p>
      <w:pPr>
        <w:ind w:left="1020" w:hanging="503"/>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United Kingdom sanctions introducing restrictions on providing loans to, and dealing in securities issued by, persons connected with Russia;</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restrictions on access to the financial and capital markets in the European Union, as well as prohibitions on aircraft leasing operations;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sanctions prohibiting most commercial activities of U.S. and E.U. persons in Crimea and Sevastopol;</w:t>
      </w:r>
    </w:p>
    <w:p>
      <w:pPr>
        <w:spacing w:after="0" w:line="103" w:lineRule="exact"/>
        <w:rPr>
          <w:rFonts w:ascii="Arial" w:cs="Arial" w:eastAsia="Arial" w:hAnsi="Arial"/>
          <w:sz w:val="18"/>
          <w:szCs w:val="18"/>
          <w:color w:val="auto"/>
        </w:rPr>
      </w:pPr>
    </w:p>
    <w:p>
      <w:pPr>
        <w:ind w:left="1020" w:right="60" w:hanging="503"/>
        <w:spacing w:after="0" w:line="243"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enhanced export controls and trade sanctions targeting Russia’s imports of technological goods as a whole, including tighter controls on exports and reexports of dual-use items, stricter licensing policy with respect to issuing export licenses, and/or increased use of “end-use” controls to block or impose licensing requirements on exports, as well as higher import tariffs and a prohibition on exporting luxury goods to Russia and Belarus;</w:t>
      </w:r>
    </w:p>
    <w:p>
      <w:pPr>
        <w:spacing w:after="0" w:line="79"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closure of airspace to Russian aircraft;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ban on imports of Russian oil, liquefied natural gas, and coal to the United States.</w:t>
      </w:r>
    </w:p>
    <w:p>
      <w:pPr>
        <w:spacing w:after="0" w:line="212"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As the conflict in Ukraine continues, there can be no certainty regarding whether the governmental authorities in the United States, the European Union, the United Kingdom, or other counties will impose additional sanctions, export controls, or other measures targeting Russia, Belarus, or other territories. Furthermore, 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other economic and financial restrictions.</w:t>
      </w:r>
    </w:p>
    <w:p>
      <w:pPr>
        <w:spacing w:after="0" w:line="18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We must be ready to comply with the existing and any other potential additional measures imposed in connection with the conflict in Ukraine. The imposition of such measures could adversely impact our business, including preventing us from performing existing contracts, recognizing revenue, pursuing new business opportunities, or receiving payment for subscriptions from our existing customers.</w:t>
      </w:r>
    </w:p>
    <w:p>
      <w:pPr>
        <w:spacing w:after="0" w:line="18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believe we do not currently have contracts directly with the entities or businesses on the sanctions list and we currently do not have facilities or employees in Russia, Belarus, the Crimea Region of Ukraine, the so-called Donetsk People’s Republic, or the so-called Luhansk People’s Republic. We are reviewing and monitoring our contractual relationships with suppliers and customers to establish whether any are implicated by applicable sanctions. However, given the range of possible outcomes, the full costs, burdens, and limitations on our and our customer’s and business partners’ businesses are currently unknown and may become significant. As a result, based on the extent and breadth of sanctions, export controls and other measures that may be imposed and related effects in connection with the conflict in Ukraine, it is possible that our business, financial condition, and results of operations could be materially adversely affected.</w:t>
      </w:r>
    </w:p>
    <w:p>
      <w:pPr>
        <w:spacing w:after="0" w:line="299" w:lineRule="exact"/>
        <w:rPr>
          <w:sz w:val="20"/>
          <w:szCs w:val="20"/>
          <w:color w:val="auto"/>
        </w:rPr>
      </w:pPr>
    </w:p>
    <w:p>
      <w:pPr>
        <w:ind w:right="180"/>
        <w:spacing w:after="0" w:line="322" w:lineRule="auto"/>
        <w:rPr>
          <w:sz w:val="20"/>
          <w:szCs w:val="20"/>
          <w:color w:val="auto"/>
        </w:rPr>
      </w:pPr>
      <w:r>
        <w:rPr>
          <w:rFonts w:ascii="Arial" w:cs="Arial" w:eastAsia="Arial" w:hAnsi="Arial"/>
          <w:sz w:val="15"/>
          <w:szCs w:val="15"/>
          <w:b w:val="1"/>
          <w:bCs w:val="1"/>
          <w:i w:val="1"/>
          <w:iCs w:val="1"/>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2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We are subject to numerous federal, state, local, and foreign privacy and data protection laws, regulations, policies, and contractual obligations that apply to the collection, transmission, storage, processing, sharing, disclosure, security, and use of personal information or personal data, which among other things, impose certain requirements relating to the privacy and security of personal information and other data. Laws and regulations governing privacy and data protection, the use of the internet as a commercial medium, the use of data in artificial intelligence and machine learning, and data sovereignty requirements are rapidly evolving, extensive, complex, and include inconsistencies and uncertainties and may conflict with other rules or our practices. Further, new laws, rules and regulations could be enacted with which we are not familiar or with which our current practices do not comply.</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4" w:name="page55"/>
    <w:bookmarkEnd w:id="54"/>
    <w:p>
      <w:pPr>
        <w:ind w:firstLine="509"/>
        <w:spacing w:after="0" w:line="267" w:lineRule="auto"/>
        <w:rPr>
          <w:sz w:val="20"/>
          <w:szCs w:val="20"/>
          <w:color w:val="auto"/>
        </w:rPr>
      </w:pPr>
      <w:r>
        <w:rPr>
          <w:rFonts w:ascii="Arial" w:cs="Arial" w:eastAsia="Arial" w:hAnsi="Arial"/>
          <w:sz w:val="16"/>
          <w:szCs w:val="16"/>
          <w:color w:val="auto"/>
        </w:rPr>
        <w:t>We may incur significant expenses to comply with the laws, regulations and other obligations that apply to us. For example, the GDPR imposes stringent data protection requirements for processing the personal data of individuals within the European Economic Area (the “EEA”), including, for example, certain disclosure requirements, limitations on retention of personal data, mandatory data breach notification requirements, and additional obligations. Non-compliance with the GDPR can trigger fines of up to the greater of €20 million or 4% of our global annual turnover.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(“CJEU”). The CJEU also raised questions about whether the European Commission’s Standard Contractual Clauses (“SCCs”), one of the primary mechanisms used by companies to transfer personal data out of the EEA, complies with the GDPR. While the CJEU upheld the validity of the SCCs, the CJEU ruled that the underlying data transfers must be assessed on a case-by-case basis by the data controller to determine whether the personal data will be adequately protected. The European Commission issued revised SCCs on June 4, 2021 to account for the decision of the CJEU and recommendations made by the European Data Protection Board. The revised SCCs must be used for relevant new data transfers from September 27, 2021; existing SCC arrangements must be migrated to the revised clauses by December 27, 2022. Separately, the United Kingdom’s Information Commissioner’s Office has published new data transfer standard contracts for transfers from the UK under the UK GDPR. This new documentation will be mandatory for relevant data transfers from September 21, 2022; existing standard contractual clauses arrangements must be migrated to the new documentation by March 21, 2024. As such, we will need to review existing transfers of personal data out of the EEA and the UK and put in place measures to implement the new SCCs and the UK data transfer standard contracts, subject to the applicable transition periods. Accordingly, unless we put in place such measures by the end of the applicable transition periods, any transfers by us of personal data from Europe or the UK may not comply with European data protection laws and may increase our exposure to the GDPR’s or the UK GDPR’s heightened sanctions for violations of its cross-border data transfer restrictions. Loss of our ability to transfer personal data from Europe or the UK may also require us to increase our data processing capabilities in those jurisdictions at significant expense.</w:t>
      </w:r>
    </w:p>
    <w:p>
      <w:pPr>
        <w:spacing w:after="0" w:line="170"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Further, from January 1, 2021, companies have had to comply with both the GDPR and the UK GDPR, which, together with the amended UK Data Protection Act 2018, retains the GDPR in UK national law. The UK GDPR mirrors the fines under the GDPR, imposing fines up to the greater of €20 million (£17.5 million) or 4% of global turnover. The European Commission has adopted an adequacy decision in favor of the United Kingdom, enabling data transfers from E.U. member states to the United Kingdom without additional safeguards. However, the United Kingdom adequacy decision will automatically expire in June 2025 unless the European Commission re-assesses and renews/extends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European Commission reviewing the UK adequacy decision, and the UK losing its adequacy decision if the European Commission deems the UK to no longer provide adequate protection for personal data. The relationship between the United Kingdom and the European Union in relation to certain aspects of data protection law remains unclear, and it is unclear how United Kingdom data protection laws and regulations will develop in the medium to longer term, and how data transfers to and from the United Kingdom will be regulated in the long term. These changes will lead to additional costs and increase our overall risk exposure.</w:t>
      </w:r>
    </w:p>
    <w:p>
      <w:pPr>
        <w:spacing w:after="0" w:line="183"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In addition to the European Union and United Kingdom,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Digital Optimization System, 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5" w:name="page56"/>
    <w:bookmarkEnd w:id="55"/>
    <w:p>
      <w:pPr>
        <w:ind w:firstLine="509"/>
        <w:spacing w:after="0" w:line="252" w:lineRule="auto"/>
        <w:rPr>
          <w:sz w:val="20"/>
          <w:szCs w:val="20"/>
          <w:color w:val="auto"/>
        </w:rPr>
      </w:pPr>
      <w:r>
        <w:rPr>
          <w:rFonts w:ascii="Arial" w:cs="Arial" w:eastAsia="Arial" w:hAnsi="Arial"/>
          <w:sz w:val="17"/>
          <w:szCs w:val="17"/>
          <w:color w:val="auto"/>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California Consumer Privacy Act of 2018 (the "CCPA") became effective on January 1, 2020. The CCPA requires companies that process information on California residents to make certain disclosures to consumers about their data collection, use, and sharing practices, allows consumers to opt out of certain data sharing with third parties and exercise certain individual rights regarding their personal information, provides a new private right of action for data breaches, and provides for penalties for noncompliance. Additionally, the California Privacy Rights Act (the "CPRA") was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CPRA provisions will go into effect on January 1, 2023, and additional compliance investment and potential business process changes may be required. Similar laws have been passed in Virginia and Colorado, and proposed in other states and at the federal level, reflecting a trend toward more stringent privacy legislation in the United States. The enactment of such laws may have potentially conflicting requirements that would make compliance challenging.</w:t>
      </w:r>
    </w:p>
    <w:p>
      <w:pPr>
        <w:spacing w:after="0" w:line="180"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There are a number of legislative proposals in the United States, at both the federal and state level, and in the European Union and more globally,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68" w:lineRule="exact"/>
        <w:rPr>
          <w:sz w:val="20"/>
          <w:szCs w:val="20"/>
          <w:color w:val="auto"/>
        </w:rPr>
      </w:pPr>
    </w:p>
    <w:p>
      <w:pPr>
        <w:ind w:right="120" w:firstLine="509"/>
        <w:spacing w:after="0" w:line="272" w:lineRule="auto"/>
        <w:rPr>
          <w:sz w:val="20"/>
          <w:szCs w:val="20"/>
          <w:color w:val="auto"/>
        </w:rPr>
      </w:pPr>
      <w:r>
        <w:rPr>
          <w:rFonts w:ascii="Arial" w:cs="Arial" w:eastAsia="Arial" w:hAnsi="Arial"/>
          <w:sz w:val="16"/>
          <w:szCs w:val="16"/>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criminal or civil sanctions, all of which may harm our business, financial condition and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04"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We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materially adversely affect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having a material adverse effect on our business, financial condition,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Tax and Accounting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exposure to foreign currency exchange rate fluctuations.</w:t>
      </w:r>
    </w:p>
    <w:p>
      <w:pPr>
        <w:spacing w:after="0" w:line="10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We conduct transactions, particularly intercompany transactions, in currencies other than the U.S. dollar. While we have primarily transacted with customers and vendors in U.S. dollars, we have transacted in foreign currencies for subscriptions to our Digital Optimization System, and we expect to significantly expand the number of transactions with customers for our Digital Optimization System that are denominated in foreign currencies. In addition, a portion of our operating expenses are incurred outside the United States, denominated in foreign currencies, and subject to fluctuations due to changes in foreign currency exchange rates, particularly changes in the Euro, British Pound, Canadian Dollar, Singapore Dollar, and Japanese Yen. In addition, our international subsidiaries maintain net assets denominated in currencies other than the functional operating currencies of these entities. Accordingly, changes in the value of foreign currencies relative to the U.S. dollar can affect our revenue and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w:t>
      </w:r>
    </w:p>
    <w:p>
      <w:pPr>
        <w:spacing w:after="0" w:line="171" w:lineRule="exact"/>
        <w:rPr>
          <w:sz w:val="20"/>
          <w:szCs w:val="20"/>
          <w:color w:val="auto"/>
        </w:rPr>
      </w:pPr>
    </w:p>
    <w:p>
      <w:pPr>
        <w:ind w:right="420" w:firstLine="509"/>
        <w:spacing w:after="0" w:line="279" w:lineRule="auto"/>
        <w:rPr>
          <w:sz w:val="20"/>
          <w:szCs w:val="20"/>
          <w:color w:val="auto"/>
        </w:rPr>
      </w:pPr>
      <w:r>
        <w:rPr>
          <w:rFonts w:ascii="Arial" w:cs="Arial" w:eastAsia="Arial" w:hAnsi="Arial"/>
          <w:sz w:val="16"/>
          <w:szCs w:val="16"/>
          <w:color w:val="auto"/>
        </w:rPr>
        <w:t>In addition, our international subsidiaries maintain net assets denominated in currencies other than the functional operating currencies of these entities. Accordingly, changes in the value of foreign currencies relative to the U.S. dollar can affect our revenue and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operations and structure subject us to potentially adverse tax consequences.</w:t>
      </w:r>
    </w:p>
    <w:p>
      <w:pPr>
        <w:spacing w:after="0" w:line="104"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We generally conduct our global operations through subsidiaries and report our taxable income in various jurisdictions worldwide based upon our business operations in those jurisdictions. A change in our global operations could result in higher effective tax rates, reduced cash flows, and lower overall profitability. In particular, our intercompany relationships are subject to complex transfer pricing regulations administered by taxing authorities in various jurisdictions.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180"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auto"/>
        </w:rPr>
        <w:t>In addition, the Organization for Economic Co-operation and Development has initiated a base erosion and profit shifting project that seeks to establish certain international standards for taxing the worldwide income of multinational companies. As a result of these developments, the tax laws of certain countries in which we do business could change on a prospective or retroactive basis, and any such changes could increase our liabilities for taxes, interest, and penalties, and therefore could materially adversely affect our cash flows, financial condition, and results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may be limited.</w:t>
      </w:r>
    </w:p>
    <w:p>
      <w:pPr>
        <w:spacing w:after="0" w:line="104" w:lineRule="exact"/>
        <w:rPr>
          <w:sz w:val="20"/>
          <w:szCs w:val="20"/>
          <w:color w:val="auto"/>
        </w:rPr>
      </w:pPr>
    </w:p>
    <w:p>
      <w:pPr>
        <w:ind w:right="240" w:firstLine="509"/>
        <w:spacing w:after="0" w:line="253" w:lineRule="auto"/>
        <w:rPr>
          <w:sz w:val="20"/>
          <w:szCs w:val="20"/>
          <w:color w:val="auto"/>
        </w:rPr>
      </w:pPr>
      <w:r>
        <w:rPr>
          <w:rFonts w:ascii="Arial" w:cs="Arial" w:eastAsia="Arial" w:hAnsi="Arial"/>
          <w:sz w:val="17"/>
          <w:szCs w:val="17"/>
          <w:color w:val="auto"/>
        </w:rPr>
        <w:t>Under Section 382 of the Internal Revenue Code of 1986, as amended (the “Code”), and corresponding provisions of state law, if a corporation undergoes an “ownership change,” which is generally defined as a greater than 50 percentage point change (by value) in its equity ownership by certain stockholders over a three-year period, the corporation’s ability to use its pre-change net operating loss carryforwards (“NOLs”) to offset its post-change income or taxes may be limited. We have completed a Section 382 study and have determined that none of the operating losses will expire solely due to Section 382 limitations. However, we may experience ownership changes as a result of subsequent shifts in our stock ownership, some of which may be outside of our control. Such change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 material adverse effect on our results of operations.</w:t>
      </w:r>
    </w:p>
    <w:p>
      <w:pPr>
        <w:spacing w:after="0" w:line="104"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auto"/>
        </w:rPr>
        <w:t>We are subject to income taxes in the United States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condensed consolidated financial statements and may materially affect our financial results in the period or periods in which such outcome is determined.</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04" w:lineRule="exact"/>
        <w:rPr>
          <w:sz w:val="20"/>
          <w:szCs w:val="20"/>
          <w:color w:val="auto"/>
        </w:rPr>
      </w:pPr>
    </w:p>
    <w:p>
      <w:pPr>
        <w:ind w:left="900" w:hanging="359"/>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26" w:lineRule="exact"/>
        <w:rPr>
          <w:rFonts w:ascii="Arial" w:cs="Arial" w:eastAsia="Arial" w:hAnsi="Arial"/>
          <w:sz w:val="16"/>
          <w:szCs w:val="16"/>
          <w:color w:val="auto"/>
        </w:rPr>
      </w:pPr>
    </w:p>
    <w:p>
      <w:pPr>
        <w:ind w:left="1020" w:right="60" w:hanging="479"/>
        <w:spacing w:after="0" w:line="261" w:lineRule="auto"/>
        <w:tabs>
          <w:tab w:leader="none" w:pos="8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including the Tax Cuts and Jobs Act (“TCJA”), the Coronavirus Aid, Relief, and Economic Security Act (“CARES Act”), and proposed legislation;</w:t>
      </w:r>
    </w:p>
    <w:p>
      <w:pPr>
        <w:spacing w:after="0" w:line="62" w:lineRule="exact"/>
        <w:rPr>
          <w:rFonts w:ascii="Arial" w:cs="Arial" w:eastAsia="Arial" w:hAnsi="Arial"/>
          <w:sz w:val="18"/>
          <w:szCs w:val="18"/>
          <w:color w:val="auto"/>
        </w:rPr>
      </w:pPr>
    </w:p>
    <w:p>
      <w:pPr>
        <w:ind w:left="1020" w:right="40" w:hanging="479"/>
        <w:spacing w:after="0" w:line="291" w:lineRule="auto"/>
        <w:tabs>
          <w:tab w:leader="none" w:pos="895"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8" w:lineRule="exact"/>
        <w:rPr>
          <w:rFonts w:ascii="Arial" w:cs="Arial" w:eastAsia="Arial" w:hAnsi="Arial"/>
          <w:sz w:val="17"/>
          <w:szCs w:val="17"/>
          <w:color w:val="auto"/>
        </w:rPr>
      </w:pPr>
    </w:p>
    <w:p>
      <w:pPr>
        <w:ind w:left="900" w:hanging="35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effects of acquisitions.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developments could materially adversely affect our results of operations.</w:t>
      </w:r>
    </w:p>
    <w:p>
      <w:pPr>
        <w:spacing w:after="0" w:line="212"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In addition, we may be subject to income tax audits by many tax jurisdictions throughout the world, many of which have not established clear guidance on the tax treatment of SaaS-based companies. Although we believe our income tax liabilities are reasonably estimated and accounted for in accordance with applicable laws and principles, an adverse resolution of one or more uncertain tax positions in any period could have a material adverse effect on the results of operations for that period.</w:t>
      </w:r>
    </w:p>
    <w:p>
      <w:pPr>
        <w:spacing w:after="0" w:line="29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We could be required to collect additional sales or indirect taxes or be subject to other tax liabilities that may increase the costs our customers would have to pay for our products and materially adversely affect our results of operations.</w:t>
      </w:r>
    </w:p>
    <w:p>
      <w:pPr>
        <w:spacing w:after="0" w:line="63"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currently collect and remit applicable sales and indirect taxes and other applicable transfer taxes in jurisdictions where we, through our employees or economic activity, have a presence and where we have determined, based on applicable legal precedents, that sales or licensing of our products are classified as taxable. We do not currently collect and remit state and local excise, utility user and ad valorem taxes, fees, or surcharges in jurisdictions where we believe we do not have sufficient “nexus.” There is uncertainty as to what constitutes sufficient nexus for a state or local jurisdiction to levy taxes, fees, and surcharges for sales made over the internet, and there is also uncertainty as to whether our characterization of our products as not taxable in certain jurisdictions will be accepted by state and local tax authorities.</w:t>
      </w:r>
    </w:p>
    <w:p>
      <w:pPr>
        <w:spacing w:after="0" w:line="175"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 xml:space="preserve">An increasing number of states have considered or adopted laws that attempt to impose tax collection obligations on out-of-state companies. Additionally, the Supreme Court of the United States recently ruled in </w:t>
      </w:r>
      <w:r>
        <w:rPr>
          <w:rFonts w:ascii="Arial" w:cs="Arial" w:eastAsia="Arial" w:hAnsi="Arial"/>
          <w:sz w:val="17"/>
          <w:szCs w:val="17"/>
          <w:i w:val="1"/>
          <w:iCs w:val="1"/>
          <w:color w:val="auto"/>
        </w:rPr>
        <w:t>South Dakota v. Wayfair, Inc. et al</w:t>
      </w:r>
      <w:r>
        <w:rPr>
          <w:rFonts w:ascii="Arial" w:cs="Arial" w:eastAsia="Arial" w:hAnsi="Arial"/>
          <w:sz w:val="17"/>
          <w:szCs w:val="17"/>
          <w:color w:val="auto"/>
        </w:rPr>
        <w:t xml:space="preserve"> (“</w:t>
      </w:r>
      <w:r>
        <w:rPr>
          <w:rFonts w:ascii="Arial" w:cs="Arial" w:eastAsia="Arial" w:hAnsi="Arial"/>
          <w:sz w:val="17"/>
          <w:szCs w:val="17"/>
          <w:i w:val="1"/>
          <w:iCs w:val="1"/>
          <w:color w:val="auto"/>
        </w:rPr>
        <w:t>Wayfair</w:t>
      </w:r>
      <w:r>
        <w:rPr>
          <w:rFonts w:ascii="Arial" w:cs="Arial" w:eastAsia="Arial" w:hAnsi="Arial"/>
          <w:sz w:val="17"/>
          <w:szCs w:val="17"/>
          <w:color w:val="auto"/>
        </w:rPr>
        <w:t xml:space="preserve">”), that online sellers can be required to collect sales and use tax despite not having a physical presence in the buyer’s state. In response to </w:t>
      </w:r>
      <w:r>
        <w:rPr>
          <w:rFonts w:ascii="Arial" w:cs="Arial" w:eastAsia="Arial" w:hAnsi="Arial"/>
          <w:sz w:val="17"/>
          <w:szCs w:val="17"/>
          <w:i w:val="1"/>
          <w:iCs w:val="1"/>
          <w:color w:val="auto"/>
        </w:rPr>
        <w:t>Wayfair</w:t>
      </w:r>
      <w:r>
        <w:rPr>
          <w:rFonts w:ascii="Arial" w:cs="Arial" w:eastAsia="Arial" w:hAnsi="Arial"/>
          <w:sz w:val="17"/>
          <w:szCs w:val="17"/>
          <w:color w:val="auto"/>
        </w:rPr>
        <w:t>,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15"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U.S. generally accepted accounting principles (“U.S. GAAP”) are subject to interpretation by the Financial Accounting Standards Board, the Securities and Exchange Commission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58" w:name="page59"/>
    <w:bookmarkEnd w:id="58"/>
    <w:p>
      <w:pPr>
        <w:ind w:right="180"/>
        <w:spacing w:after="0" w:line="261"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materially adversely affected.</w:t>
      </w:r>
    </w:p>
    <w:p>
      <w:pPr>
        <w:spacing w:after="0" w:line="63"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condensed consolidated financial statements and accompanying notes appearing elsewhere in this Quarterly Report on Form 10-Q.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within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deferred commissions, valuation of our stock-based compensation awards, including the determination of fair value of our common stock, valuation of goodwill and intangible assets, accounting for income taxes, and useful lives of long-lived assets, among others. Our results of operations may be materially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04" w:lineRule="exact"/>
        <w:rPr>
          <w:sz w:val="20"/>
          <w:szCs w:val="20"/>
          <w:color w:val="auto"/>
        </w:rPr>
      </w:pPr>
    </w:p>
    <w:p>
      <w:pPr>
        <w:ind w:right="200" w:firstLine="509"/>
        <w:spacing w:after="0" w:line="262" w:lineRule="auto"/>
        <w:rPr>
          <w:sz w:val="20"/>
          <w:szCs w:val="20"/>
          <w:color w:val="auto"/>
        </w:rPr>
      </w:pPr>
      <w:r>
        <w:rPr>
          <w:rFonts w:ascii="Arial" w:cs="Arial" w:eastAsia="Arial" w:hAnsi="Arial"/>
          <w:sz w:val="17"/>
          <w:szCs w:val="17"/>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adverse effect on our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in the future, may be, volatile, and could decline significantly and rapidly.</w:t>
      </w:r>
    </w:p>
    <w:p>
      <w:pPr>
        <w:spacing w:after="0" w:line="104"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The trading price of our Class A common stock has fluctuated substantially and may fluctuate substantially in response to numerous factors in addition to the ones described in the preceding risk factors, many of which are beyond our control, including:</w:t>
      </w:r>
    </w:p>
    <w:p>
      <w:pPr>
        <w:spacing w:after="0" w:line="63"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actual or anticipated fluctuations in our financial condition, results of operations, or operating metrics and those of our competitors;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 or our failure to meet these projections;</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variance in our financial performance from expectations of securities analysts;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pricing of our Digital Optimization System;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anticipated future size or growth rate of our addressable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laws or regulations applicable to our Digital Optimization System;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data breaches, disruptions to, or other incidents involving our platform;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board of directors, senior management, or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shares of our Class A common stock made available for trading;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03"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(including the recent and developing war in Ukraine), incidents of terrorism, pandemics (including the COVID-19 pandemic), elections, or responses to these events; and</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investors or securities analysts view our stock structure unfavorably, particularly our dual-class structure and the concentrated voting control of our executive officers, directors, and their affiliates.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59" w:name="page60"/>
    <w:bookmarkEnd w:id="59"/>
    <w:p>
      <w:pPr>
        <w:ind w:right="160" w:firstLine="509"/>
        <w:spacing w:after="0" w:line="259" w:lineRule="auto"/>
        <w:rPr>
          <w:sz w:val="20"/>
          <w:szCs w:val="20"/>
          <w:color w:val="auto"/>
        </w:rPr>
      </w:pPr>
      <w:r>
        <w:rPr>
          <w:rFonts w:ascii="Arial" w:cs="Arial" w:eastAsia="Arial" w:hAnsi="Arial"/>
          <w:sz w:val="17"/>
          <w:szCs w:val="17"/>
          <w:color w:val="auto"/>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principal stockholders have the ability to influence the outcome of director elections and other matters requiring stockholder approval.</w:t>
      </w:r>
    </w:p>
    <w:p>
      <w:pPr>
        <w:spacing w:after="0" w:line="127"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As of the date of this Quarterly Report on Form 10-Q, our directors, executive officers, and holders of more than 5% of our capital stock and their affiliates collectively beneficially own, in the aggregate, shares representing a substantial majority of the voting power of our outstanding Class A and Class B common stock. These stockholders currently have, and likely will continue to have, considerable influence with respect to the election of our board of directors and approval or disapproval of all significant corporate actions. The concentrated voting power of these stockholders could have the effect of delaying or preventing a significant corporate transaction, such as a merger or other sale of our company or our assets. This concentration of ownership limits the ability of other stockholders to influence corporate matters and may cause us to make strategic decisions that could be adverse to the interests of other stockholders.</w:t>
      </w:r>
    </w:p>
    <w:p>
      <w:pPr>
        <w:spacing w:after="0" w:line="299"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our existing stockholders, executive officers,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80"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Our Class B common stock has five votes per share, whereas our Class A common stock, which is listed on the Nasdaq Capital Market, has one vote per share. Because of the five-to-one voting ratio between our Class B common stock and our Class A common stock,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until the date that is six months following the date on which no founder is an employee or director of our company (unless a founder has rejoined our company during such six-month period), when all outstanding shares of Class A common stock and Class B common stock will convert automatically into shares of a single class of common stock. This concentration of ownership limits the ability of other stockholders to influence corporate matters and may cause us to make strategic decisions that could involve risks to you or that may not be aligned with your interests. This control may adversely affect the market price of our Class A common stock.</w:t>
      </w:r>
    </w:p>
    <w:p>
      <w:pPr>
        <w:spacing w:after="0" w:line="184" w:lineRule="exact"/>
        <w:rPr>
          <w:sz w:val="20"/>
          <w:szCs w:val="20"/>
          <w:color w:val="auto"/>
        </w:rPr>
      </w:pPr>
    </w:p>
    <w:p>
      <w:pPr>
        <w:jc w:val="both"/>
        <w:ind w:right="60" w:firstLine="509"/>
        <w:spacing w:after="0" w:line="279" w:lineRule="auto"/>
        <w:rPr>
          <w:sz w:val="20"/>
          <w:szCs w:val="20"/>
          <w:color w:val="auto"/>
        </w:rPr>
      </w:pPr>
      <w:r>
        <w:rPr>
          <w:rFonts w:ascii="Arial" w:cs="Arial" w:eastAsia="Arial" w:hAnsi="Arial"/>
          <w:sz w:val="16"/>
          <w:szCs w:val="16"/>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59"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In addition, while we do not expect to issue any additional shares of Class B common stock, any future issuances of Class B common stock would be dilutive to holders of Class A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cannot predict whether our dual class structure, combined with the concentrated control of our stockholders who held our capital stock prior to the listing of our Class A common stock on the Nasdaq Capital Market,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indices.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0" w:name="page61"/>
    <w:bookmarkEnd w:id="60"/>
    <w:p>
      <w:pPr>
        <w:jc w:val="both"/>
        <w:ind w:right="120"/>
        <w:spacing w:after="0" w:line="248" w:lineRule="auto"/>
        <w:rPr>
          <w:sz w:val="20"/>
          <w:szCs w:val="20"/>
          <w:color w:val="auto"/>
        </w:rPr>
      </w:pPr>
      <w:r>
        <w:rPr>
          <w:rFonts w:ascii="Arial" w:cs="Arial" w:eastAsia="Arial" w:hAnsi="Arial"/>
          <w:sz w:val="18"/>
          <w:szCs w:val="18"/>
          <w:b w:val="1"/>
          <w:bCs w:val="1"/>
          <w:i w:val="1"/>
          <w:iCs w:val="1"/>
          <w:color w:val="auto"/>
        </w:rPr>
        <w:t>None of our stockholders are party to any contractual lock-up agreement or other contractual restrictions on transfer. Sales of substantial amounts of our Class A common stock in the public markets, or the perception that sales might occur, could cause the trading price of our Class A common stock to decline.</w:t>
      </w:r>
    </w:p>
    <w:p>
      <w:pPr>
        <w:spacing w:after="0" w:line="74" w:lineRule="exact"/>
        <w:rPr>
          <w:sz w:val="20"/>
          <w:szCs w:val="20"/>
          <w:color w:val="auto"/>
        </w:rPr>
      </w:pPr>
    </w:p>
    <w:p>
      <w:pPr>
        <w:jc w:val="both"/>
        <w:ind w:right="240" w:firstLine="509"/>
        <w:spacing w:after="0" w:line="248" w:lineRule="auto"/>
        <w:rPr>
          <w:sz w:val="20"/>
          <w:szCs w:val="20"/>
          <w:color w:val="auto"/>
        </w:rPr>
      </w:pPr>
      <w:r>
        <w:rPr>
          <w:rFonts w:ascii="Arial" w:cs="Arial" w:eastAsia="Arial" w:hAnsi="Arial"/>
          <w:sz w:val="18"/>
          <w:szCs w:val="18"/>
          <w:color w:val="auto"/>
        </w:rPr>
        <w:t>In addition to the supply and demand and volatility factors discussed above, sales of a substantial number of shares of our Class A common stock into the public market, particularly sales by our directors, executive officers, and principal stockholders, or the perception that these sales might occur in large quantities, could cause the trading price of our Class A common stock to decline.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None of our securityholders are subject to any contractual lock-up or other contractual restriction on the transfer or sale of their shares.</w:t>
      </w:r>
    </w:p>
    <w:p>
      <w:pPr>
        <w:spacing w:after="0" w:line="223"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Moreover,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will be entitled to sell their shares of our Class A common stock subject to volume and other limitations under Rule 144 and various vesting agreements.</w:t>
      </w:r>
    </w:p>
    <w:p>
      <w:pPr>
        <w:spacing w:after="0" w:line="188"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In addition, we filed a registration statement to register all shares subject to options and RSUs outstanding or reserved for future issuance under our equity compensation plans. As of March 31, 2022, we had 18,076,050 options outstanding that, if fully exercised, would result in the issuance of shares of Class A common stock, as well as 4,090,669 shares of Class A common stock subject to RSU awards.</w:t>
      </w:r>
    </w:p>
    <w:p>
      <w:pPr>
        <w:spacing w:after="0" w:line="182" w:lineRule="exact"/>
        <w:rPr>
          <w:sz w:val="20"/>
          <w:szCs w:val="20"/>
          <w:color w:val="auto"/>
        </w:rPr>
      </w:pPr>
    </w:p>
    <w:p>
      <w:pPr>
        <w:ind w:right="800" w:firstLine="509"/>
        <w:spacing w:after="0" w:line="261" w:lineRule="auto"/>
        <w:rPr>
          <w:sz w:val="20"/>
          <w:szCs w:val="20"/>
          <w:color w:val="auto"/>
        </w:rPr>
      </w:pPr>
      <w:r>
        <w:rPr>
          <w:rFonts w:ascii="Arial" w:cs="Arial" w:eastAsia="Arial" w:hAnsi="Arial"/>
          <w:sz w:val="18"/>
          <w:szCs w:val="18"/>
          <w:color w:val="auto"/>
        </w:rPr>
        <w:t>Accordingly, these shares will be able to be freely sold in the public market upon issuance, subject to applicable vesting requirements and compliance by affiliates with Rule 144.</w:t>
      </w:r>
    </w:p>
    <w:p>
      <w:pPr>
        <w:spacing w:after="0" w:line="171"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Further, certain of the holders of our common stock have rights, subject to some conditions, to require us to file registration statements for the public resale of the Class A common stock issuable upon the conversion of shares of our Class B common stock into shares of our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6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63"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We expect to issue additional capital stock in the future that will result in dilution to all other stockholders. We expect to grant equity awards to employees, directors, and consultants under our equity incentive plans and issue shares of our Class A common stock under our employee stock purchase plan.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51"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63"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61" w:name="page62"/>
    <w:bookmarkEnd w:id="61"/>
    <w:p>
      <w:pPr>
        <w:ind w:right="80"/>
        <w:spacing w:after="0" w:line="26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63"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reporting requirements that are applicable to other public companies that are not “emerging growth companies,” including the auditor attestation requirements of Section 404 of the Sarbanes-Oxley Act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80"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We will remain an emerging growth company until the earliest of: (1) December 31, 2026; (2) the last day of the first fiscal year in which our annual gross revenue is $1.07 billion or more; (3) the date on which we have, during the previous rolling three-year period, issued more than $1 billion in non-convertible debt securities; and (4) the date we qualify as a “large accelerated filer,” with at least $700 million of equity securities held by non-affiliates.</w:t>
      </w:r>
    </w:p>
    <w:p>
      <w:pPr>
        <w:spacing w:after="0" w:line="147"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these exemptions. For example, if we do not adopt a new or revised accounting standard, our future results of operations may not be comparable to the results of operations of certain other companies in our industry that adopted such standards. If some investors find our Class A common stock less attractive as a result, there may be a less active trading market for our Class A common stock, and our stock price may be more volatile.</w:t>
      </w:r>
    </w:p>
    <w:p>
      <w:pPr>
        <w:spacing w:after="0" w:line="296"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39" w:lineRule="exact"/>
        <w:rPr>
          <w:sz w:val="20"/>
          <w:szCs w:val="20"/>
          <w:color w:val="auto"/>
        </w:rPr>
      </w:pPr>
    </w:p>
    <w:p>
      <w:pPr>
        <w:ind w:right="240" w:firstLine="509"/>
        <w:spacing w:after="0" w:line="324" w:lineRule="auto"/>
        <w:rPr>
          <w:sz w:val="20"/>
          <w:szCs w:val="20"/>
          <w:color w:val="auto"/>
        </w:rPr>
      </w:pPr>
      <w:r>
        <w:rPr>
          <w:rFonts w:ascii="Arial" w:cs="Arial" w:eastAsia="Arial" w:hAnsi="Arial"/>
          <w:sz w:val="16"/>
          <w:szCs w:val="16"/>
          <w:color w:val="auto"/>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spacing w:after="0" w:line="16" w:lineRule="exact"/>
        <w:rPr>
          <w:sz w:val="20"/>
          <w:szCs w:val="20"/>
          <w:color w:val="auto"/>
        </w:rPr>
      </w:pPr>
    </w:p>
    <w:p>
      <w:pPr>
        <w:ind w:left="1020" w:right="140" w:hanging="479"/>
        <w:spacing w:after="0" w:line="261" w:lineRule="auto"/>
        <w:tabs>
          <w:tab w:leader="none" w:pos="8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62" w:lineRule="exact"/>
        <w:rPr>
          <w:rFonts w:ascii="Arial" w:cs="Arial" w:eastAsia="Arial" w:hAnsi="Arial"/>
          <w:sz w:val="18"/>
          <w:szCs w:val="18"/>
          <w:color w:val="auto"/>
        </w:rPr>
      </w:pPr>
    </w:p>
    <w:p>
      <w:pPr>
        <w:ind w:left="900" w:hanging="359"/>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15" w:lineRule="exact"/>
        <w:rPr>
          <w:rFonts w:ascii="Arial" w:cs="Arial" w:eastAsia="Arial" w:hAnsi="Arial"/>
          <w:sz w:val="17"/>
          <w:szCs w:val="17"/>
          <w:color w:val="auto"/>
        </w:rPr>
      </w:pPr>
    </w:p>
    <w:p>
      <w:pPr>
        <w:ind w:left="900" w:hanging="35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w:t>
      </w:r>
    </w:p>
    <w:p>
      <w:pPr>
        <w:spacing w:after="0" w:line="103" w:lineRule="exact"/>
        <w:rPr>
          <w:rFonts w:ascii="Arial" w:cs="Arial" w:eastAsia="Arial" w:hAnsi="Arial"/>
          <w:sz w:val="18"/>
          <w:szCs w:val="18"/>
          <w:color w:val="auto"/>
        </w:rPr>
      </w:pPr>
    </w:p>
    <w:p>
      <w:pPr>
        <w:ind w:left="1020" w:right="240" w:hanging="479"/>
        <w:spacing w:after="0" w:line="261" w:lineRule="auto"/>
        <w:tabs>
          <w:tab w:leader="none" w:pos="8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900" w:hanging="35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our directors may only be removed for cause;</w:t>
      </w:r>
    </w:p>
    <w:p>
      <w:pPr>
        <w:spacing w:after="0" w:line="103" w:lineRule="exact"/>
        <w:rPr>
          <w:rFonts w:ascii="Arial" w:cs="Arial" w:eastAsia="Arial" w:hAnsi="Arial"/>
          <w:sz w:val="18"/>
          <w:szCs w:val="18"/>
          <w:color w:val="auto"/>
        </w:rPr>
      </w:pPr>
    </w:p>
    <w:p>
      <w:pPr>
        <w:ind w:left="1020" w:right="220" w:hanging="479"/>
        <w:spacing w:after="0" w:line="261" w:lineRule="auto"/>
        <w:tabs>
          <w:tab w:leader="none" w:pos="8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62" w:lineRule="exact"/>
        <w:rPr>
          <w:rFonts w:ascii="Arial" w:cs="Arial" w:eastAsia="Arial" w:hAnsi="Arial"/>
          <w:sz w:val="18"/>
          <w:szCs w:val="18"/>
          <w:color w:val="auto"/>
        </w:rPr>
      </w:pPr>
    </w:p>
    <w:p>
      <w:pPr>
        <w:ind w:left="1020" w:right="100" w:hanging="479"/>
        <w:spacing w:after="0" w:line="261" w:lineRule="auto"/>
        <w:tabs>
          <w:tab w:leader="none" w:pos="8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62" w:name="page63"/>
    <w:bookmarkEnd w:id="62"/>
    <w:p>
      <w:pPr>
        <w:ind w:right="20" w:firstLine="509"/>
        <w:spacing w:after="0" w:line="274"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7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3"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Our restated certificate of incorporation and amended and restated bylaws provide that we will indemnify our directors and officers, in each case to the fullest extent permitted by Delaware law.</w:t>
      </w:r>
    </w:p>
    <w:p>
      <w:pPr>
        <w:spacing w:after="0" w:line="171" w:lineRule="exact"/>
        <w:rPr>
          <w:sz w:val="20"/>
          <w:szCs w:val="20"/>
          <w:color w:val="auto"/>
        </w:rPr>
      </w:pPr>
    </w:p>
    <w:p>
      <w:pPr>
        <w:ind w:right="740" w:firstLine="509"/>
        <w:spacing w:after="0" w:line="261"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indemnification agreements that we have entered into with our directors and officers provide that:</w:t>
      </w:r>
    </w:p>
    <w:p>
      <w:pPr>
        <w:spacing w:after="0" w:line="63" w:lineRule="exact"/>
        <w:rPr>
          <w:sz w:val="20"/>
          <w:szCs w:val="20"/>
          <w:color w:val="auto"/>
        </w:rPr>
      </w:pPr>
    </w:p>
    <w:p>
      <w:pPr>
        <w:jc w:val="both"/>
        <w:ind w:left="1020" w:right="40" w:hanging="479"/>
        <w:spacing w:after="0" w:line="262" w:lineRule="auto"/>
        <w:tabs>
          <w:tab w:leader="none" w:pos="895"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w:t>
      </w:r>
    </w:p>
    <w:p>
      <w:pPr>
        <w:spacing w:after="0" w:line="64" w:lineRule="exact"/>
        <w:rPr>
          <w:rFonts w:ascii="Arial" w:cs="Arial" w:eastAsia="Arial" w:hAnsi="Arial"/>
          <w:sz w:val="17"/>
          <w:szCs w:val="17"/>
          <w:color w:val="auto"/>
        </w:rPr>
      </w:pPr>
    </w:p>
    <w:p>
      <w:pPr>
        <w:ind w:left="900" w:hanging="359"/>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may, in our discretion, indemnify employees and agents in those circumstances where indemnification is permitted by applicable law;</w:t>
      </w:r>
    </w:p>
    <w:p>
      <w:pPr>
        <w:spacing w:after="0" w:line="115" w:lineRule="exact"/>
        <w:rPr>
          <w:rFonts w:ascii="Arial" w:cs="Arial" w:eastAsia="Arial" w:hAnsi="Arial"/>
          <w:sz w:val="17"/>
          <w:szCs w:val="17"/>
          <w:color w:val="auto"/>
        </w:rPr>
      </w:pPr>
    </w:p>
    <w:p>
      <w:pPr>
        <w:ind w:left="1020" w:right="160" w:hanging="479"/>
        <w:spacing w:after="0" w:line="324" w:lineRule="auto"/>
        <w:tabs>
          <w:tab w:leader="none" w:pos="8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6" w:lineRule="exact"/>
        <w:rPr>
          <w:rFonts w:ascii="Arial" w:cs="Arial" w:eastAsia="Arial" w:hAnsi="Arial"/>
          <w:sz w:val="16"/>
          <w:szCs w:val="16"/>
          <w:color w:val="auto"/>
        </w:rPr>
      </w:pPr>
    </w:p>
    <w:p>
      <w:pPr>
        <w:ind w:left="1020" w:hanging="479"/>
        <w:spacing w:after="0" w:line="261" w:lineRule="auto"/>
        <w:tabs>
          <w:tab w:leader="none" w:pos="8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62" w:lineRule="exact"/>
        <w:rPr>
          <w:rFonts w:ascii="Arial" w:cs="Arial" w:eastAsia="Arial" w:hAnsi="Arial"/>
          <w:sz w:val="18"/>
          <w:szCs w:val="18"/>
          <w:color w:val="auto"/>
        </w:rPr>
      </w:pPr>
    </w:p>
    <w:p>
      <w:pPr>
        <w:ind w:left="1020" w:right="240" w:hanging="479"/>
        <w:spacing w:after="0" w:line="261" w:lineRule="auto"/>
        <w:tabs>
          <w:tab w:leader="none" w:pos="8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71" w:lineRule="exact"/>
        <w:rPr>
          <w:sz w:val="20"/>
          <w:szCs w:val="20"/>
          <w:color w:val="auto"/>
        </w:rPr>
      </w:pPr>
    </w:p>
    <w:p>
      <w:pPr>
        <w:jc w:val="both"/>
        <w:ind w:right="380" w:firstLine="509"/>
        <w:spacing w:after="0" w:line="324" w:lineRule="auto"/>
        <w:rPr>
          <w:sz w:val="20"/>
          <w:szCs w:val="20"/>
          <w:color w:val="auto"/>
        </w:rPr>
      </w:pPr>
      <w:r>
        <w:rPr>
          <w:rFonts w:ascii="Arial" w:cs="Arial" w:eastAsia="Arial" w:hAnsi="Arial"/>
          <w:sz w:val="16"/>
          <w:szCs w:val="16"/>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63" w:name="page64"/>
    <w:bookmarkEnd w:id="63"/>
    <w:p>
      <w:pPr>
        <w:ind w:right="160"/>
        <w:spacing w:after="0" w:line="270" w:lineRule="auto"/>
        <w:rPr>
          <w:sz w:val="20"/>
          <w:szCs w:val="20"/>
          <w:color w:val="auto"/>
        </w:rPr>
      </w:pPr>
      <w:r>
        <w:rPr>
          <w:rFonts w:ascii="Arial" w:cs="Arial" w:eastAsia="Arial" w:hAnsi="Arial"/>
          <w:sz w:val="17"/>
          <w:szCs w:val="17"/>
          <w:b w:val="1"/>
          <w:bCs w:val="1"/>
          <w:i w:val="1"/>
          <w:iCs w:val="1"/>
          <w:color w:val="auto"/>
        </w:rPr>
        <w:t>Our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spacing w:after="0" w:line="56"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Our restated certificate of incorporation and our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our behalf,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other employees, agents, or stockholders arising pursuant to any provision of the Delaware General Corporation Law or our certificate of incorporation or bylaws or as to which the Delaware General Corporation Law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rules and regulations promulgated thereunder; (iii) the exclusive forum provisions are intended to benefit and may be enforced by us, our officers and directors, the financial advisors to any offering giving rise to such complaint, and any other professional or entity whose profession gives authority to a statement made by that person or entity and who has prepared or certified any part of the documents underlying the offering; and (iv) any person or entity purchasing or otherwise acquiring or holding any interest in our shares of capital stock will be deemed to have notice of and consented to these provisions. Nothing in our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spacing w:after="0" w:line="183"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If a court were to find the choice of forum provision contained in our restated certificate of incorporation or our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attract and retain highly skilled employees could materially adversely affect our business.</w:t>
      </w:r>
    </w:p>
    <w:p>
      <w:pPr>
        <w:spacing w:after="0" w:line="104" w:lineRule="exact"/>
        <w:rPr>
          <w:sz w:val="20"/>
          <w:szCs w:val="20"/>
          <w:color w:val="auto"/>
        </w:rPr>
      </w:pPr>
    </w:p>
    <w:p>
      <w:pPr>
        <w:ind w:right="20" w:firstLine="509"/>
        <w:spacing w:after="0" w:line="269" w:lineRule="auto"/>
        <w:rPr>
          <w:sz w:val="20"/>
          <w:szCs w:val="20"/>
          <w:color w:val="auto"/>
        </w:rPr>
      </w:pPr>
      <w:r>
        <w:rPr>
          <w:rFonts w:ascii="Arial" w:cs="Arial" w:eastAsia="Arial" w:hAnsi="Arial"/>
          <w:sz w:val="16"/>
          <w:szCs w:val="16"/>
          <w:color w:val="auto"/>
        </w:rPr>
        <w:t>In order to execute our growth plan, we must attract and retain highly qualified personnel. Competition for these personnel in the San Francisco Bay Area, where our headquarters is located, and in other locations where we engage in recruiting, is intense, especially for engineers experienced in designing and developing software and for experienced sales professionals. We have, from time to time experienced, and we expect to continue to experience, difficulty in hiring and retaining employees with appropriate qualifications. The cost of living is high in the San Francisco Bay Area, which may make it harder for us to attract and retain highly skilled employees. Many of the companies with which we compete for experienced personnel may have greater resources than we have. As our company grows and evolves, we may need to implement more complex organizational management structures or adapt our corporate culture and work environments. These changes could have an adverse impact on our corporate culture, which could harm our ability to retain and recruit personnel. If we hire employees from competitors or other companies, their former employers may attempt to assert that these employees or we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If we fail to attract new personnel or fail to retain and motivate our current personnel, our business and growth prospects could be materially adversely affected.</w:t>
      </w:r>
    </w:p>
    <w:p>
      <w:pPr>
        <w:spacing w:after="0" w:line="27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could materially adversely affect our business.</w:t>
      </w:r>
    </w:p>
    <w:p>
      <w:pPr>
        <w:spacing w:after="0" w:line="63"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Our success depends largely upon the continued services of our executive officers and other key employees. We rely on our leadership team in the areas of research and development, operations, security, marketing, sales, support, general and administrative functions, and on individual contributors in our research and development and operations.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therefore, they could terminate their employment with us at any time. The loss of one or more of our executive officers, especially our Chief Executive Officer, or key employees could have an adverse effect on our business.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Changes in the business, regulatory, or political climate in the San Francisco Bay Area could adversely affect our operations.</w:t>
      </w:r>
    </w:p>
    <w:p>
      <w:pPr>
        <w:spacing w:after="0" w:line="10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Changes in the business, regulatory, or political climate in the San Francisco Bay Area, where our headquarters is located and most of our employees live, could affect our ability to expand or continue our operations there, which could have a material adverse impact on our business, financial condition, and results of operations. For example, if we were required to move our headquarters or downsize our operations in the San Francisco Bay Area due to material adverse changes in the business, regulatory, or political climate such as increases in local tax rates, we may lose key employees and incur significant costs of relocation.</w:t>
      </w:r>
    </w:p>
    <w:p>
      <w:pPr>
        <w:spacing w:after="0" w:line="297"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Digital Optimization System, and could harm our business.</w:t>
      </w:r>
    </w:p>
    <w:p>
      <w:pPr>
        <w:spacing w:after="0" w:line="63"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The future success of our business depends upon our customers’ and potential customers’ access to the internet. Federal, state, or foreign government bodies or agencies have in the past adopted, and may in the future adopt, laws or regulations affecting the use of the internet. Changes in these laws or regulations could require us to modify our platform in order to comply with these changes. In addition, government agencies or private organizations may impose additional laws, regulations, standards, or protocols involving taxation, tariffs, privacy, data protection, information security, content, copyrights, distribution, electronic contracts and other communications, consumer protection, and the characteristics and quality of services, any of which could decrease the demand for our Digital Optimization System or result in reductions in the demand for internet-based platforms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Digital Optimization System could decline.</w:t>
      </w:r>
    </w:p>
    <w:p>
      <w:pPr>
        <w:spacing w:after="0" w:line="29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63"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Market opportunity estimates and growth forecasts,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companies covered by our market opportunity estimates will purchase our Digital Optimization System or generate any particular level of revenue for us. Any expansion in our markets depends on a number of factors, including the cost, performance, and perceived value associated with our Digital Optimization System and the products of our competitors. Even if the markets in which we compete achieve the forecasted growth, our business could fail to grow at similar rates, if at all.</w:t>
      </w:r>
    </w:p>
    <w:p>
      <w:pPr>
        <w:spacing w:after="0" w:line="283" w:lineRule="exact"/>
        <w:rPr>
          <w:sz w:val="20"/>
          <w:szCs w:val="20"/>
          <w:color w:val="auto"/>
        </w:rPr>
      </w:pPr>
    </w:p>
    <w:p>
      <w:pPr>
        <w:spacing w:after="0" w:line="356" w:lineRule="auto"/>
        <w:rPr>
          <w:sz w:val="20"/>
          <w:szCs w:val="20"/>
          <w:color w:val="auto"/>
        </w:rPr>
      </w:pPr>
      <w:r>
        <w:rPr>
          <w:rFonts w:ascii="Arial" w:cs="Arial" w:eastAsia="Arial" w:hAnsi="Arial"/>
          <w:sz w:val="15"/>
          <w:szCs w:val="15"/>
          <w:b w:val="1"/>
          <w:bCs w:val="1"/>
          <w:i w:val="1"/>
          <w:iCs w:val="1"/>
          <w:color w:val="auto"/>
        </w:rPr>
        <w:t>Acquisitions, mergers, strategic investments, partnerships, or alliances could be difficult to identify, pose integration challenges, divert the attention of management, disrupt our business, dilute stockholder value, and materially adversely affect our business, financial condition, and results of operations.</w:t>
      </w:r>
    </w:p>
    <w:p>
      <w:pPr>
        <w:spacing w:after="0" w:line="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have in the past and intend in the future to seek to acquire or invest in businesses, joint ventures, and platform technologies that we believe could complement or expand our Digital Optimization System, enhance our technology, or otherwise offer growth opportunities.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 acquired company’s software is not easily adapted to work with our platform,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the incurrence of debt or adverse tax consequences, which could materially adversely affect our business, financial condition, and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disrupted by catastrophic occurrences and similar events.</w:t>
      </w:r>
    </w:p>
    <w:p>
      <w:pPr>
        <w:spacing w:after="0" w:line="104"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Natural disasters or other catastrophic events may cause damage or disruption to our operations, international commerce, and the global economy, and could harm our business. We have a large employee presence in San Francisco, California. In the event of a major earthquake, fire, power loss, telecommunications failure, cyberattack, war (including the recent and developing war in Ukraine), terrorist attack, sabotage, other intentional acts of vandalism or misconduct, geopolitical event, disease, or other catastrophic occurrence, we may be unable to continue our operations and may endure system interruptions, reputational harm, delays in our application development, lengthy interruptions in our products, breaches of data security, and loss of critical data, all of which could materially adversely affect our business, financial condition, and results of operations.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5" w:name="page66"/>
    <w:bookmarkEnd w:id="65"/>
    <w:p>
      <w:pPr>
        <w:ind w:right="280" w:firstLine="509"/>
        <w:spacing w:after="0" w:line="248" w:lineRule="auto"/>
        <w:rPr>
          <w:sz w:val="20"/>
          <w:szCs w:val="20"/>
          <w:color w:val="auto"/>
        </w:rPr>
      </w:pPr>
      <w:r>
        <w:rPr>
          <w:rFonts w:ascii="Arial" w:cs="Arial" w:eastAsia="Arial" w:hAnsi="Arial"/>
          <w:sz w:val="18"/>
          <w:szCs w:val="18"/>
          <w:color w:val="auto"/>
        </w:rPr>
        <w:t>Additionally, we rely on our network and third-party infrastructure and applications, internal technology systems, and our websites for our development, marketing, operational support, hosted services, and sales activities. If these systems were to fail or be negatively impacted as a result of a natural disaster or other catastrophic event, our ability to deliver products to our customers would be impaired.</w:t>
      </w:r>
    </w:p>
    <w:p>
      <w:pPr>
        <w:spacing w:after="0" w:line="182" w:lineRule="exact"/>
        <w:rPr>
          <w:sz w:val="20"/>
          <w:szCs w:val="20"/>
          <w:color w:val="auto"/>
        </w:rPr>
      </w:pPr>
    </w:p>
    <w:p>
      <w:pPr>
        <w:jc w:val="both"/>
        <w:ind w:right="860" w:firstLine="509"/>
        <w:spacing w:after="0" w:line="294" w:lineRule="auto"/>
        <w:rPr>
          <w:sz w:val="20"/>
          <w:szCs w:val="20"/>
          <w:color w:val="auto"/>
        </w:rPr>
      </w:pPr>
      <w:r>
        <w:rPr>
          <w:rFonts w:ascii="Arial" w:cs="Arial" w:eastAsia="Arial" w:hAnsi="Arial"/>
          <w:sz w:val="16"/>
          <w:szCs w:val="16"/>
          <w:color w:val="auto"/>
        </w:rPr>
        <w:t>As we grow our business, the need for business continuity planning, incident response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p>
    <w:p>
      <w:pPr>
        <w:spacing w:after="0" w:line="255"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63"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The market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283"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3"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Nasdaq rules, and other applicable securities rules and regulations impose various requirements on public companies. Our management and other personnel will need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83"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74" w:lineRule="exact"/>
        <w:rPr>
          <w:sz w:val="20"/>
          <w:szCs w:val="20"/>
          <w:color w:val="auto"/>
        </w:rPr>
      </w:pPr>
    </w:p>
    <w:p>
      <w:pPr>
        <w:ind w:right="80" w:firstLine="509"/>
        <w:spacing w:after="0" w:line="270" w:lineRule="auto"/>
        <w:rPr>
          <w:sz w:val="20"/>
          <w:szCs w:val="20"/>
          <w:color w:val="auto"/>
        </w:rPr>
      </w:pPr>
      <w:r>
        <w:rPr>
          <w:rFonts w:ascii="Arial" w:cs="Arial" w:eastAsia="Arial" w:hAnsi="Arial"/>
          <w:sz w:val="16"/>
          <w:szCs w:val="16"/>
          <w:color w:val="auto"/>
        </w:rPr>
        <w:t>We will be required, pursuant to Section 404, to furnish a report by management on, among other things, the effectiveness of our internal control over financial reporting on an annual basis, beginning with our second annual report on Form 10-K.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expenses and expend significant management efforts. We have begun to establish a compliance and controls function and we will need to hire additional accounting and financial personnel with appropriate public company experience and technical accounting knowledge and compile the system and process documentation necessary to perform the evaluation needed to comply with Section 404.</w:t>
      </w:r>
    </w:p>
    <w:p>
      <w:pPr>
        <w:spacing w:after="0" w:line="171"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48" w:right="1440"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6. Exhibits.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220" w:type="dxa"/>
            <w:vAlign w:val="bottom"/>
            <w:gridSpan w:val="18"/>
          </w:tcPr>
          <w:p>
            <w:pPr>
              <w:spacing w:after="0"/>
              <w:rPr>
                <w:sz w:val="20"/>
                <w:szCs w:val="20"/>
                <w:color w:val="auto"/>
              </w:rPr>
            </w:pPr>
            <w:r>
              <w:rPr>
                <w:rFonts w:ascii="Arial" w:cs="Arial" w:eastAsia="Arial" w:hAnsi="Arial"/>
                <w:sz w:val="14"/>
                <w:szCs w:val="14"/>
                <w:b w:val="1"/>
                <w:bCs w:val="1"/>
                <w:color w:val="auto"/>
              </w:rPr>
              <w:t>Description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280" w:type="dxa"/>
            <w:vAlign w:val="bottom"/>
          </w:tcPr>
          <w:p>
            <w:pPr>
              <w:ind w:left="380"/>
              <w:spacing w:after="0"/>
              <w:rPr>
                <w:sz w:val="20"/>
                <w:szCs w:val="20"/>
                <w:color w:val="auto"/>
              </w:rPr>
            </w:pPr>
            <w:r>
              <w:rPr>
                <w:rFonts w:ascii="Arial" w:cs="Arial" w:eastAsia="Arial" w:hAnsi="Arial"/>
                <w:sz w:val="14"/>
                <w:szCs w:val="14"/>
                <w:b w:val="1"/>
                <w:bCs w:val="1"/>
                <w:color w:val="auto"/>
              </w:rPr>
              <w:t>File No.</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020" w:type="dxa"/>
            <w:vAlign w:val="bottom"/>
          </w:tcPr>
          <w:p>
            <w:pPr>
              <w:ind w:left="220"/>
              <w:spacing w:after="0"/>
              <w:rPr>
                <w:sz w:val="20"/>
                <w:szCs w:val="20"/>
                <w:color w:val="auto"/>
              </w:rPr>
            </w:pPr>
            <w:r>
              <w:rPr>
                <w:rFonts w:ascii="Arial" w:cs="Arial" w:eastAsia="Arial" w:hAnsi="Arial"/>
                <w:sz w:val="14"/>
                <w:szCs w:val="14"/>
                <w:b w:val="1"/>
                <w:bCs w:val="1"/>
                <w:color w:val="auto"/>
                <w:w w:val="99"/>
              </w:rPr>
              <w:t>Filing Date   Filed Herewith</w:t>
            </w:r>
          </w:p>
        </w:tc>
        <w:tc>
          <w:tcPr>
            <w:tcW w:w="0" w:type="dxa"/>
            <w:vAlign w:val="bottom"/>
          </w:tcPr>
          <w:p>
            <w:pPr>
              <w:spacing w:after="0"/>
              <w:rPr>
                <w:sz w:val="1"/>
                <w:szCs w:val="1"/>
                <w:color w:val="auto"/>
              </w:rPr>
            </w:pPr>
          </w:p>
        </w:tc>
      </w:tr>
      <w:tr>
        <w:trPr>
          <w:trHeight w:val="186"/>
        </w:trPr>
        <w:tc>
          <w:tcPr>
            <w:tcW w:w="10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5220" w:type="dxa"/>
            <w:vAlign w:val="bottom"/>
            <w:gridSpan w:val="18"/>
          </w:tcPr>
          <w:p>
            <w:pPr>
              <w:spacing w:after="0"/>
              <w:rPr>
                <w:rFonts w:ascii="Arial" w:cs="Arial" w:eastAsia="Arial" w:hAnsi="Arial"/>
                <w:sz w:val="18"/>
                <w:szCs w:val="18"/>
                <w:color w:val="0000FF"/>
              </w:rPr>
            </w:pPr>
            <w:hyperlink r:id="rId236">
              <w:r>
                <w:rPr>
                  <w:rFonts w:ascii="Arial" w:cs="Arial" w:eastAsia="Arial" w:hAnsi="Arial"/>
                  <w:sz w:val="18"/>
                  <w:szCs w:val="18"/>
                  <w:color w:val="0000FF"/>
                </w:rPr>
                <w:t>Restated Certificate of Incorporation of the Registrant.</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001-40817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020" w:type="dxa"/>
            <w:vAlign w:val="bottom"/>
          </w:tcPr>
          <w:p>
            <w:pPr>
              <w:ind w:left="200"/>
              <w:spacing w:after="0"/>
              <w:rPr>
                <w:sz w:val="20"/>
                <w:szCs w:val="20"/>
                <w:color w:val="auto"/>
              </w:rPr>
            </w:pPr>
            <w:r>
              <w:rPr>
                <w:rFonts w:ascii="Arial" w:cs="Arial" w:eastAsia="Arial" w:hAnsi="Arial"/>
                <w:sz w:val="18"/>
                <w:szCs w:val="18"/>
                <w:color w:val="auto"/>
              </w:rPr>
              <w:t>9/21/2021</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35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9"/>
              </w:rPr>
            </w:pPr>
            <w:hyperlink r:id="rId237">
              <w:r>
                <w:rPr>
                  <w:rFonts w:ascii="Arial" w:cs="Arial" w:eastAsia="Arial" w:hAnsi="Arial"/>
                  <w:sz w:val="18"/>
                  <w:szCs w:val="18"/>
                  <w:color w:val="0000FF"/>
                  <w:w w:val="89"/>
                </w:rPr>
                <w:t>Amended and Restated Bylaws of the Registrant.</w:t>
              </w:r>
            </w:hyperlink>
          </w:p>
        </w:tc>
        <w:tc>
          <w:tcPr>
            <w:tcW w:w="20" w:type="dxa"/>
            <w:vAlign w:val="bottom"/>
            <w:tcBorders>
              <w:top w:val="single" w:sz="8" w:color="0000FF"/>
              <w:bottom w:val="single" w:sz="8" w:color="0000EE"/>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1300" w:type="dxa"/>
            <w:vAlign w:val="bottom"/>
            <w:gridSpan w:val="12"/>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001-40817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020" w:type="dxa"/>
            <w:vAlign w:val="bottom"/>
          </w:tcPr>
          <w:p>
            <w:pPr>
              <w:ind w:left="200"/>
              <w:spacing w:after="0"/>
              <w:rPr>
                <w:sz w:val="20"/>
                <w:szCs w:val="20"/>
                <w:color w:val="auto"/>
              </w:rPr>
            </w:pPr>
            <w:r>
              <w:rPr>
                <w:rFonts w:ascii="Arial" w:cs="Arial" w:eastAsia="Arial" w:hAnsi="Arial"/>
                <w:sz w:val="18"/>
                <w:szCs w:val="18"/>
                <w:color w:val="auto"/>
              </w:rPr>
              <w:t>9/21/2021</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8"/>
                <w:szCs w:val="18"/>
                <w:color w:val="auto"/>
              </w:rPr>
              <w:t>4.1</w:t>
            </w:r>
          </w:p>
        </w:tc>
        <w:tc>
          <w:tcPr>
            <w:tcW w:w="3560" w:type="dxa"/>
            <w:vAlign w:val="bottom"/>
            <w:gridSpan w:val="5"/>
          </w:tcPr>
          <w:p>
            <w:pPr>
              <w:spacing w:after="0" w:line="169" w:lineRule="exact"/>
              <w:rPr>
                <w:rFonts w:ascii="Arial" w:cs="Arial" w:eastAsia="Arial" w:hAnsi="Arial"/>
                <w:sz w:val="18"/>
                <w:szCs w:val="18"/>
                <w:color w:val="0000FF"/>
                <w:w w:val="89"/>
              </w:rPr>
            </w:pPr>
            <w:hyperlink r:id="rId238">
              <w:r>
                <w:rPr>
                  <w:rFonts w:ascii="Arial" w:cs="Arial" w:eastAsia="Arial" w:hAnsi="Arial"/>
                  <w:sz w:val="18"/>
                  <w:szCs w:val="18"/>
                  <w:color w:val="0000FF"/>
                  <w:w w:val="89"/>
                </w:rPr>
                <w:t>Specimen Stock Certificate evidencing the shares</w:t>
              </w:r>
            </w:hyperlink>
          </w:p>
        </w:tc>
        <w:tc>
          <w:tcPr>
            <w:tcW w:w="1660" w:type="dxa"/>
            <w:vAlign w:val="bottom"/>
            <w:gridSpan w:val="13"/>
          </w:tcPr>
          <w:p>
            <w:pPr>
              <w:ind w:left="40"/>
              <w:spacing w:after="0" w:line="169" w:lineRule="exact"/>
              <w:rPr>
                <w:rFonts w:ascii="Arial" w:cs="Arial" w:eastAsia="Arial" w:hAnsi="Arial"/>
                <w:sz w:val="18"/>
                <w:szCs w:val="18"/>
                <w:color w:val="0000FF"/>
                <w:w w:val="99"/>
              </w:rPr>
            </w:pPr>
            <w:hyperlink r:id="rId238">
              <w:r>
                <w:rPr>
                  <w:rFonts w:ascii="Arial" w:cs="Arial" w:eastAsia="Arial" w:hAnsi="Arial"/>
                  <w:sz w:val="18"/>
                  <w:szCs w:val="18"/>
                  <w:color w:val="0000FF"/>
                  <w:w w:val="99"/>
                </w:rPr>
                <w:t>of Class A Common</w:t>
              </w:r>
            </w:hyperlink>
          </w:p>
        </w:tc>
        <w:tc>
          <w:tcPr>
            <w:tcW w:w="740" w:type="dxa"/>
            <w:vAlign w:val="bottom"/>
          </w:tcPr>
          <w:p>
            <w:pPr>
              <w:jc w:val="center"/>
              <w:spacing w:after="0" w:line="169" w:lineRule="exact"/>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line="169" w:lineRule="exact"/>
              <w:rPr>
                <w:sz w:val="20"/>
                <w:szCs w:val="20"/>
                <w:color w:val="auto"/>
              </w:rPr>
            </w:pPr>
            <w:r>
              <w:rPr>
                <w:rFonts w:ascii="Arial" w:cs="Arial" w:eastAsia="Arial" w:hAnsi="Arial"/>
                <w:sz w:val="18"/>
                <w:szCs w:val="18"/>
                <w:color w:val="auto"/>
                <w:w w:val="91"/>
              </w:rPr>
              <w:t>333-259168</w:t>
            </w:r>
          </w:p>
        </w:tc>
        <w:tc>
          <w:tcPr>
            <w:tcW w:w="900" w:type="dxa"/>
            <w:vAlign w:val="bottom"/>
          </w:tcPr>
          <w:p>
            <w:pPr>
              <w:jc w:val="center"/>
              <w:spacing w:after="0" w:line="169" w:lineRule="exact"/>
              <w:rPr>
                <w:sz w:val="20"/>
                <w:szCs w:val="20"/>
                <w:color w:val="auto"/>
              </w:rPr>
            </w:pPr>
            <w:r>
              <w:rPr>
                <w:rFonts w:ascii="Arial" w:cs="Arial" w:eastAsia="Arial" w:hAnsi="Arial"/>
                <w:sz w:val="18"/>
                <w:szCs w:val="18"/>
                <w:color w:val="auto"/>
                <w:w w:val="87"/>
              </w:rPr>
              <w:t>4.2</w:t>
            </w:r>
          </w:p>
        </w:tc>
        <w:tc>
          <w:tcPr>
            <w:tcW w:w="2020" w:type="dxa"/>
            <w:vAlign w:val="bottom"/>
          </w:tcPr>
          <w:p>
            <w:pPr>
              <w:ind w:left="200"/>
              <w:spacing w:after="0" w:line="169" w:lineRule="exact"/>
              <w:rPr>
                <w:sz w:val="20"/>
                <w:szCs w:val="20"/>
                <w:color w:val="auto"/>
              </w:rPr>
            </w:pPr>
            <w:r>
              <w:rPr>
                <w:rFonts w:ascii="Arial" w:cs="Arial" w:eastAsia="Arial" w:hAnsi="Arial"/>
                <w:sz w:val="18"/>
                <w:szCs w:val="18"/>
                <w:color w:val="auto"/>
              </w:rPr>
              <w:t>8/30/2021</w:t>
            </w:r>
          </w:p>
        </w:tc>
        <w:tc>
          <w:tcPr>
            <w:tcW w:w="0" w:type="dxa"/>
            <w:vAlign w:val="bottom"/>
          </w:tcPr>
          <w:p>
            <w:pPr>
              <w:spacing w:after="0"/>
              <w:rPr>
                <w:sz w:val="1"/>
                <w:szCs w:val="1"/>
                <w:color w:val="auto"/>
              </w:rPr>
            </w:pPr>
          </w:p>
        </w:tc>
      </w:tr>
      <w:tr>
        <w:trPr>
          <w:trHeight w:val="155"/>
        </w:trPr>
        <w:tc>
          <w:tcPr>
            <w:tcW w:w="1020" w:type="dxa"/>
            <w:vAlign w:val="bottom"/>
            <w:vMerge w:val="restart"/>
          </w:tcPr>
          <w:p>
            <w:pPr>
              <w:spacing w:after="0"/>
              <w:rPr>
                <w:sz w:val="20"/>
                <w:szCs w:val="20"/>
                <w:color w:val="auto"/>
              </w:rPr>
            </w:pPr>
            <w:r>
              <w:rPr>
                <w:rFonts w:ascii="Arial" w:cs="Arial" w:eastAsia="Arial" w:hAnsi="Arial"/>
                <w:sz w:val="18"/>
                <w:szCs w:val="18"/>
                <w:color w:val="auto"/>
              </w:rPr>
              <w:t>4.2</w:t>
            </w:r>
          </w:p>
        </w:tc>
        <w:tc>
          <w:tcPr>
            <w:tcW w:w="51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38">
              <w:r>
                <w:rPr>
                  <w:rFonts w:ascii="Arial" w:cs="Arial" w:eastAsia="Arial" w:hAnsi="Arial"/>
                  <w:sz w:val="18"/>
                  <w:szCs w:val="18"/>
                  <w:color w:val="0000FF"/>
                </w:rPr>
                <w:t>Stock.</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2"/>
              </w:rPr>
              <w:t>S-8</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333-259698</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7"/>
              </w:rPr>
              <w:t>4.4</w:t>
            </w:r>
          </w:p>
        </w:tc>
        <w:tc>
          <w:tcPr>
            <w:tcW w:w="2020" w:type="dxa"/>
            <w:vAlign w:val="bottom"/>
            <w:vMerge w:val="restart"/>
          </w:tcPr>
          <w:p>
            <w:pPr>
              <w:ind w:left="200"/>
              <w:spacing w:after="0"/>
              <w:rPr>
                <w:sz w:val="20"/>
                <w:szCs w:val="20"/>
                <w:color w:val="auto"/>
              </w:rPr>
            </w:pPr>
            <w:r>
              <w:rPr>
                <w:rFonts w:ascii="Arial" w:cs="Arial" w:eastAsia="Arial" w:hAnsi="Arial"/>
                <w:sz w:val="18"/>
                <w:szCs w:val="18"/>
                <w:color w:val="auto"/>
              </w:rPr>
              <w:t>9/21/2021</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5220" w:type="dxa"/>
            <w:vAlign w:val="bottom"/>
            <w:gridSpan w:val="18"/>
          </w:tcPr>
          <w:p>
            <w:pPr>
              <w:spacing w:after="0" w:line="169" w:lineRule="exact"/>
              <w:rPr>
                <w:rFonts w:ascii="Arial" w:cs="Arial" w:eastAsia="Arial" w:hAnsi="Arial"/>
                <w:sz w:val="18"/>
                <w:szCs w:val="18"/>
                <w:color w:val="0000FF"/>
                <w:w w:val="92"/>
              </w:rPr>
            </w:pPr>
            <w:hyperlink r:id="rId239">
              <w:r>
                <w:rPr>
                  <w:rFonts w:ascii="Arial" w:cs="Arial" w:eastAsia="Arial" w:hAnsi="Arial"/>
                  <w:sz w:val="18"/>
                  <w:szCs w:val="18"/>
                  <w:color w:val="0000FF"/>
                  <w:w w:val="92"/>
                </w:rPr>
                <w:t>Specimen Stock Certificate evidencing the shares of Class B Common</w:t>
              </w:r>
            </w:hyperlink>
          </w:p>
        </w:tc>
        <w:tc>
          <w:tcPr>
            <w:tcW w:w="7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8"/>
                <w:szCs w:val="18"/>
                <w:color w:val="auto"/>
              </w:rPr>
              <w:t>4.3</w:t>
            </w:r>
          </w:p>
        </w:tc>
        <w:tc>
          <w:tcPr>
            <w:tcW w:w="51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39">
              <w:r>
                <w:rPr>
                  <w:rFonts w:ascii="Arial" w:cs="Arial" w:eastAsia="Arial" w:hAnsi="Arial"/>
                  <w:sz w:val="18"/>
                  <w:szCs w:val="18"/>
                  <w:color w:val="0000FF"/>
                </w:rPr>
                <w:t>Stock.</w:t>
              </w:r>
            </w:hyperlink>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333-259168</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7"/>
              </w:rPr>
              <w:t>4.3</w:t>
            </w:r>
          </w:p>
        </w:tc>
        <w:tc>
          <w:tcPr>
            <w:tcW w:w="2020" w:type="dxa"/>
            <w:vAlign w:val="bottom"/>
            <w:vMerge w:val="restart"/>
          </w:tcPr>
          <w:p>
            <w:pPr>
              <w:ind w:left="200"/>
              <w:spacing w:after="0"/>
              <w:rPr>
                <w:sz w:val="20"/>
                <w:szCs w:val="20"/>
                <w:color w:val="auto"/>
              </w:rPr>
            </w:pPr>
            <w:r>
              <w:rPr>
                <w:rFonts w:ascii="Arial" w:cs="Arial" w:eastAsia="Arial" w:hAnsi="Arial"/>
                <w:sz w:val="18"/>
                <w:szCs w:val="18"/>
                <w:color w:val="auto"/>
              </w:rPr>
              <w:t>8/30/2021</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5220" w:type="dxa"/>
            <w:vAlign w:val="bottom"/>
            <w:gridSpan w:val="18"/>
          </w:tcPr>
          <w:p>
            <w:pPr>
              <w:spacing w:after="0" w:line="169" w:lineRule="exact"/>
              <w:rPr>
                <w:rFonts w:ascii="Arial" w:cs="Arial" w:eastAsia="Arial" w:hAnsi="Arial"/>
                <w:sz w:val="18"/>
                <w:szCs w:val="18"/>
                <w:color w:val="0000FF"/>
                <w:w w:val="93"/>
              </w:rPr>
            </w:pPr>
            <w:hyperlink r:id="rId240">
              <w:r>
                <w:rPr>
                  <w:rFonts w:ascii="Arial" w:cs="Arial" w:eastAsia="Arial" w:hAnsi="Arial"/>
                  <w:sz w:val="18"/>
                  <w:szCs w:val="18"/>
                  <w:color w:val="0000FF"/>
                  <w:w w:val="93"/>
                </w:rPr>
                <w:t>Amended and Restated Investors’ Rights Agreement, dated as of May</w:t>
              </w:r>
            </w:hyperlink>
          </w:p>
        </w:tc>
        <w:tc>
          <w:tcPr>
            <w:tcW w:w="7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5080" w:type="dxa"/>
            <w:vAlign w:val="bottom"/>
            <w:tcBorders>
              <w:top w:val="single" w:sz="8" w:color="0000FF"/>
            </w:tcBorders>
            <w:gridSpan w:val="13"/>
          </w:tcPr>
          <w:p>
            <w:pPr>
              <w:spacing w:after="0" w:line="156" w:lineRule="exact"/>
              <w:rPr>
                <w:rFonts w:ascii="Arial" w:cs="Arial" w:eastAsia="Arial" w:hAnsi="Arial"/>
                <w:sz w:val="18"/>
                <w:szCs w:val="18"/>
                <w:color w:val="0000FF"/>
                <w:w w:val="90"/>
              </w:rPr>
            </w:pPr>
            <w:hyperlink r:id="rId240">
              <w:r>
                <w:rPr>
                  <w:rFonts w:ascii="Arial" w:cs="Arial" w:eastAsia="Arial" w:hAnsi="Arial"/>
                  <w:sz w:val="18"/>
                  <w:szCs w:val="18"/>
                  <w:color w:val="0000FF"/>
                  <w:w w:val="90"/>
                </w:rPr>
                <w:t>28, 2021, as amended, by and among the Registrant and certain of its</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50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240">
              <w:r>
                <w:rPr>
                  <w:rFonts w:ascii="Arial" w:cs="Arial" w:eastAsia="Arial" w:hAnsi="Arial"/>
                  <w:sz w:val="18"/>
                  <w:szCs w:val="18"/>
                  <w:color w:val="0000FF"/>
                </w:rPr>
                <w:t>stockholders.</w:t>
              </w:r>
            </w:hyperlink>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8"/>
                <w:szCs w:val="18"/>
                <w:color w:val="auto"/>
              </w:rPr>
              <w:t>31.1</w:t>
            </w:r>
          </w:p>
        </w:tc>
        <w:tc>
          <w:tcPr>
            <w:tcW w:w="94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6"/>
              </w:rPr>
            </w:pPr>
            <w:hyperlink w:anchor="page70">
              <w:r>
                <w:rPr>
                  <w:rFonts w:ascii="Arial" w:cs="Arial" w:eastAsia="Arial" w:hAnsi="Arial"/>
                  <w:sz w:val="18"/>
                  <w:szCs w:val="18"/>
                  <w:color w:val="0000FF"/>
                  <w:w w:val="96"/>
                </w:rPr>
                <w:t>Certification</w:t>
              </w:r>
            </w:hyperlink>
          </w:p>
        </w:tc>
        <w:tc>
          <w:tcPr>
            <w:tcW w:w="4280" w:type="dxa"/>
            <w:vAlign w:val="bottom"/>
            <w:tcBorders>
              <w:bottom w:val="single" w:sz="8" w:color="0000FF"/>
            </w:tcBorders>
            <w:gridSpan w:val="16"/>
          </w:tcPr>
          <w:p>
            <w:pPr>
              <w:spacing w:after="0" w:line="169" w:lineRule="exact"/>
              <w:rPr>
                <w:rFonts w:ascii="Arial" w:cs="Arial" w:eastAsia="Arial" w:hAnsi="Arial"/>
                <w:sz w:val="18"/>
                <w:szCs w:val="18"/>
                <w:color w:val="0000FF"/>
                <w:w w:val="92"/>
              </w:rPr>
            </w:pPr>
            <w:hyperlink w:anchor="page70">
              <w:r>
                <w:rPr>
                  <w:rFonts w:ascii="Arial" w:cs="Arial" w:eastAsia="Arial" w:hAnsi="Arial"/>
                  <w:sz w:val="18"/>
                  <w:szCs w:val="18"/>
                  <w:color w:val="0000FF"/>
                  <w:w w:val="92"/>
                </w:rPr>
                <w:t>of Principal Executive Officer Pursuant to Rules 13a-14(a)</w:t>
              </w:r>
            </w:hyperlink>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tcPr>
          <w:p>
            <w:pPr>
              <w:ind w:left="1500"/>
              <w:spacing w:after="0" w:line="16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5220" w:type="dxa"/>
            <w:vAlign w:val="bottom"/>
            <w:gridSpan w:val="18"/>
          </w:tcPr>
          <w:p>
            <w:pPr>
              <w:spacing w:after="0" w:line="156" w:lineRule="exact"/>
              <w:rPr>
                <w:rFonts w:ascii="Arial" w:cs="Arial" w:eastAsia="Arial" w:hAnsi="Arial"/>
                <w:sz w:val="18"/>
                <w:szCs w:val="18"/>
                <w:color w:val="0000FF"/>
                <w:w w:val="92"/>
              </w:rPr>
            </w:pPr>
            <w:hyperlink w:anchor="page70">
              <w:r>
                <w:rPr>
                  <w:rFonts w:ascii="Arial" w:cs="Arial" w:eastAsia="Arial" w:hAnsi="Arial"/>
                  <w:sz w:val="18"/>
                  <w:szCs w:val="18"/>
                  <w:color w:val="0000FF"/>
                  <w:w w:val="92"/>
                </w:rPr>
                <w:t>and 15d-14(a) under the Securities Exchange Act of 1934, as Adopted</w:t>
              </w:r>
            </w:hyperlink>
          </w:p>
        </w:tc>
        <w:tc>
          <w:tcPr>
            <w:tcW w:w="7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w:anchor="page70">
              <w:r>
                <w:rPr>
                  <w:rFonts w:ascii="Arial" w:cs="Arial" w:eastAsia="Arial" w:hAnsi="Arial"/>
                  <w:sz w:val="18"/>
                  <w:szCs w:val="18"/>
                  <w:color w:val="0000FF"/>
                  <w:w w:val="90"/>
                </w:rPr>
                <w:t>Pursuant 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760" w:type="dxa"/>
            <w:vAlign w:val="bottom"/>
            <w:tcBorders>
              <w:top w:val="single" w:sz="8" w:color="0000FF"/>
            </w:tcBorders>
            <w:gridSpan w:val="6"/>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8"/>
                <w:szCs w:val="18"/>
                <w:color w:val="auto"/>
              </w:rPr>
              <w:t>31.2</w:t>
            </w:r>
          </w:p>
        </w:tc>
        <w:tc>
          <w:tcPr>
            <w:tcW w:w="4340" w:type="dxa"/>
            <w:vAlign w:val="bottom"/>
            <w:gridSpan w:val="8"/>
          </w:tcPr>
          <w:p>
            <w:pPr>
              <w:spacing w:after="0" w:line="169" w:lineRule="exact"/>
              <w:rPr>
                <w:rFonts w:ascii="Arial" w:cs="Arial" w:eastAsia="Arial" w:hAnsi="Arial"/>
                <w:sz w:val="18"/>
                <w:szCs w:val="18"/>
                <w:color w:val="0000FF"/>
                <w:w w:val="91"/>
              </w:rPr>
            </w:pPr>
            <w:hyperlink w:anchor="page71">
              <w:r>
                <w:rPr>
                  <w:rFonts w:ascii="Arial" w:cs="Arial" w:eastAsia="Arial" w:hAnsi="Arial"/>
                  <w:sz w:val="18"/>
                  <w:szCs w:val="18"/>
                  <w:color w:val="0000FF"/>
                  <w:w w:val="91"/>
                </w:rPr>
                <w:t>Certification of Principal Financial Officer Pursuant to Rules</w:t>
              </w:r>
            </w:hyperlink>
          </w:p>
        </w:tc>
        <w:tc>
          <w:tcPr>
            <w:tcW w:w="880" w:type="dxa"/>
            <w:vAlign w:val="bottom"/>
            <w:gridSpan w:val="10"/>
          </w:tcPr>
          <w:p>
            <w:pPr>
              <w:jc w:val="center"/>
              <w:ind w:right="20"/>
              <w:spacing w:after="0" w:line="169"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13a-14(a)</w:t>
              </w:r>
            </w:hyperlink>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tcPr>
          <w:p>
            <w:pPr>
              <w:ind w:left="1500"/>
              <w:spacing w:after="0" w:line="16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5180" w:type="dxa"/>
            <w:vAlign w:val="bottom"/>
            <w:tcBorders>
              <w:top w:val="single" w:sz="8" w:color="0000FF"/>
            </w:tcBorders>
            <w:gridSpan w:val="17"/>
          </w:tcPr>
          <w:p>
            <w:pPr>
              <w:spacing w:after="0" w:line="156" w:lineRule="exact"/>
              <w:rPr>
                <w:rFonts w:ascii="Arial" w:cs="Arial" w:eastAsia="Arial" w:hAnsi="Arial"/>
                <w:sz w:val="18"/>
                <w:szCs w:val="18"/>
                <w:color w:val="0000FF"/>
                <w:w w:val="92"/>
              </w:rPr>
            </w:pPr>
            <w:hyperlink w:anchor="page71">
              <w:r>
                <w:rPr>
                  <w:rFonts w:ascii="Arial" w:cs="Arial" w:eastAsia="Arial" w:hAnsi="Arial"/>
                  <w:sz w:val="18"/>
                  <w:szCs w:val="18"/>
                  <w:color w:val="0000FF"/>
                  <w:w w:val="92"/>
                </w:rPr>
                <w:t>and 15d-14(a) under the Securities Exchange Act of 1934, as Adopted</w:t>
              </w:r>
            </w:hyperlink>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w:anchor="page71">
              <w:r>
                <w:rPr>
                  <w:rFonts w:ascii="Arial" w:cs="Arial" w:eastAsia="Arial" w:hAnsi="Arial"/>
                  <w:sz w:val="18"/>
                  <w:szCs w:val="18"/>
                  <w:color w:val="0000FF"/>
                  <w:w w:val="90"/>
                </w:rPr>
                <w:t>Pursuant 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760" w:type="dxa"/>
            <w:vAlign w:val="bottom"/>
            <w:tcBorders>
              <w:top w:val="single" w:sz="8" w:color="0000FF"/>
            </w:tcBorders>
            <w:gridSpan w:val="6"/>
          </w:tcPr>
          <w:p>
            <w:pPr>
              <w:spacing w:after="0"/>
              <w:rPr>
                <w:sz w:val="13"/>
                <w:szCs w:val="13"/>
                <w:color w:val="auto"/>
              </w:rPr>
            </w:pPr>
          </w:p>
        </w:tc>
        <w:tc>
          <w:tcPr>
            <w:tcW w:w="120" w:type="dxa"/>
            <w:vAlign w:val="bottom"/>
            <w:gridSpan w:val="4"/>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8"/>
                <w:szCs w:val="18"/>
                <w:color w:val="auto"/>
              </w:rPr>
              <w:t>32.1*</w:t>
            </w:r>
          </w:p>
        </w:tc>
        <w:tc>
          <w:tcPr>
            <w:tcW w:w="4340" w:type="dxa"/>
            <w:vAlign w:val="bottom"/>
            <w:tcBorders>
              <w:bottom w:val="single" w:sz="8" w:color="0000FF"/>
            </w:tcBorders>
            <w:gridSpan w:val="8"/>
          </w:tcPr>
          <w:p>
            <w:pPr>
              <w:spacing w:after="0" w:line="169" w:lineRule="exact"/>
              <w:rPr>
                <w:rFonts w:ascii="Arial" w:cs="Arial" w:eastAsia="Arial" w:hAnsi="Arial"/>
                <w:sz w:val="18"/>
                <w:szCs w:val="18"/>
                <w:color w:val="0000FF"/>
                <w:w w:val="95"/>
              </w:rPr>
            </w:pPr>
            <w:hyperlink w:anchor="page72">
              <w:r>
                <w:rPr>
                  <w:rFonts w:ascii="Arial" w:cs="Arial" w:eastAsia="Arial" w:hAnsi="Arial"/>
                  <w:sz w:val="18"/>
                  <w:szCs w:val="18"/>
                  <w:color w:val="0000FF"/>
                  <w:w w:val="95"/>
                </w:rPr>
                <w:t>Certification of Principal Executive Officer Pursuant to 18</w:t>
              </w:r>
            </w:hyperlink>
          </w:p>
        </w:tc>
        <w:tc>
          <w:tcPr>
            <w:tcW w:w="440" w:type="dxa"/>
            <w:vAlign w:val="bottom"/>
            <w:tcBorders>
              <w:bottom w:val="single" w:sz="8" w:color="0000FF"/>
            </w:tcBorders>
            <w:gridSpan w:val="2"/>
          </w:tcPr>
          <w:p>
            <w:pPr>
              <w:spacing w:after="0" w:line="169" w:lineRule="exact"/>
              <w:rPr>
                <w:rFonts w:ascii="Arial" w:cs="Arial" w:eastAsia="Arial" w:hAnsi="Arial"/>
                <w:sz w:val="18"/>
                <w:szCs w:val="18"/>
                <w:color w:val="0000FF"/>
                <w:w w:val="79"/>
              </w:rPr>
            </w:pPr>
            <w:hyperlink w:anchor="page72">
              <w:r>
                <w:rPr>
                  <w:rFonts w:ascii="Arial" w:cs="Arial" w:eastAsia="Arial" w:hAnsi="Arial"/>
                  <w:sz w:val="18"/>
                  <w:szCs w:val="18"/>
                  <w:color w:val="0000FF"/>
                  <w:w w:val="79"/>
                </w:rPr>
                <w:t>U.S.C.</w:t>
              </w:r>
            </w:hyperlink>
          </w:p>
        </w:tc>
        <w:tc>
          <w:tcPr>
            <w:tcW w:w="440" w:type="dxa"/>
            <w:vAlign w:val="bottom"/>
            <w:gridSpan w:val="8"/>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tcPr>
          <w:p>
            <w:pPr>
              <w:ind w:left="1500"/>
              <w:spacing w:after="0" w:line="16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5220" w:type="dxa"/>
            <w:vAlign w:val="bottom"/>
            <w:gridSpan w:val="18"/>
          </w:tcPr>
          <w:p>
            <w:pPr>
              <w:spacing w:after="0" w:line="156" w:lineRule="exact"/>
              <w:rPr>
                <w:rFonts w:ascii="Arial" w:cs="Arial" w:eastAsia="Arial" w:hAnsi="Arial"/>
                <w:sz w:val="18"/>
                <w:szCs w:val="18"/>
                <w:color w:val="0000FF"/>
                <w:w w:val="96"/>
              </w:rPr>
            </w:pPr>
            <w:hyperlink w:anchor="page72">
              <w:r>
                <w:rPr>
                  <w:rFonts w:ascii="Arial" w:cs="Arial" w:eastAsia="Arial" w:hAnsi="Arial"/>
                  <w:sz w:val="18"/>
                  <w:szCs w:val="18"/>
                  <w:color w:val="0000FF"/>
                  <w:w w:val="96"/>
                </w:rPr>
                <w:t>Section 1350, as Adopted Pursuant to Section 906 of the Sarbanes-</w:t>
              </w:r>
            </w:hyperlink>
          </w:p>
        </w:tc>
        <w:tc>
          <w:tcPr>
            <w:tcW w:w="7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48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72">
              <w:r>
                <w:rPr>
                  <w:rFonts w:ascii="Arial" w:cs="Arial" w:eastAsia="Arial" w:hAnsi="Arial"/>
                  <w:sz w:val="18"/>
                  <w:szCs w:val="18"/>
                  <w:color w:val="0000FF"/>
                </w:rPr>
                <w:t>Oxley Act of 2002.</w:t>
              </w:r>
            </w:hyperlink>
          </w:p>
        </w:tc>
        <w:tc>
          <w:tcPr>
            <w:tcW w:w="400" w:type="dxa"/>
            <w:vAlign w:val="bottom"/>
            <w:gridSpan w:val="7"/>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20" w:type="dxa"/>
            <w:vAlign w:val="bottom"/>
            <w:vMerge w:val="restart"/>
          </w:tcPr>
          <w:p>
            <w:pPr>
              <w:ind w:left="15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5220" w:type="dxa"/>
            <w:vAlign w:val="bottom"/>
            <w:gridSpan w:val="18"/>
          </w:tcPr>
          <w:p>
            <w:pPr>
              <w:spacing w:after="0" w:line="169" w:lineRule="exact"/>
              <w:rPr>
                <w:rFonts w:ascii="Arial" w:cs="Arial" w:eastAsia="Arial" w:hAnsi="Arial"/>
                <w:sz w:val="18"/>
                <w:szCs w:val="18"/>
                <w:color w:val="0000FF"/>
              </w:rPr>
            </w:pPr>
            <w:hyperlink w:anchor="page73">
              <w:r>
                <w:rPr>
                  <w:rFonts w:ascii="Arial" w:cs="Arial" w:eastAsia="Arial" w:hAnsi="Arial"/>
                  <w:sz w:val="18"/>
                  <w:szCs w:val="18"/>
                  <w:color w:val="0000FF"/>
                </w:rPr>
                <w:t>Certification of Principal Financial Officer Pursuant to 18 U.S.C.</w:t>
              </w:r>
            </w:hyperlink>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4720" w:type="dxa"/>
            <w:vAlign w:val="bottom"/>
            <w:tcBorders>
              <w:top w:val="single" w:sz="8" w:color="0000FF"/>
            </w:tcBorders>
            <w:gridSpan w:val="9"/>
          </w:tcPr>
          <w:p>
            <w:pPr>
              <w:spacing w:after="0" w:line="156" w:lineRule="exact"/>
              <w:rPr>
                <w:rFonts w:ascii="Arial" w:cs="Arial" w:eastAsia="Arial" w:hAnsi="Arial"/>
                <w:sz w:val="18"/>
                <w:szCs w:val="18"/>
                <w:color w:val="0000FF"/>
                <w:w w:val="87"/>
              </w:rPr>
            </w:pPr>
            <w:hyperlink w:anchor="page73">
              <w:r>
                <w:rPr>
                  <w:rFonts w:ascii="Arial" w:cs="Arial" w:eastAsia="Arial" w:hAnsi="Arial"/>
                  <w:sz w:val="18"/>
                  <w:szCs w:val="18"/>
                  <w:color w:val="0000FF"/>
                  <w:w w:val="87"/>
                </w:rPr>
                <w:t>Section 1350, as Adopted Pursuant to Section 906 of the Sarbanes</w:t>
              </w:r>
            </w:hyperlink>
          </w:p>
        </w:tc>
        <w:tc>
          <w:tcPr>
            <w:tcW w:w="500" w:type="dxa"/>
            <w:vAlign w:val="bottom"/>
            <w:gridSpan w:val="9"/>
          </w:tcPr>
          <w:p>
            <w:pPr>
              <w:jc w:val="center"/>
              <w:ind w:right="380"/>
              <w:spacing w:after="0" w:line="156" w:lineRule="exact"/>
              <w:rPr>
                <w:rFonts w:ascii="Arial" w:cs="Arial" w:eastAsia="Arial" w:hAnsi="Arial"/>
                <w:sz w:val="18"/>
                <w:szCs w:val="18"/>
                <w:color w:val="0000FF"/>
              </w:rPr>
            </w:pPr>
            <w:hyperlink w:anchor="page73">
              <w:r>
                <w:rPr>
                  <w:rFonts w:ascii="Arial" w:cs="Arial" w:eastAsia="Arial" w:hAnsi="Arial"/>
                  <w:sz w:val="18"/>
                  <w:szCs w:val="18"/>
                  <w:color w:val="0000FF"/>
                </w:rPr>
                <w:t>-</w:t>
              </w:r>
            </w:hyperlink>
          </w:p>
        </w:tc>
        <w:tc>
          <w:tcPr>
            <w:tcW w:w="7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48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73">
              <w:r>
                <w:rPr>
                  <w:rFonts w:ascii="Arial" w:cs="Arial" w:eastAsia="Arial" w:hAnsi="Arial"/>
                  <w:sz w:val="18"/>
                  <w:szCs w:val="18"/>
                  <w:color w:val="0000FF"/>
                </w:rPr>
                <w:t>Oxley Act of 2002.</w:t>
              </w:r>
            </w:hyperlink>
          </w:p>
        </w:tc>
        <w:tc>
          <w:tcPr>
            <w:tcW w:w="400" w:type="dxa"/>
            <w:vAlign w:val="bottom"/>
            <w:gridSpan w:val="7"/>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20" w:type="dxa"/>
            <w:vAlign w:val="bottom"/>
            <w:vMerge w:val="restart"/>
          </w:tcPr>
          <w:p>
            <w:pPr>
              <w:ind w:left="15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3820" w:type="dxa"/>
            <w:vAlign w:val="bottom"/>
            <w:gridSpan w:val="1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vMerge w:val="continue"/>
          </w:tcPr>
          <w:p>
            <w:pPr>
              <w:spacing w:after="0"/>
              <w:rPr>
                <w:sz w:val="13"/>
                <w:szCs w:val="13"/>
                <w:color w:val="auto"/>
              </w:rPr>
            </w:pPr>
          </w:p>
        </w:tc>
        <w:tc>
          <w:tcPr>
            <w:tcW w:w="5220" w:type="dxa"/>
            <w:vAlign w:val="bottom"/>
            <w:gridSpan w:val="18"/>
          </w:tcPr>
          <w:p>
            <w:pPr>
              <w:spacing w:after="0" w:line="156" w:lineRule="exact"/>
              <w:rPr>
                <w:sz w:val="20"/>
                <w:szCs w:val="20"/>
                <w:color w:val="auto"/>
              </w:rPr>
            </w:pPr>
            <w:r>
              <w:rPr>
                <w:rFonts w:ascii="Arial" w:cs="Arial" w:eastAsia="Arial" w:hAnsi="Arial"/>
                <w:sz w:val="18"/>
                <w:szCs w:val="18"/>
                <w:color w:val="auto"/>
                <w:w w:val="98"/>
              </w:rPr>
              <w:t>Inline XBRL Instance Document – the instance document does not</w:t>
            </w:r>
          </w:p>
        </w:tc>
        <w:tc>
          <w:tcPr>
            <w:tcW w:w="7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220" w:type="dxa"/>
            <w:vAlign w:val="bottom"/>
            <w:gridSpan w:val="18"/>
          </w:tcPr>
          <w:p>
            <w:pPr>
              <w:spacing w:after="0" w:line="176" w:lineRule="exact"/>
              <w:rPr>
                <w:sz w:val="20"/>
                <w:szCs w:val="20"/>
                <w:color w:val="auto"/>
              </w:rPr>
            </w:pPr>
            <w:r>
              <w:rPr>
                <w:rFonts w:ascii="Arial" w:cs="Arial" w:eastAsia="Arial" w:hAnsi="Arial"/>
                <w:sz w:val="18"/>
                <w:szCs w:val="18"/>
                <w:color w:val="auto"/>
                <w:w w:val="93"/>
              </w:rPr>
              <w:t>appear in the Interactive Data File because XBRL tags are embedded</w:t>
            </w:r>
          </w:p>
        </w:tc>
        <w:tc>
          <w:tcPr>
            <w:tcW w:w="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20" w:type="dxa"/>
            <w:vAlign w:val="bottom"/>
          </w:tcPr>
          <w:p>
            <w:pPr>
              <w:spacing w:after="0"/>
              <w:rPr>
                <w:sz w:val="16"/>
                <w:szCs w:val="16"/>
                <w:color w:val="auto"/>
              </w:rPr>
            </w:pPr>
          </w:p>
        </w:tc>
        <w:tc>
          <w:tcPr>
            <w:tcW w:w="5220" w:type="dxa"/>
            <w:vAlign w:val="bottom"/>
            <w:gridSpan w:val="18"/>
          </w:tcPr>
          <w:p>
            <w:pPr>
              <w:spacing w:after="0" w:line="189" w:lineRule="exact"/>
              <w:rPr>
                <w:sz w:val="20"/>
                <w:szCs w:val="20"/>
                <w:color w:val="auto"/>
              </w:rPr>
            </w:pPr>
            <w:r>
              <w:rPr>
                <w:rFonts w:ascii="Arial" w:cs="Arial" w:eastAsia="Arial" w:hAnsi="Arial"/>
                <w:sz w:val="18"/>
                <w:szCs w:val="18"/>
                <w:color w:val="auto"/>
              </w:rPr>
              <w:t>within the Inline XBRL document.</w:t>
            </w:r>
          </w:p>
        </w:tc>
        <w:tc>
          <w:tcPr>
            <w:tcW w:w="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line="189" w:lineRule="exact"/>
              <w:rPr>
                <w:sz w:val="20"/>
                <w:szCs w:val="20"/>
                <w:color w:val="auto"/>
              </w:rPr>
            </w:pPr>
            <w:r>
              <w:rPr>
                <w:rFonts w:ascii="Arial" w:cs="Arial" w:eastAsia="Arial" w:hAnsi="Arial"/>
                <w:sz w:val="18"/>
                <w:szCs w:val="18"/>
                <w:color w:val="auto"/>
              </w:rPr>
              <w:t>101.SCH</w:t>
            </w:r>
          </w:p>
        </w:tc>
        <w:tc>
          <w:tcPr>
            <w:tcW w:w="5220" w:type="dxa"/>
            <w:vAlign w:val="bottom"/>
            <w:gridSpan w:val="18"/>
          </w:tcPr>
          <w:p>
            <w:pPr>
              <w:spacing w:after="0" w:line="189" w:lineRule="exact"/>
              <w:rPr>
                <w:sz w:val="20"/>
                <w:szCs w:val="20"/>
                <w:color w:val="auto"/>
              </w:rPr>
            </w:pPr>
            <w:r>
              <w:rPr>
                <w:rFonts w:ascii="Arial" w:cs="Arial" w:eastAsia="Arial" w:hAnsi="Arial"/>
                <w:sz w:val="18"/>
                <w:szCs w:val="18"/>
                <w:color w:val="auto"/>
              </w:rPr>
              <w:t>Inline XBRL Taxonomy Extension Schema Document</w:t>
            </w:r>
          </w:p>
        </w:tc>
        <w:tc>
          <w:tcPr>
            <w:tcW w:w="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20" w:type="dxa"/>
            <w:vAlign w:val="bottom"/>
          </w:tcPr>
          <w:p>
            <w:pPr>
              <w:ind w:left="1500"/>
              <w:spacing w:after="0" w:line="18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9"/>
        </w:trPr>
        <w:tc>
          <w:tcPr>
            <w:tcW w:w="1020" w:type="dxa"/>
            <w:vAlign w:val="bottom"/>
          </w:tcPr>
          <w:p>
            <w:pPr>
              <w:spacing w:after="0" w:line="189" w:lineRule="exact"/>
              <w:rPr>
                <w:sz w:val="20"/>
                <w:szCs w:val="20"/>
                <w:color w:val="auto"/>
              </w:rPr>
            </w:pPr>
            <w:r>
              <w:rPr>
                <w:rFonts w:ascii="Arial" w:cs="Arial" w:eastAsia="Arial" w:hAnsi="Arial"/>
                <w:sz w:val="18"/>
                <w:szCs w:val="18"/>
                <w:color w:val="auto"/>
              </w:rPr>
              <w:t>101.CAL</w:t>
            </w:r>
          </w:p>
        </w:tc>
        <w:tc>
          <w:tcPr>
            <w:tcW w:w="5220" w:type="dxa"/>
            <w:vAlign w:val="bottom"/>
            <w:gridSpan w:val="18"/>
          </w:tcPr>
          <w:p>
            <w:pPr>
              <w:spacing w:after="0" w:line="189" w:lineRule="exact"/>
              <w:rPr>
                <w:sz w:val="20"/>
                <w:szCs w:val="20"/>
                <w:color w:val="auto"/>
              </w:rPr>
            </w:pPr>
            <w:r>
              <w:rPr>
                <w:rFonts w:ascii="Arial" w:cs="Arial" w:eastAsia="Arial" w:hAnsi="Arial"/>
                <w:sz w:val="18"/>
                <w:szCs w:val="18"/>
                <w:color w:val="auto"/>
                <w:w w:val="98"/>
              </w:rPr>
              <w:t>Inline XBRL Taxonomy Extension Calculation Linkbase Document</w:t>
            </w:r>
          </w:p>
        </w:tc>
        <w:tc>
          <w:tcPr>
            <w:tcW w:w="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20" w:type="dxa"/>
            <w:vAlign w:val="bottom"/>
          </w:tcPr>
          <w:p>
            <w:pPr>
              <w:ind w:left="1500"/>
              <w:spacing w:after="0" w:line="18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9"/>
        </w:trPr>
        <w:tc>
          <w:tcPr>
            <w:tcW w:w="1020" w:type="dxa"/>
            <w:vAlign w:val="bottom"/>
          </w:tcPr>
          <w:p>
            <w:pPr>
              <w:spacing w:after="0" w:line="189" w:lineRule="exact"/>
              <w:rPr>
                <w:sz w:val="20"/>
                <w:szCs w:val="20"/>
                <w:color w:val="auto"/>
              </w:rPr>
            </w:pPr>
            <w:r>
              <w:rPr>
                <w:rFonts w:ascii="Arial" w:cs="Arial" w:eastAsia="Arial" w:hAnsi="Arial"/>
                <w:sz w:val="18"/>
                <w:szCs w:val="18"/>
                <w:color w:val="auto"/>
              </w:rPr>
              <w:t>101.DEF</w:t>
            </w:r>
          </w:p>
        </w:tc>
        <w:tc>
          <w:tcPr>
            <w:tcW w:w="5220" w:type="dxa"/>
            <w:vAlign w:val="bottom"/>
            <w:gridSpan w:val="18"/>
          </w:tcPr>
          <w:p>
            <w:pPr>
              <w:spacing w:after="0" w:line="189" w:lineRule="exact"/>
              <w:rPr>
                <w:sz w:val="20"/>
                <w:szCs w:val="20"/>
                <w:color w:val="auto"/>
              </w:rPr>
            </w:pPr>
            <w:r>
              <w:rPr>
                <w:rFonts w:ascii="Arial" w:cs="Arial" w:eastAsia="Arial" w:hAnsi="Arial"/>
                <w:sz w:val="18"/>
                <w:szCs w:val="18"/>
                <w:color w:val="auto"/>
              </w:rPr>
              <w:t>Inline XBRL Taxonomy Extension Definition Linkbase Document</w:t>
            </w:r>
          </w:p>
        </w:tc>
        <w:tc>
          <w:tcPr>
            <w:tcW w:w="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20" w:type="dxa"/>
            <w:vAlign w:val="bottom"/>
          </w:tcPr>
          <w:p>
            <w:pPr>
              <w:ind w:left="1500"/>
              <w:spacing w:after="0" w:line="18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9"/>
        </w:trPr>
        <w:tc>
          <w:tcPr>
            <w:tcW w:w="1020" w:type="dxa"/>
            <w:vAlign w:val="bottom"/>
          </w:tcPr>
          <w:p>
            <w:pPr>
              <w:spacing w:after="0" w:line="189" w:lineRule="exact"/>
              <w:rPr>
                <w:sz w:val="20"/>
                <w:szCs w:val="20"/>
                <w:color w:val="auto"/>
              </w:rPr>
            </w:pPr>
            <w:r>
              <w:rPr>
                <w:rFonts w:ascii="Arial" w:cs="Arial" w:eastAsia="Arial" w:hAnsi="Arial"/>
                <w:sz w:val="18"/>
                <w:szCs w:val="18"/>
                <w:color w:val="auto"/>
              </w:rPr>
              <w:t>101.LAB</w:t>
            </w:r>
          </w:p>
        </w:tc>
        <w:tc>
          <w:tcPr>
            <w:tcW w:w="5220" w:type="dxa"/>
            <w:vAlign w:val="bottom"/>
            <w:gridSpan w:val="18"/>
          </w:tcPr>
          <w:p>
            <w:pPr>
              <w:spacing w:after="0" w:line="189" w:lineRule="exact"/>
              <w:rPr>
                <w:sz w:val="20"/>
                <w:szCs w:val="20"/>
                <w:color w:val="auto"/>
              </w:rPr>
            </w:pPr>
            <w:r>
              <w:rPr>
                <w:rFonts w:ascii="Arial" w:cs="Arial" w:eastAsia="Arial" w:hAnsi="Arial"/>
                <w:sz w:val="18"/>
                <w:szCs w:val="18"/>
                <w:color w:val="auto"/>
              </w:rPr>
              <w:t>Inline XBRL Taxonomy Extension Label Linkbase Document</w:t>
            </w:r>
          </w:p>
        </w:tc>
        <w:tc>
          <w:tcPr>
            <w:tcW w:w="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20" w:type="dxa"/>
            <w:vAlign w:val="bottom"/>
          </w:tcPr>
          <w:p>
            <w:pPr>
              <w:ind w:left="1500"/>
              <w:spacing w:after="0" w:line="18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9"/>
        </w:trPr>
        <w:tc>
          <w:tcPr>
            <w:tcW w:w="1020" w:type="dxa"/>
            <w:vAlign w:val="bottom"/>
          </w:tcPr>
          <w:p>
            <w:pPr>
              <w:spacing w:after="0" w:line="189" w:lineRule="exact"/>
              <w:rPr>
                <w:sz w:val="20"/>
                <w:szCs w:val="20"/>
                <w:color w:val="auto"/>
              </w:rPr>
            </w:pPr>
            <w:r>
              <w:rPr>
                <w:rFonts w:ascii="Arial" w:cs="Arial" w:eastAsia="Arial" w:hAnsi="Arial"/>
                <w:sz w:val="18"/>
                <w:szCs w:val="18"/>
                <w:color w:val="auto"/>
              </w:rPr>
              <w:t>101.PRE</w:t>
            </w:r>
          </w:p>
        </w:tc>
        <w:tc>
          <w:tcPr>
            <w:tcW w:w="5220" w:type="dxa"/>
            <w:vAlign w:val="bottom"/>
            <w:gridSpan w:val="18"/>
          </w:tcPr>
          <w:p>
            <w:pPr>
              <w:spacing w:after="0" w:line="189" w:lineRule="exact"/>
              <w:rPr>
                <w:sz w:val="20"/>
                <w:szCs w:val="20"/>
                <w:color w:val="auto"/>
              </w:rPr>
            </w:pPr>
            <w:r>
              <w:rPr>
                <w:rFonts w:ascii="Arial" w:cs="Arial" w:eastAsia="Arial" w:hAnsi="Arial"/>
                <w:sz w:val="18"/>
                <w:szCs w:val="18"/>
                <w:color w:val="auto"/>
                <w:w w:val="96"/>
              </w:rPr>
              <w:t>Inline XBRL Taxonomy Extension Presentation Linkbase Document</w:t>
            </w:r>
          </w:p>
        </w:tc>
        <w:tc>
          <w:tcPr>
            <w:tcW w:w="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20" w:type="dxa"/>
            <w:vAlign w:val="bottom"/>
          </w:tcPr>
          <w:p>
            <w:pPr>
              <w:ind w:left="1500"/>
              <w:spacing w:after="0" w:line="18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5220" w:type="dxa"/>
            <w:vAlign w:val="bottom"/>
            <w:gridSpan w:val="18"/>
          </w:tcPr>
          <w:p>
            <w:pPr>
              <w:spacing w:after="0" w:line="176" w:lineRule="exact"/>
              <w:rPr>
                <w:sz w:val="20"/>
                <w:szCs w:val="20"/>
                <w:color w:val="auto"/>
              </w:rPr>
            </w:pPr>
            <w:r>
              <w:rPr>
                <w:rFonts w:ascii="Arial" w:cs="Arial" w:eastAsia="Arial" w:hAnsi="Arial"/>
                <w:sz w:val="18"/>
                <w:szCs w:val="18"/>
                <w:color w:val="auto"/>
                <w:w w:val="96"/>
              </w:rPr>
              <w:t>Cover Page Interactive Data File (embedded within the Inline XBRL</w:t>
            </w:r>
          </w:p>
        </w:tc>
        <w:tc>
          <w:tcPr>
            <w:tcW w:w="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20" w:type="dxa"/>
            <w:vAlign w:val="bottom"/>
          </w:tcPr>
          <w:p>
            <w:pPr>
              <w:ind w:left="1500"/>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522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firstLine="8"/>
        <w:spacing w:after="0" w:line="243" w:lineRule="auto"/>
        <w:tabs>
          <w:tab w:leader="none" w:pos="1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that accompany this Quarterly Report on Form 10-Q are deemed furnished and not filed with the Securities and Exchange Commission and are not to be incorporated by reference into any filing of Amplitude,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68" w:name="page69"/>
    <w:bookmarkEnd w:id="68"/>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Amplitude, Inc.</w:t>
      </w:r>
    </w:p>
    <w:p>
      <w:pPr>
        <w:spacing w:after="0" w:line="173"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6"/>
          <w:szCs w:val="16"/>
          <w:color w:val="auto"/>
        </w:rPr>
        <w:t>By: /s/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wp:posOffset>
            </wp:positionV>
            <wp:extent cx="33089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6040"/>
        <w:spacing w:after="0" w:line="219" w:lineRule="auto"/>
        <w:rPr>
          <w:sz w:val="20"/>
          <w:szCs w:val="20"/>
          <w:color w:val="auto"/>
        </w:rPr>
      </w:pPr>
      <w:r>
        <w:rPr>
          <w:rFonts w:ascii="Arial" w:cs="Arial" w:eastAsia="Arial" w:hAnsi="Arial"/>
          <w:sz w:val="18"/>
          <w:szCs w:val="18"/>
          <w:color w:val="auto"/>
        </w:rPr>
        <w:t>Spenser Skates</w:t>
      </w:r>
    </w:p>
    <w:p>
      <w:pPr>
        <w:ind w:left="604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Executive Officer)</w:t>
      </w:r>
    </w:p>
    <w:p>
      <w:pPr>
        <w:spacing w:after="0" w:line="153"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7"/>
          <w:szCs w:val="17"/>
          <w:color w:val="auto"/>
        </w:rPr>
        <w:t>By: /s/ Hoang Vuong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wp:posOffset>
            </wp:positionV>
            <wp:extent cx="330898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6040"/>
        <w:spacing w:after="0" w:line="219" w:lineRule="auto"/>
        <w:rPr>
          <w:sz w:val="20"/>
          <w:szCs w:val="20"/>
          <w:color w:val="auto"/>
        </w:rPr>
      </w:pPr>
      <w:r>
        <w:rPr>
          <w:rFonts w:ascii="Arial" w:cs="Arial" w:eastAsia="Arial" w:hAnsi="Arial"/>
          <w:sz w:val="18"/>
          <w:szCs w:val="18"/>
          <w:color w:val="auto"/>
        </w:rPr>
        <w:t>Hoang Vuong</w:t>
      </w:r>
    </w:p>
    <w:p>
      <w:pPr>
        <w:ind w:left="604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Financial Officer)</w:t>
      </w:r>
    </w:p>
    <w:p>
      <w:pPr>
        <w:spacing w:after="0" w:line="29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4" w:right="77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PRINCIPAL EXECUTIVE OFFICER PURSUANT TO RULES 13a-14(a) AND 15d -14(a) UNDER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Spenser Skates, certify that:</w:t>
      </w:r>
    </w:p>
    <w:p>
      <w:pPr>
        <w:spacing w:after="0" w:line="212"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Amplitude,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60" w:hanging="512"/>
        <w:spacing w:after="0" w:line="261"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hanging="503"/>
        <w:spacing w:after="0"/>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[Reserved];</w:t>
      </w:r>
    </w:p>
    <w:p>
      <w:pPr>
        <w:spacing w:after="0" w:line="21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60" w:hanging="512"/>
        <w:spacing w:after="0" w:line="291"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Arial" w:cs="Arial" w:eastAsia="Arial" w:hAnsi="Arial"/>
                <w:sz w:val="18"/>
                <w:szCs w:val="18"/>
                <w:color w:val="auto"/>
              </w:rPr>
              <w:t>Date: May 5, 2022</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Spenser Skates</w:t>
            </w:r>
          </w:p>
        </w:tc>
      </w:tr>
      <w:tr>
        <w:trPr>
          <w:trHeight w:val="151"/>
        </w:trPr>
        <w:tc>
          <w:tcPr>
            <w:tcW w:w="3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1"/>
              </w:rPr>
              <w:t>Spenser Skates</w:t>
            </w:r>
          </w:p>
        </w:tc>
      </w:tr>
      <w:tr>
        <w:trPr>
          <w:trHeight w:val="180"/>
        </w:trPr>
        <w:tc>
          <w:tcPr>
            <w:tcW w:w="35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2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Chief Executive Officer</w:t>
            </w:r>
          </w:p>
        </w:tc>
      </w:tr>
      <w:tr>
        <w:trPr>
          <w:trHeight w:val="230"/>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506"/>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PRINCIPAL FINANCIAL OFFICER PURSUANT TO RULES 13a-14(a) AND 15d -14(a) UNDER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Hoang Vuong, certify that:</w:t>
      </w:r>
    </w:p>
    <w:p>
      <w:pPr>
        <w:spacing w:after="0" w:line="212"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Amplitude,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60" w:hanging="512"/>
        <w:spacing w:after="0" w:line="261"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hanging="503"/>
        <w:spacing w:after="0"/>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[Reserved];</w:t>
      </w:r>
    </w:p>
    <w:p>
      <w:pPr>
        <w:spacing w:after="0" w:line="21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60" w:hanging="512"/>
        <w:spacing w:after="0" w:line="291"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Arial" w:cs="Arial" w:eastAsia="Arial" w:hAnsi="Arial"/>
                <w:sz w:val="18"/>
                <w:szCs w:val="18"/>
                <w:color w:val="auto"/>
              </w:rPr>
              <w:t>Date: May 5, 2022</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Hoang Vuong</w:t>
            </w:r>
          </w:p>
        </w:tc>
      </w:tr>
      <w:tr>
        <w:trPr>
          <w:trHeight w:val="151"/>
        </w:trPr>
        <w:tc>
          <w:tcPr>
            <w:tcW w:w="3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4"/>
              </w:rPr>
              <w:t>Hoang Vuong</w:t>
            </w:r>
          </w:p>
        </w:tc>
      </w:tr>
      <w:tr>
        <w:trPr>
          <w:trHeight w:val="180"/>
        </w:trPr>
        <w:tc>
          <w:tcPr>
            <w:tcW w:w="35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2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3"/>
              </w:rPr>
              <w:t>Chief Financial Officer</w:t>
            </w:r>
          </w:p>
        </w:tc>
      </w:tr>
      <w:tr>
        <w:trPr>
          <w:trHeight w:val="230"/>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506"/>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81"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In connection with the Quarterly Report of Amplitude, Inc. (the “Company”) on Form 10-Q for the quarter ended March 31, 2022 as filed with the Securities and Exchange Commission on the date hereof (the “Report”), I certify, pursuant to 18 U.S.C. § 1350, as adopted pursuant to § 906 of the Sarbanes-Oxley Act of 2002, as amended, that:</w:t>
      </w:r>
    </w:p>
    <w:p>
      <w:pPr>
        <w:spacing w:after="0" w:line="182"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23" w:lineRule="exact"/>
        <w:rPr>
          <w:rFonts w:ascii="Arial" w:cs="Arial" w:eastAsia="Arial" w:hAnsi="Arial"/>
          <w:sz w:val="17"/>
          <w:szCs w:val="17"/>
          <w:color w:val="auto"/>
        </w:rPr>
      </w:pPr>
    </w:p>
    <w:p>
      <w:pPr>
        <w:ind w:left="1020" w:right="56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Arial" w:cs="Arial" w:eastAsia="Arial" w:hAnsi="Arial"/>
                <w:sz w:val="18"/>
                <w:szCs w:val="18"/>
                <w:color w:val="auto"/>
              </w:rPr>
              <w:t>Date: May 5, 2022</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Spenser Skates</w:t>
            </w:r>
          </w:p>
        </w:tc>
      </w:tr>
      <w:tr>
        <w:trPr>
          <w:trHeight w:val="151"/>
        </w:trPr>
        <w:tc>
          <w:tcPr>
            <w:tcW w:w="3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1"/>
              </w:rPr>
              <w:t>Spenser Skates</w:t>
            </w:r>
          </w:p>
        </w:tc>
      </w:tr>
      <w:tr>
        <w:trPr>
          <w:trHeight w:val="180"/>
        </w:trPr>
        <w:tc>
          <w:tcPr>
            <w:tcW w:w="35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2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Chief Executive Officer</w:t>
            </w:r>
          </w:p>
        </w:tc>
      </w:tr>
      <w:tr>
        <w:trPr>
          <w:trHeight w:val="230"/>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506"/>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In connection with the Quarterly Report of Amplitude, Inc. (the “Company”) on Form 10-Q for the quarter ended March 31, 2022 as filed with the Securities and Exchange Commission on the date hereof (the “Report”), I certify, pursuant to 18 U.S.C. § 1350, as adopted pursuant to § 906 of the Sarbanes-Oxley Act of 2002, as amended, that:</w:t>
      </w:r>
    </w:p>
    <w:p>
      <w:pPr>
        <w:spacing w:after="0" w:line="182"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23" w:lineRule="exact"/>
        <w:rPr>
          <w:rFonts w:ascii="Arial" w:cs="Arial" w:eastAsia="Arial" w:hAnsi="Arial"/>
          <w:sz w:val="17"/>
          <w:szCs w:val="17"/>
          <w:color w:val="auto"/>
        </w:rPr>
      </w:pPr>
    </w:p>
    <w:p>
      <w:pPr>
        <w:ind w:left="1020" w:right="56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Arial" w:cs="Arial" w:eastAsia="Arial" w:hAnsi="Arial"/>
                <w:sz w:val="18"/>
                <w:szCs w:val="18"/>
                <w:color w:val="auto"/>
              </w:rPr>
              <w:t>Date: May 5, 2022</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Hoang Vuong</w:t>
            </w:r>
          </w:p>
        </w:tc>
      </w:tr>
      <w:tr>
        <w:trPr>
          <w:trHeight w:val="151"/>
        </w:trPr>
        <w:tc>
          <w:tcPr>
            <w:tcW w:w="3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4"/>
              </w:rPr>
              <w:t>Hoang Vuong</w:t>
            </w:r>
          </w:p>
        </w:tc>
      </w:tr>
      <w:tr>
        <w:trPr>
          <w:trHeight w:val="180"/>
        </w:trPr>
        <w:tc>
          <w:tcPr>
            <w:tcW w:w="35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2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3"/>
              </w:rPr>
              <w:t>Chief Financial Officer</w:t>
            </w:r>
          </w:p>
        </w:tc>
      </w:tr>
      <w:tr>
        <w:trPr>
          <w:trHeight w:val="230"/>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506"/>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decimal"/>
      <w:start w:val="2"/>
    </w:lvl>
  </w:abstractNum>
  <w:abstractNum w:abstractNumId="9">
    <w:nsid w:val="4353D0CD"/>
    <w:multiLevelType w:val="hybridMultilevel"/>
    <w:lvl w:ilvl="0">
      <w:lvlJc w:val="left"/>
      <w:lvlText w:val="(%1)"/>
      <w:numFmt w:val="decimal"/>
      <w:start w:val="3"/>
    </w:lvl>
  </w:abstractNum>
  <w:abstractNum w:abstractNumId="10">
    <w:nsid w:val="B03E0C6"/>
    <w:multiLevelType w:val="hybridMultilevel"/>
    <w:lvl w:ilvl="0">
      <w:lvlJc w:val="left"/>
      <w:lvlText w:val="(%1)"/>
      <w:numFmt w:val="decimal"/>
      <w:start w:val="4"/>
    </w:lvl>
  </w:abstractNum>
  <w:abstractNum w:abstractNumId="11">
    <w:nsid w:val="189A769B"/>
    <w:multiLevelType w:val="hybridMultilevel"/>
    <w:lvl w:ilvl="0">
      <w:lvlJc w:val="left"/>
      <w:lvlText w:val="(%1)"/>
      <w:numFmt w:val="decimal"/>
      <w:start w:val="5"/>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6"/>
    </w:lvl>
  </w:abstractNum>
  <w:abstractNum w:abstractNumId="14">
    <w:nsid w:val="2CA88611"/>
    <w:multiLevelType w:val="hybridMultilevel"/>
    <w:lvl w:ilvl="0">
      <w:lvlJc w:val="left"/>
      <w:lvlText w:val="(%1)"/>
      <w:numFmt w:val="decimal"/>
      <w:start w:val="8"/>
    </w:lvl>
  </w:abstractNum>
  <w:abstractNum w:abstractNumId="15">
    <w:nsid w:val="836C40E"/>
    <w:multiLevelType w:val="hybridMultilevel"/>
    <w:lvl w:ilvl="0">
      <w:lvlJc w:val="left"/>
      <w:lvlText w:val="(%1)"/>
      <w:numFmt w:val="decimal"/>
      <w:start w:val="9"/>
    </w:lvl>
  </w:abstractNum>
  <w:abstractNum w:abstractNumId="16">
    <w:nsid w:val="2901D82"/>
    <w:multiLevelType w:val="hybridMultilevel"/>
    <w:lvl w:ilvl="0">
      <w:lvlJc w:val="left"/>
      <w:lvlText w:val="(%1)"/>
      <w:numFmt w:val="decimal"/>
      <w:start w:val="10"/>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36" Type="http://schemas.openxmlformats.org/officeDocument/2006/relationships/hyperlink" Target="https://www.sec.gov/Archives/edgar/data/1866692/000119312521278308/d93786dex31.htm" TargetMode="External"/><Relationship Id="rId237" Type="http://schemas.openxmlformats.org/officeDocument/2006/relationships/hyperlink" Target="https://www.sec.gov/Archives/edgar/data/1866692/000119312521278308/d93786dex32.htm" TargetMode="External"/><Relationship Id="rId238" Type="http://schemas.openxmlformats.org/officeDocument/2006/relationships/hyperlink" Target="https://www.sec.gov/Archives/edgar/data/1866692/000119312521260696/d143868dex42.htm" TargetMode="External"/><Relationship Id="rId239" Type="http://schemas.openxmlformats.org/officeDocument/2006/relationships/hyperlink" Target="https://www.sec.gov/Archives/edgar/data/1866692/000119312521278407/d114916dex44.htm" TargetMode="External"/><Relationship Id="rId240" Type="http://schemas.openxmlformats.org/officeDocument/2006/relationships/hyperlink" Target="https://www.sec.gov/Archives/edgar/data/1866692/000119312521260696/d143868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2022-05-06T12:40:13Z</dcterms:created>
  <dcterms:modified xsi:type="dcterms:W3CDTF">2022-05-06T12:40:13Z</dcterms:modified>
</cp:coreProperties>
</file>