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537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37210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Skates Spenser</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AMPLITUDE,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201 THIRD STREET, SUITE 200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Amplitude,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AMPL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rPr>
          <w:sz w:val="20"/>
          <w:szCs w:val="20"/>
          <w:color w:val="auto"/>
        </w:rPr>
      </w:pPr>
      <w:r>
        <w:rPr>
          <w:rFonts w:ascii="Arial" w:cs="Arial" w:eastAsia="Arial" w:hAnsi="Arial"/>
          <w:sz w:val="13"/>
          <w:szCs w:val="13"/>
          <w:color w:val="auto"/>
        </w:rPr>
        <w:t>Foreign Trading Symbol</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10/23/2026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19"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0000FF"/>
        </w:rPr>
        <w:t>CEO and President</w:t>
      </w:r>
    </w:p>
    <w:p>
      <w:pPr>
        <w:spacing w:after="0" w:line="438"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94103</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2"/>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10/23/2026</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107,136</w:t>
            </w:r>
          </w:p>
        </w:tc>
        <w:tc>
          <w:tcPr>
            <w:tcW w:w="5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vMerge w:val="restart"/>
          </w:tcPr>
          <w:p>
            <w:pPr>
              <w:jc w:val="center"/>
              <w:ind w:right="94"/>
              <w:spacing w:after="0"/>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0"/>
                <w:szCs w:val="10"/>
                <w:color w:val="008000"/>
              </w:rPr>
              <w:t>(1)</w:t>
            </w:r>
          </w:p>
        </w:tc>
        <w:tc>
          <w:tcPr>
            <w:tcW w:w="60" w:type="dxa"/>
            <w:vAlign w:val="bottom"/>
          </w:tcPr>
          <w:p>
            <w:pPr>
              <w:spacing w:after="0"/>
              <w:rPr>
                <w:sz w:val="20"/>
                <w:szCs w:val="20"/>
                <w:color w:val="auto"/>
              </w:rPr>
            </w:pPr>
          </w:p>
        </w:tc>
        <w:tc>
          <w:tcPr>
            <w:tcW w:w="124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6"/>
                <w:szCs w:val="16"/>
                <w:color w:val="0000FF"/>
              </w:rPr>
              <w:t>107,136</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10/23/2026</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107,136</w:t>
            </w:r>
          </w:p>
        </w:tc>
        <w:tc>
          <w:tcPr>
            <w:tcW w:w="5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17.5194</w:t>
            </w:r>
            <w:r>
              <w:rPr>
                <w:rFonts w:ascii="Times New Roman" w:cs="Times New Roman" w:eastAsia="Times New Roman" w:hAnsi="Times New Roman"/>
                <w:sz w:val="20"/>
                <w:szCs w:val="20"/>
                <w:color w:val="008000"/>
                <w:vertAlign w:val="superscript"/>
              </w:rPr>
              <w:t>(3)</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40" w:type="dxa"/>
            <w:vAlign w:val="bottom"/>
            <w:tcBorders>
              <w:bottom w:val="single" w:sz="8" w:color="2C2C2C"/>
            </w:tcBorders>
            <w:gridSpan w:val="8"/>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color w:val="0000FF"/>
              </w:rPr>
              <w:t>107,136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10/23/2026</w:t>
            </w:r>
          </w:p>
        </w:tc>
        <w:tc>
          <w:tcPr>
            <w:tcW w:w="10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107,136</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right"/>
              <w:ind w:right="183"/>
              <w:spacing w:after="0" w:line="139" w:lineRule="exact"/>
              <w:rPr>
                <w:sz w:val="20"/>
                <w:szCs w:val="20"/>
                <w:color w:val="auto"/>
              </w:rPr>
            </w:pPr>
            <w:r>
              <w:rPr>
                <w:rFonts w:ascii="Times New Roman" w:cs="Times New Roman" w:eastAsia="Times New Roman" w:hAnsi="Times New Roman"/>
                <w:sz w:val="13"/>
                <w:szCs w:val="13"/>
                <w:color w:val="0000FF"/>
              </w:rPr>
              <w:t>200,021</w:t>
            </w:r>
          </w:p>
        </w:tc>
        <w:tc>
          <w:tcPr>
            <w:tcW w:w="66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00" w:type="dxa"/>
            <w:vAlign w:val="bottom"/>
            <w:tcBorders>
              <w:right w:val="single" w:sz="8" w:color="2C2C2C"/>
            </w:tcBorders>
            <w:gridSpan w:val="3"/>
          </w:tcPr>
          <w:p>
            <w:pPr>
              <w:ind w:left="140"/>
              <w:spacing w:after="0" w:line="139"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5,342,146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143"/>
              <w:spacing w:after="0" w:line="139" w:lineRule="exact"/>
              <w:rPr>
                <w:sz w:val="20"/>
                <w:szCs w:val="20"/>
                <w:color w:val="auto"/>
              </w:rPr>
            </w:pPr>
            <w:r>
              <w:rPr>
                <w:rFonts w:ascii="Times New Roman" w:cs="Times New Roman" w:eastAsia="Times New Roman" w:hAnsi="Times New Roman"/>
                <w:sz w:val="13"/>
                <w:szCs w:val="13"/>
                <w:color w:val="0000FF"/>
              </w:rPr>
              <w:t>5,342,146</w:t>
            </w:r>
          </w:p>
        </w:tc>
        <w:tc>
          <w:tcPr>
            <w:tcW w:w="66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-1988820</wp:posOffset>
            </wp:positionV>
            <wp:extent cx="28575" cy="1994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9945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40" w:hanging="1"/>
        <w:spacing w:after="0" w:line="256"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Common Stock is convertible at any time at the option of the holder into the Issuer's Class A Common Stock on a one-to-one basis. The Class B Common Stock will convert automatically into shares of the Issuer's Class A Common Stock on a one-to-one basis upon the earlier of (a) any transfer of the Class B Common Stock by the holder, whether or not for value, subject to certain exceptions, (b) the death or incapacity of Mr. Skates, (c) the date that is six months following the date on which Mr. Skates is no longer an employee or director of the Issuer (unless Mr. Skates has rejoined the Issuer during such six-month period) or (d) the date that is six months following the date on which none of the Issuer's founders is an employee or director of the Issuer (unless a founder has rejoined the Issuer during such six-month period).</w:t>
      </w:r>
    </w:p>
    <w:p>
      <w:pPr>
        <w:spacing w:after="0" w:line="16"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were effected pursuant to a 10b5-1 trading plan adopted by the Reporting Person's spouse on June 11, 2026.</w:t>
      </w:r>
    </w:p>
    <w:p>
      <w:pPr>
        <w:spacing w:after="0" w:line="39" w:lineRule="exact"/>
        <w:rPr>
          <w:rFonts w:ascii="Times New Roman" w:cs="Times New Roman" w:eastAsia="Times New Roman" w:hAnsi="Times New Roman"/>
          <w:sz w:val="13"/>
          <w:szCs w:val="13"/>
          <w:color w:val="008000"/>
        </w:rPr>
      </w:pPr>
    </w:p>
    <w:p>
      <w:pPr>
        <w:ind w:left="40" w:right="1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$17.4500 to $17.7000.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Elizabeth Fisher, as attorney</w:t>
            </w:r>
          </w:p>
        </w:tc>
        <w:tc>
          <w:tcPr>
            <w:tcW w:w="8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10/27/2026</w:t>
            </w:r>
          </w:p>
        </w:tc>
        <w:tc>
          <w:tcPr>
            <w:tcW w:w="0" w:type="dxa"/>
            <w:vAlign w:val="bottom"/>
          </w:tcPr>
          <w:p>
            <w:pPr>
              <w:spacing w:after="0"/>
              <w:rPr>
                <w:sz w:val="1"/>
                <w:szCs w:val="1"/>
                <w:color w:val="auto"/>
              </w:rPr>
            </w:pPr>
          </w:p>
        </w:tc>
      </w:tr>
      <w:tr>
        <w:trPr>
          <w:trHeight w:val="81"/>
        </w:trPr>
        <w:tc>
          <w:tcPr>
            <w:tcW w:w="212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 fact for Spenser Skates</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82913" TargetMode="External"/><Relationship Id="rId14" Type="http://schemas.openxmlformats.org/officeDocument/2006/relationships/hyperlink" Target="http://www.sec.gov/cgi-bin/browse-edgar?action=getcompany&amp;CIK=00018666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2026-10-27T16:06:44Z</dcterms:created>
  <dcterms:modified xsi:type="dcterms:W3CDTF">2026-10-27T16:06:44Z</dcterms:modified>
</cp:coreProperties>
</file>