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59"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5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2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001-40817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-289560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1"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45-3937349</w:t>
            </w:r>
          </w:p>
        </w:tc>
      </w:tr>
      <w:tr>
        <w:trPr>
          <w:trHeight w:val="142"/>
        </w:trPr>
        <w:tc>
          <w:tcPr>
            <w:tcW w:w="4120" w:type="dxa"/>
            <w:vAlign w:val="bottom"/>
          </w:tcPr>
          <w:p>
            <w:pPr>
              <w:jc w:val="center"/>
              <w:ind w:right="196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20" w:type="dxa"/>
            <w:vAlign w:val="bottom"/>
          </w:tcPr>
          <w:p>
            <w:pPr>
              <w:jc w:val="center"/>
              <w:ind w:left="1986"/>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201 Third Street, Suite 200</w:t>
            </w:r>
          </w:p>
        </w:tc>
        <w:tc>
          <w:tcPr>
            <w:tcW w:w="3020" w:type="dxa"/>
            <w:vAlign w:val="bottom"/>
          </w:tcPr>
          <w:p>
            <w:pPr>
              <w:spacing w:after="0"/>
              <w:rPr>
                <w:sz w:val="18"/>
                <w:szCs w:val="18"/>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73"/>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231-2353</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208915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$0.00001 par value per share</w:t>
            </w: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AMPL</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right="28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60"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3" w:lineRule="exact"/>
        <w:rPr>
          <w:sz w:val="24"/>
          <w:szCs w:val="24"/>
          <w:color w:val="auto"/>
        </w:rPr>
      </w:pPr>
    </w:p>
    <w:p>
      <w:pPr>
        <w:ind w:right="140" w:firstLine="599"/>
        <w:spacing w:after="0" w:line="297" w:lineRule="auto"/>
        <w:rPr>
          <w:sz w:val="20"/>
          <w:szCs w:val="20"/>
          <w:color w:val="auto"/>
        </w:rPr>
      </w:pPr>
      <w:r>
        <w:rPr>
          <w:rFonts w:ascii="Times New Roman" w:cs="Times New Roman" w:eastAsia="Times New Roman" w:hAnsi="Times New Roman"/>
          <w:sz w:val="16"/>
          <w:szCs w:val="16"/>
          <w:color w:val="auto"/>
        </w:rPr>
        <w:t>As of November 1, 2024, there were 94,590,532 shares of the registrant's Class A common stock and 33,093,043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040" w:type="dxa"/>
            <w:vAlign w:val="bottom"/>
            <w:gridSpan w:val="13"/>
            <w:vMerge w:val="restart"/>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9"/>
            <w:vMerge w:val="continue"/>
          </w:tcPr>
          <w:p>
            <w:pPr>
              <w:spacing w:after="0"/>
              <w:rPr>
                <w:sz w:val="14"/>
                <w:szCs w:val="14"/>
                <w:color w:val="auto"/>
              </w:rPr>
            </w:pPr>
          </w:p>
        </w:tc>
        <w:tc>
          <w:tcPr>
            <w:tcW w:w="7040" w:type="dxa"/>
            <w:vAlign w:val="bottom"/>
            <w:gridSpan w:val="1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40" w:type="dxa"/>
            <w:vAlign w:val="bottom"/>
            <w:tcBorders>
              <w:top w:val="single" w:sz="8" w:color="0000FF"/>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80" w:type="dxa"/>
            <w:vAlign w:val="bottom"/>
            <w:tcBorders>
              <w:top w:val="single" w:sz="8" w:color="0000FF"/>
            </w:tcBorders>
          </w:tcPr>
          <w:p>
            <w:pPr>
              <w:spacing w:after="0"/>
              <w:rPr>
                <w:sz w:val="18"/>
                <w:szCs w:val="18"/>
                <w:color w:val="auto"/>
              </w:rPr>
            </w:pPr>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20"/>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7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Digital Analytics Platform and upsell and cross-sell additional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including our ability to grow and maintain our channel partners, and our ability to promote our brand;</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and other global events, such as the war in Ukraine and the conflict in the Middle East, on our business and the global economy generally;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growth by incorporating artificial intelligence and machine learning solutions into our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being a public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on Form 10-Q.</w:t>
      </w:r>
    </w:p>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4" w:lineRule="exact"/>
        <w:rPr>
          <w:sz w:val="20"/>
          <w:szCs w:val="20"/>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As our costs increase, we may not be able to generate sufficient revenue to achieve and sustain profitability.</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9" w:lineRule="exact"/>
        <w:rPr>
          <w:rFonts w:ascii="Times New Roman" w:cs="Times New Roman" w:eastAsia="Times New Roman" w:hAnsi="Times New Roman"/>
          <w:sz w:val="18"/>
          <w:szCs w:val="18"/>
          <w:color w:val="auto"/>
        </w:rPr>
      </w:pPr>
    </w:p>
    <w:p>
      <w:pPr>
        <w:ind w:left="1020" w:right="60" w:hanging="504"/>
        <w:spacing w:after="0" w:line="312"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31" w:lineRule="exact"/>
        <w:rPr>
          <w:rFonts w:ascii="Times New Roman" w:cs="Times New Roman" w:eastAsia="Times New Roman" w:hAnsi="Times New Roman"/>
          <w:sz w:val="17"/>
          <w:szCs w:val="17"/>
          <w:color w:val="auto"/>
        </w:rPr>
      </w:pPr>
    </w:p>
    <w:p>
      <w:pPr>
        <w:ind w:left="1020" w:right="1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focus on sales to larger organizations and may become more dependent on those relationships, which may increase the variability of our sales cycle and our results of operations.</w:t>
      </w:r>
    </w:p>
    <w:p>
      <w:pPr>
        <w:spacing w:after="0" w:line="5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5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SaaS applications develops more slowly than we expect or declines, our business would be materially adversely affected.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control, economic sanctions, and trade sanctions, and anti-corruption laws and regulations, which may expose us to liability and increase our costs.</w:t>
      </w:r>
    </w:p>
    <w:p>
      <w:pPr>
        <w:spacing w:after="0" w:line="54"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has been, and in the future, may be, volatile, and could decline significantly and rapidly.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have the ability to influence the outcome of director elections and other matters requiring stockholder approval.</w:t>
      </w:r>
    </w:p>
    <w:p>
      <w:pPr>
        <w:spacing w:after="0" w:line="116"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2"/>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29"/>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317,448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248,491</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current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73,909</w:t>
            </w:r>
          </w:p>
        </w:tc>
        <w:tc>
          <w:tcPr>
            <w:tcW w:w="100" w:type="dxa"/>
            <w:vAlign w:val="bottom"/>
            <w:shd w:val="clear" w:color="auto" w:fill="CFF0FC"/>
          </w:tcPr>
          <w:p>
            <w:pPr>
              <w:spacing w:after="0"/>
              <w:rPr>
                <w:sz w:val="20"/>
                <w:szCs w:val="20"/>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$832</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$1,101 as of September 30, 2024 and December 31, 2023, respectively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29,496</w:t>
            </w:r>
          </w:p>
        </w:tc>
        <w:tc>
          <w:tcPr>
            <w:tcW w:w="100" w:type="dxa"/>
            <w:vAlign w:val="bottom"/>
          </w:tcPr>
          <w:p>
            <w:pPr>
              <w:spacing w:after="0"/>
              <w:rPr>
                <w:sz w:val="18"/>
                <w:szCs w:val="18"/>
                <w:color w:val="auto"/>
              </w:rPr>
            </w:pPr>
          </w:p>
        </w:tc>
      </w:tr>
      <w:tr>
        <w:trPr>
          <w:trHeight w:val="249"/>
        </w:trPr>
        <w:tc>
          <w:tcPr>
            <w:tcW w:w="7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23,661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16,624</w:t>
            </w:r>
          </w:p>
        </w:tc>
        <w:tc>
          <w:tcPr>
            <w:tcW w:w="100" w:type="dxa"/>
            <w:vAlign w:val="bottom"/>
            <w:shd w:val="clear" w:color="auto" w:fill="CFF0FC"/>
          </w:tcPr>
          <w:p>
            <w:pPr>
              <w:spacing w:after="0"/>
              <w:rPr>
                <w:sz w:val="19"/>
                <w:szCs w:val="19"/>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11,444</w:t>
            </w:r>
          </w:p>
        </w:tc>
        <w:tc>
          <w:tcPr>
            <w:tcW w:w="100" w:type="dxa"/>
            <w:vAlign w:val="bottom"/>
          </w:tcPr>
          <w:p>
            <w:pPr>
              <w:spacing w:after="0"/>
              <w:rPr>
                <w:sz w:val="19"/>
                <w:szCs w:val="19"/>
                <w:color w:val="auto"/>
              </w:rPr>
            </w:pPr>
          </w:p>
        </w:tc>
      </w:tr>
      <w:tr>
        <w:trPr>
          <w:trHeight w:val="22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388,130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379,964</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Pr>
          <w:p>
            <w:pPr>
              <w:spacing w:after="0"/>
              <w:rPr>
                <w:sz w:val="19"/>
                <w:szCs w:val="19"/>
                <w:color w:val="auto"/>
              </w:rPr>
            </w:pPr>
          </w:p>
        </w:tc>
      </w:tr>
      <w:tr>
        <w:trPr>
          <w:trHeight w:val="26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445,642</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433,684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1"/>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26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114,906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102,573</w:t>
            </w:r>
          </w:p>
        </w:tc>
        <w:tc>
          <w:tcPr>
            <w:tcW w:w="100" w:type="dxa"/>
            <w:vAlign w:val="bottom"/>
          </w:tcPr>
          <w:p>
            <w:pPr>
              <w:spacing w:after="0"/>
              <w:rPr>
                <w:sz w:val="19"/>
                <w:szCs w:val="19"/>
                <w:color w:val="auto"/>
              </w:rPr>
            </w:pPr>
          </w:p>
        </w:tc>
      </w:tr>
      <w:tr>
        <w:trPr>
          <w:trHeight w:val="22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152,374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132,293</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155,615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138,931</w:t>
            </w:r>
          </w:p>
        </w:tc>
        <w:tc>
          <w:tcPr>
            <w:tcW w:w="100" w:type="dxa"/>
            <w:vAlign w:val="bottom"/>
          </w:tcPr>
          <w:p>
            <w:pPr>
              <w:spacing w:after="0"/>
              <w:rPr>
                <w:sz w:val="19"/>
                <w:szCs w:val="19"/>
                <w:color w:val="auto"/>
              </w:rPr>
            </w:pPr>
          </w:p>
        </w:tc>
      </w:tr>
      <w:tr>
        <w:trPr>
          <w:trHeight w:val="22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$0.00001 par value per share; 20,000 shares authorized</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as of September 30, 2024 and December 31, 2023; zero shares issued and</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outstanding as of September 30, 2024 and December 31, 2023</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A common stock, $0.00001 par value per share; 600,000 shares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as of September 30, 2024 and December 31, 2023,</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92,283 and 85,628 shares issued and outstanding as of</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1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Class B common stock, $0.00001 par value per share; 600,000</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shares authorized as of September 30, 2024 and December 31, 2023;</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33,149 and 34,382 shares issued and outstanding as of</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1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658,463</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(181 )</w:t>
            </w: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(425,259 )</w:t>
            </w:r>
          </w:p>
        </w:tc>
        <w:tc>
          <w:tcPr>
            <w:tcW w:w="2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(363,530 )</w:t>
            </w:r>
          </w:p>
        </w:tc>
      </w:tr>
      <w:tr>
        <w:trPr>
          <w:trHeight w:val="22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290,027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294,753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445,642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433,684</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-3886835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-3869690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-3886835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-2687955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-179070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9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6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19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0"/>
        </w:trPr>
        <w:tc>
          <w:tcPr>
            <w:tcW w:w="6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204,881</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100" w:type="dxa"/>
            <w:vAlign w:val="bottom"/>
          </w:tcPr>
          <w:p>
            <w:pPr>
              <w:spacing w:after="0"/>
              <w:rPr>
                <w:sz w:val="20"/>
                <w:szCs w:val="20"/>
                <w:color w:val="auto"/>
              </w:rPr>
            </w:pPr>
          </w:p>
        </w:tc>
      </w:tr>
      <w:tr>
        <w:trPr>
          <w:trHeight w:val="23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115,934</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40,138</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1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tcPr>
          <w:p>
            <w:pPr>
              <w:spacing w:after="0"/>
              <w:rPr>
                <w:sz w:val="20"/>
                <w:szCs w:val="20"/>
                <w:color w:val="auto"/>
              </w:rPr>
            </w:pPr>
          </w:p>
        </w:tc>
      </w:tr>
      <w:tr>
        <w:trPr>
          <w:trHeight w:val="236"/>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76,486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235,901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Pr>
          <w:p>
            <w:pPr>
              <w:spacing w:after="0"/>
              <w:rPr>
                <w:sz w:val="20"/>
                <w:szCs w:val="20"/>
                <w:color w:val="auto"/>
              </w:rPr>
            </w:pPr>
          </w:p>
        </w:tc>
      </w:tr>
      <w:tr>
        <w:trPr>
          <w:trHeight w:val="240"/>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(16,112 )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(17,479 )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(60,356 )</w:t>
            </w: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(71,094 )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r>
      <w:tr>
        <w:trPr>
          <w:trHeight w:val="276"/>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(16,854 )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(17,747 )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(61,729 )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(71,820 )</w:t>
            </w:r>
          </w:p>
        </w:tc>
      </w:tr>
      <w:tr>
        <w:trPr>
          <w:trHeight w:val="223"/>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(0.14 )</w:t>
            </w:r>
          </w:p>
        </w:tc>
        <w:tc>
          <w:tcPr>
            <w:tcW w:w="20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(0.15 )</w:t>
            </w:r>
          </w:p>
        </w:tc>
        <w:tc>
          <w:tcPr>
            <w:tcW w:w="20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(0.50 )</w:t>
            </w:r>
          </w:p>
        </w:tc>
        <w:tc>
          <w:tcPr>
            <w:tcW w:w="200" w:type="dxa"/>
            <w:vAlign w:val="bottom"/>
            <w:shd w:val="clear" w:color="auto" w:fill="CFF0FC"/>
          </w:tcPr>
          <w:p>
            <w:pPr>
              <w:spacing w:after="0"/>
              <w:rPr>
                <w:sz w:val="24"/>
                <w:szCs w:val="24"/>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(0.62 )</w:t>
            </w:r>
          </w:p>
        </w:tc>
      </w:tr>
      <w:tr>
        <w:trPr>
          <w:trHeight w:val="196"/>
        </w:trPr>
        <w:tc>
          <w:tcPr>
            <w:tcW w:w="666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1"/>
        </w:trPr>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and Class B common stockholders: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5"/>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124,324</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117,902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122,601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18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(16,807 )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(17,480 )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(61,548 )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(71,662 )</w:t>
            </w:r>
          </w:p>
        </w:tc>
      </w:tr>
      <w:tr>
        <w:trPr>
          <w:trHeight w:val="20"/>
        </w:trPr>
        <w:tc>
          <w:tcPr>
            <w:tcW w:w="6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-3081655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-3081655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-3081655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-3081655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-2139950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-2139950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-2139950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-1497965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-1480820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-1497965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-1480820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-1497965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-1480820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-1163955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-1146810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-1163955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-1146810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-1163955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-1146810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-692785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-675640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-692785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-675640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-692785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-675640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-205105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-205105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-187960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-205105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196" w:right="339" w:bottom="1440" w:gutter="0" w:footer="0" w:header="0"/>
        </w:sect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860" w:type="dxa"/>
            <w:vAlign w:val="bottom"/>
            <w:gridSpan w:val="5"/>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Class A and Class B common</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10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120,010</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(542 )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Balance at March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121,609</w:t>
            </w:r>
          </w:p>
        </w:tc>
        <w:tc>
          <w:tcPr>
            <w:tcW w:w="2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20" w:type="dxa"/>
            <w:vAlign w:val="bottom"/>
            <w:vMerge w:val="continue"/>
          </w:tcPr>
          <w:p>
            <w:pPr>
              <w:spacing w:after="0"/>
              <w:rPr>
                <w:sz w:val="11"/>
                <w:szCs w:val="11"/>
                <w:color w:val="auto"/>
              </w:rPr>
            </w:pPr>
          </w:p>
        </w:tc>
        <w:tc>
          <w:tcPr>
            <w:tcW w:w="8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plan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(680 )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Balance at June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123,535</w:t>
            </w:r>
          </w:p>
        </w:tc>
        <w:tc>
          <w:tcPr>
            <w:tcW w:w="2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20" w:type="dxa"/>
            <w:vAlign w:val="bottom"/>
            <w:vMerge w:val="continue"/>
          </w:tcPr>
          <w:p>
            <w:pPr>
              <w:spacing w:after="0"/>
              <w:rPr>
                <w:sz w:val="11"/>
                <w:szCs w:val="11"/>
                <w:color w:val="auto"/>
              </w:rPr>
            </w:pPr>
          </w:p>
        </w:tc>
        <w:tc>
          <w:tcPr>
            <w:tcW w:w="8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(663 )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1480" w:type="dxa"/>
            <w:vAlign w:val="bottom"/>
            <w:gridSpan w:val="2"/>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2"/>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48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4"/>
                <w:szCs w:val="14"/>
                <w:color w:val="auto"/>
              </w:rPr>
            </w:pPr>
          </w:p>
        </w:tc>
        <w:tc>
          <w:tcPr>
            <w:tcW w:w="140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6"/>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4"/>
                <w:szCs w:val="14"/>
                <w:color w:val="auto"/>
              </w:rPr>
            </w:pPr>
          </w:p>
        </w:tc>
        <w:tc>
          <w:tcPr>
            <w:tcW w:w="1480" w:type="dxa"/>
            <w:vAlign w:val="bottom"/>
            <w:gridSpan w:val="2"/>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00" w:type="dxa"/>
            <w:vAlign w:val="bottom"/>
          </w:tcPr>
          <w:p>
            <w:pPr>
              <w:spacing w:after="0"/>
              <w:rPr>
                <w:sz w:val="14"/>
                <w:szCs w:val="14"/>
                <w:color w:val="auto"/>
              </w:rPr>
            </w:pPr>
          </w:p>
        </w:tc>
        <w:tc>
          <w:tcPr>
            <w:tcW w:w="1400" w:type="dxa"/>
            <w:vAlign w:val="bottom"/>
            <w:gridSpan w:val="2"/>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equity</w:t>
            </w:r>
          </w:p>
        </w:tc>
      </w:tr>
      <w:tr>
        <w:trPr>
          <w:trHeight w:val="153"/>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658,463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(363,530</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294,753</w:t>
            </w:r>
          </w:p>
        </w:tc>
        <w:tc>
          <w:tcPr>
            <w:tcW w:w="40" w:type="dxa"/>
            <w:vAlign w:val="bottom"/>
          </w:tcPr>
          <w:p>
            <w:pPr>
              <w:spacing w:after="0"/>
              <w:rPr>
                <w:sz w:val="13"/>
                <w:szCs w:val="13"/>
                <w:color w:val="auto"/>
              </w:rPr>
            </w:pPr>
          </w:p>
        </w:tc>
      </w:tr>
      <w:tr>
        <w:trPr>
          <w:trHeight w:val="16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40" w:type="dxa"/>
            <w:vAlign w:val="bottom"/>
          </w:tcPr>
          <w:p>
            <w:pPr>
              <w:spacing w:after="0"/>
              <w:rPr>
                <w:sz w:val="14"/>
                <w:szCs w:val="14"/>
                <w:color w:val="auto"/>
              </w:rPr>
            </w:pPr>
          </w:p>
        </w:tc>
      </w:tr>
      <w:tr>
        <w:trPr>
          <w:trHeight w:val="16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40" w:type="dxa"/>
            <w:vAlign w:val="bottom"/>
          </w:tcPr>
          <w:p>
            <w:pPr>
              <w:spacing w:after="0"/>
              <w:rPr>
                <w:sz w:val="14"/>
                <w:szCs w:val="14"/>
                <w:color w:val="auto"/>
              </w:rPr>
            </w:pPr>
          </w:p>
        </w:tc>
      </w:tr>
      <w:tr>
        <w:trPr>
          <w:trHeight w:val="16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14"/>
                <w:szCs w:val="14"/>
                <w:color w:val="auto"/>
              </w:rPr>
            </w:pPr>
          </w:p>
        </w:tc>
      </w:tr>
      <w:tr>
        <w:trPr>
          <w:trHeight w:val="164"/>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94"/>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(7,729 )</w:t>
            </w:r>
          </w:p>
        </w:tc>
        <w:tc>
          <w:tcPr>
            <w:tcW w:w="120" w:type="dxa"/>
            <w:vAlign w:val="bottom"/>
          </w:tcPr>
          <w:p>
            <w:pPr>
              <w:spacing w:after="0"/>
              <w:rPr>
                <w:sz w:val="24"/>
                <w:szCs w:val="2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(7,729 )</w:t>
            </w:r>
          </w:p>
        </w:tc>
      </w:tr>
      <w:tr>
        <w:trPr>
          <w:trHeight w:val="162"/>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(21,460 )</w:t>
            </w:r>
          </w:p>
        </w:tc>
        <w:tc>
          <w:tcPr>
            <w:tcW w:w="1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(21,460 )</w:t>
            </w:r>
          </w:p>
        </w:tc>
      </w:tr>
      <w:tr>
        <w:trPr>
          <w:trHeight w:val="165"/>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40" w:type="dxa"/>
            <w:vAlign w:val="bottom"/>
          </w:tcPr>
          <w:p>
            <w:pPr>
              <w:spacing w:after="0"/>
              <w:rPr>
                <w:sz w:val="14"/>
                <w:szCs w:val="14"/>
                <w:color w:val="auto"/>
              </w:rPr>
            </w:pPr>
          </w:p>
        </w:tc>
      </w:tr>
      <w:tr>
        <w:trPr>
          <w:trHeight w:val="251"/>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674,313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(384,990 )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289,210</w:t>
            </w:r>
          </w:p>
        </w:tc>
        <w:tc>
          <w:tcPr>
            <w:tcW w:w="40" w:type="dxa"/>
            <w:vAlign w:val="bottom"/>
          </w:tcPr>
          <w:p>
            <w:pPr>
              <w:spacing w:after="0"/>
              <w:rPr>
                <w:sz w:val="21"/>
                <w:szCs w:val="2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8"/>
        </w:trPr>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24,421</w:t>
            </w:r>
          </w:p>
        </w:tc>
        <w:tc>
          <w:tcPr>
            <w:tcW w:w="40" w:type="dxa"/>
            <w:vAlign w:val="bottom"/>
          </w:tcPr>
          <w:p>
            <w:pPr>
              <w:spacing w:after="0"/>
              <w:rPr>
                <w:sz w:val="11"/>
                <w:szCs w:val="11"/>
                <w:color w:val="auto"/>
              </w:rPr>
            </w:pPr>
          </w:p>
        </w:tc>
      </w:tr>
      <w:tr>
        <w:trPr>
          <w:trHeight w:val="164"/>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40" w:type="dxa"/>
            <w:vAlign w:val="bottom"/>
          </w:tcPr>
          <w:p>
            <w:pPr>
              <w:spacing w:after="0"/>
              <w:rPr>
                <w:sz w:val="14"/>
                <w:szCs w:val="14"/>
                <w:color w:val="auto"/>
              </w:rPr>
            </w:pPr>
          </w:p>
        </w:tc>
      </w:tr>
      <w:tr>
        <w:trPr>
          <w:trHeight w:val="294"/>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40" w:type="dxa"/>
            <w:vAlign w:val="bottom"/>
          </w:tcPr>
          <w:p>
            <w:pPr>
              <w:spacing w:after="0"/>
              <w:rPr>
                <w:sz w:val="24"/>
                <w:szCs w:val="24"/>
                <w:color w:val="auto"/>
              </w:rPr>
            </w:pPr>
          </w:p>
        </w:tc>
      </w:tr>
      <w:tr>
        <w:trPr>
          <w:trHeight w:val="164"/>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94"/>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(6,449 )</w:t>
            </w:r>
          </w:p>
        </w:tc>
        <w:tc>
          <w:tcPr>
            <w:tcW w:w="120" w:type="dxa"/>
            <w:vAlign w:val="bottom"/>
          </w:tcPr>
          <w:p>
            <w:pPr>
              <w:spacing w:after="0"/>
              <w:rPr>
                <w:sz w:val="24"/>
                <w:szCs w:val="2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(6,449 )</w:t>
            </w:r>
          </w:p>
        </w:tc>
      </w:tr>
      <w:tr>
        <w:trPr>
          <w:trHeight w:val="162"/>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(23,415 )</w:t>
            </w:r>
          </w:p>
        </w:tc>
        <w:tc>
          <w:tcPr>
            <w:tcW w:w="1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(23,415 )</w:t>
            </w:r>
          </w:p>
        </w:tc>
      </w:tr>
      <w:tr>
        <w:trPr>
          <w:trHeight w:val="165"/>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40" w:type="dxa"/>
            <w:vAlign w:val="bottom"/>
          </w:tcPr>
          <w:p>
            <w:pPr>
              <w:spacing w:after="0"/>
              <w:rPr>
                <w:sz w:val="14"/>
                <w:szCs w:val="14"/>
                <w:color w:val="auto"/>
              </w:rPr>
            </w:pPr>
          </w:p>
        </w:tc>
      </w:tr>
      <w:tr>
        <w:trPr>
          <w:trHeight w:val="251"/>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695,778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(47 )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(408,405 )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287,327</w:t>
            </w:r>
          </w:p>
        </w:tc>
        <w:tc>
          <w:tcPr>
            <w:tcW w:w="40" w:type="dxa"/>
            <w:vAlign w:val="bottom"/>
          </w:tcPr>
          <w:p>
            <w:pPr>
              <w:spacing w:after="0"/>
              <w:rPr>
                <w:sz w:val="21"/>
                <w:szCs w:val="2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8"/>
        </w:trPr>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22,792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22,792</w:t>
            </w:r>
          </w:p>
        </w:tc>
        <w:tc>
          <w:tcPr>
            <w:tcW w:w="40" w:type="dxa"/>
            <w:vAlign w:val="bottom"/>
          </w:tcPr>
          <w:p>
            <w:pPr>
              <w:spacing w:after="0"/>
              <w:rPr>
                <w:sz w:val="11"/>
                <w:szCs w:val="11"/>
                <w:color w:val="auto"/>
              </w:rPr>
            </w:pPr>
          </w:p>
        </w:tc>
      </w:tr>
      <w:tr>
        <w:trPr>
          <w:trHeight w:val="16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2,346</w:t>
            </w:r>
          </w:p>
        </w:tc>
        <w:tc>
          <w:tcPr>
            <w:tcW w:w="40" w:type="dxa"/>
            <w:vAlign w:val="bottom"/>
          </w:tcPr>
          <w:p>
            <w:pPr>
              <w:spacing w:after="0"/>
              <w:rPr>
                <w:sz w:val="14"/>
                <w:szCs w:val="14"/>
                <w:color w:val="auto"/>
              </w:rPr>
            </w:pPr>
          </w:p>
        </w:tc>
      </w:tr>
      <w:tr>
        <w:trPr>
          <w:trHeight w:val="164"/>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94"/>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(5,631 )</w:t>
            </w:r>
          </w:p>
        </w:tc>
        <w:tc>
          <w:tcPr>
            <w:tcW w:w="120" w:type="dxa"/>
            <w:vAlign w:val="bottom"/>
          </w:tcPr>
          <w:p>
            <w:pPr>
              <w:spacing w:after="0"/>
              <w:rPr>
                <w:sz w:val="24"/>
                <w:szCs w:val="2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(5,631 )</w:t>
            </w:r>
          </w:p>
        </w:tc>
      </w:tr>
      <w:tr>
        <w:trPr>
          <w:trHeight w:val="164"/>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(16,854 )</w:t>
            </w:r>
          </w:p>
        </w:tc>
        <w:tc>
          <w:tcPr>
            <w:tcW w:w="1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(16,854 )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-2788920</wp:posOffset>
            </wp:positionV>
            <wp:extent cx="713232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-2583815</wp:posOffset>
            </wp:positionV>
            <wp:extent cx="71323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-2378075</wp:posOffset>
            </wp:positionV>
            <wp:extent cx="713232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-2087245</wp:posOffset>
            </wp:positionV>
            <wp:extent cx="71323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-1581785</wp:posOffset>
            </wp:positionV>
            <wp:extent cx="713232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-1290955</wp:posOffset>
            </wp:positionV>
            <wp:extent cx="71323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-999490</wp:posOffset>
            </wp:positionV>
            <wp:extent cx="713232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-494665</wp:posOffset>
            </wp:positionV>
            <wp:extent cx="71323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-288925</wp:posOffset>
            </wp:positionV>
            <wp:extent cx="71323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-1881505</wp:posOffset>
            </wp:positionV>
            <wp:extent cx="7132320" cy="196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-794385</wp:posOffset>
            </wp:positionV>
            <wp:extent cx="713232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5500" w:space="40"/>
            <w:col w:w="5700"/>
          </w:cols>
          <w:pgMar w:left="320" w:top="1196"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September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125,432</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715,285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3"/>
          </w:tcPr>
          <w:p>
            <w:pPr>
              <w:jc w:val="right"/>
              <w:ind w:right="40"/>
              <w:spacing w:after="0" w:line="236" w:lineRule="exact"/>
              <w:rPr>
                <w:sz w:val="20"/>
                <w:szCs w:val="20"/>
                <w:color w:val="auto"/>
              </w:rPr>
            </w:pPr>
            <w:r>
              <w:rPr>
                <w:rFonts w:ascii="Times New Roman" w:cs="Times New Roman" w:eastAsia="Times New Roman" w:hAnsi="Times New Roman"/>
                <w:sz w:val="13"/>
                <w:szCs w:val="13"/>
                <w:color w:val="auto"/>
              </w:rPr>
              <w:t xml:space="preserve">(425,259 )   </w:t>
            </w:r>
            <w:r>
              <w:rPr>
                <w:rFonts w:ascii="Times New Roman" w:cs="Times New Roman" w:eastAsia="Times New Roman" w:hAnsi="Times New Roman"/>
                <w:sz w:val="25"/>
                <w:szCs w:val="25"/>
                <w:color w:val="auto"/>
                <w:vertAlign w:val="subscript"/>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290,027</w:t>
            </w:r>
          </w:p>
        </w:tc>
        <w:tc>
          <w:tcPr>
            <w:tcW w:w="10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-196215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-196215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-196215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-196215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-196215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7"/>
        </w:trPr>
        <w:tc>
          <w:tcPr>
            <w:tcW w:w="3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1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Class A and Class B 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1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114,199</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568,889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(273,167 )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294,969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unvested stock options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(46 )</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(26,315 )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(26,315 )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March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115,582</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591,183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(299,482 )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291,220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22,300</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22,300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(27,758 )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(27,758 )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(382 )</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(382 )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June 30,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117,490</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616,953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(864 )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(327,240 )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288,850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23,593</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23,593</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(415 )</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(4,727 )</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(4,727 )</w:t>
            </w:r>
          </w:p>
        </w:tc>
        <w:tc>
          <w:tcPr>
            <w:tcW w:w="0" w:type="dxa"/>
            <w:vAlign w:val="bottom"/>
          </w:tcPr>
          <w:p>
            <w:pPr>
              <w:spacing w:after="0"/>
              <w:rPr>
                <w:sz w:val="1"/>
                <w:szCs w:val="1"/>
                <w:color w:val="auto"/>
              </w:rPr>
            </w:pPr>
          </w:p>
        </w:tc>
      </w:tr>
      <w:tr>
        <w:trPr>
          <w:trHeight w:val="16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(17,747 )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(17,747 )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118,796</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637,157</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(344,987 )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291,574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-2080260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-2063115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-2080260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-2063115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-2080260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-2063115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-2080260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-2063115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-2080260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-2063115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-1052830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-1035685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-1052830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-1035685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-1052830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-1035685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-1052830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-1035685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-1052830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-1035685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7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(61,729 )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(71,820 )</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65,005</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(934 )</w:t>
            </w: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(703 )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(10,776 )</w:t>
            </w: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(7,235 )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commissions</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(2,217 )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(694 )</w:t>
            </w: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(3,631 )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(307 )</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19,027</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(3,719 )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(2,903 )</w:t>
            </w:r>
          </w:p>
        </w:tc>
      </w:tr>
      <w:tr>
        <w:trPr>
          <w:trHeight w:val="236"/>
        </w:trPr>
        <w:tc>
          <w:tcPr>
            <w:tcW w:w="7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received from maturities of marketable securities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91,250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(18,352 )</w:t>
            </w:r>
          </w:p>
        </w:tc>
        <w:tc>
          <w:tcPr>
            <w:tcW w:w="340" w:type="dxa"/>
            <w:vAlign w:val="bottom"/>
          </w:tcPr>
          <w:p>
            <w:pPr>
              <w:spacing w:after="0"/>
              <w:rPr>
                <w:sz w:val="20"/>
                <w:szCs w:val="20"/>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(979 )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(995 )</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2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(4,170 )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(1,349 )</w:t>
            </w:r>
          </w:p>
        </w:tc>
      </w:tr>
      <w:tr>
        <w:trPr>
          <w:trHeight w:val="236"/>
        </w:trPr>
        <w:tc>
          <w:tcPr>
            <w:tcW w:w="76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60" w:type="dxa"/>
            <w:vAlign w:val="bottom"/>
            <w:shd w:val="clear" w:color="auto" w:fill="CFF0FC"/>
          </w:tcPr>
          <w:p>
            <w:pPr>
              <w:spacing w:after="0"/>
              <w:rPr>
                <w:sz w:val="21"/>
                <w:szCs w:val="21"/>
                <w:color w:val="auto"/>
              </w:rPr>
            </w:pP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for tax withholding obligations on equity</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 settlements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26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tax withholding obligations on equity award settlements</w:t>
            </w: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(23,959 )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(16,875 )</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unvested stock options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(648 )</w:t>
            </w:r>
          </w:p>
        </w:tc>
      </w:tr>
      <w:tr>
        <w:trPr>
          <w:trHeight w:val="20"/>
        </w:trPr>
        <w:tc>
          <w:tcPr>
            <w:tcW w:w="7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76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(14,133 )</w:t>
            </w: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(924 )</w:t>
            </w:r>
          </w:p>
        </w:tc>
      </w:tr>
      <w:tr>
        <w:trPr>
          <w:trHeight w:val="209"/>
        </w:trPr>
        <w:tc>
          <w:tcPr>
            <w:tcW w:w="766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r>
      <w:tr>
        <w:trPr>
          <w:trHeight w:val="241"/>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260" w:type="dxa"/>
            <w:vAlign w:val="bottom"/>
          </w:tcPr>
          <w:p>
            <w:pPr>
              <w:spacing w:after="0"/>
              <w:rPr>
                <w:sz w:val="20"/>
                <w:szCs w:val="20"/>
                <w:color w:val="auto"/>
              </w:rPr>
            </w:pPr>
          </w:p>
        </w:tc>
      </w:tr>
      <w:tr>
        <w:trPr>
          <w:trHeight w:val="245"/>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249,360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318,326</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239,390</w:t>
            </w:r>
          </w:p>
        </w:tc>
        <w:tc>
          <w:tcPr>
            <w:tcW w:w="26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4"/>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capitalized as internal-use software costs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-3273425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-3273425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-2506980</wp:posOffset>
            </wp:positionV>
            <wp:extent cx="93980"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-2506980</wp:posOffset>
            </wp:positionV>
            <wp:extent cx="93980"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-1252855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-1252855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-798830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-798830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2023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spacing w:after="0" w:line="182"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included in the Company’s Annual Report on Form 10-K for the year ended December 31, 2023 (the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74"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period of benefit for deferred commissions;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valuation of deferred tax assets and income tax uncertainties;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rates used for operating leases.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 and Significant Customers</w:t>
      </w:r>
    </w:p>
    <w:p>
      <w:pPr>
        <w:spacing w:after="0" w:line="12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1" w:name="page12"/>
    <w:bookmarkEnd w:id="11"/>
    <w:p>
      <w:pPr>
        <w:ind w:right="200"/>
        <w:spacing w:after="0" w:line="281" w:lineRule="auto"/>
        <w:rPr>
          <w:sz w:val="20"/>
          <w:szCs w:val="20"/>
          <w:color w:val="auto"/>
        </w:rPr>
      </w:pPr>
      <w:r>
        <w:rPr>
          <w:rFonts w:ascii="Times New Roman" w:cs="Times New Roman" w:eastAsia="Times New Roman" w:hAnsi="Times New Roman"/>
          <w:sz w:val="18"/>
          <w:szCs w:val="18"/>
          <w:color w:val="auto"/>
        </w:rPr>
        <w:t>financial institutions, the deposits, at times, may exceed federally insured limits. The Company has not experienced any losses on its deposits of cash and cash equivalents.</w:t>
      </w:r>
    </w:p>
    <w:p>
      <w:pPr>
        <w:spacing w:after="0" w:line="163"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No customer accounted for 10% or more of total revenue for the three and nine months ended September 30, 2024 and 2023. As of September 30, 2024, no customer represented 10% or more of accounts receivable. As of December 31, 2023, one customer represented 10% of accounts receivable.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2023 Form 10-K. There have been no significant changes to these policies that have had a material impact on the Company’s condensed consolidated financial statements and related notes for the three and nine months ended September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Segment Reporting: In November 2023, the Financial Accounting Standards Board (“FASB”) issued Accounting Standards Update (“ASU”) No. 2023-07, Segment Reporting (Topic 280): Improvements to Reportable Segment Disclosures. The amendments improve reportable segment disclosure requirements, primarily through enhanced disclosures about significant segment expenses. All disclosure requirements of ASU 2023-07 are required for entities with a single reportable segment. The new standard will be effective for the Company for the annual periods beginning January 1, 2024, and for interim periods beginning January 1, 2025. Upon adoption, the guidance should be applied retrospectively to all prior periods presented in the financial statements. The Company is currently evaluating the impact of adoption of the standard on disclosures within its consolidated financial statements.</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Income Taxes: In December 2023, the FASB issued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spacing w:after="0" w:line="28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2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amount of revenue recognized in the nine months ended September 30, 2024 that was included in deferred revenue as of December 31, 2023 was $98.6 million.</w:t>
      </w:r>
    </w:p>
    <w:p>
      <w:pPr>
        <w:spacing w:after="0" w:line="163"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As of September 30, 2024 and December 31, 2023, unrecognized transaction price related to remaining performance obligations was $286.6 million and $239.4 million, respectively. The Company’s remaining performance obligations as of September 30, 2024 and December 31, 2023 are expected to be recognized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4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2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70"/>
        </w:trPr>
        <w:tc>
          <w:tcPr>
            <w:tcW w:w="42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3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shd w:val="clear" w:color="auto" w:fill="CFF0FC"/>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3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100" w:type="dxa"/>
            <w:vAlign w:val="bottom"/>
          </w:tcPr>
          <w:p>
            <w:pPr>
              <w:spacing w:after="0"/>
              <w:rPr>
                <w:sz w:val="21"/>
                <w:szCs w:val="21"/>
                <w:color w:val="auto"/>
              </w:rPr>
            </w:pPr>
          </w:p>
        </w:tc>
      </w:tr>
      <w:tr>
        <w:trPr>
          <w:trHeight w:val="27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3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286,609</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239,418</w:t>
            </w:r>
          </w:p>
        </w:tc>
        <w:tc>
          <w:tcPr>
            <w:tcW w:w="100" w:type="dxa"/>
            <w:vAlign w:val="bottom"/>
            <w:shd w:val="clear" w:color="auto" w:fill="CFF0FC"/>
          </w:tcPr>
          <w:p>
            <w:pPr>
              <w:spacing w:after="0"/>
              <w:rPr>
                <w:sz w:val="24"/>
                <w:szCs w:val="24"/>
                <w:color w:val="auto"/>
              </w:rPr>
            </w:pPr>
          </w:p>
        </w:tc>
      </w:tr>
      <w:tr>
        <w:trPr>
          <w:trHeight w:val="520"/>
        </w:trPr>
        <w:tc>
          <w:tcPr>
            <w:tcW w:w="4240" w:type="dxa"/>
            <w:vAlign w:val="bottom"/>
            <w:tcBorders>
              <w:top w:val="single" w:sz="8" w:color="CFF0FC"/>
            </w:tcBorders>
          </w:tcPr>
          <w:p>
            <w:pPr>
              <w:spacing w:after="0"/>
              <w:rPr>
                <w:sz w:val="24"/>
                <w:szCs w:val="24"/>
                <w:color w:val="auto"/>
              </w:rPr>
            </w:pPr>
          </w:p>
        </w:tc>
        <w:tc>
          <w:tcPr>
            <w:tcW w:w="350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-864235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-847090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shows the Company’s disaggregation of revenue by geographic areas, as determined based on the address of the Company's customers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50"/>
        </w:trPr>
        <w:tc>
          <w:tcPr>
            <w:tcW w:w="5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45,176</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42,748</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132,730</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124,937</w:t>
            </w: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27,889</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79,944</w:t>
            </w:r>
          </w:p>
        </w:tc>
        <w:tc>
          <w:tcPr>
            <w:tcW w:w="100" w:type="dxa"/>
            <w:vAlign w:val="bottom"/>
          </w:tcPr>
          <w:p>
            <w:pPr>
              <w:spacing w:after="0"/>
              <w:rPr>
                <w:sz w:val="21"/>
                <w:szCs w:val="2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21"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Commissions paid upon the initial acquisition of a contract are deferred and then amortized on a straight-line basis over a period of benefit, determined to be five years. The following table represents a roll forward of the Company’s deferred commissions for the three and nine months ended September 30, 2024 and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0"/>
        </w:trPr>
        <w:tc>
          <w:tcPr>
            <w:tcW w:w="5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commissions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(3,651 )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(3,103 )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(10,438 )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(8,764 )</w:t>
            </w:r>
          </w:p>
        </w:tc>
      </w:tr>
      <w:tr>
        <w:trPr>
          <w:trHeight w:val="236"/>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100" w:type="dxa"/>
            <w:vAlign w:val="bottom"/>
            <w:tcBorders>
              <w:top w:val="single" w:sz="8" w:color="CFF0FC"/>
            </w:tcBorders>
          </w:tcPr>
          <w:p>
            <w:pPr>
              <w:spacing w:after="0"/>
              <w:rPr>
                <w:sz w:val="20"/>
                <w:szCs w:val="20"/>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commissions, current portion</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00" w:type="dxa"/>
            <w:vAlign w:val="bottom"/>
            <w:shd w:val="clear" w:color="auto" w:fill="CFF0FC"/>
          </w:tcPr>
          <w:p>
            <w:pPr>
              <w:spacing w:after="0"/>
              <w:rPr>
                <w:sz w:val="20"/>
                <w:szCs w:val="20"/>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100" w:type="dxa"/>
            <w:vAlign w:val="bottom"/>
          </w:tcPr>
          <w:p>
            <w:pPr>
              <w:spacing w:after="0"/>
              <w:rPr>
                <w:sz w:val="21"/>
                <w:szCs w:val="2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commissions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-667385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-667385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-667385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show the Company’s financial statement details as of September 30, 2024 and December 31,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Company's cash, cash equivalents, and restricted cash at each period end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50"/>
        </w:trPr>
        <w:tc>
          <w:tcPr>
            <w:tcW w:w="6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317,448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248,491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218,494</w:t>
            </w:r>
          </w:p>
        </w:tc>
        <w:tc>
          <w:tcPr>
            <w:tcW w:w="100" w:type="dxa"/>
            <w:vAlign w:val="bottom"/>
            <w:shd w:val="clear" w:color="auto" w:fill="CFF0FC"/>
          </w:tcPr>
          <w:p>
            <w:pPr>
              <w:spacing w:after="0"/>
              <w:rPr>
                <w:sz w:val="21"/>
                <w:szCs w:val="21"/>
                <w:color w:val="auto"/>
              </w:rPr>
            </w:pP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318,326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10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-187960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hosting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1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40" w:lineRule="exact"/>
        <w:rPr>
          <w:sz w:val="20"/>
          <w:szCs w:val="20"/>
          <w:color w:val="auto"/>
        </w:rPr>
      </w:pPr>
    </w:p>
    <w:p>
      <w:pPr>
        <w:ind w:left="970" w:hanging="970"/>
        <w:spacing w:after="0"/>
        <w:tabs>
          <w:tab w:leader="none" w:pos="97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10,804</w:t>
      </w:r>
    </w:p>
    <w:p>
      <w:pPr>
        <w:spacing w:after="0" w:line="47" w:lineRule="exact"/>
        <w:rPr>
          <w:rFonts w:ascii="Times New Roman" w:cs="Times New Roman" w:eastAsia="Times New Roman" w:hAnsi="Times New Roman"/>
          <w:sz w:val="17"/>
          <w:szCs w:val="17"/>
          <w:color w:val="auto"/>
        </w:rPr>
      </w:pPr>
    </w:p>
    <w:p>
      <w:pPr>
        <w:ind w:left="9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41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1" w:lineRule="exact"/>
        <w:rPr>
          <w:sz w:val="20"/>
          <w:szCs w:val="20"/>
          <w:color w:val="auto"/>
        </w:rPr>
      </w:pPr>
    </w:p>
    <w:p>
      <w:pPr>
        <w:ind w:left="970" w:hanging="970"/>
        <w:spacing w:after="0"/>
        <w:tabs>
          <w:tab w:leader="none" w:pos="97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23,661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1"/>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91"/>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3" w:lineRule="exact"/>
        <w:rPr>
          <w:sz w:val="20"/>
          <w:szCs w:val="20"/>
          <w:color w:val="auto"/>
        </w:rPr>
      </w:pPr>
    </w:p>
    <w:p>
      <w:pPr>
        <w:ind w:left="531"/>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ind w:left="1031" w:hanging="1031"/>
        <w:spacing w:after="0"/>
        <w:tabs>
          <w:tab w:leader="none" w:pos="103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6,074</w:t>
      </w:r>
    </w:p>
    <w:p>
      <w:pPr>
        <w:spacing w:after="0" w:line="47" w:lineRule="exact"/>
        <w:rPr>
          <w:rFonts w:ascii="Times New Roman" w:cs="Times New Roman" w:eastAsia="Times New Roman" w:hAnsi="Times New Roman"/>
          <w:sz w:val="17"/>
          <w:szCs w:val="17"/>
          <w:color w:val="auto"/>
        </w:rPr>
      </w:pPr>
    </w:p>
    <w:p>
      <w:pPr>
        <w:ind w:left="93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9245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9" w:lineRule="exact"/>
        <w:rPr>
          <w:sz w:val="20"/>
          <w:szCs w:val="20"/>
          <w:color w:val="auto"/>
        </w:rPr>
      </w:pPr>
    </w:p>
    <w:p>
      <w:pPr>
        <w:ind w:left="931" w:hanging="931"/>
        <w:spacing w:after="0"/>
        <w:tabs>
          <w:tab w:leader="none" w:pos="9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16,624</w:t>
      </w:r>
    </w:p>
    <w:p>
      <w:pPr>
        <w:spacing w:after="0" w:line="240" w:lineRule="exact"/>
        <w:rPr>
          <w:sz w:val="20"/>
          <w:szCs w:val="20"/>
          <w:color w:val="auto"/>
        </w:rPr>
      </w:pPr>
    </w:p>
    <w:p>
      <w:pPr>
        <w:sectPr>
          <w:pgSz w:w="11900" w:h="16838" w:orient="portrait"/>
          <w:cols w:equalWidth="0" w:num="3">
            <w:col w:w="7190" w:space="720"/>
            <w:col w:w="1450" w:space="329"/>
            <w:col w:w="1551"/>
          </w:cols>
          <w:pgMar w:left="320" w:top="1331"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hosting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 and bonus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related taxes</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tax</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Employee Stock Purchase Plan withholding</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for financial assets measured at fair value, the respective fair value and classification by level of input within the fair value hierarchy (in thousands):</w:t>
      </w:r>
    </w:p>
    <w:p>
      <w:pPr>
        <w:spacing w:after="0" w:line="17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294,612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297,108</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211,741</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285,831</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-1823085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-1805940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-1823085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-1805940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-1823085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-1805940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-1348105</wp:posOffset>
            </wp:positionV>
            <wp:extent cx="102235" cy="2482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-1348105</wp:posOffset>
            </wp:positionV>
            <wp:extent cx="102235" cy="2482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855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80" w:right="220" w:hanging="372"/>
        <w:spacing w:after="0" w:line="258"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in the Company’s condensed consolidated balance sheets as of September 30, 2024 and December 31, 2023, in addition to cash of $22.8 million and $36.8 million, respectively.</w:t>
      </w:r>
    </w:p>
    <w:p>
      <w:pPr>
        <w:spacing w:after="0" w:line="17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4" w:name="page15"/>
    <w:bookmarkEnd w:id="14"/>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 fair value of the Company's available-for-sale securities as of September 30, 2024, by remaining contractual maturities,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45"/>
        </w:trPr>
        <w:tc>
          <w:tcPr>
            <w:tcW w:w="46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in greater than one year</w:t>
            </w:r>
          </w:p>
        </w:tc>
        <w:tc>
          <w:tcPr>
            <w:tcW w:w="38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7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Equity and Equity Incentive Plans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4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ectPr>
          <w:pgSz w:w="11900" w:h="16838" w:orient="portrait"/>
          <w:cols w:equalWidth="0" w:num="1">
            <w:col w:w="11240"/>
          </w:cols>
          <w:pgMar w:left="320" w:top="1200" w:right="339" w:bottom="1440" w:gutter="0" w:footer="0" w:header="0"/>
        </w:sectPr>
      </w:pP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Equity plan stock options outstanding</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reserved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13970</wp:posOffset>
            </wp:positionV>
            <wp:extent cx="11645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11,746,402</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12,958,603</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19,960,263</w:t>
      </w:r>
    </w:p>
    <w:p>
      <w:pPr>
        <w:spacing w:after="0" w:line="2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5,024,397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26035</wp:posOffset>
            </wp:positionV>
            <wp:extent cx="11645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49,689,665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13970</wp:posOffset>
            </wp:positionV>
            <wp:extent cx="10617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14,268,055</w:t>
      </w:r>
    </w:p>
    <w:p>
      <w:pPr>
        <w:spacing w:after="0" w:line="4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11,301,279</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18,260,813</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4,079,994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26035</wp:posOffset>
            </wp:positionV>
            <wp:extent cx="10617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47,910,141</w:t>
      </w:r>
    </w:p>
    <w:p>
      <w:pPr>
        <w:spacing w:after="0" w:line="251" w:lineRule="exact"/>
        <w:rPr>
          <w:sz w:val="20"/>
          <w:szCs w:val="20"/>
          <w:color w:val="auto"/>
        </w:rPr>
      </w:pPr>
    </w:p>
    <w:p>
      <w:pPr>
        <w:sectPr>
          <w:pgSz w:w="11900" w:h="16838" w:orient="portrait"/>
          <w:cols w:equalWidth="0" w:num="3">
            <w:col w:w="7020" w:space="720"/>
            <w:col w:w="1480" w:space="540"/>
            <w:col w:w="1480"/>
          </w:cols>
          <w:pgMar w:left="320" w:top="1200"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and Grant Plan</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September 30, 2024, a total of 19,960,263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19"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Stock options granted under the 2014 Plan and the 2021 Plan (collectively, the “combined stock plans”) generally vest based on continued service over four years.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 activity under the combined stock plans for the nine months ended September 30, 2024 is set forth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3"/>
        </w:trPr>
        <w:tc>
          <w:tcPr>
            <w:tcW w:w="518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3"/>
        </w:trPr>
        <w:tc>
          <w:tcPr>
            <w:tcW w:w="518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50"/>
        </w:trPr>
        <w:tc>
          <w:tcPr>
            <w:tcW w:w="51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r>
      <w:tr>
        <w:trPr>
          <w:trHeight w:val="24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14,268,055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(2,031,678 )</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(489,975 )</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518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Balances as of September 30, 2024</w:t>
            </w:r>
            <w:r>
              <w:rPr>
                <w:rFonts w:ascii="Times New Roman" w:cs="Times New Roman" w:eastAsia="Times New Roman" w:hAnsi="Times New Roman"/>
                <w:sz w:val="24"/>
                <w:szCs w:val="24"/>
                <w:color w:val="auto"/>
                <w:vertAlign w:val="superscript"/>
              </w:rPr>
              <w:t>(1)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11,746,402</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1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Exercisable as of September 30, 2024</w:t>
            </w:r>
            <w:r>
              <w:rPr>
                <w:rFonts w:ascii="Times New Roman" w:cs="Times New Roman" w:eastAsia="Times New Roman" w:hAnsi="Times New Roman"/>
                <w:sz w:val="24"/>
                <w:szCs w:val="24"/>
                <w:color w:val="auto"/>
                <w:vertAlign w:val="superscript"/>
              </w:rPr>
              <w:t>(2)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11,104,045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55,239</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-838200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-205105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-187960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0" w:lineRule="exact"/>
        <w:rPr>
          <w:sz w:val="20"/>
          <w:szCs w:val="20"/>
          <w:color w:val="auto"/>
        </w:rPr>
      </w:pPr>
    </w:p>
    <w:p>
      <w:pPr>
        <w:ind w:left="380" w:right="80" w:hanging="372"/>
        <w:spacing w:after="0" w:line="233"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 forfeitures are estimated due to the Company’s adoption of ASU No. 2016-09, all options are vested or expected to vest. As of September 30, 2024, no options were outstanding that were subject to a future performance condition.</w:t>
      </w:r>
    </w:p>
    <w:p>
      <w:pPr>
        <w:ind w:left="380" w:hanging="372"/>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Exercisable shares include vested options as well as unvested shares that can be early exercised.</w:t>
      </w:r>
    </w:p>
    <w:p>
      <w:pPr>
        <w:spacing w:after="0" w:line="191"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The aggregate intrinsic values of options are calculated as the difference between the exercise price of the options and the market price for shares of the Company’s Class A common stock as of each period-end. The total intrinsic value of options exercised for the nine months ended September 30, 2024 and 2023 was $12.6 million and $11.6 million, respectively.</w:t>
      </w:r>
    </w:p>
    <w:p>
      <w:pPr>
        <w:spacing w:after="0" w:line="177"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No stock options were granted in the nine months ended September 30, 2024. Stock options granted during the nine months ended September 30, 2023 had a weighted average grant date fair value of $6.69 per share. The fair value of options granted is being</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6" w:name="page17"/>
    <w:bookmarkEnd w:id="16"/>
    <w:p>
      <w:pPr>
        <w:jc w:val="both"/>
        <w:spacing w:after="0" w:line="281" w:lineRule="auto"/>
        <w:rPr>
          <w:sz w:val="20"/>
          <w:szCs w:val="20"/>
          <w:color w:val="auto"/>
        </w:rPr>
      </w:pPr>
      <w:r>
        <w:rPr>
          <w:rFonts w:ascii="Times New Roman" w:cs="Times New Roman" w:eastAsia="Times New Roman" w:hAnsi="Times New Roman"/>
          <w:sz w:val="18"/>
          <w:szCs w:val="18"/>
          <w:color w:val="auto"/>
        </w:rPr>
        <w:t>expensed over the vesting period of the options on a straight-line basis as the services are being provided. No tax benefits were realized from options during the periods.</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September 30, 2024, total unrecognized stock-based compensation expense related to options outstanding under the combined stock plans was $4.4 million. This unrecognized expense as of September 30, 2024 is expected to be recognized over the weighted average remaining vesting period of 1.98 years. As of September 30, 2024, the Company had 342,000 shares of non-employee stock options outstanding under the combined stock plans.</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fair value of each option granted to employees under the 2021 Plan is estimated on the grant date using the Black-Scholes pricing model.</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RSUs granted under the 2021 Plan generally vest based on continued service.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and nine months ended September 30, 2024, the Company recorded $21.2 million and $63.5 million in stock-based compensation related to RSUs, respectively. During the three and nine months ended September 30, 2023, the Company recorded $20.7 million and $55.9 million in stock-based compensation related to RSUs, respectively.</w:t>
      </w:r>
    </w:p>
    <w:p>
      <w:pPr>
        <w:spacing w:after="0" w:line="186"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total fair value of RSUs vested during the nine months ended September 30, 2024 and 2023 was $52.7 million and $42.2 million, respectively. As of September 30, 2024, total unrecognized stock-based compensation expense related to RSUs was $140.3 million. This unrecognized expense as of September 30, 2024 is expected to be recognized over the weighted average remaining vesting period of 2.12 years. As of September 30, 2024, the Company had 193,286 shares of non-employee RSUs outstanding under the combined stock plans.</w:t>
      </w:r>
    </w:p>
    <w:p>
      <w:pPr>
        <w:sectPr>
          <w:pgSz w:w="11900" w:h="16838" w:orient="portrait"/>
          <w:cols w:equalWidth="0" w:num="1">
            <w:col w:w="11220"/>
          </w:cols>
          <w:pgMar w:left="320" w:top="1200" w:right="359" w:bottom="1440" w:gutter="0" w:footer="0" w:header="0"/>
        </w:sectPr>
      </w:pP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RSU activity during the nine months ended September 30,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13232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13970</wp:posOffset>
            </wp:positionV>
            <wp:extent cx="11645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11,301,279</w:t>
      </w:r>
    </w:p>
    <w:p>
      <w:pPr>
        <w:spacing w:after="0" w:line="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9,148,150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(5,018,562 )</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(2,472,264 )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26035</wp:posOffset>
            </wp:positionV>
            <wp:extent cx="11645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12,958,603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2" w:right="200" w:hanging="105"/>
        <w:spacing w:after="0" w:line="288" w:lineRule="auto"/>
        <w:rPr>
          <w:sz w:val="20"/>
          <w:szCs w:val="20"/>
          <w:color w:val="auto"/>
        </w:rPr>
      </w:pPr>
      <w:r>
        <w:rPr>
          <w:rFonts w:ascii="Times New Roman" w:cs="Times New Roman" w:eastAsia="Times New Roman" w:hAnsi="Times New Roman"/>
          <w:sz w:val="17"/>
          <w:szCs w:val="17"/>
          <w:b w:val="1"/>
          <w:bCs w:val="1"/>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-12700</wp:posOffset>
            </wp:positionV>
            <wp:extent cx="10274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ind w:left="1192" w:hanging="1192"/>
        <w:spacing w:after="0"/>
        <w:tabs>
          <w:tab w:leader="none" w:pos="11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14.76</w:t>
      </w:r>
    </w:p>
    <w:p>
      <w:pPr>
        <w:spacing w:after="0" w:line="47" w:lineRule="exact"/>
        <w:rPr>
          <w:rFonts w:ascii="Times New Roman" w:cs="Times New Roman" w:eastAsia="Times New Roman" w:hAnsi="Times New Roman"/>
          <w:sz w:val="17"/>
          <w:szCs w:val="17"/>
          <w:color w:val="auto"/>
        </w:rPr>
      </w:pPr>
    </w:p>
    <w:p>
      <w:pPr>
        <w:ind w:left="127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9.59</w:t>
      </w:r>
    </w:p>
    <w:p>
      <w:pPr>
        <w:spacing w:after="0" w:line="36"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17"/>
          <w:szCs w:val="17"/>
          <w:color w:val="auto"/>
        </w:rPr>
        <w:t>13.88</w:t>
      </w:r>
    </w:p>
    <w:p>
      <w:pPr>
        <w:spacing w:after="0" w:line="61"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17"/>
          <w:szCs w:val="17"/>
          <w:color w:val="auto"/>
        </w:rPr>
        <w:t>13.54</w:t>
      </w:r>
    </w:p>
    <w:p>
      <w:pPr>
        <w:spacing w:after="0" w:line="88" w:lineRule="exact"/>
        <w:rPr>
          <w:sz w:val="20"/>
          <w:szCs w:val="20"/>
          <w:color w:val="auto"/>
        </w:rPr>
      </w:pPr>
    </w:p>
    <w:p>
      <w:pPr>
        <w:ind w:left="1192" w:hanging="1192"/>
        <w:spacing w:after="0"/>
        <w:tabs>
          <w:tab w:leader="none" w:pos="119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11.68</w:t>
      </w:r>
    </w:p>
    <w:p>
      <w:pPr>
        <w:spacing w:after="0" w:line="708" w:lineRule="exact"/>
        <w:rPr>
          <w:sz w:val="20"/>
          <w:szCs w:val="20"/>
          <w:color w:val="auto"/>
        </w:rPr>
      </w:pPr>
    </w:p>
    <w:p>
      <w:pPr>
        <w:sectPr>
          <w:pgSz w:w="11900" w:h="16838" w:orient="portrait"/>
          <w:cols w:equalWidth="0" w:num="3">
            <w:col w:w="7000" w:space="720"/>
            <w:col w:w="1600" w:space="208"/>
            <w:col w:w="1692"/>
          </w:cols>
          <w:pgMar w:left="320" w:top="1200" w:right="359" w:bottom="1440" w:gutter="0" w:footer="0" w:header="0"/>
          <w:type w:val="continuous"/>
        </w:sect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September 30, 2024, a total of 5,024,397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purchase period ended May 14, 2024, the offering period was terminated and participants were automatically enrolled in a new 12-month offering period commencing</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type w:val="continuous"/>
        </w:sectPr>
      </w:pPr>
    </w:p>
    <w:bookmarkStart w:id="17" w:name="page18"/>
    <w:bookmarkEnd w:id="17"/>
    <w:p>
      <w:pPr>
        <w:ind w:right="420"/>
        <w:spacing w:after="0" w:line="281" w:lineRule="auto"/>
        <w:rPr>
          <w:sz w:val="20"/>
          <w:szCs w:val="20"/>
          <w:color w:val="auto"/>
        </w:rPr>
      </w:pPr>
      <w:r>
        <w:rPr>
          <w:rFonts w:ascii="Times New Roman" w:cs="Times New Roman" w:eastAsia="Times New Roman" w:hAnsi="Times New Roman"/>
          <w:sz w:val="18"/>
          <w:szCs w:val="18"/>
          <w:color w:val="auto"/>
        </w:rPr>
        <w:t>on May 15, 2024 and ending on May 14, 2025. The impact of the rollover feature did not result in material incremental compensation cost for the nine months ended September 30, 2024.</w:t>
      </w:r>
    </w:p>
    <w:p>
      <w:pPr>
        <w:spacing w:after="0" w:line="163"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1.1 million shares have been purchased under the ESPP. During the nine months ended September 30, 2024 and 2023, we issued 255,694 and 302,170 shares under the ESPP, respectively, in settlement of $2.0 million and $2.6 million of ESPP liabilities, respectively.</w:t>
      </w:r>
    </w:p>
    <w:p>
      <w:pPr>
        <w:spacing w:after="0" w:line="163" w:lineRule="exact"/>
        <w:rPr>
          <w:sz w:val="20"/>
          <w:szCs w:val="20"/>
          <w:color w:val="auto"/>
        </w:rPr>
      </w:pPr>
    </w:p>
    <w:p>
      <w:pPr>
        <w:ind w:right="100" w:firstLine="554"/>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$0.4 million and $1.2 million of stock-based compensation expense related to the ESPP, respectively. During the three and nine months ended September 30, 2023, the Company recognized $0.6 million and $1.9 million of stock-based compensation expense related to the ESPP, respectively. As of September 30, 2024, total unrecognized compensation cost related to the ESPP was $0.9 million, which will be amortized over a weighted average period of 0.60 years.</w:t>
      </w:r>
    </w:p>
    <w:p>
      <w:pPr>
        <w:spacing w:after="0" w:line="182"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Stock-based compensation expense, net of actual forfeitures is reflected in the condensed consolidated statements of operations and comprehensive loss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50"/>
        </w:trPr>
        <w:tc>
          <w:tcPr>
            <w:tcW w:w="5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27,173</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00" w:type="dxa"/>
            <w:vAlign w:val="bottom"/>
          </w:tcPr>
          <w:p>
            <w:pPr>
              <w:spacing w:after="0"/>
              <w:rPr>
                <w:sz w:val="20"/>
                <w:szCs w:val="20"/>
                <w:color w:val="auto"/>
              </w:rPr>
            </w:pPr>
          </w:p>
        </w:tc>
      </w:tr>
      <w:tr>
        <w:trPr>
          <w:trHeight w:val="24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65,005</w:t>
            </w:r>
          </w:p>
        </w:tc>
        <w:tc>
          <w:tcPr>
            <w:tcW w:w="10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-187960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-187960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 had an effective tax rate of (4.6)% and (2.3)% for the three and nine months ended September 30, 2024, respectively, and (1.5)% and (1.0)% for the three and nine months ended September 30, 2023, respectively. The Company continues to incur U.S. operating losses and has minimal profits in its foreign jurisdictions.</w:t>
      </w:r>
    </w:p>
    <w:p>
      <w:pPr>
        <w:spacing w:after="0" w:line="177" w:lineRule="exact"/>
        <w:rPr>
          <w:sz w:val="20"/>
          <w:szCs w:val="20"/>
          <w:color w:val="auto"/>
        </w:rPr>
      </w:pPr>
    </w:p>
    <w:p>
      <w:pPr>
        <w:jc w:val="both"/>
        <w:ind w:right="200" w:firstLine="509"/>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evaluated all available evidence, both positive and negative, including historical levels of income, and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28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50"/>
        </w:trPr>
        <w:tc>
          <w:tcPr>
            <w:tcW w:w="54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0"/>
                <w:szCs w:val="20"/>
                <w:color w:val="auto"/>
              </w:rPr>
            </w:pPr>
          </w:p>
        </w:tc>
      </w:tr>
      <w:tr>
        <w:trPr>
          <w:trHeight w:val="548"/>
        </w:trPr>
        <w:tc>
          <w:tcPr>
            <w:tcW w:w="5480" w:type="dxa"/>
            <w:vAlign w:val="bottom"/>
          </w:tcPr>
          <w:p>
            <w:pPr>
              <w:spacing w:after="0"/>
              <w:rPr>
                <w:sz w:val="24"/>
                <w:szCs w:val="24"/>
                <w:color w:val="auto"/>
              </w:rPr>
            </w:pPr>
          </w:p>
        </w:tc>
        <w:tc>
          <w:tcPr>
            <w:tcW w:w="324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54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8" w:name="page19"/>
    <w:bookmarkEnd w:id="18"/>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lease terms in excess of one year included in the Company’s lease liabilities as of September 30, 2024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0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Remainder of 2024</w:t>
            </w:r>
          </w:p>
        </w:tc>
        <w:tc>
          <w:tcPr>
            <w:tcW w:w="10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 and thereafter</w:t>
            </w:r>
          </w:p>
        </w:tc>
        <w:tc>
          <w:tcPr>
            <w:tcW w:w="10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shd w:val="clear" w:color="auto" w:fill="CFF0FC"/>
          </w:tcPr>
          <w:p>
            <w:pPr>
              <w:spacing w:after="0"/>
              <w:rPr>
                <w:sz w:val="20"/>
                <w:szCs w:val="20"/>
                <w:color w:val="auto"/>
              </w:rPr>
            </w:pPr>
          </w:p>
        </w:tc>
      </w:tr>
      <w:tr>
        <w:trPr>
          <w:trHeight w:val="243"/>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10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r>
      <w:tr>
        <w:trPr>
          <w:trHeight w:val="276"/>
        </w:trPr>
        <w:tc>
          <w:tcPr>
            <w:tcW w:w="8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14, 2024, a putative securities class action captioned Chicago &amp; Vicinity Laborers’ District Council Pension Fund v. Amplitude, Inc., et al., Case No. 3:24-cv-00898 (the “Securities Class Action”) was filed in the United States District Court for the Northern District of California, naming the Company, its Chief Executive Officer, and its former Chief Financial Officer as defendants. The lawsuit is purportedly brought on behalf of all those who purchased or acquired the Company’s common stock between September 21, 2021 and February 16, 2022. The complaint alleges claims under Sections 10(b) and 20(a) of the Securities Exchange Act of 1934, as amended, based on allegedly false or misleading statements related to the Company’s business and financial outlook. The lawsuit seeks unspecified damages and other relief. The defendants filed a motion to dismiss the complaint on July 12, 2024, which was granted with leave to amend on October 2, 2024. The plaintiffs filed an amended complaint on October 23, 2024.</w:t>
      </w:r>
    </w:p>
    <w:p>
      <w:pPr>
        <w:spacing w:after="0" w:line="79" w:lineRule="exact"/>
        <w:rPr>
          <w:sz w:val="20"/>
          <w:szCs w:val="20"/>
          <w:color w:val="auto"/>
        </w:rPr>
      </w:pPr>
    </w:p>
    <w:p>
      <w:pPr>
        <w:ind w:right="220" w:firstLine="509"/>
        <w:spacing w:after="0" w:line="274" w:lineRule="auto"/>
        <w:rPr>
          <w:sz w:val="20"/>
          <w:szCs w:val="20"/>
          <w:color w:val="auto"/>
        </w:rPr>
      </w:pPr>
      <w:r>
        <w:rPr>
          <w:rFonts w:ascii="Times New Roman" w:cs="Times New Roman" w:eastAsia="Times New Roman" w:hAnsi="Times New Roman"/>
          <w:sz w:val="17"/>
          <w:szCs w:val="17"/>
          <w:color w:val="auto"/>
        </w:rPr>
        <w:t>On June 10, 2024, a shareholder derivative complaint captioned Hawkins v. Spenser Skates, et al., Case No. 3:24-cv-03460 (the “Derivative Action”) was filed in the United States District Court for the Northern District of California, naming the Company’s Chief Executive Officer, its former Chief Financial Officer, and the current and former members of the Company’s board of directors as defendants. The complaint, purportedly brought on behalf of the Company, alleges claims for breach of fiduciary duty, unjust enrichment, waste of corporate assets, abuse of control, gross mismanagement, and contribution for alleged wrongdoing by the Company’s directors and officers from September 21, 2021 through February 16, 2022. The complaint seeks unspecified damages and other relief. The Derivative Action is stayed pending a resolution of any motions to dismiss the Securities Class Action.</w:t>
      </w:r>
    </w:p>
    <w:p>
      <w:pPr>
        <w:spacing w:after="0" w:line="6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August 8, 2024, a putative privacy class action captioned Atkins v. Amplitude, Inc., Case No. 3:24-cv-04913 was filed in the United States District Court for the Northern District of California, naming the Company as a defendant. The lawsuit is purportedly brought on behalf of all individuals who downloaded and used an application on their mobile device that embedded the Company’s Software Development Kit (“SDK”) and did not publicly disclose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The Company filed a motion to dismiss the complaint on October 25, 2024.</w:t>
      </w:r>
    </w:p>
    <w:p>
      <w:pPr>
        <w:spacing w:after="0" w:line="7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September 18, 2024, an individual privacy action captioned Shah v. Amplitude, Inc., Case No. 2:24-cv-08155-MEMF-JPR was filed in the United States District Court for the Central District of California, naming the Company as a defendant. The lawsuit is brought by an individual who alleges to have used an application on his mobile device that embedded the SDK without explicitly identifying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On October 30, 2024, the Company and the plaintiff entered into a stipulation to stay the case pending final resolution of Atkins v. Amplitude, Inc., Case No. 3:24-cv-04913 (N.D. Cal.). The stipulation is pending court approval.</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October 7, 2024, a putative privacy class action captioned Willey v. Amplitude, Inc., Case No. 1:24-cv-07577 was filed in the United States District Court for the Southern District of New York. The lawsuit is purportedly brought on behalf of all persons who accessed the Oscar Health website or application in Pennsylvania and entered information in response to prompts in the “Find a Plan” function. The complaint alleges that the Company’s services operate on the Oscar Health website and application to intercept information submitted by users for a health insurance quote. The complaint asserts a claim under Pennsylvania’s Wiretapping and Electronic Surveillance Act. The complaint seeks unspecified damages and other relief.</w:t>
      </w:r>
    </w:p>
    <w:p>
      <w:pPr>
        <w:spacing w:after="0" w:line="74"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9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182"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8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and Class B common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(16,854 )</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(17,747 )</w:t>
            </w:r>
          </w:p>
        </w:tc>
        <w:tc>
          <w:tcPr>
            <w:tcW w:w="140" w:type="dxa"/>
            <w:vAlign w:val="bottom"/>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(61,729 )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(71,820 )</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 attributable to Class A and Class B</w:t>
            </w: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124,324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122,601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Net loss per share attributable to Class A and Class B</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(0.14 )</w:t>
            </w:r>
          </w:p>
        </w:tc>
        <w:tc>
          <w:tcPr>
            <w:tcW w:w="440" w:type="dxa"/>
            <w:vAlign w:val="bottom"/>
            <w:vMerge w:val="restart"/>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(0.15 )</w:t>
            </w:r>
          </w:p>
        </w:tc>
        <w:tc>
          <w:tcPr>
            <w:tcW w:w="140" w:type="dxa"/>
            <w:vAlign w:val="bottom"/>
          </w:tcPr>
          <w:p>
            <w:pPr>
              <w:spacing w:after="0"/>
              <w:rPr>
                <w:sz w:val="17"/>
                <w:szCs w:val="17"/>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(0.50 )</w:t>
            </w:r>
          </w:p>
        </w:tc>
        <w:tc>
          <w:tcPr>
            <w:tcW w:w="480" w:type="dxa"/>
            <w:vAlign w:val="bottom"/>
            <w:vMerge w:val="restart"/>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44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-24765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calculation of diluted net loss per share because their effect would have been anti-dilutive for the periods presented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plan stock options early exercised</w:t>
            </w:r>
          </w:p>
        </w:tc>
        <w:tc>
          <w:tcPr>
            <w:tcW w:w="17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7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2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25,399</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9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69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-1026795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0" w:name="page21"/>
    <w:bookmarkEnd w:id="20"/>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In October 2024, the Company issued 1.1 million RSUs to its employees with service-based vesting conditions. The service-based vesting condition for these awards are satisfied over three years. The grant date fair value of the RSUs issued in October 2024 was approximately $10.1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Foobar Acquisition</w:t>
      </w:r>
    </w:p>
    <w:p>
      <w:pPr>
        <w:spacing w:after="0" w:line="121"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On October 15, 2024 (the “Acquisition Date”), the Company acquired all the capital stock of Foobar, Inc. (“Acquiree”), a privately-held company for an aggregate of $23.9 million (net of cash acquired of $9.6 million), consisting of $17.0 million of net cash and $6.9 million of equity consideration through the issuance of 0.8 million shares of its common stock (the “Acquisition”). As part of the Acquisition, the Company agreed to certain equity payments with key employees in which an aggregate of 1.5 million shares with a value of $13.0 million that will be recognized as compensation expense.</w:t>
      </w:r>
    </w:p>
    <w:p>
      <w:pPr>
        <w:spacing w:after="0" w:line="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Acquisition is expected to enhance the Company’s digital analytics platform to drive customer success utilizing the Acquiree’s intuitive, AI-powered user assistance which makes complex software easier to adopt and navigate. The Acquisition will be accounted for as a business combination, but given the limited time that has passed since the Acquisition Date, the Company is still in the process of developing its fair value assumptions for the consideration, assets acquired, and liabilities assumed. As a result, we are unable to provide the amounts recognized as of the Acquisition Date for the major classes of assets acquired and liabilities assumed.</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2023 (the “2023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89" w:lineRule="exact"/>
        <w:rPr>
          <w:sz w:val="20"/>
          <w:szCs w:val="20"/>
          <w:color w:val="auto"/>
        </w:rPr>
      </w:pPr>
    </w:p>
    <w:p>
      <w:pPr>
        <w:ind w:right="3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report to “Amplitude,” the “Company,” “we,” “our,” “us,” or similar terms refer to Amplitude, Inc. and its subsidiaries.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Amplitude is a leading Digital Analytics Platform that helps businesses understand how people are using their products so they can build amazing digital experiences that increase acquisition, monetization and retention - and drive revenue growth. We work with almost 3,500 paying customers of various sizes and stages of digital maturity, across many industries, including the teams behind some of the most-beloved digital products in the world. We have experienced significant growth in recent years, with approximately 700 employees in seven global offices.</w:t>
      </w:r>
    </w:p>
    <w:p>
      <w:pPr>
        <w:spacing w:after="0" w:line="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platform. Consistently ranked #1 in multiple categories by G2, Amplitude Analytics provides real-time product data and reconstructed user visits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September 30, 2024 and 2023, we had 3,486 and 2,471 paying customers, respectively, representing an increase of 41% year-over-year. Additionally, as of September 30, 2024 and 2023, we had 567 and 502 customers, respectively, that each represented greater than $100,000 in ARR, representing a 13% increase year-over-year. We believe our relationship with some of the world’s most beloved product-led companies has resulted in increased brand credibility and access to many attractive growth opportunities. As of September 30, 2024 and 2023, our dollar-based net retention rate for the trailing twelve months was 97% and 105%, respectively, for paying customers. Additionally, our ending dollar-based net retention rate for paying customers as of September 30, 2024 and 2023, was 98% and 99%,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Platform</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2" w:name="page23"/>
    <w:bookmarkEnd w:id="22"/>
    <w:p>
      <w:pPr>
        <w:ind w:right="200"/>
        <w:spacing w:after="0" w:line="265" w:lineRule="auto"/>
        <w:rPr>
          <w:sz w:val="20"/>
          <w:szCs w:val="20"/>
          <w:color w:val="auto"/>
        </w:rPr>
      </w:pPr>
      <w:r>
        <w:rPr>
          <w:rFonts w:ascii="Times New Roman" w:cs="Times New Roman" w:eastAsia="Times New Roman" w:hAnsi="Times New Roman"/>
          <w:sz w:val="18"/>
          <w:szCs w:val="18"/>
          <w:color w:val="auto"/>
        </w:rPr>
        <w:t>predictive analytics and data instrumentation capabilities.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for Growth</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September 2024, we launched Amplitude Made Easy to simplify the platform experience for customers, and in June 2024, we introduced Warehouse Native to allow customers to unlock insights directly from their data warehouse. Additionally, in October 2023, we introduced Plus to bring the full power of digital analytics to every team for less. We believe the evolution of our technology and product offerings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spacing w:after="0" w:line="19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we previously experienced cost savings due to our restructuring, as we continue to invest in our sales efforts, we expect our sales and marketing expenses to increase in dollar amount over time. Over the longer term, we believe these expenses as a percentage of revenue will decrease over the longer term, though these expenses as a percentage of revenue could increase in the short term.</w:t>
      </w:r>
    </w:p>
    <w:p>
      <w:pPr>
        <w:spacing w:after="0" w:line="1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and nine months ended September 30, 2024, 40% of our revenue was generated outside the United States.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5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0"/>
        </w:trPr>
        <w:tc>
          <w:tcPr>
            <w:tcW w:w="5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YoY Growth</w:t>
            </w:r>
          </w:p>
        </w:tc>
      </w:tr>
      <w:tr>
        <w:trPr>
          <w:trHeight w:val="245"/>
        </w:trPr>
        <w:tc>
          <w:tcPr>
            <w:tcW w:w="5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i w:val="1"/>
                <w:iCs w:val="1"/>
                <w:color w:val="auto"/>
              </w:rPr>
              <w:t>(dollar values in millions)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r>
      <w:tr>
        <w:trPr>
          <w:trHeight w:val="24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 (TTM)</w:t>
            </w:r>
          </w:p>
        </w:tc>
        <w:tc>
          <w:tcPr>
            <w:tcW w:w="10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3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105 %</w:t>
            </w:r>
          </w:p>
        </w:tc>
        <w:tc>
          <w:tcPr>
            <w:tcW w:w="1720" w:type="dxa"/>
            <w:vAlign w:val="bottom"/>
          </w:tcPr>
          <w:p>
            <w:pPr>
              <w:spacing w:after="0"/>
              <w:rPr>
                <w:sz w:val="21"/>
                <w:szCs w:val="21"/>
                <w:color w:val="auto"/>
              </w:rPr>
            </w:pPr>
          </w:p>
        </w:tc>
      </w:tr>
      <w:tr>
        <w:trPr>
          <w:trHeight w:val="26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Paying Customers</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41%</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We define ARR as the annual recurring revenue of subscription agreements, including certain premium professional services that are subject to contractual subscription terms, at a point in time based on the terms of customers’ contracts. ARR should be viewed</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3" w:name="page24"/>
    <w:bookmarkEnd w:id="23"/>
    <w:p>
      <w:pPr>
        <w:ind w:right="480"/>
        <w:spacing w:after="0" w:line="281" w:lineRule="auto"/>
        <w:rPr>
          <w:sz w:val="20"/>
          <w:szCs w:val="20"/>
          <w:color w:val="auto"/>
        </w:rPr>
      </w:pPr>
      <w:r>
        <w:rPr>
          <w:rFonts w:ascii="Times New Roman" w:cs="Times New Roman" w:eastAsia="Times New Roman" w:hAnsi="Times New Roman"/>
          <w:sz w:val="18"/>
          <w:szCs w:val="18"/>
          <w:color w:val="auto"/>
        </w:rPr>
        <w:t>independently of revenue, and does not represent our U.S. GAAP revenue on an annualized basis, as it is an operating metric that can be impacted by contract start and end dates and renewal rates. ARR is also not intended to be a forecast of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151,223</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55,566</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168,936</w:t>
            </w:r>
          </w:p>
        </w:tc>
        <w:tc>
          <w:tcPr>
            <w:tcW w:w="26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75 %</w:t>
            </w:r>
          </w:p>
        </w:tc>
        <w:tc>
          <w:tcPr>
            <w:tcW w:w="10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76 %</w:t>
            </w:r>
          </w:p>
        </w:tc>
        <w:tc>
          <w:tcPr>
            <w:tcW w:w="30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460" w:type="dxa"/>
            <w:vAlign w:val="bottom"/>
          </w:tcPr>
          <w:p>
            <w:pPr>
              <w:spacing w:after="0"/>
              <w:rPr>
                <w:sz w:val="24"/>
                <w:szCs w:val="24"/>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3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77 %</w:t>
            </w:r>
          </w:p>
        </w:tc>
        <w:tc>
          <w:tcPr>
            <w:tcW w:w="10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79 %</w:t>
            </w:r>
          </w:p>
        </w:tc>
        <w:tc>
          <w:tcPr>
            <w:tcW w:w="3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46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70"/>
        </w:trPr>
        <w:tc>
          <w:tcPr>
            <w:tcW w:w="4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(20,013 )</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(20,923 )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(71,878 )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(80,983 )</w:t>
            </w: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(5,810 )</w:t>
            </w:r>
          </w:p>
        </w:tc>
        <w:tc>
          <w:tcPr>
            <w:tcW w:w="100" w:type="dxa"/>
            <w:vAlign w:val="bottom"/>
          </w:tcPr>
          <w:p>
            <w:pPr>
              <w:spacing w:after="0"/>
              <w:rPr>
                <w:sz w:val="21"/>
                <w:szCs w:val="21"/>
                <w:color w:val="auto"/>
              </w:rPr>
            </w:pPr>
          </w:p>
        </w:tc>
      </w:tr>
      <w:tr>
        <w:trPr>
          <w:trHeight w:val="5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Margin</w:t>
            </w:r>
          </w:p>
        </w:tc>
        <w:tc>
          <w:tcPr>
            <w:tcW w:w="30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104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3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4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3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0"/>
        </w:trPr>
        <w:tc>
          <w:tcPr>
            <w:tcW w:w="4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6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30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0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460" w:type="dxa"/>
            <w:vAlign w:val="bottom"/>
          </w:tcPr>
          <w:p>
            <w:pPr>
              <w:spacing w:after="0"/>
              <w:rPr>
                <w:sz w:val="24"/>
                <w:szCs w:val="24"/>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3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0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Non-GAAP Gross Profit, Non-GAAP Gross Margin, Non-GAAP Income (Loss) from Operations, and Non-GAAP Income (Loss) from Operations Margin</w:t>
      </w:r>
    </w:p>
    <w:p>
      <w:pPr>
        <w:spacing w:after="0" w:line="50"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spacing w:after="0" w:line="177" w:lineRule="exact"/>
        <w:rPr>
          <w:sz w:val="20"/>
          <w:szCs w:val="20"/>
          <w:color w:val="auto"/>
        </w:rPr>
      </w:pPr>
    </w:p>
    <w:p>
      <w:pPr>
        <w:ind w:right="440" w:firstLine="509"/>
        <w:spacing w:after="0" w:line="260" w:lineRule="auto"/>
        <w:rPr>
          <w:sz w:val="20"/>
          <w:szCs w:val="20"/>
          <w:color w:val="auto"/>
        </w:rPr>
      </w:pPr>
      <w:r>
        <w:rPr>
          <w:rFonts w:ascii="Times New Roman" w:cs="Times New Roman" w:eastAsia="Times New Roman" w:hAnsi="Times New Roman"/>
          <w:sz w:val="18"/>
          <w:szCs w:val="18"/>
          <w:color w:val="auto"/>
        </w:rPr>
        <w:t>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w:t>
      </w:r>
    </w:p>
    <w:p>
      <w:pPr>
        <w:spacing w:after="0" w:line="18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87" w:lineRule="exact"/>
        <w:rPr>
          <w:sz w:val="20"/>
          <w:szCs w:val="20"/>
          <w:color w:val="auto"/>
        </w:rPr>
      </w:pPr>
    </w:p>
    <w:p>
      <w:pPr>
        <w:ind w:right="320" w:firstLine="509"/>
        <w:spacing w:after="0" w:line="288" w:lineRule="auto"/>
        <w:rPr>
          <w:sz w:val="20"/>
          <w:szCs w:val="20"/>
          <w:color w:val="auto"/>
        </w:rPr>
      </w:pPr>
      <w:r>
        <w:rPr>
          <w:rFonts w:ascii="Times New Roman" w:cs="Times New Roman" w:eastAsia="Times New Roman" w:hAnsi="Times New Roman"/>
          <w:sz w:val="17"/>
          <w:szCs w:val="17"/>
          <w:color w:val="auto"/>
        </w:rPr>
        <w:t>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121"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w:t>
      </w:r>
    </w:p>
    <w:p>
      <w:pPr>
        <w:spacing w:after="0" w:line="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94" w:right="239" w:bottom="1440" w:gutter="0" w:footer="0" w:header="0"/>
        </w:sectPr>
      </w:pPr>
    </w:p>
    <w:bookmarkStart w:id="25" w:name="page26"/>
    <w:bookmarkEnd w:id="25"/>
    <w:p>
      <w:pPr>
        <w:ind w:right="740"/>
        <w:spacing w:after="0" w:line="281" w:lineRule="auto"/>
        <w:rPr>
          <w:sz w:val="20"/>
          <w:szCs w:val="20"/>
          <w:color w:val="auto"/>
        </w:rPr>
      </w:pPr>
      <w:r>
        <w:rPr>
          <w:rFonts w:ascii="Times New Roman" w:cs="Times New Roman" w:eastAsia="Times New Roman" w:hAnsi="Times New Roman"/>
          <w:sz w:val="18"/>
          <w:szCs w:val="18"/>
          <w:color w:val="auto"/>
        </w:rPr>
        <w:t>and investors, even if negative, about the amount of cash used in our operations other than that used for investments in property and equipment and capitalized internal-use software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U.S. GAAP financial measure to each of these non-GAAP financial measures.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Gross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56,473</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151,223</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34"/>
        </w:trPr>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
        </w:trPr>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464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58,032</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55,566</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168,936</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157,614</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8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77 %</w:t>
            </w:r>
          </w:p>
        </w:tc>
        <w:tc>
          <w:tcPr>
            <w:tcW w:w="10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79 %</w:t>
            </w:r>
          </w:p>
        </w:tc>
        <w:tc>
          <w:tcPr>
            <w:tcW w:w="3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Income (Loss) From Operations and Income (Loss) From Operations Margin</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(20,013 )</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(20,923 )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(71,878 )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(80,983 )</w:t>
            </w:r>
          </w:p>
        </w:tc>
        <w:tc>
          <w:tcPr>
            <w:tcW w:w="100" w:type="dxa"/>
            <w:vAlign w:val="bottom"/>
          </w:tcPr>
          <w:p>
            <w:pPr>
              <w:spacing w:after="0"/>
              <w:rPr>
                <w:sz w:val="22"/>
                <w:szCs w:val="22"/>
                <w:color w:val="auto"/>
              </w:rPr>
            </w:pPr>
          </w:p>
        </w:tc>
      </w:tr>
      <w:tr>
        <w:trPr>
          <w:trHeight w:val="234"/>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62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67,172</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65,883</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(5,810 )</w:t>
            </w:r>
          </w:p>
        </w:tc>
        <w:tc>
          <w:tcPr>
            <w:tcW w:w="100" w:type="dxa"/>
            <w:vAlign w:val="bottom"/>
          </w:tcPr>
          <w:p>
            <w:pPr>
              <w:spacing w:after="0"/>
              <w:rPr>
                <w:sz w:val="21"/>
                <w:szCs w:val="21"/>
                <w:color w:val="auto"/>
              </w:rPr>
            </w:pP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3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0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73" w:lineRule="exact"/>
        <w:rPr>
          <w:sz w:val="20"/>
          <w:szCs w:val="20"/>
          <w:color w:val="auto"/>
        </w:rPr>
      </w:pPr>
    </w:p>
    <w:p>
      <w:pPr>
        <w:ind w:left="380" w:right="200" w:hanging="372"/>
        <w:spacing w:after="0" w:line="258"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Stock-based compensation expense-related charges include employer payroll tax-related expenses on employee stock transactions, but exclude stock-based compensation costs included in </w:t>
      </w:r>
      <w:r>
        <w:rPr>
          <w:rFonts w:ascii="Times New Roman" w:cs="Times New Roman" w:eastAsia="Times New Roman" w:hAnsi="Times New Roman"/>
          <w:sz w:val="14"/>
          <w:szCs w:val="14"/>
          <w:i w:val="1"/>
          <w:iCs w:val="1"/>
          <w:color w:val="auto"/>
        </w:rPr>
        <w:t>Restructuring and other related charges.</w:t>
      </w:r>
    </w:p>
    <w:p>
      <w:pPr>
        <w:spacing w:after="0" w:line="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32,078</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67,749</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(2,344 )</w:t>
            </w:r>
          </w:p>
        </w:tc>
      </w:tr>
      <w:tr>
        <w:trPr>
          <w:trHeight w:val="24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(3,136 )</w:t>
            </w:r>
          </w:p>
        </w:tc>
        <w:tc>
          <w:tcPr>
            <w:tcW w:w="10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(3,323 )</w:t>
            </w: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(14,133 )</w:t>
            </w: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(924 )</w:t>
            </w: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shd w:val="clear" w:color="auto" w:fill="CFF0FC"/>
          </w:tcPr>
          <w:p>
            <w:pPr>
              <w:spacing w:after="0"/>
              <w:rPr>
                <w:sz w:val="22"/>
                <w:szCs w:val="22"/>
                <w:color w:val="auto"/>
              </w:rPr>
            </w:pPr>
          </w:p>
        </w:tc>
      </w:tr>
      <w:tr>
        <w:trPr>
          <w:trHeight w:val="234"/>
        </w:trPr>
        <w:tc>
          <w:tcPr>
            <w:tcW w:w="4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(16 )</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(979 )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(995 )</w:t>
            </w:r>
          </w:p>
        </w:tc>
      </w:tr>
      <w:tr>
        <w:trPr>
          <w:trHeight w:val="24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(1,656 )</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(1,349 )</w:t>
            </w: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00" w:type="dxa"/>
            <w:vAlign w:val="bottom"/>
            <w:shd w:val="clear" w:color="auto" w:fill="CFF0FC"/>
          </w:tcPr>
          <w:p>
            <w:pPr>
              <w:spacing w:after="0"/>
              <w:rPr>
                <w:sz w:val="22"/>
                <w:szCs w:val="22"/>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31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6 %</w:t>
            </w:r>
          </w:p>
        </w:tc>
        <w:tc>
          <w:tcPr>
            <w:tcW w:w="1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11 %</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160" w:firstLine="509"/>
        <w:spacing w:after="0" w:line="260" w:lineRule="auto"/>
        <w:rPr>
          <w:sz w:val="20"/>
          <w:szCs w:val="20"/>
          <w:color w:val="auto"/>
        </w:rPr>
      </w:pPr>
      <w:r>
        <w:rPr>
          <w:rFonts w:ascii="Times New Roman" w:cs="Times New Roman" w:eastAsia="Times New Roman" w:hAnsi="Times New Roman"/>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80" w:firstLine="509"/>
        <w:spacing w:after="0" w:line="288" w:lineRule="auto"/>
        <w:rPr>
          <w:sz w:val="20"/>
          <w:szCs w:val="20"/>
          <w:color w:val="auto"/>
        </w:rPr>
      </w:pPr>
      <w:r>
        <w:rPr>
          <w:rFonts w:ascii="Times New Roman" w:cs="Times New Roman" w:eastAsia="Times New Roman" w:hAnsi="Times New Roman"/>
          <w:sz w:val="17"/>
          <w:szCs w:val="17"/>
          <w:color w:val="auto"/>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spacing w:after="0" w:line="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4"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make strategic investments in our sales and marketing organization, and we expect sales and marketing expenses to remain our largest operating expense in dollar amount. Although we previously experienced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7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Although we previously experienced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on our cash, cash equivalents, and marketable securities holdings and foreign currency transaction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$434.5 million and tax credit carryforwards of $13.0 million, net of reserves as of December 31, 2023,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70,637</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204,881</w:t>
            </w:r>
          </w:p>
        </w:tc>
        <w:tc>
          <w:tcPr>
            <w:tcW w:w="100" w:type="dxa"/>
            <w:vAlign w:val="bottom"/>
            <w:shd w:val="clear" w:color="auto" w:fill="CFF0FC"/>
          </w:tcPr>
          <w:p>
            <w:pPr>
              <w:spacing w:after="0"/>
              <w:rPr>
                <w:sz w:val="22"/>
                <w:szCs w:val="22"/>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57,118</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100" w:type="dxa"/>
            <w:vAlign w:val="bottom"/>
          </w:tcPr>
          <w:p>
            <w:pPr>
              <w:spacing w:after="0"/>
              <w:rPr>
                <w:sz w:val="21"/>
                <w:szCs w:val="21"/>
                <w:color w:val="auto"/>
              </w:rPr>
            </w:pPr>
          </w:p>
        </w:tc>
      </w:tr>
      <w:tr>
        <w:trPr>
          <w:trHeight w:val="232"/>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620" w:type="dxa"/>
            <w:vAlign w:val="bottom"/>
            <w:shd w:val="clear" w:color="auto" w:fill="CFF0FC"/>
          </w:tcPr>
          <w:p>
            <w:pPr>
              <w:ind w:left="200"/>
              <w:spacing w:after="0" w:line="25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100" w:type="dxa"/>
            <w:vAlign w:val="bottom"/>
            <w:shd w:val="clear" w:color="auto" w:fill="CFF0FC"/>
          </w:tcPr>
          <w:p>
            <w:pPr>
              <w:spacing w:after="0"/>
              <w:rPr>
                <w:sz w:val="22"/>
                <w:szCs w:val="22"/>
                <w:color w:val="auto"/>
              </w:rPr>
            </w:pPr>
          </w:p>
        </w:tc>
      </w:tr>
      <w:tr>
        <w:trPr>
          <w:trHeight w:val="256"/>
        </w:trPr>
        <w:tc>
          <w:tcPr>
            <w:tcW w:w="462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115,934</w:t>
            </w:r>
          </w:p>
        </w:tc>
        <w:tc>
          <w:tcPr>
            <w:tcW w:w="100" w:type="dxa"/>
            <w:vAlign w:val="bottom"/>
          </w:tcPr>
          <w:p>
            <w:pPr>
              <w:spacing w:after="0"/>
              <w:rPr>
                <w:sz w:val="22"/>
                <w:szCs w:val="22"/>
                <w:color w:val="auto"/>
              </w:rPr>
            </w:pPr>
          </w:p>
        </w:tc>
      </w:tr>
      <w:tr>
        <w:trPr>
          <w:trHeight w:val="256"/>
        </w:trPr>
        <w:tc>
          <w:tcPr>
            <w:tcW w:w="4620" w:type="dxa"/>
            <w:vAlign w:val="bottom"/>
            <w:shd w:val="clear" w:color="auto" w:fill="CFF0FC"/>
          </w:tcPr>
          <w:p>
            <w:pPr>
              <w:ind w:left="200"/>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40,138</w:t>
            </w:r>
          </w:p>
        </w:tc>
        <w:tc>
          <w:tcPr>
            <w:tcW w:w="100" w:type="dxa"/>
            <w:vAlign w:val="bottom"/>
            <w:shd w:val="clear" w:color="auto" w:fill="CFF0FC"/>
          </w:tcPr>
          <w:p>
            <w:pPr>
              <w:spacing w:after="0"/>
              <w:rPr>
                <w:sz w:val="22"/>
                <w:szCs w:val="22"/>
                <w:color w:val="auto"/>
              </w:rPr>
            </w:pPr>
          </w:p>
        </w:tc>
      </w:tr>
      <w:tr>
        <w:trPr>
          <w:trHeight w:val="243"/>
        </w:trPr>
        <w:tc>
          <w:tcPr>
            <w:tcW w:w="46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Restructuring and other related charges</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tcPr>
          <w:p>
            <w:pPr>
              <w:spacing w:after="0"/>
              <w:rPr>
                <w:sz w:val="21"/>
                <w:szCs w:val="21"/>
                <w:color w:val="auto"/>
              </w:rPr>
            </w:pPr>
          </w:p>
        </w:tc>
      </w:tr>
      <w:tr>
        <w:trPr>
          <w:trHeight w:val="232"/>
        </w:trPr>
        <w:tc>
          <w:tcPr>
            <w:tcW w:w="46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76,486</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74,269</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235,901</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(20,013 )</w:t>
            </w:r>
          </w:p>
        </w:tc>
        <w:tc>
          <w:tcPr>
            <w:tcW w:w="10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(20,923 )</w:t>
            </w:r>
          </w:p>
        </w:tc>
        <w:tc>
          <w:tcPr>
            <w:tcW w:w="3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(71,878 )</w:t>
            </w: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(80,983 )</w:t>
            </w: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7"/>
        </w:trPr>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(16,112 )</w:t>
            </w:r>
          </w:p>
        </w:tc>
        <w:tc>
          <w:tcPr>
            <w:tcW w:w="10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(17,479 )</w:t>
            </w:r>
          </w:p>
        </w:tc>
        <w:tc>
          <w:tcPr>
            <w:tcW w:w="3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(60,356 )</w:t>
            </w: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(71,094 )</w:t>
            </w: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(16,854 )</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(17,747 )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(61,729 )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-1788795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-1788795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-1788795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-812800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-812800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-812800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-487680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-487680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-487680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-161925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-161925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-161925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559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45"/>
        </w:trPr>
        <w:tc>
          <w:tcPr>
            <w:tcW w:w="4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30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shd w:val="clear" w:color="auto" w:fill="CFF0FC"/>
          </w:tcPr>
          <w:p>
            <w:pPr>
              <w:spacing w:after="0"/>
              <w:rPr>
                <w:sz w:val="22"/>
                <w:szCs w:val="22"/>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24,105</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27,173</w:t>
            </w: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100" w:type="dxa"/>
            <w:vAlign w:val="bottom"/>
            <w:shd w:val="clear" w:color="auto" w:fill="CFF0FC"/>
          </w:tcPr>
          <w:p>
            <w:pPr>
              <w:spacing w:after="0"/>
              <w:rPr>
                <w:sz w:val="22"/>
                <w:szCs w:val="22"/>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00" w:type="dxa"/>
            <w:vAlign w:val="bottom"/>
          </w:tcPr>
          <w:p>
            <w:pPr>
              <w:spacing w:after="0"/>
              <w:rPr>
                <w:sz w:val="21"/>
                <w:szCs w:val="21"/>
                <w:color w:val="auto"/>
              </w:rPr>
            </w:pP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8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21,112</w:t>
            </w:r>
          </w:p>
        </w:tc>
        <w:tc>
          <w:tcPr>
            <w:tcW w:w="13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64,914</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65,005</w:t>
            </w:r>
          </w:p>
        </w:tc>
        <w:tc>
          <w:tcPr>
            <w:tcW w:w="100" w:type="dxa"/>
            <w:vAlign w:val="bottom"/>
          </w:tcPr>
          <w:p>
            <w:pPr>
              <w:spacing w:after="0"/>
              <w:rPr>
                <w:sz w:val="20"/>
                <w:szCs w:val="20"/>
                <w:color w:val="auto"/>
              </w:rPr>
            </w:pPr>
          </w:p>
        </w:tc>
      </w:tr>
      <w:tr>
        <w:trPr>
          <w:trHeight w:val="537"/>
        </w:trPr>
        <w:tc>
          <w:tcPr>
            <w:tcW w:w="46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-1009650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-1009650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-1009650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9" w:name="page30"/>
    <w:bookmarkEnd w:id="29"/>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and comprehensive loss data, for each of the periods presented, as a percentage of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46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0"/>
        </w:trPr>
        <w:tc>
          <w:tcPr>
            <w:tcW w:w="4620" w:type="dxa"/>
            <w:vAlign w:val="bottom"/>
          </w:tcPr>
          <w:p>
            <w:pPr>
              <w:spacing w:after="0"/>
              <w:rPr>
                <w:sz w:val="20"/>
                <w:szCs w:val="20"/>
                <w:color w:val="auto"/>
              </w:rPr>
            </w:pPr>
          </w:p>
        </w:tc>
        <w:tc>
          <w:tcPr>
            <w:tcW w:w="10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9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2"/>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100%</w:t>
            </w:r>
          </w:p>
        </w:tc>
        <w:tc>
          <w:tcPr>
            <w:tcW w:w="2340" w:type="dxa"/>
            <w:vAlign w:val="bottom"/>
            <w:gridSpan w:val="3"/>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100%</w:t>
            </w:r>
          </w:p>
        </w:tc>
        <w:tc>
          <w:tcPr>
            <w:tcW w:w="2120" w:type="dxa"/>
            <w:vAlign w:val="bottom"/>
            <w:gridSpan w:val="3"/>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5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75%</w:t>
            </w:r>
          </w:p>
        </w:tc>
        <w:tc>
          <w:tcPr>
            <w:tcW w:w="234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96"/>
              </w:rPr>
              <w:t>76%</w:t>
            </w:r>
          </w:p>
        </w:tc>
        <w:tc>
          <w:tcPr>
            <w:tcW w:w="112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74%</w:t>
            </w:r>
          </w:p>
        </w:tc>
        <w:tc>
          <w:tcPr>
            <w:tcW w:w="2120" w:type="dxa"/>
            <w:vAlign w:val="bottom"/>
            <w:gridSpan w:val="3"/>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2"/>
        </w:trPr>
        <w:tc>
          <w:tcPr>
            <w:tcW w:w="4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25%</w:t>
            </w:r>
          </w:p>
        </w:tc>
        <w:tc>
          <w:tcPr>
            <w:tcW w:w="234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96"/>
              </w:rPr>
              <w:t>31%</w:t>
            </w:r>
          </w:p>
        </w:tc>
        <w:tc>
          <w:tcPr>
            <w:tcW w:w="112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29%</w:t>
            </w:r>
          </w:p>
        </w:tc>
        <w:tc>
          <w:tcPr>
            <w:tcW w:w="2120" w:type="dxa"/>
            <w:vAlign w:val="bottom"/>
            <w:gridSpan w:val="3"/>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33%</w:t>
            </w:r>
          </w:p>
        </w:tc>
      </w:tr>
      <w:tr>
        <w:trPr>
          <w:trHeight w:val="24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54%</w:t>
            </w:r>
          </w:p>
        </w:tc>
        <w:tc>
          <w:tcPr>
            <w:tcW w:w="234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6"/>
              </w:rPr>
              <w:t>54%</w:t>
            </w:r>
          </w:p>
        </w:tc>
        <w:tc>
          <w:tcPr>
            <w:tcW w:w="11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57%</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57%</w:t>
            </w:r>
          </w:p>
        </w:tc>
      </w:tr>
      <w:tr>
        <w:trPr>
          <w:trHeight w:val="263"/>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22%</w:t>
            </w:r>
          </w:p>
        </w:tc>
        <w:tc>
          <w:tcPr>
            <w:tcW w:w="234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96"/>
              </w:rPr>
              <w:t>20%</w:t>
            </w:r>
          </w:p>
        </w:tc>
        <w:tc>
          <w:tcPr>
            <w:tcW w:w="1120" w:type="dxa"/>
            <w:vAlign w:val="bottom"/>
            <w:gridSpan w:val="2"/>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21%</w:t>
            </w:r>
          </w:p>
        </w:tc>
        <w:tc>
          <w:tcPr>
            <w:tcW w:w="2120" w:type="dxa"/>
            <w:vAlign w:val="bottom"/>
            <w:gridSpan w:val="3"/>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10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50"/>
        </w:trPr>
        <w:tc>
          <w:tcPr>
            <w:tcW w:w="46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w:t>
            </w:r>
          </w:p>
        </w:tc>
        <w:tc>
          <w:tcPr>
            <w:tcW w:w="4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center"/>
              <w:ind w:left="410"/>
              <w:spacing w:after="0"/>
              <w:rPr>
                <w:sz w:val="20"/>
                <w:szCs w:val="20"/>
                <w:color w:val="auto"/>
              </w:rPr>
            </w:pPr>
            <w:r>
              <w:rPr>
                <w:rFonts w:ascii="Times New Roman" w:cs="Times New Roman" w:eastAsia="Times New Roman" w:hAnsi="Times New Roman"/>
                <w:sz w:val="18"/>
                <w:szCs w:val="18"/>
                <w:color w:val="auto"/>
                <w:w w:val="99"/>
              </w:rPr>
              <w:t>107%</w:t>
            </w:r>
          </w:p>
        </w:tc>
        <w:tc>
          <w:tcPr>
            <w:tcW w:w="5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113%</w:t>
            </w: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(27)%</w:t>
            </w:r>
          </w:p>
        </w:tc>
        <w:tc>
          <w:tcPr>
            <w:tcW w:w="234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7"/>
              </w:rPr>
              <w:t>(30)%</w:t>
            </w:r>
          </w:p>
        </w:tc>
        <w:tc>
          <w:tcPr>
            <w:tcW w:w="11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(33)%</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Borders>
              <w:bottom w:val="single" w:sz="8" w:color="auto"/>
            </w:tcBorders>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w w:val="99"/>
              </w:rPr>
              <w:t>5%</w:t>
            </w:r>
          </w:p>
        </w:tc>
        <w:tc>
          <w:tcPr>
            <w:tcW w:w="4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99"/>
              </w:rPr>
              <w:t>5%</w:t>
            </w:r>
          </w:p>
        </w:tc>
        <w:tc>
          <w:tcPr>
            <w:tcW w:w="50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-1335405</wp:posOffset>
            </wp:positionV>
            <wp:extent cx="1028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-1335405</wp:posOffset>
            </wp:positionV>
            <wp:extent cx="1028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-1335405</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-341630</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-341630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-341630</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-7620</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p>
      <w:pPr>
        <w:spacing w:after="0" w:line="9" w:lineRule="exact"/>
        <w:rPr>
          <w:sz w:val="20"/>
          <w:szCs w:val="20"/>
          <w:color w:val="auto"/>
        </w:rPr>
      </w:pPr>
    </w:p>
    <w:p>
      <w:pPr>
        <w:ind w:left="20" w:right="240" w:firstLine="270"/>
        <w:spacing w:after="0" w:line="289" w:lineRule="auto"/>
        <w:rPr>
          <w:sz w:val="20"/>
          <w:szCs w:val="20"/>
          <w:color w:val="auto"/>
        </w:rPr>
      </w:pPr>
      <w:r>
        <w:rPr>
          <w:rFonts w:ascii="Times New Roman" w:cs="Times New Roman" w:eastAsia="Times New Roman" w:hAnsi="Times New Roman"/>
          <w:sz w:val="18"/>
          <w:szCs w:val="18"/>
          <w:color w:val="auto"/>
        </w:rPr>
        <w:t>Loss before provision for (benefit from) income taxes Provision for (benefit from) income taxes</w:t>
      </w: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180"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559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(21)%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(35)%</w:t>
            </w:r>
          </w:p>
        </w:tc>
      </w:tr>
      <w:tr>
        <w:trPr>
          <w:trHeight w:val="256"/>
        </w:trPr>
        <w:tc>
          <w:tcPr>
            <w:tcW w:w="11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1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(22)%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-316230</wp:posOffset>
            </wp:positionV>
            <wp:extent cx="7132320" cy="162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56" w:lineRule="exact"/>
        <w:rPr>
          <w:sz w:val="20"/>
          <w:szCs w:val="20"/>
          <w:color w:val="auto"/>
        </w:rPr>
      </w:pPr>
    </w:p>
    <w:p>
      <w:pPr>
        <w:sectPr>
          <w:pgSz w:w="11900" w:h="16838" w:orient="portrait"/>
          <w:cols w:equalWidth="0" w:num="2">
            <w:col w:w="4400" w:space="720"/>
            <w:col w:w="6120"/>
          </w:cols>
          <w:pgMar w:left="320" w:top="1200" w:right="339" w:bottom="1440" w:gutter="0" w:footer="0" w:header="0"/>
          <w:type w:val="continuous"/>
        </w:sectPr>
      </w:pPr>
    </w:p>
    <w:p>
      <w:pPr>
        <w:spacing w:after="0" w:line="111" w:lineRule="exact"/>
        <w:rPr>
          <w:sz w:val="20"/>
          <w:szCs w:val="20"/>
          <w:color w:val="auto"/>
        </w:rPr>
      </w:pPr>
    </w:p>
    <w:p>
      <w:pPr>
        <w:ind w:right="370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Months Ended September 30, 2024 to Three Months Ended September 30, 2023 </w:t>
      </w:r>
      <w:r>
        <w:rPr>
          <w:rFonts w:ascii="Times New Roman" w:cs="Times New Roman" w:eastAsia="Times New Roman" w:hAnsi="Times New Roman"/>
          <w:sz w:val="18"/>
          <w:szCs w:val="18"/>
          <w:i w:val="1"/>
          <w:iCs w:val="1"/>
          <w:color w:val="auto"/>
        </w:rPr>
        <w:t>Revenue</w:t>
      </w:r>
    </w:p>
    <w:p>
      <w:pPr>
        <w:spacing w:after="0" w:line="8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7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7"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Revenue increased $4.6 million, or 6%, during the three months ended September 30, 2024 compared to the three months ended September 30, 2023. The increase in revenue was primarily due to growth of our paying customer base by 41%, partially offset by partial and full churn among existing customers which marginally outpaced our expansion of existing customers as reflected by our NRR (TTM) of 97% as of September 30,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270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18,744</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7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75 %</w:t>
            </w:r>
          </w:p>
        </w:tc>
        <w:tc>
          <w:tcPr>
            <w:tcW w:w="10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11" w:lineRule="exact"/>
        <w:rPr>
          <w:sz w:val="20"/>
          <w:szCs w:val="20"/>
          <w:color w:val="auto"/>
        </w:rPr>
      </w:pPr>
    </w:p>
    <w:p>
      <w:pPr>
        <w:ind w:right="180" w:firstLine="509"/>
        <w:spacing w:after="0" w:line="288" w:lineRule="auto"/>
        <w:rPr>
          <w:sz w:val="20"/>
          <w:szCs w:val="20"/>
          <w:color w:val="auto"/>
        </w:rPr>
      </w:pPr>
      <w:r>
        <w:rPr>
          <w:rFonts w:ascii="Times New Roman" w:cs="Times New Roman" w:eastAsia="Times New Roman" w:hAnsi="Times New Roman"/>
          <w:sz w:val="17"/>
          <w:szCs w:val="17"/>
          <w:color w:val="auto"/>
        </w:rPr>
        <w:t>Cost of revenue increased $1.5 million, or 8%, during the three months ended September 30, 2024 compared to the three months ended September 30, 2023. The increase was primarily due to an increase of $0.7 million in third-party hosting costs as we increased capacity to support paying customer usage and growth of our paying customer base and $1.0 million in personnel and related expenses, including an increase in allocated overhead costs.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19,037</w:t>
            </w:r>
          </w:p>
        </w:tc>
        <w:tc>
          <w:tcPr>
            <w:tcW w:w="134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(2,760 )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w:t>
            </w: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40,863</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16,586</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76,486</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74,269</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-170815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-170815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decreased $2.8 million, or 13%, during the three months ended September 30, 2024 compared to the three months ended September 30, 2023. This decrease was primarily due to a higher percentage of personnel being dedicated to new application development which are capitalized as internal use software costs in the period.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460" w:firstLine="509"/>
        <w:spacing w:after="0" w:line="265" w:lineRule="auto"/>
        <w:rPr>
          <w:sz w:val="20"/>
          <w:szCs w:val="20"/>
          <w:color w:val="auto"/>
        </w:rPr>
      </w:pPr>
      <w:r>
        <w:rPr>
          <w:rFonts w:ascii="Times New Roman" w:cs="Times New Roman" w:eastAsia="Times New Roman" w:hAnsi="Times New Roman"/>
          <w:sz w:val="18"/>
          <w:szCs w:val="18"/>
          <w:color w:val="auto"/>
        </w:rPr>
        <w:t>Sales and marketing expenses increased $2.4 million, or 6%, during the three months ended September 30, 2024 compared to the three months ended September 30, 2023. The increase was primarily due to an increase of $2.2 million in personnel and related expenses, including an increase in allocated overhead costs and an increase of $0.5 million in stock-based compensation expenses and related payroll taxes.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$2.6 million, or 18%, during the three months ended September 30, 2024 compared to the three months ended September 30, 2023. The increase was primarily attributable to an increase of $1.6 million in personnel and related expenses, including an increase in allocated overhead costs.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27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4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457</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65"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increased $0.5 million, or 13%, during the three months ended September 30, 2024 compared to the three months ended September 30, 2023. The increase was primarily due to higher interest income of $0.4 million due to a higher combined yield on investments and cash equivalents in the three months ended September 30,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28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6"/>
              </w:rPr>
              <w:t>742</w:t>
            </w:r>
          </w:p>
        </w:tc>
        <w:tc>
          <w:tcPr>
            <w:tcW w:w="14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474</w:t>
            </w:r>
          </w:p>
        </w:tc>
        <w:tc>
          <w:tcPr>
            <w:tcW w:w="17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559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28"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Provision for (benefit from) income taxes increased $0.5 million, during the three months ended September 30, 2024 compared to the three months ended September 30, 2023, primarily due to increased foreign taxes during the three months ended September 30, 2024 compared to the three months ended September 30, 2023.</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1" w:name="page32"/>
    <w:bookmarkEnd w:id="31"/>
    <w:p>
      <w:pPr>
        <w:ind w:right="386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Nine Months Ended September 30, 2024 to Nine Months Ended September 30, 2023 </w:t>
      </w:r>
      <w:r>
        <w:rPr>
          <w:rFonts w:ascii="Times New Roman" w:cs="Times New Roman" w:eastAsia="Times New Roman" w:hAnsi="Times New Roman"/>
          <w:sz w:val="18"/>
          <w:szCs w:val="18"/>
          <w:i w:val="1"/>
          <w:iCs w:val="1"/>
          <w:color w:val="auto"/>
        </w:rPr>
        <w:t>Revenue</w:t>
      </w:r>
    </w:p>
    <w:p>
      <w:pPr>
        <w:spacing w:after="0" w:line="8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204,881</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7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7"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Revenue increased $16.3 million, or 8%, during the nine months ended September 30, 2024 compared to the nine months ended September 30, 2023. The increase in revenue was primarily due to growth of our paying customer base of 41%, partially offset by partial and full churn among existing customers which marginally outpaced our expansion of existing customers as reflected by our NRR (TTM) of 97% as of September 30,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57,118</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7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74 %</w:t>
            </w:r>
          </w:p>
        </w:tc>
        <w:tc>
          <w:tcPr>
            <w:tcW w:w="10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Cost of revenue increased $3.5 million, or 6%, during the nine months ended September 30, 2024 compared to the nine months ended September 30, 2023. The increase was primarily due to an increase of $2.9 million in third-party hosting costs as we increased capacity to support paying customer usage and the growth of our paying customer base.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9"/>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460" w:type="dxa"/>
            <w:vAlign w:val="bottom"/>
          </w:tcPr>
          <w:p>
            <w:pPr>
              <w:spacing w:after="0"/>
              <w:rPr>
                <w:sz w:val="20"/>
                <w:szCs w:val="20"/>
                <w:color w:val="auto"/>
              </w:rPr>
            </w:pP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13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67,940</w:t>
            </w: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(4,805 )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115,934</w:t>
            </w: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40,138</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4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(8,194 )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235,901</w:t>
            </w:r>
          </w:p>
        </w:tc>
        <w:tc>
          <w:tcPr>
            <w:tcW w:w="28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232,206</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60" w:type="dxa"/>
            <w:vAlign w:val="bottom"/>
            <w:tcBorders>
              <w:top w:val="single" w:sz="8" w:color="CFF0FC"/>
            </w:tcBorders>
          </w:tcPr>
          <w:p>
            <w:pPr>
              <w:spacing w:after="0"/>
              <w:rPr>
                <w:sz w:val="20"/>
                <w:szCs w:val="20"/>
                <w:color w:val="auto"/>
              </w:rPr>
            </w:pPr>
          </w:p>
        </w:tc>
        <w:tc>
          <w:tcPr>
            <w:tcW w:w="146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29"/>
        </w:trPr>
        <w:tc>
          <w:tcPr>
            <w:tcW w:w="46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__________</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-320675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-320675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-320675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00" w:hanging="292"/>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decreased $4.8 million, or 7%, during the nine months ended September 30, 2024 compared to the nine months ended September 30, 2023. This decrease was primarily due to a higher percentage of personnel being dedicated to new application development which are capitalized as internal use software costs in the period.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$9.9 million, or 9%, during the nine months ended September 30, 2024 compared to the nine months ended September 30, 2023. The increase was primarily due to an increase of $5.7 million in personnel and related expenses, including an increase in allocated overhead costs and an increase of $2.3 million in stock-based compensation expenses and related payroll taxes. The increase was also attributable to an increase of $1.7 million in commissions and variable compensation related to an increase in the amortization of capitalized commissions in the period compared to the same period in the prior year and amounts earned in the year.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$6.8 million, or 17%, during the nine months ended September 30, 2024 compared to the nine months ended September 30, 2023. The increase was primarily attributable to an increase of $3.2 million in personnel and related expenses, including an increase in allocated overhead costs and an increase of $2.6 million in stock-based compensation expenses and related payroll taxes.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Related Charges</w:t>
      </w:r>
    </w:p>
    <w:p>
      <w:pPr>
        <w:spacing w:after="0" w:line="11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Restructuring and other related charges related to employee transition, severance payments, employee benefits, and stock-based compensation were $8.2 million during the nine months ended September 30, 2023, with no costs incurred in the nine months ended September 30,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6"/>
              </w:rPr>
              <w:t>11,522</w:t>
            </w:r>
          </w:p>
        </w:tc>
        <w:tc>
          <w:tcPr>
            <w:tcW w:w="138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17%</w:t>
            </w:r>
          </w:p>
        </w:tc>
      </w:tr>
    </w:tbl>
    <w:p>
      <w:pPr>
        <w:spacing w:after="0" w:line="27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increased $1.6 million, or 17%, during the nine months ended September 30, 2024 compared to the nine months ended September 30, 2023. The increase was primarily due to higher interest income of $1.6 million due to a higher combined yield on investments and cash equivalents in the nine months ended September 30, 2024 .</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4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647</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24"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Provision for (benefit from) income taxes increased $0.6 million, or 89%, during the nine months ended September 30, 2024 compared to the nine months ended September 30, 2023, primarily due to increased foreign taxes during the nine months ended September 30, 2024 compared to the nine months ended September 30,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$425.3 million as of September 30, 2024. We generated positive cash flows from operating activities for the nine months ended September 30, 2024 and for the year ended December 31, 2023;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2024, our principal sources of liquidity were cash and cash equivalents of $317.4 million and restricted cash of $0.9 million. We also had $2.5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September 30, 2024, we had $114.9 million of deferred revenue, all of which was recorded as a current liability. This deferred revenue will be recognized as revenue when or as the related performance obligations are met.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3" w:name="page34"/>
    <w:bookmarkEnd w:id="33"/>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5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3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shd w:val="clear" w:color="auto" w:fill="CFF0FC"/>
          </w:tcPr>
          <w:p>
            <w:pPr>
              <w:spacing w:after="0"/>
              <w:rPr>
                <w:sz w:val="22"/>
                <w:szCs w:val="22"/>
                <w:color w:val="auto"/>
              </w:rPr>
            </w:pP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67,749</w:t>
            </w:r>
          </w:p>
        </w:tc>
        <w:tc>
          <w:tcPr>
            <w:tcW w:w="340" w:type="dxa"/>
            <w:vAlign w:val="bottom"/>
          </w:tcPr>
          <w:p>
            <w:pPr>
              <w:spacing w:after="0"/>
              <w:rPr>
                <w:sz w:val="21"/>
                <w:szCs w:val="21"/>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(2,344 )</w:t>
            </w: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(14,133 )</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(924 )</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509"/>
        <w:spacing w:after="0" w:line="288" w:lineRule="auto"/>
        <w:rPr>
          <w:sz w:val="20"/>
          <w:szCs w:val="20"/>
          <w:color w:val="auto"/>
        </w:rPr>
      </w:pPr>
      <w:r>
        <w:rPr>
          <w:rFonts w:ascii="Times New Roman" w:cs="Times New Roman" w:eastAsia="Times New Roman" w:hAnsi="Times New Roman"/>
          <w:sz w:val="17"/>
          <w:szCs w:val="17"/>
          <w:color w:val="auto"/>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positive cash flows from operating activities; however, in the last several years, we have generated negative cash flows from operating activities.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of $15.3 million for the nine months ended September 30, 2024 reflects our net loss of $61.7 million, adjusted by non-cash items such as stock-based compensation expense of $64.9 million, depreciation and amortization of $4.1 million, and non-cash operating lease costs of $2.9 million as well as net cash provided by changes in our operating assets and liabilities of $5.1 million. The net cash provided by changes in operating assets and liabilities primarily consisted of collections outpacing revenue recognized as evidenced through the net increase in cash of $11.6 million from changes in accounts receivable and deferred revenue. These changes were primarily offset by $2.2 million driven by additional payments related to deferred commissions during the period.</w:t>
      </w:r>
    </w:p>
    <w:p>
      <w:pPr>
        <w:spacing w:after="0" w:line="78"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7"/>
          <w:szCs w:val="17"/>
          <w:color w:val="auto"/>
        </w:rPr>
        <w:t>Net cash provided by operating activities of $23.3 million for the nine months ended September 30, 2023 reflects our net loss of $71.8 million, adjusted by non-cash items such as stock-based compensation expense of $65.0 million, depreciation and amortization of $4.2 million, and non-cash operating lease costs of $2.9 million as well as net cash provided by changes in our operating assets and liabilities of $23.9 million. The net cash provided by changes in operating assets and liabilities primarily consisted of collections outpacing revenue recognized as evidenced through the net increase in cash of $8.3 million from changes in accounts receivable and deferred revenue. Additionally, decreases in prepaid expenses and other current and noncurrent assets of $2.4 million and an increase in accounts payable and accrued expenses of $16.8 million, also increased operating cash flows during the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investing activities of $67.7 million for the nine months ended September 30, 2024 consisted of $91.3 million of cash received from the maturities of marketable securities, offset by $18.4 million of purchases of marketable securities, $4.2 million in capitalized internal-use software development costs, and $1.0 million in purchases of property and equipment.</w:t>
      </w:r>
    </w:p>
    <w:p>
      <w:pPr>
        <w:spacing w:after="0" w:line="6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of $2.3 million for the nine months ended September 30, 2023 consisted of $1.3 million in capitalized internal-use software development costs and $1.0 million in purchases of property and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of $14.1 million for the nine months ended September 30, 2024 consisted of $19.7 million in net tax remittance on equity awards related to the vesting of RSU awards under a withhold-to-cover method, partially offset by $5.6 million in proceeds from the exercise of stock options.</w:t>
      </w:r>
    </w:p>
    <w:p>
      <w:pPr>
        <w:spacing w:after="0" w:line="69"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of $0.9 million for the nine months ended September 30, 2023 consisted of $3.6 million in proceeds from the exercise of stock options offset by $3.8 million in net tax remittance on equity awards primarily driven by a</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4" w:name="page35"/>
    <w:bookmarkEnd w:id="34"/>
    <w:p>
      <w:pPr>
        <w:ind w:right="280"/>
        <w:spacing w:after="0" w:line="281" w:lineRule="auto"/>
        <w:rPr>
          <w:sz w:val="20"/>
          <w:szCs w:val="20"/>
          <w:color w:val="auto"/>
        </w:rPr>
      </w:pPr>
      <w:r>
        <w:rPr>
          <w:rFonts w:ascii="Times New Roman" w:cs="Times New Roman" w:eastAsia="Times New Roman" w:hAnsi="Times New Roman"/>
          <w:sz w:val="18"/>
          <w:szCs w:val="18"/>
          <w:color w:val="auto"/>
        </w:rPr>
        <w:t>change in tax withholding settlement method related to vesting of RSU awards from sell-to-cover to withhold-to-cover that occurred in the three months ended September 30,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Remaining performance obligations (“RPO”) as of September 30, 2024 and 2023, including the expected timing of recognition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1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40"/>
        </w:trPr>
        <w:tc>
          <w:tcPr>
            <w:tcW w:w="54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5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460" w:type="dxa"/>
            <w:vAlign w:val="bottom"/>
          </w:tcPr>
          <w:p>
            <w:pPr>
              <w:spacing w:after="0"/>
              <w:rPr>
                <w:sz w:val="21"/>
                <w:szCs w:val="21"/>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211,084</w:t>
            </w:r>
          </w:p>
        </w:tc>
        <w:tc>
          <w:tcPr>
            <w:tcW w:w="10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186,765</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6"/>
              </w:rPr>
              <w:t>13%</w:t>
            </w: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3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6"/>
              </w:rPr>
              <w:t>49%</w:t>
            </w:r>
          </w:p>
        </w:tc>
      </w:tr>
      <w:tr>
        <w:trPr>
          <w:trHeight w:val="236"/>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286,609</w:t>
            </w:r>
          </w:p>
        </w:tc>
        <w:tc>
          <w:tcPr>
            <w:tcW w:w="3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237,580</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6"/>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material changes in our contractual obligations and other commitments outside of those disclosed in the 2023 Form 10-K. For further information on our commitments and contingencies, refer to Note 9 in the consolidated financial statements contained within the 2023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nine months ended September 30, 2024 as compared to those disclosed in Part II, Item 7. Management’s Discussion and Analysis of Financial Condition and Results of Operations of the 2023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80" w:firstLine="509"/>
        <w:spacing w:after="0" w:line="281" w:lineRule="auto"/>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Part I, Item 1 of this Quarterly Report on Form 10-Q for more information regarding recent accounting pronouncements.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cash and cash equivalents and marketable securities primarily consist of cash on hand and highly liquid investments in money market funds and U.S. government securities. As of September 30, 2024, we had cash and cash equivalents of $317.4 million and marketable securities of $2.5 million. We do not enter into investments for trading or speculative purposes. Our investments are exposed to market risk due to fluctuations in interest rates, which may affect our interest income and fair value of our investments.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has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“Legal Matters” in Note 8 to our condensed consolidated financial statements included in Part I, Item 1 of this Quarterly Report on Form 10-Q.</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50" w:lineRule="exact"/>
        <w:rPr>
          <w:sz w:val="20"/>
          <w:szCs w:val="20"/>
          <w:color w:val="auto"/>
        </w:rPr>
      </w:pPr>
    </w:p>
    <w:p>
      <w:pPr>
        <w:jc w:val="both"/>
        <w:ind w:right="400" w:firstLine="509"/>
        <w:spacing w:after="0" w:line="312" w:lineRule="auto"/>
        <w:rPr>
          <w:sz w:val="20"/>
          <w:szCs w:val="20"/>
          <w:color w:val="auto"/>
        </w:rPr>
      </w:pPr>
      <w:r>
        <w:rPr>
          <w:rFonts w:ascii="Times New Roman" w:cs="Times New Roman" w:eastAsia="Times New Roman" w:hAnsi="Times New Roman"/>
          <w:sz w:val="17"/>
          <w:szCs w:val="17"/>
          <w:color w:val="auto"/>
        </w:rPr>
        <w:t>Our revenue was $276.3 million for the fiscal year ended December 31, 2023 and $221.1 million and $204.9 million for the nine months ended September 30, 2024 and 2023, respectively. However, you should not rely on our historical revenue growth as an indication of our future performance.</w:t>
      </w:r>
    </w:p>
    <w:p>
      <w:pPr>
        <w:spacing w:after="0" w:line="139"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63"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have experienced net losses in each period since inception. We generated net losses of $90.4 million for the fiscal year ended December 31, 2023 and $61.7 million and $71.8 million for the nine months ended September 30, 2024 and 2023, respectively. As of September 30, 2024, we had an accumulated deficit of $425.3 million. We expect our costs and expenses to increase in future periods. In particular, we intend to continue to invest significant resources in:</w:t>
      </w:r>
    </w:p>
    <w:p>
      <w:pPr>
        <w:spacing w:after="0" w:line="74" w:lineRule="exact"/>
        <w:rPr>
          <w:sz w:val="20"/>
          <w:szCs w:val="20"/>
          <w:color w:val="auto"/>
        </w:rPr>
      </w:pPr>
    </w:p>
    <w:p>
      <w:pPr>
        <w:ind w:left="1020" w:right="580" w:hanging="504"/>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spacing w:after="0" w:line="31" w:lineRule="exact"/>
        <w:rPr>
          <w:rFonts w:ascii="Times New Roman" w:cs="Times New Roman" w:eastAsia="Times New Roman" w:hAnsi="Times New Roman"/>
          <w:sz w:val="17"/>
          <w:szCs w:val="17"/>
          <w:color w:val="auto"/>
        </w:rPr>
      </w:pPr>
    </w:p>
    <w:p>
      <w:pPr>
        <w:ind w:left="1020" w:right="60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international expansion, in an effort to increase our customer base and sales;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accounting, and other expenses.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7" w:name="page38"/>
    <w:bookmarkEnd w:id="37"/>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8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8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p>
    <w:p>
      <w:pPr>
        <w:spacing w:after="0" w:line="1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50"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69" w:lineRule="exact"/>
        <w:rPr>
          <w:sz w:val="20"/>
          <w:szCs w:val="20"/>
          <w:color w:val="auto"/>
        </w:rPr>
      </w:pPr>
    </w:p>
    <w:p>
      <w:pPr>
        <w:ind w:left="1020" w:right="8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Digital Analytics Platform, including as a result of our introduction of new products, features, and functionality;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new products, features, and functionality;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customers’ purchases;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customers are able to migrate data onto our platform after purchasing capacity;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on a global basis;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features, or functionality developed or acquired by us or our competitors;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0" w:right="459" w:bottom="1440" w:gutter="0" w:footer="0" w:header="0"/>
        </w:sectPr>
      </w:pPr>
    </w:p>
    <w:bookmarkStart w:id="38" w:name="page39"/>
    <w:bookmarkEnd w:id="38"/>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our cloud computing infrastructure, particularly the cloud services provided by Amazon Web Services (“AWS”);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and complete, and the effects of, mergers, acquisitions, or strategic partnerships, and the ensuing integration efforts;</w:t>
      </w:r>
    </w:p>
    <w:p>
      <w:pPr>
        <w:spacing w:after="0" w:line="116" w:lineRule="exact"/>
        <w:rPr>
          <w:rFonts w:ascii="Times New Roman" w:cs="Times New Roman" w:eastAsia="Times New Roman" w:hAnsi="Times New Roman"/>
          <w:sz w:val="18"/>
          <w:szCs w:val="18"/>
          <w:color w:val="auto"/>
        </w:rPr>
      </w:pPr>
    </w:p>
    <w:p>
      <w:pPr>
        <w:jc w:val="both"/>
        <w:ind w:left="1020" w:right="44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w:t>
      </w:r>
    </w:p>
    <w:p>
      <w:pPr>
        <w:spacing w:after="0" w:line="69" w:lineRule="exact"/>
        <w:rPr>
          <w:rFonts w:ascii="Times New Roman" w:cs="Times New Roman" w:eastAsia="Times New Roman" w:hAnsi="Times New Roman"/>
          <w:sz w:val="18"/>
          <w:szCs w:val="18"/>
          <w:color w:val="auto"/>
        </w:rPr>
      </w:pPr>
    </w:p>
    <w:p>
      <w:pPr>
        <w:ind w:left="1020" w:right="120" w:hanging="504"/>
        <w:spacing w:after="0" w:line="26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climate change, natural disasters, health epidemics (such as the COVID-19 pandemic or similar outbreaks of disease), political and social instability, including acts of war or other armed conflicts (including the war in Ukraine and the conflict in the Middle East), and terrorist activities, on our business, operations, and the markets and communities in which we and our customers and partners operate and the disruption these events may cause to the global economy;</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69"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platform.</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To the extent our results of operations fall below the expectations of investors and securities analysts who follow our stock, trading price of our Class A common stock could decline substantially, and we could face costly lawsuits, including securities class action litigation. For example, we are currently defending against a securities class action lawsuit (“Securities Class Action”) and a shareholder derivative lawsuit (“Derivative Action”), which were filed in the United States District Court for the Northern District of California. The Securities Class Action names the Company, our Chief Executive Officer, and our former Chief Financial Officer as defendants, and is purportedly brought on behalf of all those who purchased or acquired our Class A common stock between September 21, 2021 and February 16, 2022. The complaint alleges claims under Sections 10(b) and 20(a) of the Exchange Act based on allegedly false or misleading statements related to our business and financial outlook. The Derivative Action, purportedly brought on behalf of the Company, names our Chief Executive Officer, our former Chief Financial Officer, and the current and former members of our board of directors as defendants. It has not yet been served on the defendants, but alleges claims for breach of fiduciary duty, unjust enrichment, waste of corporate assets, abuse of control, gross mismanagement, and contribution for alleged wrongdoing by the Company’s directors and officers from September 21, 2021 through February 16, 2022. Both lawsuits seek unspecified damages and other relief. We are also currently defending against two privacy class actions and a third privacy action. See “Legal Matters” in Note 8 to our condensed consolidated financial statements included in Part I, Item 1 of this Quarterly Report on Form 10-Q for additional information. We have incurred and will continue to incur significant legal costs in connection with the defense of these lawsuits and management will be required to devote significant time in managing the defense of the actions.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9" w:name="page40"/>
    <w:bookmarkEnd w:id="39"/>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focus on sales to larger organizations and may become more dependent on those relationships, which may increase the variability of our sales cycle and our results of operations.</w:t>
      </w:r>
    </w:p>
    <w:p>
      <w:pPr>
        <w:spacing w:after="0" w:line="5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74"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evaluation and purchasing processes;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planned introductions of new products, features, or functionality by us or our competitors;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purchasing approval processes.</w:t>
      </w:r>
    </w:p>
    <w:p>
      <w:pPr>
        <w:spacing w:after="0" w:line="22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9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0" w:name="page41"/>
    <w:bookmarkEnd w:id="40"/>
    <w:p>
      <w:pPr>
        <w:ind w:right="60"/>
        <w:spacing w:after="0" w:line="258" w:lineRule="auto"/>
        <w:rPr>
          <w:sz w:val="20"/>
          <w:szCs w:val="20"/>
          <w:color w:val="auto"/>
        </w:rPr>
      </w:pPr>
      <w:r>
        <w:rPr>
          <w:rFonts w:ascii="Times New Roman" w:cs="Times New Roman" w:eastAsia="Times New Roman" w:hAnsi="Times New Roman"/>
          <w:sz w:val="18"/>
          <w:szCs w:val="18"/>
          <w:color w:val="auto"/>
        </w:rPr>
        <w:t>spending on our services, particularly if our customers are acquired by organizations that do not use our services. In connection with unfavorable macroeconomic conditions and the related impact on our customers, in April 2023, we authorized a restructuring plan that reduced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SaaS applications develops more slowly than we expect or declines, our business would be materially adversely affected.</w:t>
      </w:r>
    </w:p>
    <w:p>
      <w:pPr>
        <w:spacing w:after="0" w:line="12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9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5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69" w:lineRule="exact"/>
        <w:rPr>
          <w:sz w:val="20"/>
          <w:szCs w:val="20"/>
          <w:color w:val="auto"/>
        </w:rPr>
      </w:pPr>
    </w:p>
    <w:p>
      <w:pPr>
        <w:ind w:left="1020" w:right="200" w:hanging="504"/>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software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integrated systems vendors;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companies offering alternative SaaS applications;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22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w:t>
      </w:r>
    </w:p>
    <w:p>
      <w:pPr>
        <w:spacing w:after="0" w:line="18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2023 Form 10-K.</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1" w:name="page42"/>
    <w:bookmarkEnd w:id="41"/>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5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p>
    <w:p>
      <w:pPr>
        <w:spacing w:after="0" w:line="186"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1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properly develop, invest in, and manage AI Technologies used in our products and services, our business, financial condition, and results of operations could be materially adversely affected.</w:t>
      </w:r>
    </w:p>
    <w:p>
      <w:pPr>
        <w:spacing w:after="0" w:line="158"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We have incorporated, and expect in the future we will continue to incorporate, machine learning and generative artificial intelligence technologies (collectively, “AI Technologies”) into our product offerings. We offer our customers a suite of AI Technologies that help them achieve data insights faster. For example, we leverage large language models (“LLMs”) in certain features to aid customers in analyzing their product data.</w:t>
      </w:r>
    </w:p>
    <w:p>
      <w:pPr>
        <w:spacing w:after="0" w:line="177"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spacing w:after="0" w:line="177" w:lineRule="exact"/>
        <w:rPr>
          <w:sz w:val="20"/>
          <w:szCs w:val="20"/>
          <w:color w:val="auto"/>
        </w:rPr>
      </w:pPr>
    </w:p>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spacing w:after="0" w:line="182"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competitors or other third parties may incorporate AI Technologies into their products more quickly or more successfully than us, which could impair our ability to compete effectively.</w:t>
      </w:r>
    </w:p>
    <w:p>
      <w:pPr>
        <w:spacing w:after="0" w:line="163"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We incorporate LLMs (i.e., AI models that can produce and output new data and information) into certain of our products and services.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spacing w:after="0" w:line="18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2" w:name="page43"/>
    <w:bookmarkEnd w:id="42"/>
    <w:p>
      <w:pPr>
        <w:ind w:right="180"/>
        <w:spacing w:after="0" w:line="265" w:lineRule="auto"/>
        <w:rPr>
          <w:sz w:val="20"/>
          <w:szCs w:val="20"/>
          <w:color w:val="auto"/>
        </w:rPr>
      </w:pPr>
      <w:r>
        <w:rPr>
          <w:rFonts w:ascii="Times New Roman" w:cs="Times New Roman" w:eastAsia="Times New Roman" w:hAnsi="Times New Roman"/>
          <w:sz w:val="18"/>
          <w:szCs w:val="18"/>
          <w:color w:val="auto"/>
        </w:rPr>
        <w:t>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responsible use of our technologies, including AI Technologies in our offerings, may result in reputational or financial harm and liability.</w:t>
      </w:r>
    </w:p>
    <w:p>
      <w:pPr>
        <w:spacing w:after="0" w:line="26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Concerns relating to the responsible use of new and evolving technologies, such as AI Technologies, in our products and services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50"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color w:val="auto"/>
        </w:rPr>
        <w:t>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As a result of these factors, in April 2023, we approved a restructuring plan that reduced our global workforce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3" w:name="page44"/>
    <w:bookmarkEnd w:id="43"/>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pandemics or similar outbreaks, have had, and could in the future have, an adverse impact on our business and operations, and the markets and communities in which we, our partners, and customers operate, and the impact of any public health crisis is difficult to assess or predict.</w:t>
      </w:r>
    </w:p>
    <w:p>
      <w:pPr>
        <w:spacing w:after="0" w:line="66"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Our business and operations, and the businesses and operations of our partners and customers, have been, and could in the future be, adversely impacted by public health crises. For example, public health measures implemented to control COVID-19’s spread and severity substantially curtailed the movement of people, goods, and services worldwide, including in regions where we and our partners and customers operate, and significantly impacted economic activity and financial markets. While we have developed, and continue to develop, strategies to help mitigate the negative effects of potential public health crises on our business and operations, such efforts may prove to be insufficient. The duration and extent of the impact of any public health crises cannot be accurately assessed or predicted at this time, and could adversely impact our business, financial condition, and results of operations.</w:t>
      </w:r>
    </w:p>
    <w:p>
      <w:pPr>
        <w:spacing w:after="0" w:line="2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66"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w:t>
      </w:r>
    </w:p>
    <w:p>
      <w:pPr>
        <w:spacing w:after="0" w:line="187"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4" w:name="page45"/>
    <w:bookmarkEnd w:id="44"/>
    <w:p>
      <w:pPr>
        <w:ind w:right="180"/>
        <w:spacing w:after="0" w:line="254" w:lineRule="auto"/>
        <w:rPr>
          <w:sz w:val="20"/>
          <w:szCs w:val="20"/>
          <w:color w:val="auto"/>
        </w:rPr>
      </w:pPr>
      <w:r>
        <w:rPr>
          <w:rFonts w:ascii="Times New Roman" w:cs="Times New Roman" w:eastAsia="Times New Roman" w:hAnsi="Times New Roman"/>
          <w:sz w:val="18"/>
          <w:szCs w:val="18"/>
          <w:color w:val="auto"/>
        </w:rPr>
        <w:t>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8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w:t>
      </w:r>
    </w:p>
    <w:p>
      <w:pPr>
        <w:spacing w:after="0" w:line="30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94"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45" w:name="page46"/>
    <w:bookmarkEnd w:id="45"/>
    <w:p>
      <w:pPr>
        <w:spacing w:after="0" w:line="265" w:lineRule="auto"/>
        <w:rPr>
          <w:sz w:val="20"/>
          <w:szCs w:val="20"/>
          <w:color w:val="auto"/>
        </w:rPr>
      </w:pPr>
      <w:r>
        <w:rPr>
          <w:rFonts w:ascii="Times New Roman" w:cs="Times New Roman" w:eastAsia="Times New Roman" w:hAnsi="Times New Roman"/>
          <w:sz w:val="18"/>
          <w:szCs w:val="18"/>
          <w:color w:val="auto"/>
        </w:rPr>
        <w:t>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7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86"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our platform could materially adversely affect our business and growth prospects.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5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Digital Analytics Platform could result in customer dissatisfaction and materially adversely affect our business, financial condition, and results of operations.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if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8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66"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6" w:name="page47"/>
    <w:bookmarkEnd w:id="46"/>
    <w:p>
      <w:pPr>
        <w:ind w:right="60"/>
        <w:spacing w:after="0" w:line="256" w:lineRule="auto"/>
        <w:rPr>
          <w:sz w:val="20"/>
          <w:szCs w:val="20"/>
          <w:color w:val="auto"/>
        </w:rPr>
      </w:pPr>
      <w:r>
        <w:rPr>
          <w:rFonts w:ascii="Times New Roman" w:cs="Times New Roman" w:eastAsia="Times New Roman" w:hAnsi="Times New Roman"/>
          <w:sz w:val="18"/>
          <w:szCs w:val="18"/>
          <w:color w:val="auto"/>
        </w:rPr>
        <w:t>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5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9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7" w:name="page48"/>
    <w:bookmarkEnd w:id="47"/>
    <w:p>
      <w:pPr>
        <w:ind w:right="60"/>
        <w:spacing w:after="0" w:line="260" w:lineRule="auto"/>
        <w:rPr>
          <w:sz w:val="20"/>
          <w:szCs w:val="20"/>
          <w:color w:val="auto"/>
        </w:rPr>
      </w:pPr>
      <w:r>
        <w:rPr>
          <w:rFonts w:ascii="Times New Roman" w:cs="Times New Roman" w:eastAsia="Times New Roman" w:hAnsi="Times New Roman"/>
          <w:sz w:val="18"/>
          <w:szCs w:val="18"/>
          <w:color w:val="auto"/>
        </w:rPr>
        <w:t>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w:t>
      </w:r>
    </w:p>
    <w:p>
      <w:pPr>
        <w:spacing w:after="0" w:line="28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strategies are not effective in attracting new customers and retaining existing customers, our business and ability to grow our revenues would be harmed.</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8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5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enhance our brand, our business, financial condition, and results of operations may be materially adversely affected.</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the market perception of our Digital Analytics Platform may be significantly influenced by these reviews. If these reviews are negative, or less positive as compared to</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8" w:name="page49"/>
    <w:bookmarkEnd w:id="48"/>
    <w:p>
      <w:pPr>
        <w:ind w:right="680"/>
        <w:spacing w:after="0" w:line="281" w:lineRule="auto"/>
        <w:rPr>
          <w:sz w:val="20"/>
          <w:szCs w:val="20"/>
          <w:color w:val="auto"/>
        </w:rPr>
      </w:pPr>
      <w:r>
        <w:rPr>
          <w:rFonts w:ascii="Times New Roman" w:cs="Times New Roman" w:eastAsia="Times New Roman" w:hAnsi="Times New Roman"/>
          <w:sz w:val="18"/>
          <w:szCs w:val="18"/>
          <w:color w:val="auto"/>
        </w:rPr>
        <w:t>those of our competitors’ products and services, our brand may be adversely affected. It may also be difficult to maintain and enhance our brand in connection with sales through channel or strategic partners.</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international in scope, and we plan further geographic expansion, creating a variety of operational challenges.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and the nine months ended September 30, 2024 and 2023, 39%, 40%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public cloud adoption by international businesses;</w:t>
      </w:r>
    </w:p>
    <w:p>
      <w:pPr>
        <w:spacing w:after="0" w:line="116"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Digital Analytics Platform for specific countries;</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enforcing contracts, collecting accounts receivable, or satisfying revenue recognition criteria, especially in emerging markets;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and more stringent regulations relating to privacy and data security and the unauthorized use of, or access to, commercial and personal information, particularly in Europe;</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9"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6"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social or macroeconomic events, including the war in Ukraine, the conflict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9" w:name="page50"/>
    <w:bookmarkEnd w:id="49"/>
    <w:p>
      <w:pPr>
        <w:ind w:left="1020" w:right="6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or preferences for domestic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features and functionality;</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3"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 could materially adversely affect our business, results of operations, and financial condition.</w:t>
      </w:r>
    </w:p>
    <w:p>
      <w:pPr>
        <w:spacing w:after="0" w:line="12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182" w:lineRule="exact"/>
        <w:rPr>
          <w:sz w:val="20"/>
          <w:szCs w:val="20"/>
          <w:color w:val="auto"/>
        </w:rPr>
      </w:pPr>
    </w:p>
    <w:p>
      <w:pPr>
        <w:jc w:val="both"/>
        <w:ind w:firstLine="509"/>
        <w:spacing w:after="0" w:line="288" w:lineRule="auto"/>
        <w:rPr>
          <w:sz w:val="20"/>
          <w:szCs w:val="20"/>
          <w:color w:val="auto"/>
        </w:rPr>
      </w:pPr>
      <w:r>
        <w:rPr>
          <w:rFonts w:ascii="Times New Roman" w:cs="Times New Roman" w:eastAsia="Times New Roman" w:hAnsi="Times New Roman"/>
          <w:sz w:val="17"/>
          <w:szCs w:val="17"/>
          <w:color w:val="auto"/>
        </w:rPr>
        <w:t>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and expect to continue for some time to derive, substantially all of our revenue from our Amplitude Analytics product.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have released our Amplitude CDP, Amplitude Experiment, Amplitude Session Replay, and Warehouse Native Amplitude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66"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and the nine months ended September 30, 2024 and 2023, our research and development expenses were 33%, 29%, and 33% of our revenue, respectively. If we do not spend our research and development budget efficiently</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jc w:val="both"/>
        <w:ind w:right="260"/>
        <w:spacing w:after="0" w:line="272" w:lineRule="auto"/>
        <w:rPr>
          <w:sz w:val="20"/>
          <w:szCs w:val="20"/>
          <w:color w:val="auto"/>
        </w:rPr>
      </w:pPr>
      <w:r>
        <w:rPr>
          <w:rFonts w:ascii="Times New Roman" w:cs="Times New Roman" w:eastAsia="Times New Roman" w:hAnsi="Times New Roman"/>
          <w:sz w:val="17"/>
          <w:szCs w:val="17"/>
          <w:color w:val="auto"/>
        </w:rPr>
        <w:t>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w:t>
      </w:r>
    </w:p>
    <w:p>
      <w:pPr>
        <w:spacing w:after="0" w:line="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agree to indemnify customers and other third parties, which exposes us to substantial potential liability.</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our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50"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74" w:lineRule="exact"/>
        <w:rPr>
          <w:sz w:val="20"/>
          <w:szCs w:val="20"/>
          <w:color w:val="auto"/>
        </w:rPr>
      </w:pPr>
    </w:p>
    <w:p>
      <w:pPr>
        <w:ind w:left="1020" w:right="12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and evolution of, legal standards relating to the validity, enforceability, and scope of protection of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invalidation of our intellectual property rights through administrative processes or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by us to detect infringement or other misappropriation of our intellectual property rights by third parties;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practical, resource, or business limitations on our ability to enforce our rights.</w:t>
      </w:r>
    </w:p>
    <w:p>
      <w:pPr>
        <w:spacing w:after="0" w:line="22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1" w:name="page52"/>
    <w:bookmarkEnd w:id="51"/>
    <w:p>
      <w:pPr>
        <w:ind w:right="140"/>
        <w:spacing w:after="0" w:line="265" w:lineRule="auto"/>
        <w:rPr>
          <w:sz w:val="20"/>
          <w:szCs w:val="20"/>
          <w:color w:val="auto"/>
        </w:rPr>
      </w:pPr>
      <w:r>
        <w:rPr>
          <w:rFonts w:ascii="Times New Roman" w:cs="Times New Roman" w:eastAsia="Times New Roman" w:hAnsi="Times New Roman"/>
          <w:sz w:val="18"/>
          <w:szCs w:val="18"/>
          <w:color w:val="auto"/>
        </w:rPr>
        <w:t>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77"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intellectual property litigation to which we become a party may require us to do one or more of the following:</w:t>
      </w:r>
    </w:p>
    <w:p>
      <w:pPr>
        <w:spacing w:after="0" w:line="117" w:lineRule="exact"/>
        <w:rPr>
          <w:sz w:val="20"/>
          <w:szCs w:val="20"/>
          <w:color w:val="auto"/>
        </w:rPr>
      </w:pPr>
    </w:p>
    <w:p>
      <w:pPr>
        <w:ind w:left="1020" w:right="108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or using products or features that incorporate the intellectual property rights that we allegedly infringe, misappropriate, or violate;</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subscription fee refunds, or other costs or damages, including indemnification of third parties;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54"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89"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platform and subject us to possible litigation.</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control, economic sanctions, and trade sanctions, and anti-corruption laws and regulations, which may expose us to liability and increase our costs.</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8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53" w:name="page54"/>
    <w:bookmarkEnd w:id="53"/>
    <w:p>
      <w:pPr>
        <w:ind w:right="500"/>
        <w:spacing w:after="0" w:line="281" w:lineRule="auto"/>
        <w:rPr>
          <w:sz w:val="20"/>
          <w:szCs w:val="20"/>
          <w:color w:val="auto"/>
        </w:rPr>
      </w:pPr>
      <w:r>
        <w:rPr>
          <w:rFonts w:ascii="Times New Roman" w:cs="Times New Roman" w:eastAsia="Times New Roman" w:hAnsi="Times New Roman"/>
          <w:sz w:val="18"/>
          <w:szCs w:val="18"/>
          <w:color w:val="auto"/>
        </w:rPr>
        <w:t>complaints, adverse media coverage, and investigations, any of which could have a material adverse effect on our reputation, business,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50"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55" w:lineRule="exact"/>
        <w:rPr>
          <w:sz w:val="20"/>
          <w:szCs w:val="20"/>
          <w:color w:val="auto"/>
        </w:rPr>
      </w:pPr>
    </w:p>
    <w:p>
      <w:pPr>
        <w:ind w:left="1020" w:right="4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financial institutions (and their subsequent removal from the Society for Worldwide Interbank Financial Telecommunication payment system);</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involvement in Russian military activities;</w:t>
      </w:r>
    </w:p>
    <w:p>
      <w:pPr>
        <w:spacing w:after="0" w:line="54"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certain Russian businessmen and their businesses, some of which have significant financial and trade ties to the European Union;</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various sectors of the Russian and Belarusian economies and the defense sector;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sanctions introducing restrictions on providing loans to, and dealing in securities issued by, persons connected with Russia;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 as well as prohibitions on aircraft leasing operations;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spacing w:after="0" w:line="69" w:lineRule="exact"/>
        <w:rPr>
          <w:rFonts w:ascii="Times New Roman" w:cs="Times New Roman" w:eastAsia="Times New Roman" w:hAnsi="Times New Roman"/>
          <w:sz w:val="18"/>
          <w:szCs w:val="18"/>
          <w:color w:val="auto"/>
        </w:rPr>
      </w:pPr>
    </w:p>
    <w:p>
      <w:pPr>
        <w:ind w:left="1020" w:hanging="504"/>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7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airspace to Russian aircraft;</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oil, liquefied natural gas, and coal to the United States and on “new investment” in Russia’s energy sector (often with similar bans being enacted in the United Kingdom and the European Union);</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54" w:name="page55"/>
    <w:bookmarkEnd w:id="54"/>
    <w:p>
      <w:pPr>
        <w:ind w:left="1020" w:right="46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fish, seafood, and preparations thereof, alcoholic beverages, non-industrial diamonds, and gold to the United States;</w:t>
      </w:r>
    </w:p>
    <w:p>
      <w:pPr>
        <w:spacing w:after="0" w:line="54"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 on “new investment” in the Russian Federation by a U.S. person, which may be interpreted broadly (with a similar prohibition also enacted by the United Kingdom);</w:t>
      </w:r>
    </w:p>
    <w:p>
      <w:pPr>
        <w:spacing w:after="0" w:line="54"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certain professional services, including accounting, trust and corporate formation, auditing, and management consulting services, and information technology and software services, among others;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services related to the worldwide maritime transportation of seaborne Russian oil, if purchased above a specific price cap.</w:t>
      </w:r>
    </w:p>
    <w:p>
      <w:pPr>
        <w:spacing w:after="0" w:line="1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 As a result, we have experienced a decrease in revenue since September 12, 2024 as well as additional bad debts due to changes in our ability to collect open receivables from customers that have had service disruptions caused by this determination.</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spacing w:after="0" w:line="293"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5" w:name="page56"/>
    <w:bookmarkEnd w:id="55"/>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w:t>
      </w:r>
    </w:p>
    <w:p>
      <w:pPr>
        <w:spacing w:after="0" w:line="19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spacing w:after="0" w:line="186"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spacing w:after="0" w:line="19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56" w:name="page57"/>
    <w:bookmarkEnd w:id="56"/>
    <w:p>
      <w:pPr>
        <w:spacing w:after="0" w:line="312" w:lineRule="auto"/>
        <w:rPr>
          <w:sz w:val="20"/>
          <w:szCs w:val="20"/>
          <w:color w:val="auto"/>
        </w:rPr>
      </w:pPr>
      <w:r>
        <w:rPr>
          <w:rFonts w:ascii="Times New Roman" w:cs="Times New Roman" w:eastAsia="Times New Roman" w:hAnsi="Times New Roman"/>
          <w:sz w:val="17"/>
          <w:szCs w:val="17"/>
          <w:color w:val="auto"/>
        </w:rPr>
        <w:t>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3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 and Accounting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94"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57" w:name="page58"/>
    <w:bookmarkEnd w:id="57"/>
    <w:p>
      <w:pPr>
        <w:ind w:right="60"/>
        <w:spacing w:after="0" w:line="260" w:lineRule="auto"/>
        <w:rPr>
          <w:sz w:val="20"/>
          <w:szCs w:val="20"/>
          <w:color w:val="auto"/>
        </w:rPr>
      </w:pPr>
      <w:r>
        <w:rPr>
          <w:rFonts w:ascii="Times New Roman" w:cs="Times New Roman" w:eastAsia="Times New Roman" w:hAnsi="Times New Roman"/>
          <w:sz w:val="18"/>
          <w:szCs w:val="18"/>
          <w:color w:val="auto"/>
        </w:rPr>
        <w:t>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2023 and have determined that none of our NOLs generated through December 31, 2023 will expire solely due to Section 382 limitations caused by ownership changes prior to December 31, 2023. However, we may have experienced ownership changes after December 31, 2023,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 material adverse effect on our results of operations.</w:t>
      </w:r>
    </w:p>
    <w:p>
      <w:pPr>
        <w:spacing w:after="0" w:line="121"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Tax Cuts and Jobs Act, the CARES Act, and the Inflation Reduction Act;</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developments could materially adversely affect our results of operations.</w:t>
      </w:r>
    </w:p>
    <w:p>
      <w:pPr>
        <w:spacing w:after="0" w:line="225"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8" w:name="page59"/>
    <w:bookmarkEnd w:id="58"/>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5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has been, and in the future, may be, volatile, and could decline significantly and rapidly.</w:t>
      </w:r>
    </w:p>
    <w:p>
      <w:pPr>
        <w:spacing w:after="0" w:line="12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55"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results of operations, or operating metrics and those of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 or our failure to meet these projections;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senior management, or key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made available for trading;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economic slowdowns, recessions, inflationary pressures, rising interest rates, financial market fluctuations, and reduced credit availability;</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armed conflicts (including those in Ukraine and the Middle East), incidents of terrorism, pandemics, elections, or responses to these events; and</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investors or securities analysts view our stock structure unfavorably, particularly our dual class structure and the concentrated voting control of our executive officers, directors, and their affiliates.</w:t>
      </w:r>
    </w:p>
    <w:p>
      <w:pPr>
        <w:spacing w:after="0" w:line="16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influence the outcome of director elections and other matters requiring stockholder approval.</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0" w:name="page61"/>
    <w:bookmarkEnd w:id="60"/>
    <w:p>
      <w:pPr>
        <w:ind w:right="160"/>
        <w:spacing w:after="0" w:line="281" w:lineRule="auto"/>
        <w:rPr>
          <w:sz w:val="20"/>
          <w:szCs w:val="20"/>
          <w:color w:val="auto"/>
        </w:rPr>
      </w:pPr>
      <w:r>
        <w:rPr>
          <w:rFonts w:ascii="Times New Roman" w:cs="Times New Roman" w:eastAsia="Times New Roman" w:hAnsi="Times New Roman"/>
          <w:sz w:val="18"/>
          <w:szCs w:val="18"/>
          <w:color w:val="auto"/>
        </w:rPr>
        <w:t>the ability of other stockholders to influence corporate matters and may cause us to make strategic decisions that could be adverse to the interests of other stockholders.</w:t>
      </w:r>
    </w:p>
    <w:p>
      <w:pPr>
        <w:spacing w:after="0" w:line="26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2"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any future issuances of Class B common stock would be dilutive to holders of Class A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trading price of our Class A common stock.</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66"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our securityholders are subject to any contractual lock-up or other contractual restriction on the transfer or sale of their shares.</w:t>
      </w:r>
    </w:p>
    <w:p>
      <w:pPr>
        <w:spacing w:after="0" w:line="22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2"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In addition, we have filed registration statements to register all shares subject to options and restricted stock units (“RSU”) outstanding or reserved for future issuance under our equity compensation plans. As of September 30, 2024, we had options</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1" w:name="page62"/>
    <w:bookmarkEnd w:id="61"/>
    <w:p>
      <w:pPr>
        <w:ind w:right="300"/>
        <w:spacing w:after="0" w:line="281" w:lineRule="auto"/>
        <w:rPr>
          <w:sz w:val="20"/>
          <w:szCs w:val="20"/>
          <w:color w:val="auto"/>
        </w:rPr>
      </w:pPr>
      <w:r>
        <w:rPr>
          <w:rFonts w:ascii="Times New Roman" w:cs="Times New Roman" w:eastAsia="Times New Roman" w:hAnsi="Times New Roman"/>
          <w:sz w:val="18"/>
          <w:szCs w:val="18"/>
          <w:color w:val="auto"/>
        </w:rPr>
        <w:t>outstanding that, if fully exercised, would result in the issuance of 11,746,402 shares of Class A common stock, as well as 12,958,603 shares of Class A common stock subject to RSUs.</w:t>
      </w:r>
    </w:p>
    <w:p>
      <w:pPr>
        <w:spacing w:after="0" w:line="163"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Accordingly, these shares will be able to be freely sold in the public market upon issuance, subject to applicable vesting requirements and compliance by affiliates with Rule 144.</w:t>
      </w:r>
    </w:p>
    <w:p>
      <w:pPr>
        <w:spacing w:after="0" w:line="16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50"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7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50"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50"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5" w:lineRule="exact"/>
        <w:rPr>
          <w:sz w:val="20"/>
          <w:szCs w:val="20"/>
          <w:color w:val="auto"/>
        </w:rPr>
      </w:pPr>
    </w:p>
    <w:p>
      <w:pPr>
        <w:ind w:left="1020" w:right="4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3"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2" w:name="page63"/>
    <w:bookmarkEnd w:id="62"/>
    <w:p>
      <w:pPr>
        <w:ind w:right="260"/>
        <w:spacing w:after="0" w:line="256" w:lineRule="auto"/>
        <w:rPr>
          <w:sz w:val="20"/>
          <w:szCs w:val="20"/>
          <w:color w:val="auto"/>
        </w:rPr>
      </w:pPr>
      <w:r>
        <w:rPr>
          <w:rFonts w:ascii="Times New Roman" w:cs="Times New Roman" w:eastAsia="Times New Roman" w:hAnsi="Times New Roman"/>
          <w:sz w:val="18"/>
          <w:szCs w:val="18"/>
          <w:color w:val="auto"/>
        </w:rPr>
        <w:t>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63" w:lineRule="exact"/>
        <w:rPr>
          <w:sz w:val="20"/>
          <w:szCs w:val="20"/>
          <w:color w:val="auto"/>
        </w:rPr>
      </w:pPr>
    </w:p>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55" w:lineRule="exact"/>
        <w:rPr>
          <w:sz w:val="20"/>
          <w:szCs w:val="20"/>
          <w:color w:val="auto"/>
        </w:rPr>
      </w:pPr>
    </w:p>
    <w:p>
      <w:pPr>
        <w:ind w:left="1020" w:right="60" w:hanging="504"/>
        <w:spacing w:after="0" w:line="260"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6" w:lineRule="exact"/>
        <w:rPr>
          <w:rFonts w:ascii="Times New Roman" w:cs="Times New Roman" w:eastAsia="Times New Roman" w:hAnsi="Times New Roman"/>
          <w:sz w:val="18"/>
          <w:szCs w:val="18"/>
          <w:color w:val="auto"/>
        </w:rPr>
      </w:pPr>
    </w:p>
    <w:p>
      <w:pPr>
        <w:jc w:val="both"/>
        <w:ind w:left="1020" w:right="180" w:hanging="504"/>
        <w:spacing w:after="0" w:line="312"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24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bylaws to reduce our indemnification obligations to directors, officers, employees, and agents.</w:t>
      </w:r>
    </w:p>
    <w:p>
      <w:pPr>
        <w:spacing w:after="0" w:line="163" w:lineRule="exact"/>
        <w:rPr>
          <w:sz w:val="20"/>
          <w:szCs w:val="20"/>
          <w:color w:val="auto"/>
        </w:rPr>
      </w:pPr>
    </w:p>
    <w:p>
      <w:pPr>
        <w:jc w:val="both"/>
        <w:ind w:right="380" w:firstLine="509"/>
        <w:spacing w:after="0" w:line="312" w:lineRule="auto"/>
        <w:rPr>
          <w:sz w:val="20"/>
          <w:szCs w:val="20"/>
          <w:color w:val="auto"/>
        </w:rPr>
      </w:pPr>
      <w:r>
        <w:rPr>
          <w:rFonts w:ascii="Times New Roman" w:cs="Times New Roman" w:eastAsia="Times New Roman" w:hAnsi="Times New Roman"/>
          <w:sz w:val="17"/>
          <w:szCs w:val="17"/>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63" w:name="page64"/>
    <w:bookmarkEnd w:id="63"/>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6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attract and retain highly skilled employees could materially adversely affect our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spacing w:after="0" w:line="18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p>
    <w:p>
      <w:pPr>
        <w:spacing w:after="0" w:line="2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50"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64" w:name="page65"/>
    <w:bookmarkEnd w:id="64"/>
    <w:p>
      <w:pPr>
        <w:ind w:right="20"/>
        <w:spacing w:after="0" w:line="256" w:lineRule="auto"/>
        <w:rPr>
          <w:sz w:val="20"/>
          <w:szCs w:val="20"/>
          <w:color w:val="auto"/>
        </w:rPr>
      </w:pPr>
      <w:r>
        <w:rPr>
          <w:rFonts w:ascii="Times New Roman" w:cs="Times New Roman" w:eastAsia="Times New Roman" w:hAnsi="Times New Roman"/>
          <w:sz w:val="18"/>
          <w:szCs w:val="18"/>
          <w:color w:val="auto"/>
        </w:rPr>
        <w:t>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business, regulatory, or political climate in the San Francisco Bay Area could adversely affect our operations.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Digital Analytics Platform, and could harm our business.</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p>
    <w:p>
      <w:pPr>
        <w:spacing w:after="0" w:line="289"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occurrences and similar events.</w:t>
      </w:r>
    </w:p>
    <w:p>
      <w:pPr>
        <w:spacing w:after="0" w:line="12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63"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69" w:lineRule="exact"/>
        <w:rPr>
          <w:sz w:val="20"/>
          <w:szCs w:val="20"/>
          <w:color w:val="auto"/>
        </w:rPr>
      </w:pPr>
    </w:p>
    <w:p>
      <w:pPr>
        <w:jc w:val="both"/>
        <w:ind w:right="800" w:firstLine="509"/>
        <w:spacing w:after="0" w:line="265"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8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5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2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50"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7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p>
    <w:p>
      <w:pPr>
        <w:spacing w:after="0" w:line="6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66" w:name="page67"/>
    <w:bookmarkEnd w:id="66"/>
    <w:p>
      <w:pPr>
        <w:ind w:right="240"/>
        <w:spacing w:after="0" w:line="260" w:lineRule="auto"/>
        <w:rPr>
          <w:sz w:val="20"/>
          <w:szCs w:val="20"/>
          <w:color w:val="auto"/>
        </w:rPr>
      </w:pPr>
      <w:r>
        <w:rPr>
          <w:rFonts w:ascii="Times New Roman" w:cs="Times New Roman" w:eastAsia="Times New Roman" w:hAnsi="Times New Roman"/>
          <w:sz w:val="18"/>
          <w:szCs w:val="18"/>
          <w:color w:val="auto"/>
        </w:rPr>
        <w:t>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On October 15, 2024, we entered into an agreement to acquire all the capital stock of Foobar, Inc. (the “Acquiree”), pursuant to which we issued 2,219,029 shares (the “Acquisition Shares”) of our common stock to certain equityholders of Acquiree representing a portion of the consideration for such acquisition. We issued the Acquisition Shares in reliance on an exemption from registration provided for under Section 4(a)(2) of the Securities Act and/or Rule 506 of Regulation D promulgated thereunder. We relied on this exemption from registration based in part on the representations made by the equityholders.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Plan</w:t>
      </w:r>
    </w:p>
    <w:p>
      <w:pPr>
        <w:spacing w:after="0" w:line="121"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On November 5, 2024, the Compensation Committee of the Company’s board of directors adopted the Amplitude, Inc. Executive Severance Plan (the “Severance Plan”), covering eligible executives (each a “Participant”). The Severance Plan supersedes and replaces in its entirety the severance benefits that each named executive officer is eligible to receive under their current employment agreement, and each named executive officer delivered a signed participation agreement agreeing to the waiver of any severance benefits under their existing employment agreements.</w:t>
      </w:r>
    </w:p>
    <w:p>
      <w:pPr>
        <w:spacing w:after="0" w:line="7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Pursuant to the Severance Plan, if a Participant’s employment with the Company is terminated without Cause or the Participant resigns for Good Reason (as each is defined in the Severance Plan), the Participant will be entitled to receive: (i) a cash payment equal to six months base salary and any prorated bonus earned through to the termination and (ii) payment or reimbursement of the cost of continued healthcare coverage for up to six months. In lieu of the foregoing benefits, if the Participant’s employment with the Company is terminated without Cause or the Participant resigns for Good Reason during the period commencing three months prior to, and ending 12 months following, the closing of a Change in Control (as defined in the Amplitude, Inc. 2021 Incentive Award Plan), the Participant will be entitled to receive: (i) a cash payment equal to 12 months base salary plus 100% of the Participant’s target annual bonus, (ii) payment or reimbursement of the cost of continued healthcare coverage for up to 12 months, and (iii) full accelerated vesting of any of the Participant’s unvested equity awards (except for any performance awards, which shall be governed by the terms of the applicable award agreement).</w:t>
      </w:r>
    </w:p>
    <w:p>
      <w:pPr>
        <w:spacing w:after="0" w:line="78"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The foregoing description is only a summary and is qualified in its entirety by reference to the full text of the Severance Plan, a copy of which is filed as Exhibit 10.2 to this Form 10-Q and incorporated herein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On November 5, 2024, the Compensation Committee of the Company’s board of directors adopted the Amplitude, Inc. Employment Agreement (the “Employment Agreement”). The Employment Agreement is substantially similar to the previously filed form employment agreement for each of the Company’s named executive officers, except that such employment agreement no longer provides for the provision of severance benefits and instead any new executive officer who enters into the Employment Agreement will be an eligible participant under the Severance Plan. The foregoing description is only a summary and is qualified in its entirety by reference to the full text of the form of Employment Agreement, a copy of which is filed as Exhibit 10.3 to this Form 10-Q and incorporated herein by reference.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 of Section 16 Reporting Persons</w:t>
      </w:r>
    </w:p>
    <w:p>
      <w:pPr>
        <w:spacing w:after="0" w:line="121" w:lineRule="exact"/>
        <w:rPr>
          <w:sz w:val="20"/>
          <w:szCs w:val="20"/>
          <w:color w:val="auto"/>
        </w:rPr>
      </w:pPr>
    </w:p>
    <w:p>
      <w:pPr>
        <w:ind w:right="900" w:firstLine="509"/>
        <w:spacing w:after="0" w:line="281"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4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   Filed Herewith</w:t>
            </w:r>
          </w:p>
        </w:tc>
      </w:tr>
      <w:tr>
        <w:trPr>
          <w:trHeight w:val="188"/>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40" w:type="dxa"/>
            <w:vAlign w:val="bottom"/>
            <w:gridSpan w:val="14"/>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Restated Certificate of Incorporation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6/12/2024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40" w:type="dxa"/>
            <w:vAlign w:val="bottom"/>
            <w:gridSpan w:val="14"/>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Amended and Restated Bylaws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40" w:type="dxa"/>
            <w:vAlign w:val="bottom"/>
            <w:gridSpan w:val="14"/>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Specimen Stock Certificate evidencing the shares of Class A Common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8/30/2021</w:t>
            </w:r>
          </w:p>
        </w:tc>
      </w:tr>
      <w:tr>
        <w:trPr>
          <w:trHeight w:val="20"/>
        </w:trPr>
        <w:tc>
          <w:tcPr>
            <w:tcW w:w="10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40" w:type="dxa"/>
            <w:vAlign w:val="bottom"/>
            <w:gridSpan w:val="14"/>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Specimen Stock Certificate evidencing the shares of Class B Common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333-259698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240" w:type="dxa"/>
            <w:vAlign w:val="bottom"/>
            <w:gridSpan w:val="14"/>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Amended and Restated Investors’ Rights Agreement, dated as of May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8/30/2021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28, 2021, as amended, by and among the Registrant and certain of its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stockholders.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Amended Non-Employee Director Compensation Program</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Severance Plan</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Employment Agreement between the Registrant and each of its</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executive officers</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7"/>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7"/>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7"/>
            <w:shd w:val="clear" w:color="auto" w:fill="0000FF"/>
          </w:tcPr>
          <w:p>
            <w:pPr>
              <w:spacing w:after="0" w:line="20" w:lineRule="exact"/>
              <w:rPr>
                <w:sz w:val="1"/>
                <w:szCs w:val="1"/>
                <w:color w:val="auto"/>
              </w:rPr>
            </w:pPr>
          </w:p>
        </w:tc>
        <w:tc>
          <w:tcPr>
            <w:tcW w:w="540" w:type="dxa"/>
            <w:vAlign w:val="bottom"/>
            <w:tcBorders>
              <w:left w:val="single" w:sz="8" w:color="0000FF"/>
            </w:tcBorders>
            <w:gridSpan w:val="5"/>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4700" w:type="dxa"/>
            <w:vAlign w:val="bottom"/>
            <w:gridSpan w:val="9"/>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240" w:type="dxa"/>
            <w:vAlign w:val="bottom"/>
            <w:gridSpan w:val="1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434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18"/>
                <w:szCs w:val="18"/>
                <w:color w:val="auto"/>
              </w:rPr>
            </w:pP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1040" w:type="dxa"/>
            <w:vAlign w:val="bottom"/>
          </w:tcPr>
          <w:p>
            <w:pPr>
              <w:spacing w:after="0"/>
              <w:rPr>
                <w:sz w:val="19"/>
                <w:szCs w:val="19"/>
                <w:color w:val="auto"/>
              </w:rPr>
            </w:pP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40" w:type="dxa"/>
            <w:vAlign w:val="bottom"/>
          </w:tcPr>
          <w:p>
            <w:pPr>
              <w:spacing w:after="0"/>
              <w:rPr>
                <w:sz w:val="19"/>
                <w:szCs w:val="19"/>
                <w:color w:val="auto"/>
              </w:rPr>
            </w:pP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Documents</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40" w:type="dxa"/>
            <w:vAlign w:val="bottom"/>
          </w:tcPr>
          <w:p>
            <w:pPr>
              <w:spacing w:after="0"/>
              <w:rPr>
                <w:sz w:val="20"/>
                <w:szCs w:val="20"/>
                <w:color w:val="auto"/>
              </w:rPr>
            </w:pPr>
          </w:p>
        </w:tc>
        <w:tc>
          <w:tcPr>
            <w:tcW w:w="52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31" w:lineRule="exact"/>
        <w:rPr>
          <w:sz w:val="20"/>
          <w:szCs w:val="20"/>
          <w:color w:val="auto"/>
        </w:rPr>
      </w:pPr>
    </w:p>
    <w:p>
      <w:pPr>
        <w:jc w:val="both"/>
        <w:ind w:right="20" w:firstLine="8"/>
        <w:spacing w:after="0" w:line="260" w:lineRule="auto"/>
        <w:tabs>
          <w:tab w:leader="none" w:pos="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Amplitude, Inc.</w:t>
            </w:r>
          </w:p>
        </w:tc>
      </w:tr>
      <w:tr>
        <w:trPr>
          <w:trHeight w:val="47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Spenser Skates</w:t>
            </w:r>
          </w:p>
        </w:tc>
      </w:tr>
      <w:tr>
        <w:trPr>
          <w:trHeight w:val="204"/>
        </w:trPr>
        <w:tc>
          <w:tcPr>
            <w:tcW w:w="3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2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Spenser Skates</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7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Andrew Casey</w:t>
            </w:r>
          </w:p>
        </w:tc>
      </w:tr>
      <w:tr>
        <w:trPr>
          <w:trHeight w:val="204"/>
        </w:trPr>
        <w:tc>
          <w:tcPr>
            <w:tcW w:w="3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22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Andrew Casey</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53"/>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c>
          <w:tcPr>
            <w:tcW w:w="5220" w:type="dxa"/>
            <w:vAlign w:val="bottom"/>
          </w:tcPr>
          <w:p>
            <w:pPr>
              <w:spacing w:after="0"/>
              <w:rPr>
                <w:sz w:val="24"/>
                <w:szCs w:val="24"/>
                <w:color w:val="auto"/>
              </w:rPr>
            </w:pPr>
          </w:p>
        </w:tc>
      </w:tr>
      <w:tr>
        <w:trPr>
          <w:trHeight w:val="762"/>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9" w:name="page70"/>
    <w:bookmarkEnd w:id="6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Amplitude,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Non-Employee Director Compensation Program (this “</w:t>
      </w:r>
      <w:r>
        <w:rPr>
          <w:rFonts w:ascii="Times New Roman" w:cs="Times New Roman" w:eastAsia="Times New Roman" w:hAnsi="Times New Roman"/>
          <w:sz w:val="18"/>
          <w:szCs w:val="18"/>
          <w:b w:val="1"/>
          <w:bCs w:val="1"/>
          <w:i w:val="1"/>
          <w:iCs w:val="1"/>
          <w:color w:val="auto"/>
        </w:rPr>
        <w:t>Program</w:t>
      </w:r>
      <w:r>
        <w:rPr>
          <w:rFonts w:ascii="Times New Roman" w:cs="Times New Roman" w:eastAsia="Times New Roman" w:hAnsi="Times New Roman"/>
          <w:sz w:val="18"/>
          <w:szCs w:val="18"/>
          <w:color w:val="auto"/>
        </w:rPr>
        <w:t>”) has been adopted under the Company’s 2021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shall be effective upon July 31,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Capitalized terms not otherwise defined herein shall have the meaning ascribed in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upon the Effective Date, annual retainers will be paid in the following amounts to Non-Employee Directors: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Board Service</w:t>
            </w:r>
          </w:p>
        </w:tc>
        <w:tc>
          <w:tcPr>
            <w:tcW w:w="18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r>
      <w:tr>
        <w:trPr>
          <w:trHeight w:val="220"/>
        </w:trPr>
        <w:tc>
          <w:tcPr>
            <w:tcW w:w="72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Non-Employee Director:</w:t>
            </w:r>
          </w:p>
        </w:tc>
        <w:tc>
          <w:tcPr>
            <w:tcW w:w="18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r>
      <w:tr>
        <w:trPr>
          <w:trHeight w:val="24"/>
        </w:trPr>
        <w:tc>
          <w:tcPr>
            <w:tcW w:w="7240" w:type="dxa"/>
            <w:vAlign w:val="bottom"/>
            <w:tcBorders>
              <w:left w:val="single" w:sz="8" w:color="auto"/>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445"/>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Additional Board Service</w:t>
            </w:r>
          </w:p>
        </w:tc>
        <w:tc>
          <w:tcPr>
            <w:tcW w:w="1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20"/>
        </w:trPr>
        <w:tc>
          <w:tcPr>
            <w:tcW w:w="72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44"/>
        </w:trPr>
        <w:tc>
          <w:tcPr>
            <w:tcW w:w="72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r>
      <w:tr>
        <w:trPr>
          <w:trHeight w:val="220"/>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Non-Executive Chair:</w:t>
            </w:r>
          </w:p>
        </w:tc>
        <w:tc>
          <w:tcPr>
            <w:tcW w:w="18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$22,500</w:t>
            </w:r>
          </w:p>
        </w:tc>
      </w:tr>
      <w:tr>
        <w:trPr>
          <w:trHeight w:val="27"/>
        </w:trPr>
        <w:tc>
          <w:tcPr>
            <w:tcW w:w="7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442"/>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Additional Committee Service</w:t>
            </w:r>
          </w:p>
        </w:tc>
        <w:tc>
          <w:tcPr>
            <w:tcW w:w="1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20"/>
        </w:trPr>
        <w:tc>
          <w:tcPr>
            <w:tcW w:w="72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Chair</w:t>
            </w:r>
          </w:p>
        </w:tc>
        <w:tc>
          <w:tcPr>
            <w:tcW w:w="1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Non-Chair</w:t>
            </w:r>
          </w:p>
        </w:tc>
      </w:tr>
      <w:tr>
        <w:trPr>
          <w:trHeight w:val="24"/>
        </w:trPr>
        <w:tc>
          <w:tcPr>
            <w:tcW w:w="72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gridSpan w:val="2"/>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60"/>
        </w:trPr>
        <w:tc>
          <w:tcPr>
            <w:tcW w:w="7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Committee Member</w:t>
            </w:r>
          </w:p>
        </w:tc>
        <w:tc>
          <w:tcPr>
            <w:tcW w:w="210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63"/>
        </w:trPr>
        <w:tc>
          <w:tcPr>
            <w:tcW w:w="7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10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r>
      <w:tr>
        <w:trPr>
          <w:trHeight w:val="263"/>
        </w:trPr>
        <w:tc>
          <w:tcPr>
            <w:tcW w:w="7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210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r>
        <w:trPr>
          <w:trHeight w:val="263"/>
        </w:trPr>
        <w:tc>
          <w:tcPr>
            <w:tcW w:w="7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Cybersecurity Committee Member</w:t>
            </w:r>
          </w:p>
        </w:tc>
        <w:tc>
          <w:tcPr>
            <w:tcW w:w="210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200" w:lineRule="exact"/>
        <w:rPr>
          <w:sz w:val="20"/>
          <w:szCs w:val="20"/>
          <w:color w:val="auto"/>
        </w:rPr>
      </w:pP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All annual retainers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Receive Restricted Stock Units (“RSUs”) In Lieu of Annual Retainers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Board or the Compensation Committee may, in its discretion, provide Non-Employee Directors</w:t>
            </w:r>
          </w:p>
        </w:tc>
      </w:tr>
      <w:tr>
        <w:trPr>
          <w:trHeight w:val="212"/>
        </w:trPr>
        <w:tc>
          <w:tcPr>
            <w:tcW w:w="2560" w:type="dxa"/>
            <w:vAlign w:val="bottom"/>
          </w:tcPr>
          <w:p>
            <w:pPr>
              <w:spacing w:after="0"/>
              <w:rPr>
                <w:sz w:val="18"/>
                <w:szCs w:val="18"/>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with the opportunity to elect to convert all or a portion of their annual retainers into awards of RSUs</w:t>
            </w:r>
          </w:p>
        </w:tc>
      </w:tr>
      <w:tr>
        <w:trPr>
          <w:trHeight w:val="220"/>
        </w:trPr>
        <w:tc>
          <w:tcPr>
            <w:tcW w:w="2560" w:type="dxa"/>
            <w:vAlign w:val="bottom"/>
          </w:tcPr>
          <w:p>
            <w:pPr>
              <w:spacing w:after="0"/>
              <w:rPr>
                <w:sz w:val="19"/>
                <w:szCs w:val="19"/>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Retainer RSU Awards</w:t>
            </w:r>
            <w:r>
              <w:rPr>
                <w:rFonts w:ascii="Times New Roman" w:cs="Times New Roman" w:eastAsia="Times New Roman" w:hAnsi="Times New Roman"/>
                <w:sz w:val="18"/>
                <w:szCs w:val="18"/>
                <w:color w:val="auto"/>
              </w:rPr>
              <w:t>”) granted under the Plan or any other applicable Company equity incentive</w:t>
            </w:r>
          </w:p>
        </w:tc>
      </w:tr>
      <w:tr>
        <w:trPr>
          <w:trHeight w:val="216"/>
        </w:trPr>
        <w:tc>
          <w:tcPr>
            <w:tcW w:w="2560" w:type="dxa"/>
            <w:vAlign w:val="bottom"/>
          </w:tcPr>
          <w:p>
            <w:pPr>
              <w:spacing w:after="0"/>
              <w:rPr>
                <w:sz w:val="18"/>
                <w:szCs w:val="18"/>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plan then-maintained by the Company, with each such Retainer RSU Award covering a number of</w:t>
            </w:r>
          </w:p>
        </w:tc>
      </w:tr>
      <w:tr>
        <w:trPr>
          <w:trHeight w:val="216"/>
        </w:trPr>
        <w:tc>
          <w:tcPr>
            <w:tcW w:w="2560" w:type="dxa"/>
            <w:vAlign w:val="bottom"/>
          </w:tcPr>
          <w:p>
            <w:pPr>
              <w:spacing w:after="0"/>
              <w:rPr>
                <w:sz w:val="18"/>
                <w:szCs w:val="18"/>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shares of Common Stock calculated by dividing (i) the amount of the annual retainer that would have</w:t>
            </w:r>
          </w:p>
        </w:tc>
      </w:tr>
      <w:tr>
        <w:trPr>
          <w:trHeight w:val="216"/>
        </w:trPr>
        <w:tc>
          <w:tcPr>
            <w:tcW w:w="2560" w:type="dxa"/>
            <w:vAlign w:val="bottom"/>
          </w:tcPr>
          <w:p>
            <w:pPr>
              <w:spacing w:after="0"/>
              <w:rPr>
                <w:sz w:val="18"/>
                <w:szCs w:val="18"/>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otherwise been paid to such Non-Employee Director on the applicable grant date by (ii) the average</w:t>
            </w:r>
          </w:p>
        </w:tc>
      </w:tr>
      <w:tr>
        <w:trPr>
          <w:trHeight w:val="212"/>
        </w:trPr>
        <w:tc>
          <w:tcPr>
            <w:tcW w:w="2560" w:type="dxa"/>
            <w:vAlign w:val="bottom"/>
          </w:tcPr>
          <w:p>
            <w:pPr>
              <w:spacing w:after="0"/>
              <w:rPr>
                <w:sz w:val="18"/>
                <w:szCs w:val="18"/>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per share closing trading price of the Common Stock over the most recent 30 trading days as of the</w:t>
            </w:r>
          </w:p>
        </w:tc>
      </w:tr>
      <w:tr>
        <w:trPr>
          <w:trHeight w:val="238"/>
        </w:trPr>
        <w:tc>
          <w:tcPr>
            <w:tcW w:w="2560" w:type="dxa"/>
            <w:vAlign w:val="bottom"/>
          </w:tcPr>
          <w:p>
            <w:pPr>
              <w:spacing w:after="0"/>
              <w:rPr>
                <w:sz w:val="20"/>
                <w:szCs w:val="20"/>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grant date (such election, a “</w:t>
            </w:r>
            <w:r>
              <w:rPr>
                <w:rFonts w:ascii="Times New Roman" w:cs="Times New Roman" w:eastAsia="Times New Roman" w:hAnsi="Times New Roman"/>
                <w:sz w:val="18"/>
                <w:szCs w:val="18"/>
                <w:b w:val="1"/>
                <w:bCs w:val="1"/>
                <w:i w:val="1"/>
                <w:iCs w:val="1"/>
                <w:color w:val="auto"/>
              </w:rPr>
              <w:t>Retainer RSU Election</w:t>
            </w:r>
            <w:r>
              <w:rPr>
                <w:rFonts w:ascii="Times New Roman" w:cs="Times New Roman" w:eastAsia="Times New Roman" w:hAnsi="Times New Roman"/>
                <w:sz w:val="18"/>
                <w:szCs w:val="18"/>
                <w:color w:val="auto"/>
              </w:rPr>
              <w:t>”).</w:t>
            </w:r>
          </w:p>
        </w:tc>
      </w:tr>
      <w:tr>
        <w:trPr>
          <w:trHeight w:val="413"/>
        </w:trPr>
        <w:tc>
          <w:tcPr>
            <w:tcW w:w="2560" w:type="dxa"/>
            <w:vAlign w:val="bottom"/>
          </w:tcPr>
          <w:p>
            <w:pPr>
              <w:spacing w:after="0"/>
              <w:rPr>
                <w:sz w:val="24"/>
                <w:szCs w:val="24"/>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Each Retainer RSU Award automatically will be granted on the fifth day of the month immediately</w:t>
            </w:r>
          </w:p>
        </w:tc>
      </w:tr>
      <w:tr>
        <w:trPr>
          <w:trHeight w:val="216"/>
        </w:trPr>
        <w:tc>
          <w:tcPr>
            <w:tcW w:w="2560" w:type="dxa"/>
            <w:vAlign w:val="bottom"/>
          </w:tcPr>
          <w:p>
            <w:pPr>
              <w:spacing w:after="0"/>
              <w:rPr>
                <w:sz w:val="18"/>
                <w:szCs w:val="18"/>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following the end of the quarter for which the corresponding portion of the annual retainer was</w:t>
            </w:r>
          </w:p>
        </w:tc>
      </w:tr>
      <w:tr>
        <w:trPr>
          <w:trHeight w:val="234"/>
        </w:trPr>
        <w:tc>
          <w:tcPr>
            <w:tcW w:w="2560" w:type="dxa"/>
            <w:vAlign w:val="bottom"/>
          </w:tcPr>
          <w:p>
            <w:pPr>
              <w:spacing w:after="0"/>
              <w:rPr>
                <w:sz w:val="20"/>
                <w:szCs w:val="20"/>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earned. Each Retainer RSU Award will be fully vested on the grant date.</w:t>
            </w:r>
          </w:p>
        </w:tc>
      </w:tr>
      <w:tr>
        <w:trPr>
          <w:trHeight w:val="463"/>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Method:</w:t>
            </w:r>
          </w:p>
        </w:tc>
        <w:tc>
          <w:tcPr>
            <w:tcW w:w="8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Each Retainer RSU Election must be submitted to the Company in the form and manner specified</w:t>
            </w:r>
          </w:p>
        </w:tc>
      </w:tr>
      <w:tr>
        <w:trPr>
          <w:trHeight w:val="220"/>
        </w:trPr>
        <w:tc>
          <w:tcPr>
            <w:tcW w:w="2560" w:type="dxa"/>
            <w:vAlign w:val="bottom"/>
          </w:tcPr>
          <w:p>
            <w:pPr>
              <w:spacing w:after="0"/>
              <w:rPr>
                <w:sz w:val="19"/>
                <w:szCs w:val="19"/>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 the Board or its Compensation Committee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An individual</w:t>
            </w:r>
          </w:p>
        </w:tc>
      </w:tr>
      <w:tr>
        <w:trPr>
          <w:trHeight w:val="216"/>
        </w:trPr>
        <w:tc>
          <w:tcPr>
            <w:tcW w:w="2560" w:type="dxa"/>
            <w:vAlign w:val="bottom"/>
          </w:tcPr>
          <w:p>
            <w:pPr>
              <w:spacing w:after="0"/>
              <w:rPr>
                <w:sz w:val="18"/>
                <w:szCs w:val="18"/>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who fails to make a timely Retainer RSU Election shall not receive a Retainer RSU Award and</w:t>
            </w:r>
          </w:p>
        </w:tc>
      </w:tr>
      <w:tr>
        <w:trPr>
          <w:trHeight w:val="234"/>
        </w:trPr>
        <w:tc>
          <w:tcPr>
            <w:tcW w:w="2560" w:type="dxa"/>
            <w:vAlign w:val="bottom"/>
          </w:tcPr>
          <w:p>
            <w:pPr>
              <w:spacing w:after="0"/>
              <w:rPr>
                <w:sz w:val="20"/>
                <w:szCs w:val="20"/>
                <w:color w:val="auto"/>
              </w:rPr>
            </w:pPr>
          </w:p>
        </w:tc>
        <w:tc>
          <w:tcPr>
            <w:tcW w:w="8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instead shall receive the applicable annual</w:t>
            </w:r>
          </w:p>
        </w:tc>
      </w:tr>
      <w:tr>
        <w:trPr>
          <w:trHeight w:val="789"/>
        </w:trPr>
        <w:tc>
          <w:tcPr>
            <w:tcW w:w="256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0" w:name="page71"/>
    <w:bookmarkEnd w:id="70"/>
    <w:p>
      <w:pPr>
        <w:ind w:left="3760"/>
        <w:spacing w:after="0"/>
        <w:rPr>
          <w:sz w:val="20"/>
          <w:szCs w:val="20"/>
          <w:color w:val="auto"/>
        </w:rPr>
      </w:pPr>
      <w:r>
        <w:rPr>
          <w:rFonts w:ascii="Times New Roman" w:cs="Times New Roman" w:eastAsia="Times New Roman" w:hAnsi="Times New Roman"/>
          <w:sz w:val="18"/>
          <w:szCs w:val="18"/>
          <w:color w:val="auto"/>
        </w:rPr>
        <w:t>retainer in cash. Retainer RSU Elections must comply with the following timing requirements:</w:t>
      </w:r>
    </w:p>
    <w:p>
      <w:pPr>
        <w:spacing w:after="0" w:line="117" w:lineRule="exact"/>
        <w:rPr>
          <w:sz w:val="20"/>
          <w:szCs w:val="20"/>
          <w:color w:val="auto"/>
        </w:rPr>
      </w:pPr>
    </w:p>
    <w:p>
      <w:pPr>
        <w:jc w:val="both"/>
        <w:ind w:left="4280" w:right="200" w:hanging="328"/>
        <w:spacing w:after="0" w:line="255" w:lineRule="auto"/>
        <w:tabs>
          <w:tab w:leader="none" w:pos="4280"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Initial Election</w:t>
      </w:r>
      <w:r>
        <w:rPr>
          <w:rFonts w:ascii="Times New Roman" w:cs="Times New Roman" w:eastAsia="Times New Roman" w:hAnsi="Times New Roman"/>
          <w:sz w:val="18"/>
          <w:szCs w:val="18"/>
          <w:color w:val="auto"/>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Retainer RSU Election</w:t>
      </w:r>
      <w:r>
        <w:rPr>
          <w:rFonts w:ascii="Times New Roman" w:cs="Times New Roman" w:eastAsia="Times New Roman" w:hAnsi="Times New Roman"/>
          <w:sz w:val="18"/>
          <w:szCs w:val="18"/>
          <w:color w:val="auto"/>
        </w:rPr>
        <w:t>”). The Initial Retainer RSU Election must be submitted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on or before the date that the individual first becomes a Non-Employee Director (the “</w:t>
      </w:r>
      <w:r>
        <w:rPr>
          <w:rFonts w:ascii="Times New Roman" w:cs="Times New Roman" w:eastAsia="Times New Roman" w:hAnsi="Times New Roman"/>
          <w:sz w:val="18"/>
          <w:szCs w:val="18"/>
          <w:b w:val="1"/>
          <w:bCs w:val="1"/>
          <w:i w:val="1"/>
          <w:iCs w:val="1"/>
          <w:color w:val="auto"/>
        </w:rPr>
        <w:t>Initial Election Deadline</w:t>
      </w:r>
      <w:r>
        <w:rPr>
          <w:rFonts w:ascii="Times New Roman" w:cs="Times New Roman" w:eastAsia="Times New Roman" w:hAnsi="Times New Roman"/>
          <w:sz w:val="18"/>
          <w:szCs w:val="18"/>
          <w:color w:val="auto"/>
        </w:rPr>
        <w:t>”), and the Initial Retainer RSU Election shall become final and irrevocable as of the Initial Election Deadline.</w:t>
      </w:r>
    </w:p>
    <w:p>
      <w:pPr>
        <w:spacing w:after="0" w:line="92" w:lineRule="exact"/>
        <w:rPr>
          <w:rFonts w:ascii="Times New Roman" w:cs="Times New Roman" w:eastAsia="Times New Roman" w:hAnsi="Times New Roman"/>
          <w:sz w:val="18"/>
          <w:szCs w:val="18"/>
          <w:u w:val="single" w:color="auto"/>
          <w:color w:val="auto"/>
        </w:rPr>
      </w:pPr>
    </w:p>
    <w:p>
      <w:pPr>
        <w:jc w:val="both"/>
        <w:ind w:left="4280" w:right="240" w:hanging="328"/>
        <w:spacing w:after="0" w:line="253" w:lineRule="auto"/>
        <w:tabs>
          <w:tab w:leader="none" w:pos="4280"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Election</w:t>
      </w:r>
      <w:r>
        <w:rPr>
          <w:rFonts w:ascii="Times New Roman" w:cs="Times New Roman" w:eastAsia="Times New Roman" w:hAnsi="Times New Roman"/>
          <w:sz w:val="18"/>
          <w:szCs w:val="18"/>
          <w:color w:val="auto"/>
        </w:rPr>
        <w:t>. No later than December 31 of each calendar year, or such earlier deadline as may be established by the Board or the Compensation Committee, in its discretion (the “</w:t>
      </w:r>
      <w:r>
        <w:rPr>
          <w:rFonts w:ascii="Times New Roman" w:cs="Times New Roman" w:eastAsia="Times New Roman" w:hAnsi="Times New Roman"/>
          <w:sz w:val="18"/>
          <w:szCs w:val="18"/>
          <w:b w:val="1"/>
          <w:bCs w:val="1"/>
          <w:i w:val="1"/>
          <w:iCs w:val="1"/>
          <w:color w:val="auto"/>
        </w:rPr>
        <w:t>Annual Election Deadline</w:t>
      </w:r>
      <w:r>
        <w:rPr>
          <w:rFonts w:ascii="Times New Roman" w:cs="Times New Roman" w:eastAsia="Times New Roman" w:hAnsi="Times New Roman"/>
          <w:sz w:val="18"/>
          <w:szCs w:val="18"/>
          <w:color w:val="auto"/>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 w:cs="Times New Roman" w:eastAsia="Times New Roman" w:hAnsi="Times New Roman"/>
          <w:sz w:val="18"/>
          <w:szCs w:val="18"/>
          <w:b w:val="1"/>
          <w:bCs w:val="1"/>
          <w:i w:val="1"/>
          <w:iCs w:val="1"/>
          <w:color w:val="auto"/>
        </w:rPr>
        <w:t>Annual Retainer RSU Election</w:t>
      </w:r>
      <w:r>
        <w:rPr>
          <w:rFonts w:ascii="Times New Roman" w:cs="Times New Roman" w:eastAsia="Times New Roman" w:hAnsi="Times New Roman"/>
          <w:sz w:val="18"/>
          <w:szCs w:val="18"/>
          <w:color w:val="auto"/>
        </w:rPr>
        <w:t>”). The Annual Retainer RSU Election must be submitted to the Company on or before the applicable Annual Election Deadline and shall become effective and irrevocable as of the Annual Election Deadline.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ectPr>
          <w:pgSz w:w="11900" w:h="16838" w:orient="portrait"/>
          <w:cols w:equalWidth="0" w:num="1">
            <w:col w:w="11240"/>
          </w:cols>
          <w:pgMar w:left="320" w:top="1011" w:right="339" w:bottom="1440" w:gutter="0" w:footer="0" w:header="0"/>
        </w:sect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Initial RSU Award: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Unless otherwise approved by the Board prior to commencement of services of an applicable Non-Employee Director, each Non-Employee Director who is initially elected or appointed to serve on the Board after the Effective Date shall be granted an award of RSUs under the Plan or any other applicable Company equity incentive plan then-maintained by the Company covering a number of shares of Common Stock calculated by dividing (i) $525,000 by (ii) the average per share closing trading price of the Common Stock over the most recent 30 trading days as of the grant date (the “</w:t>
      </w:r>
      <w:r>
        <w:rPr>
          <w:rFonts w:ascii="Times New Roman" w:cs="Times New Roman" w:eastAsia="Times New Roman" w:hAnsi="Times New Roman"/>
          <w:sz w:val="18"/>
          <w:szCs w:val="18"/>
          <w:b w:val="1"/>
          <w:bCs w:val="1"/>
          <w:i w:val="1"/>
          <w:iCs w:val="1"/>
          <w:color w:val="auto"/>
        </w:rPr>
        <w:t>Initial RSU Award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ectPr>
          <w:pgSz w:w="11900" w:h="16838" w:orient="portrait"/>
          <w:cols w:equalWidth="0" w:num="2">
            <w:col w:w="3040" w:space="720"/>
            <w:col w:w="7480"/>
          </w:cols>
          <w:pgMar w:left="320" w:top="1011" w:right="339" w:bottom="1440" w:gutter="0" w:footer="0" w:header="0"/>
          <w:type w:val="continuous"/>
        </w:sectPr>
      </w:pPr>
    </w:p>
    <w:p>
      <w:pPr>
        <w:jc w:val="both"/>
        <w:ind w:left="3760" w:right="100"/>
        <w:spacing w:after="0" w:line="258" w:lineRule="auto"/>
        <w:rPr>
          <w:sz w:val="20"/>
          <w:szCs w:val="20"/>
          <w:color w:val="auto"/>
        </w:rPr>
      </w:pPr>
      <w:r>
        <w:rPr>
          <w:rFonts w:ascii="Times New Roman" w:cs="Times New Roman" w:eastAsia="Times New Roman" w:hAnsi="Times New Roman"/>
          <w:sz w:val="18"/>
          <w:szCs w:val="18"/>
          <w:color w:val="auto"/>
        </w:rPr>
        <w:t>The Initial RSU Award will be automatically granted on the date on which such Non-Employee Director commences service on the Board, and will vest as to one-third of the shares subject thereto on each anniversary of the applicable grant date such that the shares subject to the Initial RSU Award are fully vested on the third anniversary of the grant date, subject to the Non-Employee Director continuing in service on the Board through each such vesting date.</w:t>
      </w:r>
    </w:p>
    <w:p>
      <w:pPr>
        <w:sectPr>
          <w:pgSz w:w="11900" w:h="16838" w:orient="portrait"/>
          <w:cols w:equalWidth="0" w:num="1">
            <w:col w:w="11240"/>
          </w:cols>
          <w:pgMar w:left="320" w:top="1011" w:right="339" w:bottom="1440" w:gutter="0" w:footer="0" w:header="0"/>
          <w:type w:val="continuous"/>
        </w:sect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Annual RSU Award: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Each Non-Employee Director who (i) has been serving on the Board as of each annual meeting of the Company’s stockholders after the Effective Date (each,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(ii) if such Non-Employee Director received an Initial RSU Award on appointment, has an Initial RSU Award that will become fully vested within 12 months following such Annual Meeting and (iii) will continue to serve as a Non-Employee Director immediately following such meeting, shall be granted an award of RSUs under the Plan or any other applicable Company equity incentive plan then-maintained by the Company covering a number of shares of Common Stock calculated by dividing (i) $175,000 by (ii) the average per share closing trading price of the Common Stock over the most recent 30 trading days as of the grant date (the “</w:t>
      </w:r>
      <w:r>
        <w:rPr>
          <w:rFonts w:ascii="Times New Roman" w:cs="Times New Roman" w:eastAsia="Times New Roman" w:hAnsi="Times New Roman"/>
          <w:sz w:val="18"/>
          <w:szCs w:val="18"/>
          <w:b w:val="1"/>
          <w:bCs w:val="1"/>
          <w:i w:val="1"/>
          <w:iCs w:val="1"/>
          <w:color w:val="auto"/>
        </w:rPr>
        <w:t>Annual RSU Award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ectPr>
          <w:pgSz w:w="11900" w:h="16838" w:orient="portrait"/>
          <w:cols w:equalWidth="0" w:num="2">
            <w:col w:w="3040" w:space="720"/>
            <w:col w:w="7480"/>
          </w:cols>
          <w:pgMar w:left="320" w:top="1011" w:right="339" w:bottom="1440" w:gutter="0" w:footer="0" w:header="0"/>
          <w:type w:val="continuous"/>
        </w:sectPr>
      </w:pPr>
    </w:p>
    <w:p>
      <w:pPr>
        <w:jc w:val="both"/>
        <w:ind w:left="3760" w:right="100"/>
        <w:spacing w:after="0" w:line="260" w:lineRule="auto"/>
        <w:rPr>
          <w:sz w:val="20"/>
          <w:szCs w:val="20"/>
          <w:color w:val="auto"/>
        </w:rPr>
      </w:pPr>
      <w:r>
        <w:rPr>
          <w:rFonts w:ascii="Times New Roman" w:cs="Times New Roman" w:eastAsia="Times New Roman" w:hAnsi="Times New Roman"/>
          <w:sz w:val="18"/>
          <w:szCs w:val="18"/>
          <w:color w:val="auto"/>
        </w:rPr>
        <w:t>The Annual RSU Award will be automatically granted on the date of the applicable Annual Meeting, and will vest in full on the earlier of (i) the first anniversary of the grant date and (ii) immediately before the Annual Meeting following the grant date, subject to the Non-Employee Director continuing in service on the Board through such vesting date.</w:t>
      </w:r>
    </w:p>
    <w:p>
      <w:pPr>
        <w:sectPr>
          <w:pgSz w:w="11900" w:h="16838" w:orient="portrait"/>
          <w:cols w:equalWidth="0" w:num="1">
            <w:col w:w="11240"/>
          </w:cols>
          <w:pgMar w:left="320" w:top="1011" w:right="339" w:bottom="1440" w:gutter="0" w:footer="0" w:header="0"/>
          <w:type w:val="continuous"/>
        </w:sectPr>
      </w:pPr>
    </w:p>
    <w:p>
      <w:pPr>
        <w:spacing w:after="0" w:line="20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No portion of an Initial RSU Award or Annual RSU Award which is unvested at the time of a Non-Employee Director’s termination of service on the Board shall become vested and exercisable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type w:val="continuous"/>
        </w:sectPr>
      </w:pPr>
    </w:p>
    <w:bookmarkStart w:id="71" w:name="page72"/>
    <w:bookmarkEnd w:id="71"/>
    <w:p>
      <w:pPr>
        <w:jc w:val="both"/>
        <w:spacing w:after="0" w:line="265" w:lineRule="auto"/>
        <w:rPr>
          <w:sz w:val="20"/>
          <w:szCs w:val="20"/>
          <w:color w:val="auto"/>
        </w:rPr>
      </w:pPr>
      <w:r>
        <w:rPr>
          <w:rFonts w:ascii="Times New Roman" w:cs="Times New Roman" w:eastAsia="Times New Roman" w:hAnsi="Times New Roman"/>
          <w:sz w:val="18"/>
          <w:szCs w:val="18"/>
          <w:color w:val="auto"/>
        </w:rPr>
        <w:t>Directors who are Employees who subsequently terminate their employment with the Company and any Subsidiary and remain a Director will not receive an Initial RSU Award, but to the extent that they are otherwise eligible, will be eligible to receive, after termination from employment with the Company and any Subsidiary, Annual RSU Awards as described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Defer Issuances</w:t>
            </w:r>
          </w:p>
        </w:tc>
        <w:tc>
          <w:tcPr>
            <w:tcW w:w="1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40"/>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The Board or the Compensation Committee may, in its discretion, provide each Non-Employee</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Director with the opportunity to defer the issuance of the shares underlying RSUs granted under this</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Program, including Retainer RSU Awards, Initial RSU Awards and Annual RSU Awards, that would</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otherwise be issued to the Non-Employee Director in connection with the vesting or grant of the</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RSUs until the earliest of a fixed date properly elected by the Non-Employee Director, the Non-</w:t>
            </w:r>
          </w:p>
        </w:tc>
      </w:tr>
      <w:tr>
        <w:trPr>
          <w:trHeight w:val="212"/>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Employee Director’s Termination of Service or a Change in Control. Any such deferral election</w:t>
            </w:r>
          </w:p>
        </w:tc>
      </w:tr>
      <w:tr>
        <w:trPr>
          <w:trHeight w:val="220"/>
        </w:trPr>
        <w:tc>
          <w:tcPr>
            <w:tcW w:w="2900" w:type="dxa"/>
            <w:vAlign w:val="bottom"/>
          </w:tcPr>
          <w:p>
            <w:pPr>
              <w:spacing w:after="0"/>
              <w:rPr>
                <w:sz w:val="19"/>
                <w:szCs w:val="19"/>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Deferral Election</w:t>
            </w:r>
            <w:r>
              <w:rPr>
                <w:rFonts w:ascii="Times New Roman" w:cs="Times New Roman" w:eastAsia="Times New Roman" w:hAnsi="Times New Roman"/>
                <w:sz w:val="18"/>
                <w:szCs w:val="18"/>
                <w:color w:val="auto"/>
              </w:rPr>
              <w:t>”) shall be subject to such rules, conditions and procedures as shall be</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determined by the Board or the Compensation Committee, in its sole discretion, which rules,</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conditions and procedures shall at all times comply with the requirements of Section 409A of the</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Code, unless otherwise specifically determined by the Board or the Compensation Committee. If an</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individual elects to defer the delivery of the shares underlying RSUs granted under this Program,</w:t>
            </w:r>
          </w:p>
        </w:tc>
      </w:tr>
      <w:tr>
        <w:trPr>
          <w:trHeight w:val="234"/>
        </w:trPr>
        <w:tc>
          <w:tcPr>
            <w:tcW w:w="2900" w:type="dxa"/>
            <w:vAlign w:val="bottom"/>
          </w:tcPr>
          <w:p>
            <w:pPr>
              <w:spacing w:after="0"/>
              <w:rPr>
                <w:sz w:val="20"/>
                <w:szCs w:val="20"/>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settlement of the deferred RSUs shall be made in accordance with the terms of the Deferral Election.</w:t>
            </w:r>
          </w:p>
        </w:tc>
      </w:tr>
      <w:tr>
        <w:trPr>
          <w:trHeight w:val="359"/>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Method:</w:t>
            </w: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Each Deferral Election must be submitted to the Company in the form and manner specified by the</w:t>
            </w:r>
          </w:p>
        </w:tc>
      </w:tr>
      <w:tr>
        <w:trPr>
          <w:trHeight w:val="216"/>
        </w:trPr>
        <w:tc>
          <w:tcPr>
            <w:tcW w:w="2900" w:type="dxa"/>
            <w:vAlign w:val="bottom"/>
          </w:tcPr>
          <w:p>
            <w:pPr>
              <w:spacing w:after="0"/>
              <w:rPr>
                <w:sz w:val="18"/>
                <w:szCs w:val="18"/>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Board or its Compensation Committee. Deferral Elections must comply with the following timing</w:t>
            </w:r>
          </w:p>
        </w:tc>
      </w:tr>
      <w:tr>
        <w:trPr>
          <w:trHeight w:val="234"/>
        </w:trPr>
        <w:tc>
          <w:tcPr>
            <w:tcW w:w="2900" w:type="dxa"/>
            <w:vAlign w:val="bottom"/>
          </w:tcPr>
          <w:p>
            <w:pPr>
              <w:spacing w:after="0"/>
              <w:rPr>
                <w:sz w:val="20"/>
                <w:szCs w:val="20"/>
                <w:color w:val="auto"/>
              </w:rPr>
            </w:pPr>
          </w:p>
        </w:tc>
        <w:tc>
          <w:tcPr>
            <w:tcW w:w="8140" w:type="dxa"/>
            <w:vAlign w:val="bottom"/>
            <w:gridSpan w:val="4"/>
          </w:tcPr>
          <w:p>
            <w:pPr>
              <w:jc w:val="right"/>
              <w:ind w:right="6280"/>
              <w:spacing w:after="0"/>
              <w:rPr>
                <w:sz w:val="20"/>
                <w:szCs w:val="20"/>
                <w:color w:val="auto"/>
              </w:rPr>
            </w:pPr>
            <w:r>
              <w:rPr>
                <w:rFonts w:ascii="Times New Roman" w:cs="Times New Roman" w:eastAsia="Times New Roman" w:hAnsi="Times New Roman"/>
                <w:sz w:val="18"/>
                <w:szCs w:val="18"/>
                <w:color w:val="auto"/>
              </w:rPr>
              <w:t>requirements:</w:t>
            </w:r>
          </w:p>
        </w:tc>
      </w:tr>
      <w:tr>
        <w:trPr>
          <w:trHeight w:val="283"/>
        </w:trPr>
        <w:tc>
          <w:tcPr>
            <w:tcW w:w="2900" w:type="dxa"/>
            <w:vAlign w:val="bottom"/>
          </w:tcPr>
          <w:p>
            <w:pPr>
              <w:spacing w:after="0"/>
              <w:rPr>
                <w:sz w:val="24"/>
                <w:szCs w:val="24"/>
                <w:color w:val="auto"/>
              </w:rPr>
            </w:pPr>
          </w:p>
        </w:tc>
        <w:tc>
          <w:tcPr>
            <w:tcW w:w="81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Initial Deferral Election. Each individual who first becomes a Non-Employee Director may</w:t>
            </w: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8"/>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make a Deferral Election with respect to the Non-Employee Director’s Initial RSU Award</w:t>
            </w:r>
          </w:p>
        </w:tc>
      </w:tr>
      <w:tr>
        <w:trPr>
          <w:trHeight w:val="212"/>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Retainer RSU Awards to be paid in the same calendar year as such individual first</w:t>
            </w:r>
          </w:p>
        </w:tc>
      </w:tr>
      <w:tr>
        <w:trPr>
          <w:trHeight w:val="220"/>
        </w:trPr>
        <w:tc>
          <w:tcPr>
            <w:tcW w:w="2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becomes a Non-Employee Director (the “</w:t>
            </w:r>
            <w:r>
              <w:rPr>
                <w:rFonts w:ascii="Times New Roman" w:cs="Times New Roman" w:eastAsia="Times New Roman" w:hAnsi="Times New Roman"/>
                <w:sz w:val="18"/>
                <w:szCs w:val="18"/>
                <w:b w:val="1"/>
                <w:bCs w:val="1"/>
                <w:i w:val="1"/>
                <w:iCs w:val="1"/>
                <w:color w:val="auto"/>
              </w:rPr>
              <w:t>Initial Deferral Election</w:t>
            </w:r>
            <w:r>
              <w:rPr>
                <w:rFonts w:ascii="Times New Roman" w:cs="Times New Roman" w:eastAsia="Times New Roman" w:hAnsi="Times New Roman"/>
                <w:sz w:val="18"/>
                <w:szCs w:val="18"/>
                <w:color w:val="auto"/>
              </w:rPr>
              <w:t>”). The Initial Deferral</w:t>
            </w:r>
          </w:p>
        </w:tc>
      </w:tr>
      <w:tr>
        <w:trPr>
          <w:trHeight w:val="216"/>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Election must be submitted to the Company on or before the Initial Election Deadline, and</w:t>
            </w:r>
          </w:p>
        </w:tc>
      </w:tr>
      <w:tr>
        <w:trPr>
          <w:trHeight w:val="216"/>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Initial Deferral Election shall become final and irrevocable as of the Initial Election</w:t>
            </w:r>
          </w:p>
        </w:tc>
      </w:tr>
      <w:tr>
        <w:trPr>
          <w:trHeight w:val="234"/>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Deadline.</w:t>
            </w:r>
          </w:p>
        </w:tc>
      </w:tr>
      <w:tr>
        <w:trPr>
          <w:trHeight w:val="297"/>
        </w:trPr>
        <w:tc>
          <w:tcPr>
            <w:tcW w:w="2900" w:type="dxa"/>
            <w:vAlign w:val="bottom"/>
          </w:tcPr>
          <w:p>
            <w:pPr>
              <w:spacing w:after="0"/>
              <w:rPr>
                <w:sz w:val="24"/>
                <w:szCs w:val="24"/>
                <w:color w:val="auto"/>
              </w:rPr>
            </w:pPr>
          </w:p>
        </w:tc>
        <w:tc>
          <w:tcPr>
            <w:tcW w:w="8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Annual Deferral Election. No later than the Annual Election Deadline, each individual who</w:t>
            </w: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8"/>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is a Non-Employee Director as of immediately before the Annual Election Deadline may</w:t>
            </w:r>
          </w:p>
        </w:tc>
      </w:tr>
      <w:tr>
        <w:trPr>
          <w:trHeight w:val="212"/>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make a Deferral Election with respect to the Annual RSU Award and Retainer RSU Awards</w:t>
            </w:r>
          </w:p>
        </w:tc>
      </w:tr>
      <w:tr>
        <w:trPr>
          <w:trHeight w:val="220"/>
        </w:trPr>
        <w:tc>
          <w:tcPr>
            <w:tcW w:w="2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to be granted in the following calendar year (the “</w:t>
            </w:r>
            <w:r>
              <w:rPr>
                <w:rFonts w:ascii="Times New Roman" w:cs="Times New Roman" w:eastAsia="Times New Roman" w:hAnsi="Times New Roman"/>
                <w:sz w:val="18"/>
                <w:szCs w:val="18"/>
                <w:b w:val="1"/>
                <w:bCs w:val="1"/>
                <w:i w:val="1"/>
                <w:iCs w:val="1"/>
                <w:color w:val="auto"/>
              </w:rPr>
              <w:t>Annual Deferral Election</w:t>
            </w:r>
            <w:r>
              <w:rPr>
                <w:rFonts w:ascii="Times New Roman" w:cs="Times New Roman" w:eastAsia="Times New Roman" w:hAnsi="Times New Roman"/>
                <w:sz w:val="18"/>
                <w:szCs w:val="18"/>
                <w:color w:val="auto"/>
              </w:rPr>
              <w:t>”). The Annual</w:t>
            </w:r>
          </w:p>
        </w:tc>
      </w:tr>
      <w:tr>
        <w:trPr>
          <w:trHeight w:val="216"/>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Deferral Election must be submitted to the Company on or before the applicable Annual</w:t>
            </w:r>
          </w:p>
        </w:tc>
      </w:tr>
      <w:tr>
        <w:trPr>
          <w:trHeight w:val="216"/>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Election Deadline and shall become final and irrevocable for the subsequent calendar year as</w:t>
            </w:r>
          </w:p>
        </w:tc>
      </w:tr>
      <w:tr>
        <w:trPr>
          <w:trHeight w:val="234"/>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applicable Annual Election Deadline.</w:t>
            </w:r>
          </w:p>
        </w:tc>
      </w:tr>
      <w:tr>
        <w:trPr>
          <w:trHeight w:val="45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shall reimburse each Non-Employee Director for all reasonable, documented, out-of-pocket travel and other business expenses incurred by such Non-Employee Director in the performance of such director’s duties to the Company in accordance with the Company’s applicable expense reimbursement policies and procedures as in effect from time to time.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other provisions of the Plan shall apply to the RSUs granted automatically under this Program, except to the extent such other provisions are inconsistent with this Program. All applicable terms of the Plan apply to this Program as if fully set forth herein,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2" w:name="page73"/>
    <w:bookmarkEnd w:id="72"/>
    <w:p>
      <w:pPr>
        <w:spacing w:after="0" w:line="281" w:lineRule="auto"/>
        <w:rPr>
          <w:sz w:val="20"/>
          <w:szCs w:val="20"/>
          <w:color w:val="auto"/>
        </w:rPr>
      </w:pPr>
      <w:r>
        <w:rPr>
          <w:rFonts w:ascii="Times New Roman" w:cs="Times New Roman" w:eastAsia="Times New Roman" w:hAnsi="Times New Roman"/>
          <w:sz w:val="18"/>
          <w:szCs w:val="18"/>
          <w:color w:val="auto"/>
        </w:rPr>
        <w:t>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PARTICIPATION</w:t>
      </w:r>
    </w:p>
    <w:p>
      <w:pPr>
        <w:spacing w:after="0" w:line="19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Section 1.01</w:t>
      </w:r>
      <w:r>
        <w:rPr>
          <w:rFonts w:ascii="Times New Roman" w:cs="Times New Roman" w:eastAsia="Times New Roman" w:hAnsi="Times New Roman"/>
          <w:sz w:val="17"/>
          <w:szCs w:val="17"/>
          <w:u w:val="single" w:color="auto"/>
          <w:color w:val="auto"/>
        </w:rPr>
        <w:t>Adoption; Purpose</w:t>
      </w:r>
      <w:r>
        <w:rPr>
          <w:rFonts w:ascii="Times New Roman" w:cs="Times New Roman" w:eastAsia="Times New Roman" w:hAnsi="Times New Roman"/>
          <w:sz w:val="17"/>
          <w:szCs w:val="17"/>
          <w:color w:val="auto"/>
        </w:rPr>
        <w:t>. The Compensation Committee (the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of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Amplitude,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adopted this Executive Severance Plan (this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for the purpose of providing severance protections to certain key employees of the Company and its Subsidiaries. The Plan, as set forth herein, is intended to provide severance and change in control protections to a select group of management or highly compensated employees (within the meaning of ERISA (as defined below)) in connection with qualifying terminations of employment.</w:t>
      </w:r>
    </w:p>
    <w:p>
      <w:pPr>
        <w:spacing w:after="0" w:line="40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1.02</w:t>
      </w: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This Plan is only for the benefit of Participants, and no other employees, personnel, consultants or independent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contractors shall be eligible to participate in this Plan or to receive any rights or benefits hereunder. Participants are those employees (including new hires) designated by the Compensation Committee as Participants from time to time, subject to, and conditioned upon, such employee executing and delivering to the Company a Participation Agreement.</w:t>
      </w:r>
    </w:p>
    <w:p>
      <w:pPr>
        <w:spacing w:after="0" w:line="164"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0"/>
          <w:szCs w:val="20"/>
          <w:b w:val="1"/>
          <w:bCs w:val="1"/>
          <w:u w:val="single" w:color="auto"/>
          <w:color w:val="auto"/>
        </w:rPr>
        <w:t>Section 1.03</w:t>
      </w:r>
      <w:r>
        <w:rPr>
          <w:rFonts w:ascii="Times New Roman" w:cs="Times New Roman" w:eastAsia="Times New Roman" w:hAnsi="Times New Roman"/>
          <w:sz w:val="17"/>
          <w:szCs w:val="17"/>
          <w:u w:val="single" w:color="auto"/>
          <w:color w:val="auto"/>
        </w:rPr>
        <w:t>Contract of Employment</w:t>
      </w:r>
      <w:r>
        <w:rPr>
          <w:rFonts w:ascii="Times New Roman" w:cs="Times New Roman" w:eastAsia="Times New Roman" w:hAnsi="Times New Roman"/>
          <w:sz w:val="17"/>
          <w:szCs w:val="17"/>
          <w:color w:val="auto"/>
        </w:rPr>
        <w:t>. Nothing in this Plan shall be construed as creating an express or implied contract of employment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nothing herein shall confer upon any Participant any right with respect to continued employment with the Company or any Subsidiary or limit the right of the Company or any Subsidiary to terminate such Participant’s employment at any time.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INTERPRETATIONS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Section 2.01</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in this Plan but not otherwise defined herein shall have the following respective meanings:</w:t>
      </w:r>
    </w:p>
    <w:p>
      <w:pPr>
        <w:spacing w:after="0" w:line="237" w:lineRule="exact"/>
        <w:rPr>
          <w:sz w:val="20"/>
          <w:szCs w:val="20"/>
          <w:color w:val="auto"/>
        </w:rPr>
      </w:pPr>
    </w:p>
    <w:p>
      <w:pPr>
        <w:jc w:val="both"/>
        <w:ind w:left="760" w:firstLine="1494"/>
        <w:spacing w:after="0" w:line="250" w:lineRule="auto"/>
        <w:tabs>
          <w:tab w:leader="none" w:pos="255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Amounts</w:t>
      </w:r>
      <w:r>
        <w:rPr>
          <w:rFonts w:ascii="Times New Roman" w:cs="Times New Roman" w:eastAsia="Times New Roman" w:hAnsi="Times New Roman"/>
          <w:sz w:val="18"/>
          <w:szCs w:val="18"/>
          <w:color w:val="auto"/>
        </w:rPr>
        <w:t>” means, with respect to a Participant, the sum of the following: (a) any accrued but unpaid Base Salary of such Participant through the Termination Date; (b) reimbursement for any unreimbursed business expenses properly incurred by such Participant in accordance with the policies of the Company or any Subsidiary through such Participant’s Termination Date; (c) accrued and unused vacation; and (d) benefits due under any indemnification, insurance or other plan or arrangement to which such Participant may be entitled according to the documents governing such plans or arrangements, including coverage under COBRA to which such Participant or Participant’s beneficiaries may be entitled under Part 6 of Title I of ERISA and all related state and local laws. Any Accrued Amounts set forth in clauses (a) – (c) above that become payable to a Participant pursuant to Article III below shall be paid in a lump-sum cash payment within thirty (30) days following the Termination Date, or on such earlier date as may be required by applicable law.</w:t>
      </w:r>
    </w:p>
    <w:p>
      <w:pPr>
        <w:spacing w:after="0" w:line="206"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the Partnership, any Parent or any Subsidiary.</w:t>
      </w:r>
    </w:p>
    <w:p>
      <w:pPr>
        <w:spacing w:after="0" w:line="214"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the annual base salary paid to a Participant as in effect immediately prior to the Participant’s</w:t>
      </w:r>
    </w:p>
    <w:p>
      <w:pPr>
        <w:spacing w:after="0" w:line="5"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Termination Date.</w:t>
      </w:r>
    </w:p>
    <w:p>
      <w:pPr>
        <w:spacing w:after="0" w:line="217" w:lineRule="exact"/>
        <w:rPr>
          <w:rFonts w:ascii="Times New Roman" w:cs="Times New Roman" w:eastAsia="Times New Roman" w:hAnsi="Times New Roman"/>
          <w:sz w:val="20"/>
          <w:szCs w:val="20"/>
          <w:color w:val="auto"/>
        </w:rPr>
      </w:pPr>
    </w:p>
    <w:p>
      <w:pPr>
        <w:jc w:val="both"/>
        <w:ind w:left="760" w:firstLine="1494"/>
        <w:spacing w:after="0" w:line="247" w:lineRule="auto"/>
        <w:tabs>
          <w:tab w:leader="none" w:pos="255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a Participant, (a) the Participant’s dishonest statements or acts with respect to the Company or any Affiliate, or any current or prospective customers, suppliers vendors or other third parties with which such entity does business;</w:t>
      </w:r>
    </w:p>
    <w:p>
      <w:pPr>
        <w:jc w:val="both"/>
        <w:ind w:left="760" w:hanging="3"/>
        <w:spacing w:after="0" w:line="251" w:lineRule="auto"/>
        <w:tabs>
          <w:tab w:leader="none" w:pos="10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commission of (i) a felony or (ii) any misdemeanor involving moral turpitude, deceit, dishonesty or fraud; (c) the Participant’s failure to perform his or her assigned duties and responsibilities to the reasonable satisfaction of the Company which failure continues, in the reasonable judgment of the Company, after written notice given to the Participant by the Company; (d) the Participant’s gross negligence, willful misconduct or insubordination with respect to the Company or any affiliate of the Company; or (e) the Participant’s material violation of any provision of any agreement(s) between the Participant and the Company relating to Restrictive Covenants. The determination that a termination of the Participant’s employment is either for Cause or without Cause shall be made by the Board or the Compensation Committee, in each case, in its sole discretion.</w:t>
      </w:r>
    </w:p>
    <w:p>
      <w:pPr>
        <w:spacing w:after="0" w:line="205" w:lineRule="exact"/>
        <w:rPr>
          <w:rFonts w:ascii="Times New Roman" w:cs="Times New Roman" w:eastAsia="Times New Roman" w:hAnsi="Times New Roman"/>
          <w:sz w:val="18"/>
          <w:szCs w:val="18"/>
          <w:color w:val="auto"/>
        </w:rPr>
      </w:pPr>
    </w:p>
    <w:p>
      <w:pPr>
        <w:ind w:left="760" w:firstLine="1494"/>
        <w:spacing w:after="0" w:line="254" w:lineRule="auto"/>
        <w:tabs>
          <w:tab w:leader="none" w:pos="255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Incentive Plan. Notwithstanding the foregoing, a “Change in Control” must also constitute a “change in control event,” as defined in Treasury Regulation §1.409A-3(i)(5).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4" w:name="page75"/>
    <w:bookmarkEnd w:id="74"/>
    <w:p>
      <w:pPr>
        <w:ind w:left="3" w:firstLine="1494"/>
        <w:spacing w:after="0" w:line="254" w:lineRule="auto"/>
        <w:tabs>
          <w:tab w:leader="none" w:pos="18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shall mean the period commencing three months prior to the closing of a Change in Control and ending 12 months after such Change in Control.</w:t>
      </w:r>
    </w:p>
    <w:p>
      <w:pPr>
        <w:spacing w:after="0" w:line="198"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Termination Payment</w:t>
      </w:r>
      <w:r>
        <w:rPr>
          <w:rFonts w:ascii="Times New Roman" w:cs="Times New Roman" w:eastAsia="Times New Roman" w:hAnsi="Times New Roman"/>
          <w:sz w:val="18"/>
          <w:szCs w:val="18"/>
          <w:color w:val="auto"/>
        </w:rPr>
        <w:t>” means an amount equal to the sum of (i) such Participant’s Base Salary and</w:t>
      </w:r>
    </w:p>
    <w:p>
      <w:pPr>
        <w:spacing w:after="0" w:line="5"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Target Annual Bonus, but only to the extent the Company maintains an Annual Bonus program.</w:t>
      </w:r>
    </w:p>
    <w:p>
      <w:pPr>
        <w:spacing w:after="0" w:line="217" w:lineRule="exact"/>
        <w:rPr>
          <w:rFonts w:ascii="Times New Roman" w:cs="Times New Roman" w:eastAsia="Times New Roman" w:hAnsi="Times New Roman"/>
          <w:sz w:val="18"/>
          <w:szCs w:val="18"/>
          <w:color w:val="auto"/>
        </w:rPr>
      </w:pPr>
    </w:p>
    <w:p>
      <w:pPr>
        <w:ind w:left="1803" w:hanging="306"/>
        <w:spacing w:after="0"/>
        <w:tabs>
          <w:tab w:leader="none" w:pos="18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the Consolidated Omnibus Reconciliation Act of 1985, as amended.</w:t>
      </w:r>
    </w:p>
    <w:p>
      <w:pPr>
        <w:spacing w:after="0" w:line="214"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14"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14"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have the meaning set forth in the Incentive Plan.</w:t>
      </w:r>
    </w:p>
    <w:p>
      <w:pPr>
        <w:spacing w:after="0" w:line="214"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November 5, 2024.</w:t>
      </w:r>
    </w:p>
    <w:p>
      <w:pPr>
        <w:spacing w:after="0" w:line="214" w:lineRule="exact"/>
        <w:rPr>
          <w:rFonts w:ascii="Times New Roman" w:cs="Times New Roman" w:eastAsia="Times New Roman" w:hAnsi="Times New Roman"/>
          <w:sz w:val="20"/>
          <w:szCs w:val="20"/>
          <w:color w:val="auto"/>
        </w:rPr>
      </w:pPr>
    </w:p>
    <w:p>
      <w:pPr>
        <w:ind w:left="3" w:firstLine="1494"/>
        <w:spacing w:after="0" w:line="254" w:lineRule="auto"/>
        <w:tabs>
          <w:tab w:leader="none" w:pos="18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means, with respect to a Participant, such Participant’s employment agreement or offer letter with the Company or any of its Affiliates.</w:t>
      </w:r>
    </w:p>
    <w:p>
      <w:pPr>
        <w:spacing w:after="0" w:line="198"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Employment Retirement Income Security Act of 1974, as amended, and the regulations</w:t>
      </w:r>
    </w:p>
    <w:p>
      <w:pPr>
        <w:spacing w:after="0" w:line="5" w:lineRule="exact"/>
        <w:rPr>
          <w:rFonts w:ascii="Times New Roman" w:cs="Times New Roman" w:eastAsia="Times New Roman" w:hAnsi="Times New Roman"/>
          <w:sz w:val="20"/>
          <w:szCs w:val="20"/>
          <w:color w:val="auto"/>
        </w:rPr>
      </w:pP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promulgated thereunder.</w:t>
      </w:r>
    </w:p>
    <w:p>
      <w:pPr>
        <w:spacing w:after="0" w:line="217" w:lineRule="exact"/>
        <w:rPr>
          <w:rFonts w:ascii="Times New Roman" w:cs="Times New Roman" w:eastAsia="Times New Roman" w:hAnsi="Times New Roman"/>
          <w:sz w:val="20"/>
          <w:szCs w:val="20"/>
          <w:color w:val="auto"/>
        </w:rPr>
      </w:pPr>
    </w:p>
    <w:p>
      <w:pPr>
        <w:jc w:val="both"/>
        <w:ind w:left="3" w:firstLine="1494"/>
        <w:spacing w:after="0" w:line="250" w:lineRule="auto"/>
        <w:tabs>
          <w:tab w:leader="none" w:pos="18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that the Participant has complied in all material respects with the “Good Reason Process” (hereinafter defined) following the occurrence of any of the following events, without the Participant’s prior written consent: (a) a reduction of the Participant’s Annual Base Salary by more than 10% (except in connection with an across-the-board reduction in the salary of all similarly situated employees); (b) a material diminution of the Participant’s authority, duties or responsibilities,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mere change of title alone shall not constitute such a material diminution and that a reduction in the Participant’s authority, duties and/or responsibilities by virtue of the fact that the Company has become part of a larger organization shall not by itself constitute grounds for a termination for Good Reason as long as the Participant retains substantially the same authority, duties and responsibilities of a division, subsidiary or business unit that constitutes substantially the business of the Company; or (c) relocation of the Participant’s principal place of employment by more than 30 miles from the Participant’s then-current principal place of employment</w:t>
      </w:r>
    </w:p>
    <w:p>
      <w:pPr>
        <w:spacing w:after="0" w:line="206" w:lineRule="exact"/>
        <w:rPr>
          <w:rFonts w:ascii="Times New Roman" w:cs="Times New Roman" w:eastAsia="Times New Roman" w:hAnsi="Times New Roman"/>
          <w:sz w:val="20"/>
          <w:szCs w:val="20"/>
          <w:color w:val="auto"/>
        </w:rPr>
      </w:pPr>
    </w:p>
    <w:p>
      <w:pPr>
        <w:jc w:val="both"/>
        <w:ind w:left="3" w:firstLine="1494"/>
        <w:spacing w:after="0" w:line="250" w:lineRule="auto"/>
        <w:tabs>
          <w:tab w:leader="none" w:pos="18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means that (a) the Participant has reasonably determined in good faith that a “Good Reason” condition has occurred; (b) the Participant has notified the Company in writing of the first occurrence of the Good Reason condition within 90 days of the first time the Participant becomes aware of the occurrence of such condition; (c) the Participant has cooperated in good faith with the Company’s efforts, for a period not less than 30 days immediately following the Company’s receipt of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condition; (d) notwithstanding such efforts, the Good Reason condition continues to exist; and (e) the Participant terminates the Participant’s employment with the Company within 30 days after the end of the Cure Period. If the Company cures the Good Reason condition during the Cure Period, Good Reason shall be deemed not to have occurred.</w:t>
      </w:r>
    </w:p>
    <w:p>
      <w:pPr>
        <w:spacing w:after="0" w:line="206" w:lineRule="exact"/>
        <w:rPr>
          <w:rFonts w:ascii="Times New Roman" w:cs="Times New Roman" w:eastAsia="Times New Roman" w:hAnsi="Times New Roman"/>
          <w:sz w:val="20"/>
          <w:szCs w:val="20"/>
          <w:color w:val="auto"/>
        </w:rPr>
      </w:pPr>
    </w:p>
    <w:p>
      <w:pPr>
        <w:ind w:left="1803" w:hanging="306"/>
        <w:spacing w:after="0"/>
        <w:tabs>
          <w:tab w:leader="none" w:pos="180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Plan</w:t>
      </w:r>
      <w:r>
        <w:rPr>
          <w:rFonts w:ascii="Times New Roman" w:cs="Times New Roman" w:eastAsia="Times New Roman" w:hAnsi="Times New Roman"/>
          <w:sz w:val="18"/>
          <w:szCs w:val="18"/>
          <w:color w:val="auto"/>
        </w:rPr>
        <w:t>” means the Amplitude, Inc. 2021 Incentive Award Plan, as may be amended or amended and restated</w:t>
      </w:r>
    </w:p>
    <w:p>
      <w:pPr>
        <w:spacing w:after="0" w:line="5" w:lineRule="exact"/>
        <w:rPr>
          <w:rFonts w:ascii="Times New Roman" w:cs="Times New Roman" w:eastAsia="Times New Roman" w:hAnsi="Times New Roman"/>
          <w:sz w:val="20"/>
          <w:szCs w:val="20"/>
          <w:color w:val="auto"/>
        </w:rPr>
      </w:pPr>
    </w:p>
    <w:p>
      <w:pPr>
        <w:ind w:left="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from time to time.</w:t>
      </w:r>
    </w:p>
    <w:p>
      <w:pPr>
        <w:spacing w:after="0" w:line="217" w:lineRule="exact"/>
        <w:rPr>
          <w:rFonts w:ascii="Times New Roman" w:cs="Times New Roman" w:eastAsia="Times New Roman" w:hAnsi="Times New Roman"/>
          <w:sz w:val="20"/>
          <w:szCs w:val="20"/>
          <w:color w:val="auto"/>
        </w:rPr>
      </w:pPr>
    </w:p>
    <w:p>
      <w:pPr>
        <w:jc w:val="both"/>
        <w:ind w:left="3" w:firstLine="1494"/>
        <w:spacing w:after="0" w:line="251" w:lineRule="auto"/>
        <w:tabs>
          <w:tab w:leader="none" w:pos="18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202" w:lineRule="exact"/>
        <w:rPr>
          <w:rFonts w:ascii="Times New Roman" w:cs="Times New Roman" w:eastAsia="Times New Roman" w:hAnsi="Times New Roman"/>
          <w:sz w:val="20"/>
          <w:szCs w:val="20"/>
          <w:color w:val="auto"/>
        </w:rPr>
      </w:pPr>
    </w:p>
    <w:p>
      <w:pPr>
        <w:ind w:left="3" w:right="20" w:firstLine="1494"/>
        <w:spacing w:after="0" w:line="254" w:lineRule="auto"/>
        <w:tabs>
          <w:tab w:leader="none" w:pos="18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means those employees of the Company or any Subsidiary who: (a) the Compensation Committee from time to time designates as Participants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 (b) have entered into a Participation Agreement with the Company.</w:t>
      </w:r>
    </w:p>
    <w:p>
      <w:pPr>
        <w:spacing w:after="0" w:line="17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25" w:right="339" w:bottom="1440" w:gutter="0" w:footer="0" w:header="0"/>
        </w:sectPr>
      </w:pPr>
    </w:p>
    <w:bookmarkStart w:id="75" w:name="page76"/>
    <w:bookmarkEnd w:id="75"/>
    <w:p>
      <w:pPr>
        <w:ind w:left="760" w:firstLine="1494"/>
        <w:spacing w:after="0" w:line="254" w:lineRule="auto"/>
        <w:tabs>
          <w:tab w:leader="none" w:pos="255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xml:space="preserve">” means a participation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(together with any changes approved by the Compensation Committee), executed by the Company and a Participant.</w:t>
      </w:r>
    </w:p>
    <w:p>
      <w:pPr>
        <w:spacing w:after="0" w:line="198" w:lineRule="exact"/>
        <w:rPr>
          <w:rFonts w:ascii="Times New Roman" w:cs="Times New Roman" w:eastAsia="Times New Roman" w:hAnsi="Times New Roman"/>
          <w:sz w:val="20"/>
          <w:szCs w:val="20"/>
          <w:color w:val="auto"/>
        </w:rPr>
      </w:pPr>
    </w:p>
    <w:p>
      <w:pPr>
        <w:jc w:val="both"/>
        <w:ind w:left="760" w:right="20" w:firstLine="1494"/>
        <w:spacing w:after="0" w:line="251" w:lineRule="auto"/>
        <w:tabs>
          <w:tab w:leader="none" w:pos="255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means, with respect to a Participant, those confidentiality, proprietary information, confidential information, non-competition, non-solicitation, non-disclosure, non-disparagement and other similar restrictive covenants set forth in such Participant’s Participation Agreement pursuant to this Plan.</w:t>
      </w:r>
    </w:p>
    <w:p>
      <w:pPr>
        <w:spacing w:after="0" w:line="203" w:lineRule="exact"/>
        <w:rPr>
          <w:rFonts w:ascii="Times New Roman" w:cs="Times New Roman" w:eastAsia="Times New Roman" w:hAnsi="Times New Roman"/>
          <w:sz w:val="20"/>
          <w:szCs w:val="20"/>
          <w:color w:val="auto"/>
        </w:rPr>
      </w:pPr>
    </w:p>
    <w:p>
      <w:pPr>
        <w:jc w:val="both"/>
        <w:ind w:left="760" w:firstLine="1494"/>
        <w:spacing w:after="0" w:line="248" w:lineRule="auto"/>
        <w:tabs>
          <w:tab w:leader="none" w:pos="255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a corporation, association or other business entity of which fifty percent (50%) or more of the total combined voting power of all classes of capital stock is owned, directly or indirectly, by the Company, the Partnership and/or by one or more Subsidiaries, (b) any partnership or limited liability company of which fifty percent (50%) or more of the equity interests are owned, directly or indirectly, by the Company, the Partnership and/or by one or more Subsidiaries, and (c) any other entity not described in clauses (a) or</w:t>
      </w:r>
    </w:p>
    <w:p>
      <w:pPr>
        <w:spacing w:after="0" w:line="2" w:lineRule="exact"/>
        <w:rPr>
          <w:rFonts w:ascii="Times New Roman" w:cs="Times New Roman" w:eastAsia="Times New Roman" w:hAnsi="Times New Roman"/>
          <w:sz w:val="20"/>
          <w:szCs w:val="20"/>
          <w:color w:val="auto"/>
        </w:rPr>
      </w:pPr>
    </w:p>
    <w:p>
      <w:pPr>
        <w:jc w:val="both"/>
        <w:ind w:left="760" w:hanging="3"/>
        <w:spacing w:after="0" w:line="255" w:lineRule="auto"/>
        <w:tabs>
          <w:tab w:leader="none" w:pos="10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of which fifty percent (50%) or more of the ownership and the power (whether voting interests or otherwise), pursuant to a written contract or agreement, to direct the policies and management or the financial and the other affairs thereof, are owned or controlled by the Company, the Partnership and/or by one or more Subsidiaries.</w:t>
      </w:r>
    </w:p>
    <w:p>
      <w:pPr>
        <w:spacing w:after="0" w:line="198" w:lineRule="exact"/>
        <w:rPr>
          <w:rFonts w:ascii="Times New Roman" w:cs="Times New Roman" w:eastAsia="Times New Roman" w:hAnsi="Times New Roman"/>
          <w:sz w:val="18"/>
          <w:szCs w:val="18"/>
          <w:color w:val="auto"/>
        </w:rPr>
      </w:pPr>
    </w:p>
    <w:p>
      <w:pPr>
        <w:ind w:left="760" w:right="20" w:firstLine="1494"/>
        <w:spacing w:after="0" w:line="254" w:lineRule="auto"/>
        <w:tabs>
          <w:tab w:leader="none" w:pos="255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Annual Bonus</w:t>
      </w:r>
      <w:r>
        <w:rPr>
          <w:rFonts w:ascii="Times New Roman" w:cs="Times New Roman" w:eastAsia="Times New Roman" w:hAnsi="Times New Roman"/>
          <w:sz w:val="18"/>
          <w:szCs w:val="18"/>
          <w:color w:val="auto"/>
        </w:rPr>
        <w:t>” means a Participant’s target annual performance bonus as in effect on the Effective Date, as may be increased from time to time.</w:t>
      </w:r>
    </w:p>
    <w:p>
      <w:pPr>
        <w:spacing w:after="0" w:line="198" w:lineRule="exact"/>
        <w:rPr>
          <w:rFonts w:ascii="Times New Roman" w:cs="Times New Roman" w:eastAsia="Times New Roman" w:hAnsi="Times New Roman"/>
          <w:sz w:val="20"/>
          <w:szCs w:val="20"/>
          <w:color w:val="auto"/>
        </w:rPr>
      </w:pPr>
    </w:p>
    <w:p>
      <w:pPr>
        <w:jc w:val="both"/>
        <w:ind w:left="760" w:firstLine="1494"/>
        <w:spacing w:after="0" w:line="251" w:lineRule="auto"/>
        <w:tabs>
          <w:tab w:leader="none" w:pos="255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with respect to a Participant: (a) in the case of such Participant’s death, his or her date of death; (b) in the case of such Participant’s voluntary termination, the last day of such Participant’s employment; and (c) in all other cases, the date specified in the applicable Termination Notice (as defined below).</w:t>
      </w:r>
    </w:p>
    <w:p>
      <w:pPr>
        <w:spacing w:after="0" w:line="203"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means an amount equal to the sum of (i) six (6) months of such Participant’s Base Salary and</w:t>
      </w:r>
    </w:p>
    <w:p>
      <w:pPr>
        <w:spacing w:after="0" w:line="5" w:lineRule="exact"/>
        <w:rPr>
          <w:rFonts w:ascii="Times New Roman" w:cs="Times New Roman" w:eastAsia="Times New Roman" w:hAnsi="Times New Roman"/>
          <w:sz w:val="20"/>
          <w:szCs w:val="20"/>
          <w:color w:val="auto"/>
        </w:rPr>
      </w:pPr>
    </w:p>
    <w:p>
      <w:pPr>
        <w:ind w:left="760" w:hanging="3"/>
        <w:spacing w:after="0" w:line="258" w:lineRule="auto"/>
        <w:tabs>
          <w:tab w:leader="none" w:pos="10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prorated amount of Participant’s Target Annual Bonus earned through the date of termination, but only to the extent the Company maintains an Annual Bonus program.</w:t>
      </w:r>
    </w:p>
    <w:p>
      <w:pPr>
        <w:spacing w:after="0" w:line="17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2.02</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In this Plan, unless a clear contrary intention appears: (a) the words “herein,” “hereof” and “hereunder” refer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Plan as a whole and not to any particular Article, Section or other subdivision; (b) reference to any Article or Section, means such Article or Section hereof; and (c) the words “including” (and with correlative meaning “include”) means including, without limiting the generality of any description preceding such term. The Article and Section headings herein are for convenience only and shall not affect the construction hereof.</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SEVERANCE; TERMINATION OBLIGATIONS</w:t>
      </w:r>
    </w:p>
    <w:p>
      <w:pPr>
        <w:spacing w:after="0" w:line="19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3.01</w:t>
      </w:r>
      <w:r>
        <w:rPr>
          <w:rFonts w:ascii="Times New Roman" w:cs="Times New Roman" w:eastAsia="Times New Roman" w:hAnsi="Times New Roman"/>
          <w:sz w:val="17"/>
          <w:szCs w:val="17"/>
          <w:u w:val="single" w:color="auto"/>
          <w:color w:val="auto"/>
        </w:rPr>
        <w:t>Termination Without Cause or for Good Reason</w:t>
      </w:r>
      <w:r>
        <w:rPr>
          <w:rFonts w:ascii="Times New Roman" w:cs="Times New Roman" w:eastAsia="Times New Roman" w:hAnsi="Times New Roman"/>
          <w:sz w:val="17"/>
          <w:szCs w:val="17"/>
          <w:color w:val="auto"/>
        </w:rPr>
        <w:t>. Subject to Section 3.4, in the event that a Participant’s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Company and its Subsidiaries is terminated (i) by the Company or any Subsidiary without Cause (other than by reason of the death or Disability of such Participant) or (ii) by the Participant for Good Reason, in each case, outside of a Change in Control Period, such Participant shall be entitled to receive from the Company the Accrued Amounts and:</w:t>
      </w:r>
    </w:p>
    <w:p>
      <w:pPr>
        <w:spacing w:after="0" w:line="186" w:lineRule="exact"/>
        <w:rPr>
          <w:sz w:val="20"/>
          <w:szCs w:val="20"/>
          <w:color w:val="auto"/>
        </w:rPr>
      </w:pPr>
    </w:p>
    <w:p>
      <w:pPr>
        <w:ind w:left="760" w:firstLine="1494"/>
        <w:spacing w:after="0" w:line="254" w:lineRule="auto"/>
        <w:tabs>
          <w:tab w:leader="none" w:pos="255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payment of an amount equal to such Participant’s Termination Payment, payable in a lump-sum on the first regular payroll date following the date the General Release becomes effective and irrevocable in accordance with below;</w:t>
      </w:r>
    </w:p>
    <w:p>
      <w:pPr>
        <w:spacing w:after="0" w:line="198" w:lineRule="exact"/>
        <w:rPr>
          <w:rFonts w:ascii="Times New Roman" w:cs="Times New Roman" w:eastAsia="Times New Roman" w:hAnsi="Times New Roman"/>
          <w:sz w:val="20"/>
          <w:szCs w:val="20"/>
          <w:color w:val="auto"/>
        </w:rPr>
      </w:pPr>
    </w:p>
    <w:p>
      <w:pPr>
        <w:jc w:val="both"/>
        <w:ind w:left="760" w:firstLine="1494"/>
        <w:spacing w:after="0" w:line="250" w:lineRule="auto"/>
        <w:tabs>
          <w:tab w:leader="none" w:pos="255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subject to such Participant’s valid election to continue healthcare coverage under Section 4980B of the Code, during the period commencing on the Termination Date and ending on the six month anniversary of the Termination Date or, if earlier, the date on which Participant becomes eligible for coverage under a subsequent employer’s group health plan (in any case, the “</w:t>
      </w:r>
      <w:r>
        <w:rPr>
          <w:rFonts w:ascii="Times New Roman" w:cs="Times New Roman" w:eastAsia="Times New Roman" w:hAnsi="Times New Roman"/>
          <w:sz w:val="18"/>
          <w:szCs w:val="18"/>
          <w:u w:val="single" w:color="auto"/>
          <w:color w:val="auto"/>
        </w:rPr>
        <w:t>COBRA Period</w:t>
      </w:r>
      <w:r>
        <w:rPr>
          <w:rFonts w:ascii="Times New Roman" w:cs="Times New Roman" w:eastAsia="Times New Roman" w:hAnsi="Times New Roman"/>
          <w:sz w:val="18"/>
          <w:szCs w:val="18"/>
          <w:color w:val="auto"/>
        </w:rPr>
        <w:t xml:space="preserve">”), the Company shall, in its sole discretion, either (i) continue to provide to the Participant and the Participant’s dependents, at the Company’s sole expense, or (ii) reimburse the Participant and the Participant’s dependents for coverage under its group health plan (if any) at the same levels in effect on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the Participant or the Participant’s dependents under its group health plans, or (3) the Company cannot provide the benefit without violating applicable law (including, without limitation, Section 2716 of the Public Health Service Act), then, in any such case, an amount equal to each remaining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6" w:name="page77"/>
    <w:bookmarkEnd w:id="76"/>
    <w:p>
      <w:pPr>
        <w:ind w:left="760"/>
        <w:spacing w:after="0" w:line="281" w:lineRule="auto"/>
        <w:rPr>
          <w:sz w:val="20"/>
          <w:szCs w:val="20"/>
          <w:color w:val="auto"/>
        </w:rPr>
      </w:pPr>
      <w:r>
        <w:rPr>
          <w:rFonts w:ascii="Times New Roman" w:cs="Times New Roman" w:eastAsia="Times New Roman" w:hAnsi="Times New Roman"/>
          <w:sz w:val="18"/>
          <w:szCs w:val="18"/>
          <w:color w:val="auto"/>
        </w:rPr>
        <w:t>subsidy shall thereafter be paid to the Participant in substantially equal monthly installments over the COBRA Period (or remaining portion thereof); and</w:t>
      </w:r>
    </w:p>
    <w:p>
      <w:pPr>
        <w:spacing w:after="0" w:line="15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3.02</w:t>
      </w:r>
      <w:r>
        <w:rPr>
          <w:rFonts w:ascii="Times New Roman" w:cs="Times New Roman" w:eastAsia="Times New Roman" w:hAnsi="Times New Roman"/>
          <w:sz w:val="17"/>
          <w:szCs w:val="17"/>
          <w:u w:val="single" w:color="auto"/>
          <w:color w:val="auto"/>
        </w:rPr>
        <w:t>Termination Without Cause or for Good Reason following a Change in Control</w:t>
      </w:r>
      <w:r>
        <w:rPr>
          <w:rFonts w:ascii="Times New Roman" w:cs="Times New Roman" w:eastAsia="Times New Roman" w:hAnsi="Times New Roman"/>
          <w:sz w:val="17"/>
          <w:szCs w:val="17"/>
          <w:color w:val="auto"/>
        </w:rPr>
        <w:t>. Subject to Section 3.4, in the event that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Participant’s employment with the Company and its Subsidiaries is terminated (i) by the Company or any Subsidiary without Cause (other than by reason of the death or Disability of such Participant) or (ii) by the Participant for Good Reason, in each case, during a Change in Control Period, such Participant shall be entitled to receive from the Company the Accrued Amounts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-41275</wp:posOffset>
            </wp:positionV>
            <wp:extent cx="285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6" w:lineRule="exact"/>
        <w:rPr>
          <w:sz w:val="20"/>
          <w:szCs w:val="20"/>
          <w:color w:val="auto"/>
        </w:rPr>
      </w:pPr>
    </w:p>
    <w:p>
      <w:pPr>
        <w:ind w:left="760" w:right="20" w:firstLine="1494"/>
        <w:spacing w:after="0" w:line="254" w:lineRule="auto"/>
        <w:tabs>
          <w:tab w:leader="none" w:pos="255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payment of an amount equal to such Participant’s Change in Control Termination Payment, payable in a lump-sum on the first regular payroll date following the date the General Release becomes effective and irrevocable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below;</w:t>
      </w:r>
    </w:p>
    <w:p>
      <w:pPr>
        <w:spacing w:after="0" w:line="198" w:lineRule="exact"/>
        <w:rPr>
          <w:rFonts w:ascii="Times New Roman" w:cs="Times New Roman" w:eastAsia="Times New Roman" w:hAnsi="Times New Roman"/>
          <w:sz w:val="20"/>
          <w:szCs w:val="20"/>
          <w:color w:val="auto"/>
        </w:rPr>
      </w:pPr>
    </w:p>
    <w:p>
      <w:pPr>
        <w:jc w:val="both"/>
        <w:ind w:left="760" w:firstLine="1494"/>
        <w:spacing w:after="0" w:line="250" w:lineRule="auto"/>
        <w:tabs>
          <w:tab w:leader="none" w:pos="255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subject to such Participant’s valid election to continue healthcare coverage under Section 4980B of the Code, during the period commencing on the Termination Date and ending on the 12 month anniversary of the Termination Date or, if earlier, the date on which Participant becomes eligible for coverage under a subsequent employer’s group health plan (in any case, the “</w:t>
      </w:r>
      <w:r>
        <w:rPr>
          <w:rFonts w:ascii="Times New Roman" w:cs="Times New Roman" w:eastAsia="Times New Roman" w:hAnsi="Times New Roman"/>
          <w:sz w:val="18"/>
          <w:szCs w:val="18"/>
          <w:u w:val="single" w:color="auto"/>
          <w:color w:val="auto"/>
        </w:rPr>
        <w:t>CIC COBRA Period</w:t>
      </w:r>
      <w:r>
        <w:rPr>
          <w:rFonts w:ascii="Times New Roman" w:cs="Times New Roman" w:eastAsia="Times New Roman" w:hAnsi="Times New Roman"/>
          <w:sz w:val="18"/>
          <w:szCs w:val="18"/>
          <w:color w:val="auto"/>
        </w:rPr>
        <w:t xml:space="preserve">”), the Company shall, in its sole discretion, either (i) continue to provide to the Participant and the Participant’s dependents, at the Company’s sole expense, or (ii) reimburse the Participant and the Participant’s dependents for coverage under its group health plan (if any) at the same levels in effect on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the Participant or the Participant’s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the Participant in substantially equal monthly installments over the CIC COBRA Period (or remaining portion thereof); and</w:t>
      </w:r>
    </w:p>
    <w:p>
      <w:pPr>
        <w:spacing w:after="0" w:line="206" w:lineRule="exact"/>
        <w:rPr>
          <w:rFonts w:ascii="Times New Roman" w:cs="Times New Roman" w:eastAsia="Times New Roman" w:hAnsi="Times New Roman"/>
          <w:sz w:val="20"/>
          <w:szCs w:val="20"/>
          <w:color w:val="auto"/>
        </w:rPr>
      </w:pPr>
    </w:p>
    <w:p>
      <w:pPr>
        <w:jc w:val="both"/>
        <w:ind w:left="760" w:firstLine="1494"/>
        <w:spacing w:after="0" w:line="250" w:lineRule="auto"/>
        <w:tabs>
          <w:tab w:leader="none" w:pos="255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vesting and, if applicable, exercisability of the Participant’s then-outstanding and unvested equity awards, including, without limitation, any stock options and other equity awards, shall accelerate (and, if applicable, all restrictions and rights of repurchase on such awards shall lapse) as of immediately prior to the later of (i) the Termination Date or (ii) the closing of such Change in Control, in respect of 100% of the number of shares of Company common stock subject thereto (excluding any such awards that vest in whole or in part based on the attainment of performance-vesting conditions, which shall be governed by the terms of the applicable award agreement). To give effect to the foregoing, upon the Termination Date that occurs prior to the closing of a Change in Control, (x) the vested portion of such equity awards shall be remain outstanding and/or be exercisable for the period(s) of time set forth in the applicable equity award agreements, (y) the Participant’s outstanding equity awards shall cease vesting, and (z) the unvested shares subject to the Participant’s outstanding equity awards shall remain outstanding (but unvested) until the earlier to occur of (A) the original expiration date of the equity award and (B) three (3) month anniversary of the Termination Date (the “</w:t>
      </w:r>
      <w:r>
        <w:rPr>
          <w:rFonts w:ascii="Times New Roman" w:cs="Times New Roman" w:eastAsia="Times New Roman" w:hAnsi="Times New Roman"/>
          <w:sz w:val="18"/>
          <w:szCs w:val="18"/>
          <w:u w:val="single" w:color="auto"/>
          <w:color w:val="auto"/>
        </w:rPr>
        <w:t>Equity Award Period</w:t>
      </w:r>
      <w:r>
        <w:rPr>
          <w:rFonts w:ascii="Times New Roman" w:cs="Times New Roman" w:eastAsia="Times New Roman" w:hAnsi="Times New Roman"/>
          <w:sz w:val="18"/>
          <w:szCs w:val="18"/>
          <w:color w:val="auto"/>
        </w:rPr>
        <w:t>”). In the event a Change in Control has not been consummated by end of the Equity Award Period, then the unvested portion of the Participant’s equity awards shall terminate immediately without further action as of such date.</w:t>
      </w:r>
    </w:p>
    <w:p>
      <w:pPr>
        <w:spacing w:after="0" w:line="185" w:lineRule="exact"/>
        <w:rPr>
          <w:sz w:val="20"/>
          <w:szCs w:val="20"/>
          <w:color w:val="auto"/>
        </w:rPr>
      </w:pPr>
    </w:p>
    <w:p>
      <w:pPr>
        <w:ind w:firstLine="749"/>
        <w:spacing w:after="0" w:line="296" w:lineRule="auto"/>
        <w:rPr>
          <w:sz w:val="20"/>
          <w:szCs w:val="20"/>
          <w:color w:val="auto"/>
        </w:rPr>
      </w:pPr>
      <w:r>
        <w:rPr>
          <w:rFonts w:ascii="Times New Roman" w:cs="Times New Roman" w:eastAsia="Times New Roman" w:hAnsi="Times New Roman"/>
          <w:sz w:val="20"/>
          <w:szCs w:val="20"/>
          <w:b w:val="1"/>
          <w:bCs w:val="1"/>
          <w:u w:val="single" w:color="auto"/>
          <w:color w:val="auto"/>
        </w:rPr>
        <w:t>Section 3.03</w:t>
      </w:r>
      <w:r>
        <w:rPr>
          <w:rFonts w:ascii="Times New Roman" w:cs="Times New Roman" w:eastAsia="Times New Roman" w:hAnsi="Times New Roman"/>
          <w:sz w:val="17"/>
          <w:szCs w:val="17"/>
          <w:u w:val="single" w:color="auto"/>
          <w:color w:val="auto"/>
        </w:rPr>
        <w:t>Other Terminations; Accrued Amounts</w:t>
      </w:r>
      <w:r>
        <w:rPr>
          <w:rFonts w:ascii="Times New Roman" w:cs="Times New Roman" w:eastAsia="Times New Roman" w:hAnsi="Times New Roman"/>
          <w:sz w:val="17"/>
          <w:szCs w:val="17"/>
          <w:color w:val="auto"/>
        </w:rPr>
        <w:t>. In the event that a Participant’s employment with the Company and its Subsidiaries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terminated for any reason other than as set forth in Sections 3.1 - 3.2 above, such Participant shall only be entitled to the Accrued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6381115</wp:posOffset>
            </wp:positionH>
            <wp:positionV relativeFrom="paragraph">
              <wp:posOffset>-58420</wp:posOffset>
            </wp:positionV>
            <wp:extent cx="285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3.04</w:t>
      </w:r>
      <w:r>
        <w:rPr>
          <w:rFonts w:ascii="Times New Roman" w:cs="Times New Roman" w:eastAsia="Times New Roman" w:hAnsi="Times New Roman"/>
          <w:sz w:val="17"/>
          <w:szCs w:val="17"/>
          <w:u w:val="single" w:color="auto"/>
          <w:color w:val="auto"/>
        </w:rPr>
        <w:t>General Release; Restrictive Covenants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-8255</wp:posOffset>
            </wp:positionV>
            <wp:extent cx="285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17" w:lineRule="exact"/>
        <w:rPr>
          <w:sz w:val="20"/>
          <w:szCs w:val="20"/>
          <w:color w:val="auto"/>
        </w:rPr>
      </w:pPr>
    </w:p>
    <w:p>
      <w:pPr>
        <w:jc w:val="both"/>
        <w:ind w:left="760" w:firstLine="1494"/>
        <w:spacing w:after="0" w:line="250" w:lineRule="auto"/>
        <w:tabs>
          <w:tab w:leader="none" w:pos="255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Notwithstanding anything herein to the contrary, a Participant shall not be entitled to receive any payments or benefits, other than the Accrued Amounts, pursuant to </w:t>
      </w:r>
      <w:r>
        <w:rPr>
          <w:rFonts w:ascii="Times New Roman" w:cs="Times New Roman" w:eastAsia="Times New Roman" w:hAnsi="Times New Roman"/>
          <w:sz w:val="18"/>
          <w:szCs w:val="18"/>
          <w:u w:val="single" w:color="auto"/>
          <w:color w:val="auto"/>
        </w:rPr>
        <w:t>Sections 3.1 - 3.3</w:t>
      </w:r>
      <w:r>
        <w:rPr>
          <w:rFonts w:ascii="Times New Roman" w:cs="Times New Roman" w:eastAsia="Times New Roman" w:hAnsi="Times New Roman"/>
          <w:sz w:val="18"/>
          <w:szCs w:val="18"/>
          <w:color w:val="auto"/>
        </w:rPr>
        <w:t xml:space="preserve"> hereof (and such Participant shall forfeit all rights to such payments) unless such Participant has executed, delivered to the Company and not revoked a general release agreement, in a substantially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and such General Release has become effective no later than 55 calendar days following the Termination Date, and such Participant shall be entitled to receive such payments and benefits only for so long as such Participant has not materially breached any of the provisions of the General Release or the Restrictive Covenants.</w:t>
      </w:r>
    </w:p>
    <w:p>
      <w:pPr>
        <w:spacing w:after="0" w:line="206" w:lineRule="exact"/>
        <w:rPr>
          <w:rFonts w:ascii="Times New Roman" w:cs="Times New Roman" w:eastAsia="Times New Roman" w:hAnsi="Times New Roman"/>
          <w:sz w:val="20"/>
          <w:szCs w:val="20"/>
          <w:color w:val="auto"/>
        </w:rPr>
      </w:pPr>
    </w:p>
    <w:p>
      <w:pPr>
        <w:jc w:val="both"/>
        <w:ind w:left="760" w:firstLine="1494"/>
        <w:spacing w:after="0" w:line="251" w:lineRule="auto"/>
        <w:tabs>
          <w:tab w:leader="none" w:pos="255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If the General Release is executed and delivered and no longer subject to revocation as provided in the preceding sentence, then any cash payments due to a Participant shall be paid (subject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accordance with the provisions of </w:t>
      </w:r>
      <w:r>
        <w:rPr>
          <w:rFonts w:ascii="Times New Roman" w:cs="Times New Roman" w:eastAsia="Times New Roman" w:hAnsi="Times New Roman"/>
          <w:sz w:val="18"/>
          <w:szCs w:val="18"/>
          <w:u w:val="single" w:color="auto"/>
          <w:color w:val="auto"/>
        </w:rPr>
        <w:t>Sections 3.1 -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as applicable. Notwithstanding the foregoing, if the 55 calendar day period begins in one calendar year and ends in another calendar year and all or any portion of such payments constitute non-exempt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77" w:name="page78"/>
    <w:bookmarkEnd w:id="77"/>
    <w:p>
      <w:pPr>
        <w:jc w:val="center"/>
        <w:ind w:right="-79"/>
        <w:spacing w:after="0"/>
        <w:rPr>
          <w:sz w:val="20"/>
          <w:szCs w:val="20"/>
          <w:color w:val="auto"/>
        </w:rPr>
      </w:pPr>
      <w:r>
        <w:rPr>
          <w:rFonts w:ascii="Times New Roman" w:cs="Times New Roman" w:eastAsia="Times New Roman" w:hAnsi="Times New Roman"/>
          <w:sz w:val="18"/>
          <w:szCs w:val="18"/>
          <w:color w:val="auto"/>
        </w:rPr>
        <w:t>compensation for purposes of Section 409A (as defined below), then none of such payments shall begin until such second calendar year.</w:t>
      </w:r>
    </w:p>
    <w:p>
      <w:pPr>
        <w:spacing w:after="0" w:line="238" w:lineRule="exact"/>
        <w:rPr>
          <w:sz w:val="20"/>
          <w:szCs w:val="20"/>
          <w:color w:val="auto"/>
        </w:rPr>
      </w:pPr>
    </w:p>
    <w:p>
      <w:pPr>
        <w:jc w:val="both"/>
        <w:ind w:left="760" w:firstLine="1494"/>
        <w:spacing w:after="0" w:line="250" w:lineRule="auto"/>
        <w:tabs>
          <w:tab w:leader="none" w:pos="255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Notwithstanding anything to the contrary contained herein, nothing in this Plan or the Restrictive Covenants prohibits a Participant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Plan: (i) a Participant shall not be in breach of this Plan,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a Participant files a lawsuit for retaliation by the Company for reporting a suspected violation of law, a Participant may disclose the trade secret to such Participant’s attorney, and may use the trade secret information in the court proceeding, if a Participant files any document containing the trade secret under seal, and does not disclose the trade secret, except pursuant to court order. In addition, nothing in this Plan, the Restrictive Covenants or any General Release shall prevent a Participant from (x)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(y) exercising any rights a Participant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a Participant has reason to believe is unlawful.</w:t>
      </w:r>
    </w:p>
    <w:p>
      <w:pPr>
        <w:spacing w:after="0" w:line="18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b w:val="1"/>
          <w:bCs w:val="1"/>
          <w:u w:val="single" w:color="auto"/>
          <w:color w:val="auto"/>
        </w:rPr>
        <w:t>Section 3.05</w:t>
      </w:r>
      <w:r>
        <w:rPr>
          <w:rFonts w:ascii="Times New Roman" w:cs="Times New Roman" w:eastAsia="Times New Roman" w:hAnsi="Times New Roman"/>
          <w:sz w:val="17"/>
          <w:szCs w:val="17"/>
          <w:u w:val="single" w:color="auto"/>
          <w:color w:val="auto"/>
        </w:rPr>
        <w:t>Termination Notices</w:t>
      </w:r>
      <w:r>
        <w:rPr>
          <w:rFonts w:ascii="Times New Roman" w:cs="Times New Roman" w:eastAsia="Times New Roman" w:hAnsi="Times New Roman"/>
          <w:sz w:val="17"/>
          <w:szCs w:val="17"/>
          <w:color w:val="auto"/>
        </w:rPr>
        <w:t>. For purposes of this Plan, any purported termination of a Participant’s employment by the Company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Subsidiary or by such Participant (other than due to such Participant’s death) shall be communicated by written notice to the other party, which notice shall</w:t>
      </w:r>
    </w:p>
    <w:p>
      <w:pPr>
        <w:jc w:val="both"/>
        <w:ind w:firstLine="8"/>
        <w:spacing w:after="0" w:line="252" w:lineRule="auto"/>
        <w:tabs>
          <w:tab w:leader="none" w:pos="26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the specific termination provision in this Plan relied upon, if any, (b) set forth in reasonable detail the facts and circumstances claimed to provide a basis for termination of the Participant’s employment under the provision so indicated, and (c) specifying the Termination Date (if applicable) (each, a “</w:t>
      </w:r>
      <w:r>
        <w:rPr>
          <w:rFonts w:ascii="Times New Roman" w:cs="Times New Roman" w:eastAsia="Times New Roman" w:hAnsi="Times New Roman"/>
          <w:sz w:val="18"/>
          <w:szCs w:val="18"/>
          <w:u w:val="single" w:color="auto"/>
          <w:color w:val="auto"/>
        </w:rPr>
        <w:t>Termination Notice</w:t>
      </w:r>
      <w:r>
        <w:rPr>
          <w:rFonts w:ascii="Times New Roman" w:cs="Times New Roman" w:eastAsia="Times New Roman" w:hAnsi="Times New Roman"/>
          <w:sz w:val="18"/>
          <w:szCs w:val="18"/>
          <w:color w:val="auto"/>
        </w:rPr>
        <w:t>”). The failure by the Company to set forth in the Termination Notice all of the facts and circumstances which contribute to a showing of Cause (as defined below) shall not waive any right of the Company hereunder or preclude the Company from asserting such fact or circumstance in enforcing its rights hereunder.</w:t>
      </w:r>
    </w:p>
    <w:p>
      <w:pPr>
        <w:spacing w:after="0" w:line="18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Section 3.06</w:t>
      </w:r>
      <w:r>
        <w:rPr>
          <w:rFonts w:ascii="Times New Roman" w:cs="Times New Roman" w:eastAsia="Times New Roman" w:hAnsi="Times New Roman"/>
          <w:sz w:val="17"/>
          <w:szCs w:val="17"/>
          <w:u w:val="single" w:color="auto"/>
          <w:color w:val="auto"/>
        </w:rPr>
        <w:t>Resignation of Offices and Directorships; Full Settlement</w:t>
      </w:r>
      <w:r>
        <w:rPr>
          <w:rFonts w:ascii="Times New Roman" w:cs="Times New Roman" w:eastAsia="Times New Roman" w:hAnsi="Times New Roman"/>
          <w:sz w:val="17"/>
          <w:szCs w:val="17"/>
          <w:color w:val="auto"/>
        </w:rPr>
        <w:t>. Upon a termination of a Participant’s employment for any reason,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otherwise specified in a written agreement between the Participant and the Company, the Participant shall be deemed to have resigned from all offices, directorships and other employment positions then held with the Company or its Subsidiaries and shall take all actions reasonably requested by the Company to effectuate the foregoing. Except as expressly provided in the Plan, the Company shall have no further obligations, and the Participant shall have no further rights or entitlements, in connection with or following the Participant’s termination of employment.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3.07</w:t>
      </w:r>
      <w:r>
        <w:rPr>
          <w:rFonts w:ascii="Times New Roman" w:cs="Times New Roman" w:eastAsia="Times New Roman" w:hAnsi="Times New Roman"/>
          <w:sz w:val="17"/>
          <w:szCs w:val="17"/>
          <w:u w:val="single" w:color="auto"/>
          <w:color w:val="auto"/>
        </w:rPr>
        <w:t>Return of Property</w:t>
      </w:r>
      <w:r>
        <w:rPr>
          <w:rFonts w:ascii="Times New Roman" w:cs="Times New Roman" w:eastAsia="Times New Roman" w:hAnsi="Times New Roman"/>
          <w:sz w:val="17"/>
          <w:szCs w:val="17"/>
          <w:color w:val="auto"/>
        </w:rPr>
        <w:t>. Upon the termination of a Participant’s employment for any reason, the Participant shall return to the Company</w:t>
      </w:r>
    </w:p>
    <w:p>
      <w:pPr>
        <w:spacing w:after="0" w:line="28" w:lineRule="exact"/>
        <w:rPr>
          <w:sz w:val="20"/>
          <w:szCs w:val="20"/>
          <w:color w:val="auto"/>
        </w:rPr>
      </w:pPr>
    </w:p>
    <w:p>
      <w:pPr>
        <w:jc w:val="both"/>
        <w:ind w:firstLine="8"/>
        <w:spacing w:after="0" w:line="252" w:lineRule="auto"/>
        <w:tabs>
          <w:tab w:leader="none" w:pos="2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keys, files, records (and copies thereof), equipment (including, but not limited to, computer hardware, software and printers, wireless handheld devices, cellular phones and pagers), access or credit cards, Company identification, and any other Company-owned property in the Participant’s possession or control, and (ii) all documents and copies, including hard and electronic copies, of documents in the Participant’s possession relating to any proprietary information, including, without limitation, internal and external business forms, manuals, correspondence, notes and computer programs, and Participant shall not make or retain any copy or extract of any of the foregoing.</w:t>
      </w:r>
    </w:p>
    <w:p>
      <w:pPr>
        <w:spacing w:after="0" w:line="17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b w:val="1"/>
          <w:bCs w:val="1"/>
          <w:u w:val="single" w:color="auto"/>
          <w:color w:val="auto"/>
        </w:rPr>
        <w:t>Section 3.08</w:t>
      </w:r>
      <w:r>
        <w:rPr>
          <w:rFonts w:ascii="Times New Roman" w:cs="Times New Roman" w:eastAsia="Times New Roman" w:hAnsi="Times New Roman"/>
          <w:sz w:val="17"/>
          <w:szCs w:val="17"/>
          <w:u w:val="single" w:color="auto"/>
          <w:color w:val="auto"/>
        </w:rPr>
        <w:t>No Mitigation</w:t>
      </w:r>
      <w:r>
        <w:rPr>
          <w:rFonts w:ascii="Times New Roman" w:cs="Times New Roman" w:eastAsia="Times New Roman" w:hAnsi="Times New Roman"/>
          <w:sz w:val="17"/>
          <w:szCs w:val="17"/>
          <w:color w:val="auto"/>
        </w:rPr>
        <w:t>. Except as provided in Section 5.3, the Company’s obligation to make payments and provide benefits under this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and otherwise to perform its obligations hereunder shall not be affected by any set-off, counterclaim, recoupment, defense or other claim, right or action which the Company may have against a Participant or others. In no event shall a Participant be obligated to seek other employment or take any other action by way of mitigation of the amounts payable to such Participant under any of the provisions of this Plan, and such amounts shall not be reduced whether or not such Participant obtains other employment.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ON SEVERANCE AND RELATED TERMINATION BENEFITS</w:t>
      </w:r>
    </w:p>
    <w:p>
      <w:pPr>
        <w:spacing w:after="0" w:line="19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b w:val="1"/>
          <w:bCs w:val="1"/>
          <w:u w:val="single" w:color="auto"/>
          <w:color w:val="auto"/>
        </w:rPr>
        <w:t>Section 4.01</w:t>
      </w:r>
      <w:r>
        <w:rPr>
          <w:rFonts w:ascii="Times New Roman" w:cs="Times New Roman" w:eastAsia="Times New Roman" w:hAnsi="Times New Roman"/>
          <w:sz w:val="17"/>
          <w:szCs w:val="17"/>
          <w:u w:val="single" w:color="auto"/>
          <w:color w:val="auto"/>
        </w:rPr>
        <w:t>Parachute Payment Limitations</w:t>
      </w:r>
      <w:r>
        <w:rPr>
          <w:rFonts w:ascii="Times New Roman" w:cs="Times New Roman" w:eastAsia="Times New Roman" w:hAnsi="Times New Roman"/>
          <w:sz w:val="17"/>
          <w:szCs w:val="17"/>
          <w:color w:val="auto"/>
        </w:rPr>
        <w:t>. Notwithstanding anything to the contrary contained in this Plan (or any other agreement entered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into by and between a Participant and the Company or any Subsidiary or any incentive arrangement or plan offered by the Company or any Subsidiary), in the event that any amount or benefit paid or distributed to a Participant pursuant to this Plan, taken together with any amounts or benefits otherwise paid to such Participant by the Company or any Subsidiary (collectively, the “</w:t>
      </w:r>
      <w:r>
        <w:rPr>
          <w:rFonts w:ascii="Times New Roman" w:cs="Times New Roman" w:eastAsia="Times New Roman" w:hAnsi="Times New Roman"/>
          <w:sz w:val="17"/>
          <w:szCs w:val="17"/>
          <w:u w:val="single" w:color="auto"/>
          <w:color w:val="auto"/>
        </w:rPr>
        <w:t>Covered Payments</w:t>
      </w:r>
      <w:r>
        <w:rPr>
          <w:rFonts w:ascii="Times New Roman" w:cs="Times New Roman" w:eastAsia="Times New Roman" w:hAnsi="Times New Roman"/>
          <w:sz w:val="17"/>
          <w:szCs w:val="17"/>
          <w:color w:val="auto"/>
        </w:rPr>
        <w:t>”), would constitute an “excess parachute payment” as defined in Section 280G of the Code, and would thereby subject such Participant to an excise tax under Section 4999 of the Code (an “</w:t>
      </w:r>
      <w:r>
        <w:rPr>
          <w:rFonts w:ascii="Times New Roman" w:cs="Times New Roman" w:eastAsia="Times New Roman" w:hAnsi="Times New Roman"/>
          <w:sz w:val="17"/>
          <w:szCs w:val="17"/>
          <w:u w:val="single" w:color="auto"/>
          <w:color w:val="auto"/>
        </w:rPr>
        <w:t>Excise Tax</w:t>
      </w:r>
      <w:r>
        <w:rPr>
          <w:rFonts w:ascii="Times New Roman" w:cs="Times New Roman" w:eastAsia="Times New Roman" w:hAnsi="Times New Roman"/>
          <w:sz w:val="17"/>
          <w:szCs w:val="17"/>
          <w:color w:val="auto"/>
        </w:rPr>
        <w:t>”), the provisions of this Section 4.1 shall apply. If the aggregate present value (as determined for purposes of Section 280G of the Code) of the Covered Payments exceeds the amount which can be paid to a Participant without such Participant incurring an Excise Tax, then, solely to the extent that such Participant would be better off on an after tax basis by receiving the maximum amount which may be paid hereunder without such Participant becoming subject to the Excise Tax, the amounts payable to such Participant under this Plan (or any other agreement entered into by and between a Participant and the Company or any Subsidiary or any incentive arrangement or plan offered by the Company or any Subsidiary) shall be reduced (but not below zero) to the maximum amount which may be paid hereunder without such Participant becoming subject to the Excise Tax (such reduced payments to be referred to as the “Payment Cap”). The determination of whether Covered Payments would result in the application of the Excise Tax, and the amount of reduction that is necessary so that no such Excise Tax would be applied, shall be made, at the Company’s expense, by the independent accounting firm employed by the Company immediately prior to the occurrence of the Change in Control.</w:t>
      </w:r>
    </w:p>
    <w:p>
      <w:pPr>
        <w:spacing w:after="0" w:line="3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Section 4.02</w:t>
      </w:r>
      <w:r>
        <w:rPr>
          <w:rFonts w:ascii="Times New Roman" w:cs="Times New Roman" w:eastAsia="Times New Roman" w:hAnsi="Times New Roman"/>
          <w:sz w:val="17"/>
          <w:szCs w:val="17"/>
          <w:u w:val="single" w:color="auto"/>
          <w:color w:val="auto"/>
        </w:rPr>
        <w:t>Compliance with Code Section 409A.</w:t>
      </w:r>
    </w:p>
    <w:p>
      <w:pPr>
        <w:spacing w:after="0" w:line="237" w:lineRule="exact"/>
        <w:rPr>
          <w:sz w:val="20"/>
          <w:szCs w:val="20"/>
          <w:color w:val="auto"/>
        </w:rPr>
      </w:pPr>
    </w:p>
    <w:p>
      <w:pPr>
        <w:jc w:val="both"/>
        <w:ind w:left="760" w:firstLine="1494"/>
        <w:spacing w:after="0" w:line="250" w:lineRule="auto"/>
        <w:tabs>
          <w:tab w:leader="none" w:pos="255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Plan is intended to comply with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or an exemption thereunder. This Plan shall be construed, interpreted and administered to the extent possible in a manner that does not result in the imposition on any Participant of any additional tax, penalty or interest under Section 409A. Any payments under this Plan that may be excluded from Section 409A either as separation pay due to an involuntary separation from service or as a short-term deferral shall be excluded from Section 409A to the maximum extent possible. If any payment or benefit cannot be provided or made at the time specified herein without the imposition on a Participant of any additional tax, penalty or interest under Section 409A, then such benefit or payment shall be provided in full at the earliest time thereafter when such additional tax, penalty or interest will not be imposed. For purposes of Section 409A: (i) any payments to be made under this Plan upon a termination of employment that constitute “nonqualified deferred compensation” within the meaning of Section 409A shall only be made if such termination of employment constitutes a “separation from service” under Section 409A; (ii) each payment made under this Plan shall be treated as a separate payment; and (iii) the right to a series of installment payments under this Plan is to be treated as a right to a series of separate payments. In no event shall any Participant, directly or indirectly, designate the calendar year of payment.</w:t>
      </w:r>
    </w:p>
    <w:p>
      <w:pPr>
        <w:spacing w:after="0" w:line="206" w:lineRule="exact"/>
        <w:rPr>
          <w:rFonts w:ascii="Times New Roman" w:cs="Times New Roman" w:eastAsia="Times New Roman" w:hAnsi="Times New Roman"/>
          <w:sz w:val="20"/>
          <w:szCs w:val="20"/>
          <w:color w:val="auto"/>
        </w:rPr>
      </w:pPr>
    </w:p>
    <w:p>
      <w:pPr>
        <w:jc w:val="both"/>
        <w:ind w:left="760" w:firstLine="1494"/>
        <w:spacing w:after="0" w:line="268" w:lineRule="auto"/>
        <w:tabs>
          <w:tab w:leader="none" w:pos="255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All reimbursements and in-kind benefits provided under this Plan shall be made or provided in accordance with the requirements of Section 409A, including, where applicable, the requirements that: (i) any reimbursement is for expenses incurred during a Participant’s lifetime (or during a shorter period of time specified in this Plan); (ii) the amount of expenses eligible for reimbursement, or in-kind benefits provided, during a calendar year may not affect the expenses eligible for reimbursement, or in-kind benefits to be provided, in any other calendar year; (iii) the reimbursement of an eligible expense will be made on or before the last day of the calendar year following the year in which the expense is incurred; and (iv) the right to reimbursement or in-kind benefits is not subject to liquidation or exchange for another benefit.</w:t>
      </w:r>
    </w:p>
    <w:p>
      <w:pPr>
        <w:spacing w:after="0" w:line="188" w:lineRule="exact"/>
        <w:rPr>
          <w:rFonts w:ascii="Times New Roman" w:cs="Times New Roman" w:eastAsia="Times New Roman" w:hAnsi="Times New Roman"/>
          <w:sz w:val="19"/>
          <w:szCs w:val="19"/>
          <w:color w:val="auto"/>
        </w:rPr>
      </w:pPr>
    </w:p>
    <w:p>
      <w:pPr>
        <w:jc w:val="both"/>
        <w:ind w:left="760" w:firstLine="1494"/>
        <w:spacing w:after="0" w:line="250" w:lineRule="auto"/>
        <w:tabs>
          <w:tab w:leader="none" w:pos="255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Notwithstanding any provision in this Plan to the contrary, if, at the time of a Participant’s separation from service with the Company, the Company has securities which are publicly traded on an established securities market, such Participant is a “specified employee” (as defined in Section 409A) and it is necessary to delay the commencement of any severance payments otherwise payable pursuant to this Plan as a result of such separation from service to prevent any accelerated or additional tax under Section 409A, then the Company will delay the commencement of the payment of any such payments or benefits hereunder (without any reduction in such payments or benefits ultimately paid or provided to Participant) that are not otherwise exempt from Section 409A until the first payroll date that occurs after the date that is six (6) months following Participant’s separation from service with the Company (as determined under Section 409A). If any payments are delayed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c). then such delayed amounts will be paid in a lump sum, without interest, to a Participant on the first payroll date that occurs after the date that is six (6) months following such Participant’s separation from service with the Company. If a Participant dies during such period prior to the payment of any delayed amount, such amount shall be paid to the personal representative of such Participant’s estate within sixty (60) days after the date of Participant’s death.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9" w:name="page80"/>
    <w:bookmarkEnd w:id="79"/>
    <w:p>
      <w:pPr>
        <w:jc w:val="both"/>
        <w:ind w:left="760" w:firstLine="1494"/>
        <w:spacing w:after="0" w:line="251" w:lineRule="auto"/>
        <w:tabs>
          <w:tab w:leader="none" w:pos="255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Notwithstanding the foregoing, the Company makes no representations that the payments and benefits provided under this Plan comply with Section 409A and in no event shall the Company be liable for all or any portion of any taxes, penalties, interest or other expenses that may be incurred by a Participant on account of non-compliance with Section 409A.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96"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0"/>
          <w:szCs w:val="20"/>
          <w:b w:val="1"/>
          <w:bCs w:val="1"/>
          <w:u w:val="single" w:color="auto"/>
          <w:color w:val="auto"/>
        </w:rPr>
        <w:t>Section 5.01</w:t>
      </w:r>
      <w:r>
        <w:rPr>
          <w:rFonts w:ascii="Times New Roman" w:cs="Times New Roman" w:eastAsia="Times New Roman" w:hAnsi="Times New Roman"/>
          <w:sz w:val="17"/>
          <w:szCs w:val="17"/>
          <w:u w:val="single" w:color="auto"/>
          <w:color w:val="auto"/>
        </w:rPr>
        <w:t>Effect on Other Plans</w:t>
      </w:r>
      <w:r>
        <w:rPr>
          <w:rFonts w:ascii="Times New Roman" w:cs="Times New Roman" w:eastAsia="Times New Roman" w:hAnsi="Times New Roman"/>
          <w:sz w:val="17"/>
          <w:szCs w:val="17"/>
          <w:color w:val="auto"/>
        </w:rPr>
        <w:t>. This Plan shall be the only plan, agreement or arrangement with respect to which benefits may be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to a Covered Employee upon a termination of employment and supersedes all prior agreements, arrangements or related communications of the Company or its Subsidiaries relating to separation benefits or accelerated vesting benefits for the Participants, whether formal or informal, or written or unwritten. Subject to the foregoing, any benefits under this Plan will be provided to a Participant in lieu of benefits under any other separation plan or agreement. Notwithstanding the foregoing, the terms of the Incentive Plan and any applicable award agreement shall continue to govern the terms of any such equity awards and any treatment thereunder shall continue to apply to such equity awards to the extent more favorable than the treatment set forth in this Plan.</w:t>
      </w:r>
    </w:p>
    <w:p>
      <w:pPr>
        <w:spacing w:after="0" w:line="16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b w:val="1"/>
          <w:bCs w:val="1"/>
          <w:u w:val="single" w:color="auto"/>
          <w:color w:val="auto"/>
        </w:rPr>
        <w:t>Section 5.02</w:t>
      </w:r>
      <w:r>
        <w:rPr>
          <w:rFonts w:ascii="Times New Roman" w:cs="Times New Roman" w:eastAsia="Times New Roman" w:hAnsi="Times New Roman"/>
          <w:sz w:val="17"/>
          <w:szCs w:val="17"/>
          <w:u w:val="single" w:color="auto"/>
          <w:color w:val="auto"/>
        </w:rPr>
        <w:t>Plan Unfunded; Participant’s Rights Unsecured</w:t>
      </w:r>
      <w:r>
        <w:rPr>
          <w:rFonts w:ascii="Times New Roman" w:cs="Times New Roman" w:eastAsia="Times New Roman" w:hAnsi="Times New Roman"/>
          <w:sz w:val="17"/>
          <w:szCs w:val="17"/>
          <w:color w:val="auto"/>
        </w:rPr>
        <w:t>. This Plan shall be maintained in a manner to be considered “unfunded”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purposes of ERISA. The Company shall be required to make payments only as benefits become due and payable. No person shall have any right, other than the right of an unsecured general creditor against the Company, with respect to the benefits payable hereunder, or which may be payable hereunder, to any Participant, surviving spouse or beneficiary hereunder. If the Company, acting in its sole discretion, establishes a reserve or other fund associated with this Plan, no person shall have any right to or interest in any specific amount or asset of such reserve or fund by reason of amounts which may be payable to such person under this Plan, nor shall such person have any right to receive any payment under this Plan except as and to the extent expressly provided in this Plan. The assets in any such reserve or fund shall be part of the general assets of the Company, subject to the control of the Company. The Company shall not be required to establish any special or separate fund or make any other segregation of funds or assets to assure the payment of any benefit hereunder.</w:t>
      </w:r>
    </w:p>
    <w:p>
      <w:pPr>
        <w:spacing w:after="0" w:line="39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b w:val="1"/>
          <w:bCs w:val="1"/>
          <w:u w:val="single" w:color="auto"/>
          <w:color w:val="auto"/>
        </w:rPr>
        <w:t>Section 5.03</w:t>
      </w:r>
      <w:r>
        <w:rPr>
          <w:rFonts w:ascii="Times New Roman" w:cs="Times New Roman" w:eastAsia="Times New Roman" w:hAnsi="Times New Roman"/>
          <w:sz w:val="17"/>
          <w:szCs w:val="17"/>
          <w:u w:val="single" w:color="auto"/>
          <w:color w:val="auto"/>
        </w:rPr>
        <w:t>Recoupment</w:t>
      </w:r>
      <w:r>
        <w:rPr>
          <w:rFonts w:ascii="Times New Roman" w:cs="Times New Roman" w:eastAsia="Times New Roman" w:hAnsi="Times New Roman"/>
          <w:sz w:val="17"/>
          <w:szCs w:val="17"/>
          <w:color w:val="auto"/>
        </w:rPr>
        <w:t>. Notwithstanding any other provision of this Plan to the contrary, the compensation payable hereunder shall be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to (i) any clawback or recoupment policy of the Company required in order to comply with applicable law, including the Dodd-Frank Wall Street Reform and Consumer Protection Act and any rules or regulations promulgated thereunder and (ii) any clawback or recoupment policy of the Company approved by the Board or Compensation Committee which applies to the Company’s senior executives. This Section 5.3 is not intended to limit any clawback and/or disgorgement of such compensation pursuant to Section 304 of the Sarbanes-Oxley Act of 2002.</w:t>
      </w:r>
    </w:p>
    <w:p>
      <w:pPr>
        <w:spacing w:after="0" w:line="16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Section 5.04</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waiver of any provision of this Plan or any Participation Agreement shall be effective unless made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signed by the waiving person or entity. The failure of any person or entity to require the performance of any term or obligation of this Plan or any Participation Agreement, or the waiver by any person or entity of any breach of this Plan or any Participation Agreement, shall not prevent any subsequent enforcement of such term or obligation or be deemed a waiver of any subsequent breach.</w:t>
      </w:r>
    </w:p>
    <w:p>
      <w:pPr>
        <w:spacing w:after="0" w:line="16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b w:val="1"/>
          <w:bCs w:val="1"/>
          <w:u w:val="single" w:color="auto"/>
          <w:color w:val="auto"/>
        </w:rPr>
        <w:t>Section 5.05</w:t>
      </w:r>
      <w:r>
        <w:rPr>
          <w:rFonts w:ascii="Times New Roman" w:cs="Times New Roman" w:eastAsia="Times New Roman" w:hAnsi="Times New Roman"/>
          <w:sz w:val="17"/>
          <w:szCs w:val="17"/>
          <w:u w:val="single" w:color="auto"/>
          <w:color w:val="auto"/>
        </w:rPr>
        <w:t>Amendment; Termination</w:t>
      </w:r>
      <w:r>
        <w:rPr>
          <w:rFonts w:ascii="Times New Roman" w:cs="Times New Roman" w:eastAsia="Times New Roman" w:hAnsi="Times New Roman"/>
          <w:sz w:val="17"/>
          <w:szCs w:val="17"/>
          <w:color w:val="auto"/>
        </w:rPr>
        <w:t>. The Company may amend or terminate this Plan at any time or from time to time for any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Sections 5.12 and 5.13 of this Plan and any Restrictive Covenants shall survive the termination of this Plan. The Company shall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notice to Participants within 15 days of any amendment or termination of the Plan. For purposes hereof, an amendment or termination of this Plan shall not materially and adversely affect the rights of any Participant whose employment was terminated for any reason or no reason prior to the date of such amendment or termination. Notwithstanding the foregoing: (a) a Participant’s right to receive payments and benefits pursuant to the Plan upon a termination of the Participant’s employment shall not be adversely affected without such Participant’s written consent by an amendment or termination of the Plan made within 12 months prior to such termination of employment; and (b) a Participant’s right to receive payments and benefits pursuant to this Plan in connection with a termination of the Participant’s employment occurring within 12 months following a Change in Control shall not be adversely affected without such Participant’s consent by an amendment or termination of this Plan occurring within 12 months before or after such Change in Control. Notwithstanding the foregoing, this Plan shall terminate without further action when all of the obligations to Participants hereunder have been satisfied in full.</w:t>
      </w:r>
    </w:p>
    <w:p>
      <w:pPr>
        <w:spacing w:after="0" w:line="3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5.06</w:t>
      </w:r>
      <w:r>
        <w:rPr>
          <w:rFonts w:ascii="Times New Roman" w:cs="Times New Roman" w:eastAsia="Times New Roman" w:hAnsi="Times New Roman"/>
          <w:sz w:val="17"/>
          <w:szCs w:val="17"/>
          <w:u w:val="single" w:color="auto"/>
          <w:color w:val="auto"/>
        </w:rPr>
        <w:t>Administration.</w:t>
      </w:r>
    </w:p>
    <w:p>
      <w:pPr>
        <w:spacing w:after="0" w:line="237" w:lineRule="exact"/>
        <w:rPr>
          <w:sz w:val="20"/>
          <w:szCs w:val="20"/>
          <w:color w:val="auto"/>
        </w:rPr>
      </w:pPr>
    </w:p>
    <w:p>
      <w:pPr>
        <w:jc w:val="both"/>
        <w:ind w:left="760" w:firstLine="1494"/>
        <w:spacing w:after="0" w:line="251" w:lineRule="auto"/>
        <w:tabs>
          <w:tab w:leader="none" w:pos="255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The Compensation Committee shall have full and final authority to make determinations with respect to the administration of this Plan, to construe and interpret its provisions and to take all other actions deemed necessary or advisable for the proper administration of this Plan, but such authority shall be subject to the provisions of this Plan; </w:t>
      </w:r>
      <w:r>
        <w:rPr>
          <w:rFonts w:ascii="Times New Roman" w:cs="Times New Roman" w:eastAsia="Times New Roman" w:hAnsi="Times New Roman"/>
          <w:sz w:val="18"/>
          <w:szCs w:val="18"/>
          <w:i w:val="1"/>
          <w:iCs w:val="1"/>
          <w:color w:val="auto"/>
        </w:rPr>
        <w:t>provided,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80" w:name="page81"/>
    <w:bookmarkEnd w:id="80"/>
    <w:p>
      <w:pPr>
        <w:jc w:val="both"/>
        <w:ind w:left="760"/>
        <w:spacing w:after="0" w:line="261" w:lineRule="auto"/>
        <w:rPr>
          <w:sz w:val="20"/>
          <w:szCs w:val="20"/>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permitted by applicable law, the Compensation Committee may from time to time delegate such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a committee of one or more members of the Board or one or more officers of the Company, except that in no event shall any such administrative authority be delegated to an officer with respect to such officer’s status as a Participant. No discretionary action by the Compensation Committee shall amend or supersede the express provisions of this Plan.</w:t>
      </w:r>
    </w:p>
    <w:p>
      <w:pPr>
        <w:spacing w:after="0" w:line="194" w:lineRule="exact"/>
        <w:rPr>
          <w:sz w:val="20"/>
          <w:szCs w:val="20"/>
          <w:color w:val="auto"/>
        </w:rPr>
      </w:pPr>
    </w:p>
    <w:p>
      <w:pPr>
        <w:jc w:val="both"/>
        <w:ind w:left="760" w:firstLine="1494"/>
        <w:spacing w:after="0" w:line="250" w:lineRule="auto"/>
        <w:tabs>
          <w:tab w:leader="none" w:pos="255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 shall indemnify and hold harmless each member of the Compensation Committee against any and all expenses and liabilities arising out of his or her administrative functions or fiduciary responsibilities, including any expenses and liabilities that are caused by or result from an act or omission constituting the negligence of such member in the performance of such functions or responsibilities to the fullest extent permitted by applicable law. Expenses against which such member shall be indemnified hereunder shall include, without limitation, the amounts of any settlement or judgment, costs, counsel fees and related charges reasonably incurred in connection with a claim asserted or a proceeding brought or settlement thereof.</w:t>
      </w:r>
    </w:p>
    <w:p>
      <w:pPr>
        <w:spacing w:after="0" w:line="184"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0"/>
          <w:szCs w:val="20"/>
          <w:b w:val="1"/>
          <w:bCs w:val="1"/>
          <w:u w:val="single" w:color="auto"/>
          <w:color w:val="auto"/>
        </w:rPr>
        <w:t>Section 5.07</w:t>
      </w:r>
      <w:r>
        <w:rPr>
          <w:rFonts w:ascii="Times New Roman" w:cs="Times New Roman" w:eastAsia="Times New Roman" w:hAnsi="Times New Roman"/>
          <w:sz w:val="17"/>
          <w:szCs w:val="17"/>
          <w:u w:val="single" w:color="auto"/>
          <w:color w:val="auto"/>
        </w:rPr>
        <w:t>Certain Corporate Transactions</w:t>
      </w:r>
      <w:r>
        <w:rPr>
          <w:rFonts w:ascii="Times New Roman" w:cs="Times New Roman" w:eastAsia="Times New Roman" w:hAnsi="Times New Roman"/>
          <w:sz w:val="17"/>
          <w:szCs w:val="17"/>
          <w:color w:val="auto"/>
        </w:rPr>
        <w:t>. In the event of a merger, consolidation or similar transaction, nothing herein shall relieve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 xml:space="preserve">Company from any of the obligations set forth in this Plan;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nothing in this Section 5.7 shall prevent an acquirer of or successor to the Company from assuming the Company’s obligations hereunder (or any portion thereof) pursuant to the terms of this Plan.</w:t>
      </w:r>
    </w:p>
    <w:p>
      <w:pPr>
        <w:spacing w:after="0" w:line="16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b w:val="1"/>
          <w:bCs w:val="1"/>
          <w:u w:val="single" w:color="auto"/>
          <w:color w:val="auto"/>
        </w:rPr>
        <w:t>Section 5.08</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Plan shall be binding upon, and inure to the benefit of, the Company and its successors and assigns.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This Plan and all rights of each Participant shall inure to the benefit of, and be enforceable by, each such Participant and such Participant’s personal or legal representatives, executors, administrators and heirs. If any Participant should die following such Participant’s termination of employment but prior to all amounts due and payable to such Participant hereunder being paid, all such amounts, unless otherwise provided herein, shall be paid in accordance with the terms of this Plan to such Participant’s beneficiary designated in writing to the Company prior to such Participant’s death (or to such Participant’s estate, if a Participant fails to make such designation). No payments, benefits or rights arising under this Plan may be assigned or pledged by any Participant, except under the laws of descent and distribution.</w:t>
      </w:r>
    </w:p>
    <w:p>
      <w:pPr>
        <w:spacing w:after="0" w:line="167"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0"/>
          <w:szCs w:val="20"/>
          <w:b w:val="1"/>
          <w:bCs w:val="1"/>
          <w:u w:val="single" w:color="auto"/>
          <w:color w:val="auto"/>
        </w:rPr>
        <w:t>Section 5.09</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or other communication required or permitted under this Plan shall be in writing and shall be deemed to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been duly given when delivered personally, by e-mail transmission, by reputable overnight courier service or by United States certified or registered mail, return receipt requested, postage prepaid,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-43815</wp:posOffset>
            </wp:positionV>
            <wp:extent cx="285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Amplitude, Inc.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Chief Human Resources Officer</w:t>
      </w:r>
    </w:p>
    <w:p>
      <w:pPr>
        <w:ind w:left="1480"/>
        <w:spacing w:after="0" w:line="208" w:lineRule="auto"/>
        <w:rPr>
          <w:sz w:val="20"/>
          <w:szCs w:val="20"/>
          <w:color w:val="auto"/>
        </w:rPr>
      </w:pPr>
      <w:r>
        <w:rPr>
          <w:rFonts w:ascii="Times New Roman" w:cs="Times New Roman" w:eastAsia="Times New Roman" w:hAnsi="Times New Roman"/>
          <w:sz w:val="18"/>
          <w:szCs w:val="18"/>
          <w:color w:val="auto"/>
        </w:rPr>
        <w:t>201 3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Street, Suite 200</w:t>
      </w:r>
    </w:p>
    <w:p>
      <w:pPr>
        <w:ind w:left="148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205" w:lineRule="exact"/>
        <w:rPr>
          <w:sz w:val="20"/>
          <w:szCs w:val="20"/>
          <w:color w:val="auto"/>
        </w:rPr>
      </w:pPr>
    </w:p>
    <w:p>
      <w:pPr>
        <w:ind w:left="2260" w:hanging="17"/>
        <w:spacing w:after="0" w:line="281" w:lineRule="auto"/>
        <w:rPr>
          <w:sz w:val="20"/>
          <w:szCs w:val="20"/>
          <w:color w:val="auto"/>
        </w:rPr>
      </w:pPr>
      <w:r>
        <w:rPr>
          <w:rFonts w:ascii="Times New Roman" w:cs="Times New Roman" w:eastAsia="Times New Roman" w:hAnsi="Times New Roman"/>
          <w:sz w:val="18"/>
          <w:szCs w:val="18"/>
          <w:color w:val="auto"/>
        </w:rPr>
        <w:t>if to any Participant, to such Participant’s residence address on the records of the Company or to such other address as such Participant may have designated to the Company in writing for purposes hereof.</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Each of the Company and a Participant, by notice given to the other in accordance with this Section 5.9, may designate another address or person for receipt of notices delivered pursuant to this Section 5.9.</w:t>
      </w:r>
    </w:p>
    <w:p>
      <w:pPr>
        <w:spacing w:after="0" w:line="154" w:lineRule="exact"/>
        <w:rPr>
          <w:sz w:val="20"/>
          <w:szCs w:val="20"/>
          <w:color w:val="auto"/>
        </w:rPr>
      </w:pPr>
    </w:p>
    <w:p>
      <w:pPr>
        <w:jc w:val="both"/>
        <w:ind w:firstLine="749"/>
        <w:spacing w:after="0" w:line="296" w:lineRule="auto"/>
        <w:rPr>
          <w:sz w:val="20"/>
          <w:szCs w:val="20"/>
          <w:color w:val="auto"/>
        </w:rPr>
      </w:pPr>
      <w:r>
        <w:rPr>
          <w:rFonts w:ascii="Times New Roman" w:cs="Times New Roman" w:eastAsia="Times New Roman" w:hAnsi="Times New Roman"/>
          <w:sz w:val="20"/>
          <w:szCs w:val="20"/>
          <w:b w:val="1"/>
          <w:bCs w:val="1"/>
          <w:u w:val="single" w:color="auto"/>
          <w:color w:val="auto"/>
        </w:rPr>
        <w:t>Section 5.10</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The Company shall have the right to deduct from any payment or benefit provided pursuant to this Plan all federal,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state and local taxes and any other amounts which are required by applicable law to be withheld therefrom.</w:t>
      </w:r>
    </w:p>
    <w:p>
      <w:pPr>
        <w:spacing w:after="0" w:line="13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b w:val="1"/>
          <w:bCs w:val="1"/>
          <w:u w:val="single" w:color="auto"/>
          <w:color w:val="auto"/>
        </w:rPr>
        <w:t>Section 5.11</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Plan and each Participation Agreement (including, for the avoidance of doubt, the Restrictive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Covenants) shall be regarded as divisible and separate, and if any provision of this Plan or any Participation Agreement is, becomes or is deemed to be invalid, illegal or unenforceable in any respect, then the validity, legality and enforceability of the remaining provisions of this Plan and applicable Participation Agreement shall not be affected thereby.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Section 5.12</w:t>
      </w:r>
      <w:r>
        <w:rPr>
          <w:rFonts w:ascii="Times New Roman" w:cs="Times New Roman" w:eastAsia="Times New Roman" w:hAnsi="Times New Roman"/>
          <w:sz w:val="17"/>
          <w:szCs w:val="17"/>
          <w:u w:val="single" w:color="auto"/>
          <w:color w:val="auto"/>
        </w:rPr>
        <w:t>Claims Procedure.</w:t>
      </w:r>
    </w:p>
    <w:p>
      <w:pPr>
        <w:spacing w:after="0" w:line="237" w:lineRule="exact"/>
        <w:rPr>
          <w:sz w:val="20"/>
          <w:szCs w:val="20"/>
          <w:color w:val="auto"/>
        </w:rPr>
      </w:pPr>
    </w:p>
    <w:p>
      <w:pPr>
        <w:ind w:left="760" w:firstLine="1494"/>
        <w:spacing w:after="0" w:line="254" w:lineRule="auto"/>
        <w:tabs>
          <w:tab w:leader="none" w:pos="255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Generally, Participants are not required to present a formal claim in order to receive benefits under the Plan. If, however, any person (the “</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 believes that benefits are being denied improperly, that this Plan is not being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81" w:name="page82"/>
    <w:bookmarkEnd w:id="81"/>
    <w:p>
      <w:pPr>
        <w:ind w:left="760" w:right="20"/>
        <w:spacing w:after="0" w:line="281" w:lineRule="auto"/>
        <w:rPr>
          <w:sz w:val="20"/>
          <w:szCs w:val="20"/>
          <w:color w:val="auto"/>
        </w:rPr>
      </w:pPr>
      <w:r>
        <w:rPr>
          <w:rFonts w:ascii="Times New Roman" w:cs="Times New Roman" w:eastAsia="Times New Roman" w:hAnsi="Times New Roman"/>
          <w:sz w:val="18"/>
          <w:szCs w:val="18"/>
          <w:color w:val="auto"/>
        </w:rPr>
        <w:t>operated properly, that fiduciaries of this Plan have breached their duties, or that the Claimant’s legal rights are being violated with respect to this Plan, the Claimant must file a formal claim, in writing, with the Compensation Committee.</w:t>
      </w:r>
    </w:p>
    <w:p>
      <w:pPr>
        <w:spacing w:after="0" w:line="176" w:lineRule="exact"/>
        <w:rPr>
          <w:sz w:val="20"/>
          <w:szCs w:val="20"/>
          <w:color w:val="auto"/>
        </w:rPr>
      </w:pPr>
    </w:p>
    <w:p>
      <w:pPr>
        <w:jc w:val="both"/>
        <w:ind w:left="760" w:firstLine="1494"/>
        <w:spacing w:after="0" w:line="250" w:lineRule="auto"/>
        <w:tabs>
          <w:tab w:leader="none" w:pos="255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This requirement applies to all claims that any Claimant has with respect to this Plan, including claims against fiduciaries and former fiduciaries, except to the extent the Compensation Committee determines, in its sole discretion that it does not have the power to grant all relief reasonably being sought by the Claimant. A formal claim must be filed within 120 calendar days after the date the Claimant first knew or should have known of the facts on which the claim is based, unless the Compensation Committee consents otherwise in writing. The Compensation Committee shall provide a Claimant, on request, with a copy of the claims procedures established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5.12(b)</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20"/>
          <w:szCs w:val="20"/>
          <w:color w:val="auto"/>
        </w:rPr>
      </w:pPr>
    </w:p>
    <w:p>
      <w:pPr>
        <w:jc w:val="both"/>
        <w:ind w:left="760" w:firstLine="1494"/>
        <w:spacing w:after="0" w:line="251" w:lineRule="auto"/>
        <w:tabs>
          <w:tab w:leader="none" w:pos="255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The Compensation Committee has adopted procedures for considering claims (which are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Compensation Committee or its delegates have failed to follow the prescribed procedures with respect to the claim). The right to receive benefits under this Plan is contingent on a Claimant using the prescribed claims and arbitration procedures to resolve any claim.</w:t>
      </w:r>
    </w:p>
    <w:p>
      <w:pPr>
        <w:spacing w:after="0" w:line="18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b w:val="1"/>
          <w:bCs w:val="1"/>
          <w:u w:val="single" w:color="auto"/>
          <w:color w:val="auto"/>
        </w:rPr>
        <w:t>Section 5.13</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Plan is intended to be an unfunded “top-hat” welfare plan, within the meaning of U.S. Department of Labor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Regulation Section 2520.104-24, and shall be interpreted, administered, and enforced in accordance with ERISA. It is expressly intended that ERISA preempt the application of state laws to this Plan and each Participation Agreement (including, for the avoidance of doubt, the Restrictive Covenants) to the maximum extent permitted by Section 514 of ERISA. To the extent that state law is applicable, the statutes and common laws of the State of California (excluding its choice of laws principles) shall apply.</w:t>
      </w:r>
    </w:p>
    <w:p>
      <w:pPr>
        <w:spacing w:after="0" w:line="17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b w:val="1"/>
          <w:bCs w:val="1"/>
          <w:u w:val="single" w:color="auto"/>
          <w:color w:val="auto"/>
        </w:rPr>
        <w:t>Section 5.14</w:t>
      </w: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Subject to Section 5.12 hereof and subject to the provisions of any Participation Agreement regarding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entitlement to seek equitable relief under the Plan or such Participation Agreement, each Participant shall remain bound by, and comply with such Participant’s obligations under, any arbitration agreement between such Participant and the Company or any Subsidiary (including any arbitration provision contained in the Employment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82" w:name="page83"/>
    <w:bookmarkEnd w:id="82"/>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and as conclusive evidence of the Compensation Committee’s adoption of this Plan, the Company has caused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be duly executed in its name and behalf by its duly authorized officer as of the Effective Date.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Amplitude, Inc.</w:t>
            </w:r>
          </w:p>
        </w:tc>
      </w:tr>
      <w:tr>
        <w:trPr>
          <w:trHeight w:val="47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Spenser Skates</w:t>
            </w:r>
          </w:p>
        </w:tc>
      </w:tr>
      <w:tr>
        <w:trPr>
          <w:trHeight w:val="204"/>
        </w:trPr>
        <w:tc>
          <w:tcPr>
            <w:tcW w:w="3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2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Spenser Skates</w:t>
            </w:r>
          </w:p>
        </w:tc>
      </w:tr>
      <w:tr>
        <w:trPr>
          <w:trHeight w:val="234"/>
        </w:trPr>
        <w:tc>
          <w:tcPr>
            <w:tcW w:w="3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Executive Severance Plan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Participation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[_____]:</w:t>
      </w:r>
    </w:p>
    <w:p>
      <w:pPr>
        <w:spacing w:after="0" w:line="22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We are pleased to inform you that the Compensation Committee of the Board of Directors of Amplitude,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determined that, effective as of [_____] (the “</w:t>
      </w:r>
      <w:r>
        <w:rPr>
          <w:rFonts w:ascii="Times New Roman" w:cs="Times New Roman" w:eastAsia="Times New Roman" w:hAnsi="Times New Roman"/>
          <w:sz w:val="18"/>
          <w:szCs w:val="18"/>
          <w:u w:val="single" w:color="auto"/>
          <w:color w:val="auto"/>
        </w:rPr>
        <w:t>Participation Date</w:t>
      </w:r>
      <w:r>
        <w:rPr>
          <w:rFonts w:ascii="Times New Roman" w:cs="Times New Roman" w:eastAsia="Times New Roman" w:hAnsi="Times New Roman"/>
          <w:sz w:val="18"/>
          <w:szCs w:val="18"/>
          <w:color w:val="auto"/>
        </w:rPr>
        <w:t>”), you are eligible to participate in the Company’s Executive Severance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a</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Participant thereunder, subject to your execution and delivery of this Participation Agreement to the Company and subject to the terms and conditions of the Plan and this Participation Agreement. Capitalized terms used and not defined herein shall have the meanings given to such terms in the Plan.</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terms of the Plan are set forth in the copy of the Plan that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Participation Agreement, and those terms are incorporated in and made a part of this Participation Agreement. As described in more detail in the Plan, the Plan entitles you to certain severance payments and benefits in the event that your employment with the Company or any Subsidiary terminates under certain circumstances. By signing this Participation Agreement, and as a condition of your eligibility to receive the payments and benefits set forth in the Plan, you agree to comply with the provisions of the Plan and this Participation Agreement during your employment with the Company or any Subsidiary and, to the extent required by the Restrictive Covenants (as defined in the Plan), after the termination of your employment regardless of the reason for such termination.</w:t>
      </w:r>
    </w:p>
    <w:p>
      <w:pPr>
        <w:spacing w:after="0" w:line="18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This Participation Agreement and the Plan constitute the entire agreement between you and the Company with respect to the subject matter hereof and, as of the Participation Date, shall supersede in all respects any and all prior agreements between you and the Company and any Subsidiary concerning such subject matter, including any and all Employment Agreements. As of the Participation Date, any severance benefits, protections or payments under any Employment Agreement between you and the Company or any Subsidiary shall terminate and be of no further force or effect.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By signing below, you agree to the terms and conditions set forth herein, including without limitation, the Restrictive Covenants, and acknowledge: (a) your participation in the Plan as of the Participation Date; (b) that you have received and read a copy of the Plan; (c) that you agree that any severance payments and benefits provided for in the Plan are subject to all of the terms and conditions of the Plan and you agree to such terms and conditions; (d) that the Company may amend or terminate the Plan at any time subject to the limitations set forth in the Plan; and (e) that the Restrictive Covenants shall survive and continue to apply in accordance with their terms notwithstanding any termination of the Plan or your employment in the future.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4" w:name="page85"/>
    <w:bookmarkEnd w:id="84"/>
    <w:p>
      <w:pPr>
        <w:ind w:left="562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AMPLITUDE,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[_____]</w:t>
      </w:r>
    </w:p>
    <w:p>
      <w:pPr>
        <w:spacing w:after="0" w:line="200" w:lineRule="exact"/>
        <w:rPr>
          <w:sz w:val="20"/>
          <w:szCs w:val="20"/>
          <w:color w:val="auto"/>
        </w:rPr>
      </w:pPr>
    </w:p>
    <w:p>
      <w:pPr>
        <w:spacing w:after="0" w:line="308"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6"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Annex A to Participation Agreement</w:t>
      </w:r>
    </w:p>
    <w:p>
      <w:pPr>
        <w:sectPr>
          <w:pgSz w:w="11900" w:h="16838" w:orient="portrait"/>
          <w:cols w:equalWidth="0" w:num="1">
            <w:col w:w="9019"/>
          </w:cols>
          <w:pgMar w:left="1440" w:top="1412" w:right="1440"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Severance Plan</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1579880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Release of Claims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is entered into as of _________________, 20__, between [________]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Amplitude, Inc. (the</w:t>
      </w:r>
    </w:p>
    <w:p>
      <w:pPr>
        <w:spacing w:after="0" w:line="31"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effective [eight days after] OR [as of] Executive’s signature hereto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unless Executive revokes his acceptance of this Release as provided in Paragraph 2(c), below. This Agreement is being executed in connection with the terms of the Company’s Executive Severance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which is incorporated herein by reference.</w:t>
      </w:r>
    </w:p>
    <w:p>
      <w:pPr>
        <w:spacing w:after="0" w:line="212" w:lineRule="exact"/>
        <w:rPr>
          <w:sz w:val="20"/>
          <w:szCs w:val="20"/>
          <w:color w:val="auto"/>
        </w:rPr>
      </w:pPr>
    </w:p>
    <w:p>
      <w:pPr>
        <w:jc w:val="both"/>
        <w:ind w:firstLine="757"/>
        <w:spacing w:after="0" w:line="246" w:lineRule="auto"/>
        <w:tabs>
          <w:tab w:leader="none" w:pos="1018"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Parties hereby acknowledge and agree that Executive’s employment, including his service in all positions that Executive held as an officer of the Company [and as a member of the Company’s board of directors], ended effective as of [________]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The Parties acknowledge and agree that Executive is entitled to receive, and has received, payment of an amount equal to all accrued wages (including base salary and bonus compensation) earned through the Termination Date, including accrued vacation, less applicable withholding, as well as reimbursement for all expenses incurred by Executive on behalf of the Company, which are consistent with the Company’s policies in effect from time to time with respect to travel, entertainment and other business expenses, subject to the Company’s requirements with respect to reporting and documenting such expenses.</w:t>
      </w:r>
    </w:p>
    <w:p>
      <w:pPr>
        <w:spacing w:after="0" w:line="220"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Executive’s Release of the Company</w:t>
      </w:r>
      <w:r>
        <w:rPr>
          <w:rFonts w:ascii="Times New Roman" w:cs="Times New Roman" w:eastAsia="Times New Roman" w:hAnsi="Times New Roman"/>
          <w:sz w:val="18"/>
          <w:szCs w:val="18"/>
          <w:color w:val="auto"/>
        </w:rPr>
        <w:t>. Executive understands that by agreeing to this Release, Executive is agreeing not to sue, or otherwise file any claim against, the Company or any of its employees or other agents for any reason whatsoever based on anything that has occurred as of the date Executive signs this Release.</w:t>
      </w:r>
    </w:p>
    <w:p>
      <w:pPr>
        <w:spacing w:after="0" w:line="225" w:lineRule="exact"/>
        <w:rPr>
          <w:rFonts w:ascii="Times New Roman" w:cs="Times New Roman" w:eastAsia="Times New Roman" w:hAnsi="Times New Roman"/>
          <w:sz w:val="22"/>
          <w:szCs w:val="22"/>
          <w:u w:val="single" w:color="auto"/>
          <w:color w:val="auto"/>
        </w:rPr>
      </w:pPr>
    </w:p>
    <w:p>
      <w:pPr>
        <w:jc w:val="both"/>
        <w:ind w:left="760" w:firstLine="745"/>
        <w:spacing w:after="0" w:line="248" w:lineRule="auto"/>
        <w:tabs>
          <w:tab w:leader="none" w:pos="2048" w:val="left"/>
        </w:tabs>
        <w:numPr>
          <w:ilvl w:val="1"/>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color w:val="auto"/>
        </w:rPr>
        <w:t>On behalf of Executive and Executive’s heirs and assigns, Executive hereby releases and forever discharges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29 U.S.C. § 621, et seq.; Title VII of the Civil Rights Act of 1964, as amended by the Civil Rights Act of 1991, 42 U.S.C. § 2000 et seq.; the Equal Pay Act, 29 U.S.C. § 206(d); the Civil Rights Act of 1866, 42 U.S.C. § 1981; the Family and Medical Leave Act of 1993, 29 U.S.C. § 2601 et seq.; the Americans with Disabilities Act of 1990, 42 U.S.C. § 12101 et seq.; the False Claims Act , 31 U.S.C. § 3729 et seq.; the Employee Retirement Income Security Act, 29 U.S.C. § 1001 et seq.; the Worker Adjustment and Retraining Notification Act, 29 U.S.C. § 2101 et seq. the Fair Labor Standards Act, 29 U.S.C. § 215 et seq., the Sarbanes-Oxley Act of 2002; the California Labor Code; the employment and civil rights laws of California; Claims any other local, state or federal law governing employment;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211" w:lineRule="exact"/>
        <w:rPr>
          <w:rFonts w:ascii="Times New Roman" w:cs="Times New Roman" w:eastAsia="Times New Roman" w:hAnsi="Times New Roman"/>
          <w:sz w:val="22"/>
          <w:szCs w:val="22"/>
          <w:u w:val="single" w:color="auto"/>
          <w:color w:val="auto"/>
        </w:rPr>
      </w:pPr>
    </w:p>
    <w:p>
      <w:pPr>
        <w:ind w:left="2040" w:hanging="535"/>
        <w:spacing w:after="0"/>
        <w:tabs>
          <w:tab w:leader="none" w:pos="2040" w:val="left"/>
        </w:tabs>
        <w:numPr>
          <w:ilvl w:val="1"/>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color w:val="auto"/>
        </w:rPr>
        <w:t>Notwithstanding the generality of the foregoing, Executive does not release the following claims:</w:t>
      </w:r>
    </w:p>
    <w:p>
      <w:pPr>
        <w:spacing w:after="0" w:line="205" w:lineRule="exact"/>
        <w:rPr>
          <w:rFonts w:ascii="Times New Roman" w:cs="Times New Roman" w:eastAsia="Times New Roman" w:hAnsi="Times New Roman"/>
          <w:sz w:val="22"/>
          <w:szCs w:val="22"/>
          <w:u w:val="single" w:color="auto"/>
          <w:color w:val="auto"/>
        </w:rPr>
      </w:pPr>
    </w:p>
    <w:p>
      <w:pPr>
        <w:ind w:left="2560" w:hanging="306"/>
        <w:spacing w:after="0"/>
        <w:tabs>
          <w:tab w:leader="none" w:pos="256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Claims to enforce this Release;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7" w:name="page88"/>
    <w:bookmarkEnd w:id="87"/>
    <w:p>
      <w:pPr>
        <w:ind w:left="1800" w:hanging="306"/>
        <w:spacing w:after="0"/>
        <w:tabs>
          <w:tab w:leader="none" w:pos="18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Claims for unemployment compensation or any state disability insurance benefits pursuant to the terms of applicable</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state law;</w:t>
      </w:r>
    </w:p>
    <w:p>
      <w:pPr>
        <w:spacing w:after="0" w:line="195" w:lineRule="exact"/>
        <w:rPr>
          <w:sz w:val="20"/>
          <w:szCs w:val="20"/>
          <w:color w:val="auto"/>
        </w:rPr>
      </w:pPr>
    </w:p>
    <w:p>
      <w:pPr>
        <w:ind w:left="740" w:firstLine="749"/>
        <w:spacing w:after="0" w:line="286"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17"/>
          <w:szCs w:val="17"/>
          <w:color w:val="auto"/>
        </w:rPr>
        <w:t>Claims for workers’ compensation insurance benefits under the terms of any worker’s compensation insurance policy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fund of the Company;</w:t>
      </w:r>
    </w:p>
    <w:p>
      <w:pPr>
        <w:spacing w:after="0" w:line="140" w:lineRule="exact"/>
        <w:rPr>
          <w:sz w:val="20"/>
          <w:szCs w:val="20"/>
          <w:color w:val="auto"/>
        </w:rPr>
      </w:pPr>
    </w:p>
    <w:p>
      <w:pPr>
        <w:ind w:left="740" w:firstLine="749"/>
        <w:spacing w:after="0" w:line="286"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17"/>
          <w:szCs w:val="17"/>
          <w:color w:val="auto"/>
        </w:rPr>
        <w:t>Claims to continued participation in certain of the Company’s group benefit plans pursuant to the terms and conditions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of COBRA;</w:t>
      </w:r>
    </w:p>
    <w:p>
      <w:pPr>
        <w:spacing w:after="0" w:line="176" w:lineRule="exact"/>
        <w:rPr>
          <w:sz w:val="20"/>
          <w:szCs w:val="20"/>
          <w:color w:val="auto"/>
        </w:rPr>
      </w:pPr>
    </w:p>
    <w:p>
      <w:pPr>
        <w:ind w:left="740" w:firstLine="754"/>
        <w:spacing w:after="0" w:line="234" w:lineRule="auto"/>
        <w:tabs>
          <w:tab w:leader="none" w:pos="178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Claims to any benefit entitlements vested as the date of Executive’s employment termination, pursuant to written terms of any Company employee benefit plan;</w:t>
      </w:r>
    </w:p>
    <w:p>
      <w:pPr>
        <w:spacing w:after="0" w:line="190" w:lineRule="exact"/>
        <w:rPr>
          <w:sz w:val="20"/>
          <w:szCs w:val="20"/>
          <w:color w:val="auto"/>
        </w:rPr>
      </w:pPr>
    </w:p>
    <w:p>
      <w:pPr>
        <w:jc w:val="both"/>
        <w:ind w:left="740" w:firstLine="749"/>
        <w:spacing w:after="0" w:line="286"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17"/>
          <w:szCs w:val="17"/>
          <w:color w:val="auto"/>
        </w:rPr>
        <w:t>Claims for indemnification under indemnification under the Company’s governing documents or any applicable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and under the terms of any policy of insurance purchased by the Company;</w:t>
      </w:r>
    </w:p>
    <w:p>
      <w:pPr>
        <w:spacing w:after="0" w:line="140" w:lineRule="exact"/>
        <w:rPr>
          <w:sz w:val="20"/>
          <w:szCs w:val="20"/>
          <w:color w:val="auto"/>
        </w:rPr>
      </w:pPr>
    </w:p>
    <w:p>
      <w:pPr>
        <w:jc w:val="both"/>
        <w:ind w:left="740" w:firstLine="749"/>
        <w:spacing w:after="0" w:line="270"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17"/>
          <w:szCs w:val="17"/>
          <w:color w:val="auto"/>
        </w:rPr>
        <w:t>Claims for the severance benefits Executive is entitled to receive in exchange for this Release under Section [___]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the Plan, including any current or future claims for vesting, acceleration of vesting, or any claims Executive may have as a stockholder of the Company; and</w:t>
      </w:r>
    </w:p>
    <w:p>
      <w:pPr>
        <w:spacing w:after="0" w:line="166" w:lineRule="exact"/>
        <w:rPr>
          <w:sz w:val="20"/>
          <w:szCs w:val="20"/>
          <w:color w:val="auto"/>
        </w:rPr>
      </w:pPr>
    </w:p>
    <w:p>
      <w:pPr>
        <w:jc w:val="both"/>
        <w:ind w:left="740" w:firstLine="749"/>
        <w:spacing w:after="0" w:line="263"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17"/>
          <w:szCs w:val="17"/>
          <w:color w:val="auto"/>
        </w:rPr>
        <w:t>Executive’s right to bring to the attention of the Equal Employment Opportunity Commission claims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discrimination;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Executive does release Executive’s right to secure any damages for alleged discriminatory treatment.</w:t>
      </w:r>
    </w:p>
    <w:p>
      <w:pPr>
        <w:spacing w:after="0" w:line="200" w:lineRule="exact"/>
        <w:rPr>
          <w:sz w:val="20"/>
          <w:szCs w:val="20"/>
          <w:color w:val="auto"/>
        </w:rPr>
      </w:pPr>
    </w:p>
    <w:p>
      <w:pPr>
        <w:spacing w:after="0" w:line="235" w:lineRule="exact"/>
        <w:rPr>
          <w:sz w:val="20"/>
          <w:szCs w:val="20"/>
          <w:color w:val="auto"/>
        </w:rPr>
      </w:pPr>
    </w:p>
    <w:p>
      <w:pPr>
        <w:ind w:firstLine="745"/>
        <w:spacing w:after="0" w:line="234" w:lineRule="auto"/>
        <w:tabs>
          <w:tab w:leader="none" w:pos="1288" w:val="left"/>
        </w:tabs>
        <w:numPr>
          <w:ilvl w:val="0"/>
          <w:numId w:val="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EXECUTIVE ACKNOWLEDGES THAT EXECUTIVE HAS BEEN ADVISED OF AND IS FAMILIAR WITH THE PROVISIONS OF CALIFORNIA CIVIL CODE SECTION 1542, WHICH PROVIDES AS FOLLOWS: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b w:val="1"/>
          <w:bCs w:val="1"/>
          <w:u w:val="single" w:color="auto"/>
          <w:color w:val="auto"/>
        </w:rPr>
        <w:t>Section 5.15</w:t>
      </w:r>
      <w:r>
        <w:rPr>
          <w:rFonts w:ascii="Times New Roman" w:cs="Times New Roman" w:eastAsia="Times New Roman" w:hAnsi="Times New Roman"/>
          <w:sz w:val="17"/>
          <w:szCs w:val="17"/>
          <w:b w:val="1"/>
          <w:bCs w:val="1"/>
          <w:u w:val="single" w:color="auto"/>
          <w:color w:val="auto"/>
        </w:rPr>
        <w:t>“A GENERAL RELEASE DOES NOT EXTEND TO CLAIMS THAT THE CREDITOR OR RELEASING PARTY DOES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7"/>
          <w:szCs w:val="17"/>
          <w:b w:val="1"/>
          <w:bCs w:val="1"/>
          <w:u w:val="single" w:color="auto"/>
          <w:color w:val="auto"/>
        </w:rPr>
        <w:t>NOT KNOW OR SUSPECT TO EXIST IN HIS OR HER FAVOR AT THE TIME OF EXECUTING THE RELEASE AND THAT, IF KNOWN BY HIM OR HER, WOULD HAVE MATERIALLY AFFECTED HIS OR HER SETTLEMENT WITH THE DEBTOR OR RELEASED PARTY.”</w:t>
      </w:r>
    </w:p>
    <w:p>
      <w:pPr>
        <w:spacing w:after="0" w:line="400"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BEING AWARE OF SAID CODE SECTION, EXECUTIVE HEREBY EXPRESSLY WAIVES ANY RIGHTS EXECUTIVE MAY HAVE THEREUNDER, AS WELL AS UNDER ANY OTHER STATUTES OR COMMON LAW PRINCIPLES OF SIMILAR EFFECT.</w:t>
      </w:r>
    </w:p>
    <w:p>
      <w:pPr>
        <w:spacing w:after="0" w:line="171" w:lineRule="exact"/>
        <w:rPr>
          <w:sz w:val="20"/>
          <w:szCs w:val="20"/>
          <w:color w:val="auto"/>
        </w:rPr>
      </w:pPr>
    </w:p>
    <w:p>
      <w:pPr>
        <w:ind w:left="1280" w:hanging="535"/>
        <w:spacing w:after="0"/>
        <w:tabs>
          <w:tab w:leader="none" w:pos="1280" w:val="left"/>
        </w:tabs>
        <w:numPr>
          <w:ilvl w:val="0"/>
          <w:numId w:val="6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color w:val="auto"/>
        </w:rPr>
        <w:t>[In accordance with the Older Workers Benefit Protection Act of 1990, Executive has been advised of the following:</w:t>
      </w:r>
    </w:p>
    <w:p>
      <w:pPr>
        <w:spacing w:after="0" w:line="205" w:lineRule="exact"/>
        <w:rPr>
          <w:rFonts w:ascii="Times New Roman" w:cs="Times New Roman" w:eastAsia="Times New Roman" w:hAnsi="Times New Roman"/>
          <w:sz w:val="22"/>
          <w:szCs w:val="22"/>
          <w:u w:val="single" w:color="auto"/>
          <w:color w:val="auto"/>
        </w:rPr>
      </w:pPr>
    </w:p>
    <w:p>
      <w:pPr>
        <w:ind w:left="1800" w:hanging="306"/>
        <w:spacing w:after="0"/>
        <w:tabs>
          <w:tab w:leader="none" w:pos="18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section and this Release are written in a manner calculated to be understood by Executive;</w:t>
      </w:r>
    </w:p>
    <w:p>
      <w:pPr>
        <w:spacing w:after="0" w:line="205" w:lineRule="exact"/>
        <w:rPr>
          <w:rFonts w:ascii="Times New Roman" w:cs="Times New Roman" w:eastAsia="Times New Roman" w:hAnsi="Times New Roman"/>
          <w:sz w:val="22"/>
          <w:szCs w:val="22"/>
          <w:color w:val="auto"/>
        </w:rPr>
      </w:pPr>
    </w:p>
    <w:p>
      <w:pPr>
        <w:ind w:left="1800" w:hanging="306"/>
        <w:spacing w:after="0"/>
        <w:tabs>
          <w:tab w:leader="none" w:pos="18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Executive has the right to consult with an attorney before signing this Release;</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17"/>
          <w:szCs w:val="17"/>
          <w:color w:val="auto"/>
        </w:rPr>
        <w:t>Executive has been given at least [21] days to consider this Release; and</w:t>
      </w:r>
    </w:p>
    <w:p>
      <w:pPr>
        <w:spacing w:after="0" w:line="205" w:lineRule="exact"/>
        <w:rPr>
          <w:sz w:val="20"/>
          <w:szCs w:val="20"/>
          <w:color w:val="auto"/>
        </w:rPr>
      </w:pPr>
    </w:p>
    <w:p>
      <w:pPr>
        <w:jc w:val="both"/>
        <w:ind w:left="740" w:firstLine="749"/>
        <w:spacing w:after="0" w:line="269"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17"/>
          <w:szCs w:val="17"/>
          <w:color w:val="auto"/>
        </w:rPr>
        <w:t>Executive has seven days after signing this Release to revoke it, and Executive will not receive the severance benefits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provided by the Plan unless and until such seven day period has expired. If Executive wishes to revoke this Release, Executive must deliver notice of Executive’s revocation in writing, no later than 11:59 p.m. Pacific Time on the 7th day following Executive’s execution of this Release to [_______].]</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483870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24" w:right="339" w:bottom="1440" w:gutter="0" w:footer="0" w:header="0"/>
        </w:sectPr>
      </w:pPr>
    </w:p>
    <w:bookmarkStart w:id="88" w:name="page89"/>
    <w:bookmarkEnd w:id="88"/>
    <w:p>
      <w:pPr>
        <w:ind w:left="1020" w:hanging="263"/>
        <w:spacing w:after="0"/>
        <w:tabs>
          <w:tab w:leader="none" w:pos="1020"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Executive Representations</w:t>
      </w:r>
      <w:r>
        <w:rPr>
          <w:rFonts w:ascii="Times New Roman" w:cs="Times New Roman" w:eastAsia="Times New Roman" w:hAnsi="Times New Roman"/>
          <w:sz w:val="18"/>
          <w:szCs w:val="18"/>
          <w:color w:val="auto"/>
        </w:rPr>
        <w:t>. Executive represents and warrants that:</w:t>
      </w:r>
    </w:p>
    <w:p>
      <w:pPr>
        <w:spacing w:after="0" w:line="224" w:lineRule="exact"/>
        <w:rPr>
          <w:rFonts w:ascii="Times New Roman" w:cs="Times New Roman" w:eastAsia="Times New Roman" w:hAnsi="Times New Roman"/>
          <w:sz w:val="22"/>
          <w:szCs w:val="22"/>
          <w:u w:val="single" w:color="auto"/>
          <w:color w:val="auto"/>
        </w:rPr>
      </w:pPr>
    </w:p>
    <w:p>
      <w:pPr>
        <w:ind w:left="760" w:firstLine="745"/>
        <w:spacing w:after="0" w:line="234" w:lineRule="auto"/>
        <w:tabs>
          <w:tab w:leader="none" w:pos="2048" w:val="left"/>
        </w:tabs>
        <w:numPr>
          <w:ilvl w:val="1"/>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color w:val="auto"/>
        </w:rPr>
        <w:t>Executive has returned to the company property in accordance with the Plan which they had in their possession, custody or control at the time Executive signed this Release;</w:t>
      </w:r>
    </w:p>
    <w:p>
      <w:pPr>
        <w:spacing w:after="0" w:line="225" w:lineRule="exact"/>
        <w:rPr>
          <w:rFonts w:ascii="Times New Roman" w:cs="Times New Roman" w:eastAsia="Times New Roman" w:hAnsi="Times New Roman"/>
          <w:sz w:val="22"/>
          <w:szCs w:val="22"/>
          <w:u w:val="single" w:color="auto"/>
          <w:color w:val="auto"/>
        </w:rPr>
      </w:pPr>
    </w:p>
    <w:p>
      <w:pPr>
        <w:jc w:val="both"/>
        <w:ind w:left="760" w:firstLine="745"/>
        <w:spacing w:after="0" w:line="239" w:lineRule="auto"/>
        <w:tabs>
          <w:tab w:leader="none" w:pos="2048" w:val="left"/>
        </w:tabs>
        <w:numPr>
          <w:ilvl w:val="1"/>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color w:val="auto"/>
        </w:rPr>
        <w:t>Except as set forth herein or in any related agreement, Executive is not aware of any owed wages, commissions, bonuses or other compensation, other than wages through the date of the termination of Executive’s employment, any accrued, unused vacation earned through such date, and any severance payments that become due under the Plan;</w:t>
      </w:r>
    </w:p>
    <w:p>
      <w:pPr>
        <w:spacing w:after="0" w:line="225" w:lineRule="exact"/>
        <w:rPr>
          <w:rFonts w:ascii="Times New Roman" w:cs="Times New Roman" w:eastAsia="Times New Roman" w:hAnsi="Times New Roman"/>
          <w:sz w:val="22"/>
          <w:szCs w:val="22"/>
          <w:u w:val="single" w:color="auto"/>
          <w:color w:val="auto"/>
        </w:rPr>
      </w:pPr>
    </w:p>
    <w:p>
      <w:pPr>
        <w:jc w:val="both"/>
        <w:ind w:left="760" w:firstLine="745"/>
        <w:spacing w:after="0" w:line="239" w:lineRule="auto"/>
        <w:tabs>
          <w:tab w:leader="none" w:pos="2048" w:val="left"/>
        </w:tabs>
        <w:numPr>
          <w:ilvl w:val="1"/>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225" w:lineRule="exact"/>
        <w:rPr>
          <w:rFonts w:ascii="Times New Roman" w:cs="Times New Roman" w:eastAsia="Times New Roman" w:hAnsi="Times New Roman"/>
          <w:sz w:val="22"/>
          <w:szCs w:val="22"/>
          <w:u w:val="single" w:color="auto"/>
          <w:color w:val="auto"/>
        </w:rPr>
      </w:pPr>
    </w:p>
    <w:p>
      <w:pPr>
        <w:ind w:left="760" w:firstLine="745"/>
        <w:spacing w:after="0" w:line="234" w:lineRule="auto"/>
        <w:tabs>
          <w:tab w:leader="none" w:pos="2048" w:val="left"/>
        </w:tabs>
        <w:numPr>
          <w:ilvl w:val="1"/>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225" w:lineRule="exact"/>
        <w:rPr>
          <w:rFonts w:ascii="Times New Roman" w:cs="Times New Roman" w:eastAsia="Times New Roman" w:hAnsi="Times New Roman"/>
          <w:sz w:val="22"/>
          <w:szCs w:val="22"/>
          <w:u w:val="single" w:color="auto"/>
          <w:color w:val="auto"/>
        </w:rPr>
      </w:pPr>
    </w:p>
    <w:p>
      <w:pPr>
        <w:jc w:val="both"/>
        <w:ind w:firstLine="757"/>
        <w:spacing w:after="0" w:line="242" w:lineRule="auto"/>
        <w:tabs>
          <w:tab w:leader="none" w:pos="1018"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Maintaining Confidential Information</w:t>
      </w:r>
      <w:r>
        <w:rPr>
          <w:rFonts w:ascii="Times New Roman" w:cs="Times New Roman" w:eastAsia="Times New Roman" w:hAnsi="Times New Roman"/>
          <w:sz w:val="18"/>
          <w:szCs w:val="18"/>
          <w:color w:val="auto"/>
        </w:rPr>
        <w:t>. Executive reaffirms their obligations under that certain Employee Proprietary Information and Inventions Assignment Agreement entered into between Executive and the Company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and Section 3.4 of the Plan. Executive acknowledges and agrees that the severance benefits provided in the Plan shall be subject to Executive’s continued compliance with Executive’s obligations under the Confidentiality Agreement and Section 3.4 of the Plan.</w:t>
      </w:r>
    </w:p>
    <w:p>
      <w:pPr>
        <w:spacing w:after="0" w:line="224" w:lineRule="exact"/>
        <w:rPr>
          <w:rFonts w:ascii="Times New Roman" w:cs="Times New Roman" w:eastAsia="Times New Roman" w:hAnsi="Times New Roman"/>
          <w:sz w:val="22"/>
          <w:szCs w:val="22"/>
          <w:u w:val="single" w:color="auto"/>
          <w:color w:val="auto"/>
        </w:rPr>
      </w:pPr>
    </w:p>
    <w:p>
      <w:pPr>
        <w:jc w:val="both"/>
        <w:ind w:firstLine="757"/>
        <w:spacing w:after="0" w:line="248" w:lineRule="auto"/>
        <w:tabs>
          <w:tab w:leader="none" w:pos="1018"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Company agrees that it shall take all reasonable steps necessary to ensure that the Company’s officers and directors will not make statements or representations to any person, firm, or entity, which could reasonably be expected to case Executive in an unfavorable light or which could reasonably be anticipated to adversely affect the name or reputation of Executive. Executive agrees that Executive will not make statements or representations to any person, entity or firm which could reasonably be expected to cast the Company or any entity or employee affiliated with the Company in an unfavorable light or which could reasonably be anticipated to adversely affect the name or reputation of the Company or any entity affiliated with the Company, or the name or reputation of any officer, agent or employee of the Company or of any entity affiliated with the Company;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Executive will respond accurately and fully to any question, inquiry or request for information when required by legal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the foregoing, nothing in this Section 5 shall prevent Executive from making any truthful statement to the extent (i) necessary to rebut any untrue public statements made about him; (ii) necessary with respect to any litigation, arbitration or mediation involving this Release and the enforcement thereof; or (iii) required by law or by any court, arbitrator, mediator or administrative or legislative body (including any committee thereof) with jurisdiction over such person. In addition, nothing in this Release shall be construed to prohibit Executive from engaging in any lawfully protected activity or conduct, including reporting possible violations of law or regulation to any governmental agency or regulatory body (including but not limited to the Equal Employment Opportunity Commission, the Department of Justice, the Securities and Exchange Commission, the Congress, any agency Inspector General, or making other disclosures that are protected under the whistleblower provisions of federal law or regulation), filing a charge with or participating in any investigation or proceeding conducted by any governmental agency or regulatory body, or making other disclosures that are protected under any law or regulation. Executive does not need the prior authorization of the Company to engage in any such lawfully protected activity, nor is Executive required to notify the other that they or it has done so.</w:t>
      </w:r>
    </w:p>
    <w:p>
      <w:pPr>
        <w:spacing w:after="0" w:line="226"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shall provide Executive’s reasonable cooperation in connection with any action or proceeding (or any appeal from any action or proceeding) which relates to events occurring during Executive’s employment hereunder; provided the Company shall indemnify and hold harmless Executive with respect to any such cooperation and reimburse Executive for Executive’s reasonable costs and expenses (including legal counsel selected by Executive and reasonably acceptable to the Company) and such cooperation shall not unreasonably burden Executive or unreasonably interfere with any subsequent employment that Executive may undertake.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89" w:name="page90"/>
    <w:bookmarkEnd w:id="89"/>
    <w:p>
      <w:pPr>
        <w:spacing w:after="0" w:line="3" w:lineRule="exact"/>
        <w:rPr>
          <w:sz w:val="20"/>
          <w:szCs w:val="20"/>
          <w:color w:val="auto"/>
        </w:rPr>
      </w:pPr>
    </w:p>
    <w:p>
      <w:pPr>
        <w:ind w:firstLine="757"/>
        <w:spacing w:after="0" w:line="234" w:lineRule="auto"/>
        <w:tabs>
          <w:tab w:leader="none" w:pos="1018" w:val="left"/>
        </w:tabs>
        <w:numPr>
          <w:ilvl w:val="0"/>
          <w:numId w:val="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Release are severable. If any provision is held to be invalid or unenforceable, it shall not affect the validity or enforceability of any other provision.</w:t>
      </w:r>
    </w:p>
    <w:p>
      <w:pPr>
        <w:spacing w:after="0" w:line="225" w:lineRule="exact"/>
        <w:rPr>
          <w:rFonts w:ascii="Times New Roman" w:cs="Times New Roman" w:eastAsia="Times New Roman" w:hAnsi="Times New Roman"/>
          <w:sz w:val="22"/>
          <w:szCs w:val="22"/>
          <w:u w:val="single" w:color="auto"/>
          <w:color w:val="auto"/>
        </w:rPr>
      </w:pPr>
    </w:p>
    <w:p>
      <w:pPr>
        <w:ind w:right="20" w:firstLine="757"/>
        <w:spacing w:after="0" w:line="234" w:lineRule="auto"/>
        <w:tabs>
          <w:tab w:leader="none" w:pos="1018" w:val="left"/>
        </w:tabs>
        <w:numPr>
          <w:ilvl w:val="0"/>
          <w:numId w:val="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Release shall in all respects be governed and construed in accordance with the laws of the State of California, including all matters of construction, validity and performance, without regard to conflicts of law principles.</w:t>
      </w:r>
    </w:p>
    <w:p>
      <w:pPr>
        <w:spacing w:after="0" w:line="225" w:lineRule="exact"/>
        <w:rPr>
          <w:rFonts w:ascii="Times New Roman" w:cs="Times New Roman" w:eastAsia="Times New Roman" w:hAnsi="Times New Roman"/>
          <w:sz w:val="22"/>
          <w:szCs w:val="22"/>
          <w:u w:val="single" w:color="auto"/>
          <w:color w:val="auto"/>
        </w:rPr>
      </w:pPr>
    </w:p>
    <w:p>
      <w:pPr>
        <w:jc w:val="both"/>
        <w:ind w:firstLine="757"/>
        <w:spacing w:after="0" w:line="242" w:lineRule="auto"/>
        <w:tabs>
          <w:tab w:leader="none" w:pos="1018" w:val="left"/>
        </w:tabs>
        <w:numPr>
          <w:ilvl w:val="0"/>
          <w:numId w:val="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18"/>
          <w:szCs w:val="18"/>
          <w:u w:val="single" w:color="auto"/>
          <w:color w:val="auto"/>
        </w:rPr>
        <w:t>Integration Clause</w:t>
      </w:r>
      <w:r>
        <w:rPr>
          <w:rFonts w:ascii="Times New Roman" w:cs="Times New Roman" w:eastAsia="Times New Roman" w:hAnsi="Times New Roman"/>
          <w:sz w:val="18"/>
          <w:szCs w:val="18"/>
          <w:color w:val="auto"/>
        </w:rPr>
        <w:t>. This Release and the severance benefits under the Plan contain the Parties’ entire agreement with regard to the separation of Executive’s employment, and supersede and replace any prior agreements as to those matters, whether oral or written, except for the Confidentiality Agreement and any equity award agreements. This Release may not be changed or modified, in whole or in part, except by an instrument in writing signed by Executive and a duly authorized officer or director of the Company.</w:t>
      </w:r>
    </w:p>
    <w:p>
      <w:pPr>
        <w:spacing w:after="0" w:line="188"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17"/>
          <w:szCs w:val="17"/>
          <w:u w:val="single" w:color="auto"/>
          <w:color w:val="auto"/>
        </w:rPr>
        <w:t>Execution in Counterparts</w:t>
      </w:r>
      <w:r>
        <w:rPr>
          <w:rFonts w:ascii="Times New Roman" w:cs="Times New Roman" w:eastAsia="Times New Roman" w:hAnsi="Times New Roman"/>
          <w:sz w:val="17"/>
          <w:szCs w:val="17"/>
          <w:color w:val="auto"/>
        </w:rPr>
        <w:t>. This Release may be executed in counterparts with the same force and effectiveness as though executed in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single document. Facsimile or PDF signatures shall have the same force and effectiveness as original signatures.</w:t>
      </w:r>
    </w:p>
    <w:p>
      <w:pPr>
        <w:spacing w:after="0" w:line="176" w:lineRule="exact"/>
        <w:rPr>
          <w:sz w:val="20"/>
          <w:szCs w:val="20"/>
          <w:color w:val="auto"/>
        </w:rPr>
      </w:pPr>
    </w:p>
    <w:p>
      <w:pPr>
        <w:ind w:firstLine="757"/>
        <w:spacing w:after="0" w:line="269" w:lineRule="auto"/>
        <w:tabs>
          <w:tab w:leader="none" w:pos="1018" w:val="left"/>
        </w:tabs>
        <w:numPr>
          <w:ilvl w:val="0"/>
          <w:numId w:val="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17"/>
          <w:szCs w:val="17"/>
          <w:u w:val="single" w:color="auto"/>
          <w:color w:val="auto"/>
        </w:rPr>
        <w:t>Intent to be Bound</w:t>
      </w:r>
      <w:r>
        <w:rPr>
          <w:rFonts w:ascii="Times New Roman" w:cs="Times New Roman" w:eastAsia="Times New Roman" w:hAnsi="Times New Roman"/>
          <w:sz w:val="17"/>
          <w:szCs w:val="17"/>
          <w:color w:val="auto"/>
        </w:rPr>
        <w:t>. The Parties have carefully read this Release in its entirety; fully understand and agree to its terms and provisions; and intend and agree that it is final and binding on all Parties.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left="360"/>
        <w:spacing w:after="0"/>
        <w:rPr>
          <w:sz w:val="20"/>
          <w:szCs w:val="20"/>
          <w:color w:val="auto"/>
        </w:rPr>
      </w:pPr>
      <w:r>
        <w:rPr>
          <w:rFonts w:ascii="Times New Roman" w:cs="Times New Roman" w:eastAsia="Times New Roman" w:hAnsi="Times New Roman"/>
          <w:sz w:val="17"/>
          <w:szCs w:val="17"/>
          <w:color w:val="auto"/>
        </w:rPr>
        <w:t>IN WITNESS WHEREOF, and intending to be legally bound, the Parties have executed the foregoing on the dates shown below.</w:t>
      </w:r>
    </w:p>
    <w:p>
      <w:pPr>
        <w:spacing w:after="0" w:line="200" w:lineRule="exact"/>
        <w:rPr>
          <w:sz w:val="20"/>
          <w:szCs w:val="20"/>
          <w:color w:val="auto"/>
        </w:rPr>
      </w:pPr>
    </w:p>
    <w:p>
      <w:pPr>
        <w:spacing w:after="0" w:line="252"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color w:val="auto"/>
        </w:rPr>
        <w:t>EXECUTIVE</w:t>
      </w:r>
      <w:r>
        <w:rPr>
          <w:sz w:val="20"/>
          <w:szCs w:val="20"/>
          <w:color w:val="auto"/>
        </w:rPr>
        <w:tab/>
      </w:r>
      <w:r>
        <w:rPr>
          <w:rFonts w:ascii="Times New Roman" w:cs="Times New Roman" w:eastAsia="Times New Roman" w:hAnsi="Times New Roman"/>
          <w:sz w:val="18"/>
          <w:szCs w:val="18"/>
          <w:color w:val="auto"/>
        </w:rPr>
        <w:t>AMPLITUDE, INC.</w:t>
      </w:r>
    </w:p>
    <w:p>
      <w:pPr>
        <w:sectPr>
          <w:pgSz w:w="11900" w:h="16838" w:orient="portrait"/>
          <w:cols w:equalWidth="0" w:num="1">
            <w:col w:w="10139"/>
          </w:cols>
          <w:pgMar w:left="320" w:top="14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49" w:lineRule="exact"/>
        <w:rPr>
          <w:sz w:val="20"/>
          <w:szCs w:val="20"/>
          <w:color w:val="auto"/>
        </w:rPr>
      </w:pPr>
    </w:p>
    <w:p>
      <w:pPr>
        <w:sectPr>
          <w:pgSz w:w="11900" w:h="16838" w:orient="portrait"/>
          <w:cols w:equalWidth="0" w:num="2">
            <w:col w:w="2780" w:space="460"/>
            <w:col w:w="6899"/>
          </w:cols>
          <w:pgMar w:left="320" w:top="1416"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w:t>
      </w:r>
    </w:p>
    <w:p>
      <w:pPr>
        <w:spacing w:after="0" w:line="211" w:lineRule="exact"/>
        <w:rPr>
          <w:sz w:val="20"/>
          <w:szCs w:val="20"/>
          <w:color w:val="auto"/>
        </w:rPr>
      </w:pPr>
    </w:p>
    <w:p>
      <w:pPr>
        <w:sectPr>
          <w:pgSz w:w="11900" w:h="16838" w:orient="portrait"/>
          <w:cols w:equalWidth="0" w:num="2">
            <w:col w:w="2520" w:space="720"/>
            <w:col w:w="6899"/>
          </w:cols>
          <w:pgMar w:left="320" w:top="1416" w:right="1440" w:bottom="1440" w:gutter="0" w:footer="0" w:header="0"/>
          <w:type w:val="continuous"/>
        </w:sectPr>
      </w:pPr>
    </w:p>
    <w:p>
      <w:pPr>
        <w:spacing w:after="0" w:line="24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Exhibit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6" w:right="1440"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Detailed Claims and Arbitration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Claims Procedure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Initial Claims</w:t>
      </w:r>
      <w:r>
        <w:rPr>
          <w:rFonts w:ascii="Times New Roman" w:cs="Times New Roman" w:eastAsia="Times New Roman" w:hAnsi="Times New Roman"/>
          <w:sz w:val="18"/>
          <w:szCs w:val="18"/>
          <w:color w:val="auto"/>
        </w:rPr>
        <w:t>. All claims will be presented to the Compensation Committee in writing. Within ninety (90) days after receiving a claim, a claims official appointed by the Compensation Committee will consider the claim and issue his or her determination thereon in writing. The claims official may extend the determination period for up to an additional ninety (90) days by giving the Claimant written notice. The initial claim determination period can be extended further with the consent of the Claimant. Any claims that the Claimant does not pursue in good faith through the initial claims stage will be treated as having been irrevocably waived.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Claims Decisions</w:t>
      </w:r>
      <w:r>
        <w:rPr>
          <w:rFonts w:ascii="Times New Roman" w:cs="Times New Roman" w:eastAsia="Times New Roman" w:hAnsi="Times New Roman"/>
          <w:sz w:val="18"/>
          <w:szCs w:val="18"/>
          <w:color w:val="auto"/>
        </w:rPr>
        <w:t>. If the claim is granted, the benefits or relief the Claimant seeks will be provided. If the claim is wholly or partially denied, the claims official will, within ninety (90) days (or a longer period, as described above), provide the Claimant with written notice of the denial, setting forth, in a manner calculated to be understood by the Claimant: (i) the specific reason or reasons for the denial; (ii) specific references to the provisions on which the denial is based; (iii) a description of any additional material or information necessary for the Claimant to perfect the claim, together with an explanation of why the material or information is necessary; and (iv) appropriate information as to the steps to be taken if the Claimant wishes to submit his or her claim for review, including the time limits applicable to such procedures, and a statement of the Claimant’s right to bring a civil action under Section 502(a) of ERISA following an adverse decision upon review. If the Claimant can establish that the claims official has failed to respond to the claim in a timely manner, the Claimant may treat the claim as having been denied by the claims official.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Appeals of Denied Claims</w:t>
      </w:r>
      <w:r>
        <w:rPr>
          <w:rFonts w:ascii="Times New Roman" w:cs="Times New Roman" w:eastAsia="Times New Roman" w:hAnsi="Times New Roman"/>
          <w:sz w:val="18"/>
          <w:szCs w:val="18"/>
          <w:color w:val="auto"/>
        </w:rPr>
        <w:t>. Each Claimant will have the opportunity to appeal the claims official’s denial of a claim in writing to an appeals official appointed by the Compensation Committee (which may be a person, committee, or other entity). A Claimant must appeal a denied claim within sixty (60) days after receipt of written notice of denial of the claim, or within sixty (60) days after it was due if the Claimant did not receive it by its due date. The Claimant (or his or her duly authorized representative) may review pertinent documents in connection with the appeals proceeding and may present issues, comments and documents in writing relating to the claim. The review will take into account all comments, documents, records and other information submitted by the Claimant relating to the claim, without regard to whether such information was submitted or considered in the initial benefit claim determination. Any claims that the Claimant does not pursue in good faith through the appeals stage, such as by failing to file a timely appeal request, will be treated as having been irrevocably waived.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Appeals Decisions</w:t>
      </w:r>
      <w:r>
        <w:rPr>
          <w:rFonts w:ascii="Times New Roman" w:cs="Times New Roman" w:eastAsia="Times New Roman" w:hAnsi="Times New Roman"/>
          <w:sz w:val="18"/>
          <w:szCs w:val="18"/>
          <w:color w:val="auto"/>
        </w:rPr>
        <w:t>. The decision by the appeals official will be made not later than sixty (60) days after the written appeal is received by the Compensation Committee, unless special circumstances require an extension of time, in which case a decision will be rendered as soon as possible, but not later than one-hundred and twenty (120) days after the appeal was filed, unless the Claimant agrees to a further extension of time. The appeal decision will be in writing, will be set forth in a manner calculated to be understood by the Claimant, and will include specific reasons for the decision, specific references to the provisions on which the decision is based, if applicable, a statement that the Claimant is entitled to receive upon request and free of charge reasonable access to and copies of all documents, records and other information relevant to the Claimant’s claim for benefits, as well as a statement of the Claimant’s right to bring an action under Section 502(a) of ERISA. If a Claimant does not receive the appeal decision by the date it is due, the Claimant may deem his or her appeal to have been denied.</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The Compensation Committee will adopt procedures by which initial claims will be considered and appeals will be resolved; different procedures may be established for different claims. All procedures will be designed to afford a Claimant full and fair consideration of his or her claim.</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u w:val="single" w:color="auto"/>
          <w:color w:val="auto"/>
        </w:rPr>
        <w:t>Arbitration of Rejected Appeals</w:t>
      </w:r>
      <w:r>
        <w:rPr>
          <w:rFonts w:ascii="Times New Roman" w:cs="Times New Roman" w:eastAsia="Times New Roman" w:hAnsi="Times New Roman"/>
          <w:sz w:val="18"/>
          <w:szCs w:val="18"/>
          <w:color w:val="auto"/>
        </w:rPr>
        <w:t xml:space="preserve">. If a Claimant has pursued a claim through the appeal stage of these claims procedures, the Claimant may contest the actual or deemed denial of that claim through arbitration, as described below and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of the Plan. In no event shall any denied claim be subject to resolution by any means (such as in a court of law) other than arbitration in accordance with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2. Arbitration procedure</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Request for Arbitration</w:t>
      </w:r>
      <w:r>
        <w:rPr>
          <w:rFonts w:ascii="Times New Roman" w:cs="Times New Roman" w:eastAsia="Times New Roman" w:hAnsi="Times New Roman"/>
          <w:sz w:val="18"/>
          <w:szCs w:val="18"/>
          <w:color w:val="auto"/>
        </w:rPr>
        <w:t xml:space="preserve">. A Claimant must submit a request for binding arbitration to the Compensation Committee within sixty (60) days after receipt of the written denial of an appeal (or within sixty (60) days after he or she should have received the determination). The Claimant or the Compensation Committee may bring an action in any court of appropriate jurisdiction to compel arbitration in accordance with these procedures;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in this Plan shall require arbitration of any claims which, by law, cannot be the subject of a compulsory arbitration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and Conditions of Arbitration</w:t>
      </w:r>
      <w:r>
        <w:rPr>
          <w:rFonts w:ascii="Times New Roman" w:cs="Times New Roman" w:eastAsia="Times New Roman" w:hAnsi="Times New Roman"/>
          <w:sz w:val="18"/>
          <w:szCs w:val="18"/>
          <w:color w:val="auto"/>
        </w:rPr>
        <w:t xml:space="preserve">. All claims shall be resolved exclusively by arbitration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procedures set forth herein are intended to comply with United States Department of Labor Regulation Section 2560.503-1 and should be construed in accordance with such regulation. In no event shall the foregoing claims procedure be interpreted as expanding the rights of any Claimant beyond what is required by United States Department of Labor Regulation Section 2560.503-1.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__________,</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 is my pleasure to confirm our offer of employment to join Amplitude, Inc., working on our mission to help the world build better products.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entered into as of ________ is between Amplitude, Inc.,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56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assure itself of the continued services of Executive by engaging Executive to perform services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under the terms hereof; and</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desires to provide continued services to the Company on the terms herein provided.</w:t>
      </w:r>
    </w:p>
    <w:p>
      <w:pPr>
        <w:spacing w:after="0" w:line="184" w:lineRule="exact"/>
        <w:rPr>
          <w:sz w:val="20"/>
          <w:szCs w:val="20"/>
          <w:color w:val="auto"/>
        </w:rPr>
      </w:pPr>
    </w:p>
    <w:p>
      <w:pPr>
        <w:ind w:right="1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including the respective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set forth below, the receipt and sufficiency of which are hereby acknowledged, the Parties hereto agree as follows:</w:t>
      </w:r>
    </w:p>
    <w:p>
      <w:pPr>
        <w:spacing w:after="0" w:line="127" w:lineRule="exact"/>
        <w:rPr>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w:t>
      </w:r>
    </w:p>
    <w:p>
      <w:pPr>
        <w:spacing w:after="0" w:line="18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shall employ Executive upon the terms and conditions provided herein effective as of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62" w:lineRule="exact"/>
        <w:rPr>
          <w:sz w:val="20"/>
          <w:szCs w:val="20"/>
          <w:color w:val="auto"/>
        </w:rPr>
      </w:pPr>
    </w:p>
    <w:p>
      <w:pPr>
        <w:ind w:left="2040" w:hanging="535"/>
        <w:spacing w:after="0"/>
        <w:tabs>
          <w:tab w:leader="none" w:pos="2040" w:val="left"/>
        </w:tabs>
        <w:numPr>
          <w:ilvl w:val="1"/>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Executive shall begin employment with Amplitude on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Effective as of the</w:t>
      </w:r>
    </w:p>
    <w:p>
      <w:pPr>
        <w:spacing w:after="0" w:line="31" w:lineRule="exact"/>
        <w:rPr>
          <w:rFonts w:ascii="Times New Roman" w:cs="Times New Roman" w:eastAsia="Times New Roman" w:hAnsi="Times New Roman"/>
          <w:sz w:val="18"/>
          <w:szCs w:val="18"/>
          <w:u w:val="single" w:color="auto"/>
          <w:color w:val="auto"/>
        </w:rPr>
      </w:pPr>
    </w:p>
    <w:p>
      <w:pPr>
        <w:ind w:right="40"/>
        <w:spacing w:after="0" w:line="251"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Effective Date, Executive: (i) shall serve as the Company’s __________, with responsibilities, duties, and authority usual and customary for such position subject to direction by the Chief Executive Officer of the Company (the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(ii) shall report directly to the CEO or the CEO’s designee; and (iii) agrees promptly and faithfully to comply with all present and future policies, requirements, rules and regulations, and reasonable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__________. In the event that Executive serves in any one or more of such additional capacities, Executive’s compensation shall not automatically be increased on account of such additional service.</w:t>
      </w:r>
    </w:p>
    <w:p>
      <w:pPr>
        <w:spacing w:after="0" w:line="165" w:lineRule="exact"/>
        <w:rPr>
          <w:rFonts w:ascii="Times New Roman" w:cs="Times New Roman" w:eastAsia="Times New Roman" w:hAnsi="Times New Roman"/>
          <w:sz w:val="18"/>
          <w:szCs w:val="18"/>
          <w:u w:val="single" w:color="auto"/>
          <w:color w:val="auto"/>
        </w:rPr>
      </w:pPr>
    </w:p>
    <w:p>
      <w:pPr>
        <w:ind w:right="100" w:firstLine="1505"/>
        <w:spacing w:after="0" w:line="265" w:lineRule="auto"/>
        <w:tabs>
          <w:tab w:leader="none" w:pos="2037" w:val="left"/>
        </w:tabs>
        <w:numPr>
          <w:ilvl w:val="1"/>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xml:space="preserve">. Executive shall perform services for the Company at the Company’s offices located in San Francisco, California, or, with the Company’s consent, at any other place in connection with the fulfillment of Executive’s role with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from time to time require Executive to travel temporarily to other locations in connection with Company’s business.</w:t>
      </w:r>
    </w:p>
    <w:p>
      <w:pPr>
        <w:spacing w:after="0" w:line="136" w:lineRule="exact"/>
        <w:rPr>
          <w:rFonts w:ascii="Times New Roman" w:cs="Times New Roman" w:eastAsia="Times New Roman" w:hAnsi="Times New Roman"/>
          <w:sz w:val="18"/>
          <w:szCs w:val="18"/>
          <w:u w:val="single" w:color="auto"/>
          <w:color w:val="auto"/>
        </w:rPr>
      </w:pPr>
    </w:p>
    <w:p>
      <w:pPr>
        <w:ind w:right="40" w:firstLine="1505"/>
        <w:spacing w:after="0" w:line="253" w:lineRule="auto"/>
        <w:tabs>
          <w:tab w:leader="none" w:pos="2037" w:val="left"/>
        </w:tabs>
        <w:numPr>
          <w:ilvl w:val="1"/>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Except with the prior written approval of the CEO (which the CEO may grant or withhold in his or her sole and absolute discretion), Executive shall devote 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 (ii) 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or organizations provided (i) such organization is not a competitor of the Company; (ii) Executive receives prior written approval from the CEO; and (iii) such activities do not individually or in the aggregate interfere with the performance of Executive’s duties under this Agreement, violate the Company’s standards of conduct then in effect, or raise a conflict under the Company’s conflict of interest policies.</w:t>
      </w:r>
    </w:p>
    <w:p>
      <w:pPr>
        <w:spacing w:after="0" w:line="146" w:lineRule="exact"/>
        <w:rPr>
          <w:rFonts w:ascii="Times New Roman" w:cs="Times New Roman" w:eastAsia="Times New Roman" w:hAnsi="Times New Roman"/>
          <w:sz w:val="18"/>
          <w:szCs w:val="18"/>
          <w:u w:val="single" w:color="auto"/>
          <w:color w:val="auto"/>
        </w:rPr>
      </w:pPr>
    </w:p>
    <w:p>
      <w:pPr>
        <w:ind w:right="440" w:firstLine="757"/>
        <w:spacing w:after="0" w:line="268" w:lineRule="auto"/>
        <w:tabs>
          <w:tab w:leader="none" w:pos="10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period of Executive’s employment under this Agreement shall commence on the Effective Date and shall continue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with the Company is terminated pursuant to Section 5. The phrase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as used in this Agreement shall refer to the entire period of employment of Executive by the Company.</w:t>
      </w:r>
    </w:p>
    <w:p>
      <w:pPr>
        <w:spacing w:after="0" w:line="14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Related Matters.</w:t>
      </w:r>
    </w:p>
    <w:p>
      <w:pPr>
        <w:spacing w:after="0" w:line="188" w:lineRule="exact"/>
        <w:rPr>
          <w:rFonts w:ascii="Times New Roman" w:cs="Times New Roman" w:eastAsia="Times New Roman" w:hAnsi="Times New Roman"/>
          <w:sz w:val="18"/>
          <w:szCs w:val="18"/>
          <w:color w:val="auto"/>
        </w:rPr>
      </w:pPr>
    </w:p>
    <w:p>
      <w:pPr>
        <w:ind w:right="200" w:firstLine="1505"/>
        <w:spacing w:after="0" w:line="281" w:lineRule="auto"/>
        <w:tabs>
          <w:tab w:leader="none" w:pos="2037" w:val="left"/>
        </w:tabs>
        <w:numPr>
          <w:ilvl w:val="1"/>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During the Term, Executive shall receive a base salary at the rate of $__________ (as may be increased from time to time, the (“</w:t>
      </w:r>
      <w:r>
        <w:rPr>
          <w:rFonts w:ascii="Times New Roman" w:cs="Times New Roman" w:eastAsia="Times New Roman" w:hAnsi="Times New Roman"/>
          <w:sz w:val="18"/>
          <w:szCs w:val="18"/>
          <w:b w:val="1"/>
          <w:bCs w:val="1"/>
          <w:i w:val="1"/>
          <w:iCs w:val="1"/>
          <w:color w:val="auto"/>
        </w:rPr>
        <w:t>Annual Base Salary</w:t>
      </w:r>
      <w:r>
        <w:rPr>
          <w:rFonts w:ascii="Times New Roman" w:cs="Times New Roman" w:eastAsia="Times New Roman" w:hAnsi="Times New Roman"/>
          <w:sz w:val="18"/>
          <w:szCs w:val="18"/>
          <w:color w:val="auto"/>
        </w:rPr>
        <w:t>”), which is subject to withholdings and deductions and pro-rated for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4" w:name="page95"/>
    <w:bookmarkEnd w:id="94"/>
    <w:p>
      <w:pPr>
        <w:ind w:right="260"/>
        <w:spacing w:after="0" w:line="265" w:lineRule="auto"/>
        <w:rPr>
          <w:sz w:val="20"/>
          <w:szCs w:val="20"/>
          <w:color w:val="auto"/>
        </w:rPr>
      </w:pPr>
      <w:r>
        <w:rPr>
          <w:rFonts w:ascii="Times New Roman" w:cs="Times New Roman" w:eastAsia="Times New Roman" w:hAnsi="Times New Roman"/>
          <w:sz w:val="18"/>
          <w:szCs w:val="18"/>
          <w:color w:val="auto"/>
        </w:rPr>
        <w:t>any partial employment during the Term, which shall be paid to Executive in accordance with the customary payroll practices and procedures of the Company. Such Annual Base Salary shall be reviewed by the CEO, and, as applicable,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and/or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not less than annually.</w:t>
      </w:r>
    </w:p>
    <w:p>
      <w:pPr>
        <w:spacing w:after="0" w:line="133" w:lineRule="exact"/>
        <w:rPr>
          <w:sz w:val="20"/>
          <w:szCs w:val="20"/>
          <w:color w:val="auto"/>
        </w:rPr>
      </w:pPr>
    </w:p>
    <w:p>
      <w:pPr>
        <w:ind w:right="60" w:firstLine="1505"/>
        <w:spacing w:after="0" w:line="262" w:lineRule="auto"/>
        <w:tabs>
          <w:tab w:leader="none" w:pos="2037" w:val="left"/>
        </w:tabs>
        <w:numPr>
          <w:ilvl w:val="1"/>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xml:space="preserve">. Executive may be eligible to receive an annual bonus with a target achievement of </w:t>
      </w:r>
      <w:r>
        <w:rPr>
          <w:rFonts w:ascii="Times New Roman" w:cs="Times New Roman" w:eastAsia="Times New Roman" w:hAnsi="Times New Roman"/>
          <w:sz w:val="18"/>
          <w:szCs w:val="18"/>
          <w:b w:val="1"/>
          <w:bCs w:val="1"/>
          <w:color w:val="auto"/>
        </w:rPr>
        <w:t>____</w:t>
      </w:r>
      <w:r>
        <w:rPr>
          <w:rFonts w:ascii="Times New Roman" w:cs="Times New Roman" w:eastAsia="Times New Roman" w:hAnsi="Times New Roman"/>
          <w:sz w:val="18"/>
          <w:szCs w:val="18"/>
          <w:color w:val="auto"/>
        </w:rPr>
        <w:t>% of Annual Base Salary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The Annual Bonus plan for the year in which the Effective Date occurs and beyond will be based on the achievement of the criteria approved by the Board or applicable committee. Any Annual Bonus if earned under a program adopted by the Company shall be [pro-rated for the initial year in which the Effective Date occurs and] subject to Executive’s continued employment through the applicable date of payment.</w:t>
      </w:r>
    </w:p>
    <w:p>
      <w:pPr>
        <w:spacing w:after="0" w:line="151" w:lineRule="exact"/>
        <w:rPr>
          <w:rFonts w:ascii="Times New Roman" w:cs="Times New Roman" w:eastAsia="Times New Roman" w:hAnsi="Times New Roman"/>
          <w:sz w:val="18"/>
          <w:szCs w:val="18"/>
          <w:u w:val="single" w:color="auto"/>
          <w:color w:val="auto"/>
        </w:rPr>
      </w:pPr>
    </w:p>
    <w:p>
      <w:pPr>
        <w:jc w:val="both"/>
        <w:ind w:firstLine="1505"/>
        <w:spacing w:after="0" w:line="265" w:lineRule="auto"/>
        <w:tabs>
          <w:tab w:leader="none" w:pos="2037" w:val="left"/>
        </w:tabs>
        <w:numPr>
          <w:ilvl w:val="1"/>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spacing w:after="0" w:line="136" w:lineRule="exact"/>
        <w:rPr>
          <w:rFonts w:ascii="Times New Roman" w:cs="Times New Roman" w:eastAsia="Times New Roman" w:hAnsi="Times New Roman"/>
          <w:sz w:val="18"/>
          <w:szCs w:val="18"/>
          <w:u w:val="single" w:color="auto"/>
          <w:color w:val="auto"/>
        </w:rPr>
      </w:pPr>
    </w:p>
    <w:p>
      <w:pPr>
        <w:jc w:val="both"/>
        <w:ind w:right="200" w:firstLine="1505"/>
        <w:spacing w:after="0" w:line="265" w:lineRule="auto"/>
        <w:tabs>
          <w:tab w:leader="none" w:pos="2037" w:val="left"/>
        </w:tabs>
        <w:numPr>
          <w:ilvl w:val="1"/>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136"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1"/>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Executive will be entitled to paid vacation in accordance with the Company’s vacation policy, as in effect from time</w:t>
      </w:r>
    </w:p>
    <w:p>
      <w:pPr>
        <w:spacing w:after="0" w:line="27"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to time.</w:t>
      </w:r>
    </w:p>
    <w:p>
      <w:pPr>
        <w:spacing w:after="0" w:line="175" w:lineRule="exact"/>
        <w:rPr>
          <w:rFonts w:ascii="Times New Roman" w:cs="Times New Roman" w:eastAsia="Times New Roman" w:hAnsi="Times New Roman"/>
          <w:sz w:val="18"/>
          <w:szCs w:val="18"/>
          <w:u w:val="single" w:color="auto"/>
          <w:color w:val="auto"/>
        </w:rPr>
      </w:pPr>
    </w:p>
    <w:p>
      <w:pPr>
        <w:jc w:val="both"/>
        <w:ind w:right="80" w:firstLine="757"/>
        <w:spacing w:after="0" w:line="262" w:lineRule="auto"/>
        <w:tabs>
          <w:tab w:leader="none" w:pos="10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Subject to the approval of the Company’s Board of Directors (or a committee thereof) Executive will be granted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as detailed below. Any RSUs granted to Executive will be subject to the approval of the Board or applicable committee and will be governed by the terms and conditions of the applicable grant agreement under the Company’s 2021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details of the grant recommendation are as follows: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RSUs will have a target value of $__________ (“Target RSU Value”). The number of RSUs granted to Executive will be approximately equal</w:t>
      </w:r>
    </w:p>
    <w:p>
      <w:pPr>
        <w:spacing w:after="0" w:line="2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to the Total RSU Value divided by such average trading price of Amplitude’s Class A Common Stock (or such other value of Amplitude’s Class A Common Stock for determining the number of RSUs then-used by Amplitude) as reasonably determined by the Company, in its sole discretion. Subject to the terms of the Plan, (i) the RSUs will vest over ______ years, in __________ installments following the Effective Date, with all RSU vesting subject to</w:t>
      </w: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Executive’s continued service with the Company through each such date, or as otherwise described in the Plan or the award agreement issued to Executive thereunder. Further details on the Plan and any specific RSU grant to Executive will be provided upon approval of such grant by the Company’s Board of Directors (or a committee thereof).</w:t>
      </w:r>
    </w:p>
    <w:p>
      <w:pPr>
        <w:spacing w:after="0" w:line="181" w:lineRule="exact"/>
        <w:rPr>
          <w:sz w:val="20"/>
          <w:szCs w:val="20"/>
          <w:color w:val="auto"/>
        </w:rPr>
      </w:pPr>
    </w:p>
    <w:p>
      <w:pPr>
        <w:ind w:left="1020" w:hanging="26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p>
    <w:p>
      <w:pPr>
        <w:spacing w:after="0" w:line="188" w:lineRule="exact"/>
        <w:rPr>
          <w:rFonts w:ascii="Times New Roman" w:cs="Times New Roman" w:eastAsia="Times New Roman" w:hAnsi="Times New Roman"/>
          <w:sz w:val="18"/>
          <w:szCs w:val="18"/>
          <w:color w:val="auto"/>
        </w:rPr>
      </w:pPr>
    </w:p>
    <w:p>
      <w:pPr>
        <w:ind w:right="20" w:firstLine="1505"/>
        <w:spacing w:after="0" w:line="254" w:lineRule="auto"/>
        <w:tabs>
          <w:tab w:leader="none" w:pos="2037" w:val="left"/>
        </w:tabs>
        <w:numPr>
          <w:ilvl w:val="1"/>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w:t>
      </w:r>
    </w:p>
    <w:p>
      <w:pPr>
        <w:spacing w:after="0" w:line="158" w:lineRule="exact"/>
        <w:rPr>
          <w:rFonts w:ascii="Times New Roman" w:cs="Times New Roman" w:eastAsia="Times New Roman" w:hAnsi="Times New Roman"/>
          <w:sz w:val="18"/>
          <w:szCs w:val="18"/>
          <w:u w:val="single" w:color="auto"/>
          <w:color w:val="auto"/>
        </w:rPr>
      </w:pPr>
    </w:p>
    <w:p>
      <w:pPr>
        <w:ind w:right="20" w:firstLine="1505"/>
        <w:spacing w:after="0" w:line="255" w:lineRule="auto"/>
        <w:tabs>
          <w:tab w:leader="none" w:pos="2037" w:val="left"/>
        </w:tabs>
        <w:numPr>
          <w:ilvl w:val="1"/>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During the Term, any termination of Executive’s employment by the Company or by Executive (other than by reason of death) shall be communicated by written notice (a “</w:t>
      </w:r>
      <w:r>
        <w:rPr>
          <w:rFonts w:ascii="Times New Roman" w:cs="Times New Roman" w:eastAsia="Times New Roman" w:hAnsi="Times New Roman"/>
          <w:sz w:val="18"/>
          <w:szCs w:val="18"/>
          <w:b w:val="1"/>
          <w:bCs w:val="1"/>
          <w:i w:val="1"/>
          <w:iCs w:val="1"/>
          <w:color w:val="auto"/>
        </w:rPr>
        <w:t>Notice of Termination</w:t>
      </w:r>
      <w:r>
        <w:rPr>
          <w:rFonts w:ascii="Times New Roman" w:cs="Times New Roman" w:eastAsia="Times New Roman" w:hAnsi="Times New Roman"/>
          <w:sz w:val="18"/>
          <w:szCs w:val="18"/>
          <w:color w:val="auto"/>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in the Severance Plan, as defined below) shall not waive any right of the Company hereunder or preclude the Company from asserting such fact or circumstance in enforcing its rights hereunder.</w:t>
      </w:r>
    </w:p>
    <w:p>
      <w:pPr>
        <w:spacing w:after="0" w:line="142" w:lineRule="exact"/>
        <w:rPr>
          <w:rFonts w:ascii="Times New Roman" w:cs="Times New Roman" w:eastAsia="Times New Roman" w:hAnsi="Times New Roman"/>
          <w:sz w:val="18"/>
          <w:szCs w:val="18"/>
          <w:u w:val="single" w:color="auto"/>
          <w:color w:val="auto"/>
        </w:rPr>
      </w:pPr>
    </w:p>
    <w:p>
      <w:pPr>
        <w:ind w:right="480" w:firstLine="1505"/>
        <w:spacing w:after="0" w:line="286" w:lineRule="auto"/>
        <w:tabs>
          <w:tab w:leader="none" w:pos="2037" w:val="left"/>
        </w:tabs>
        <w:numPr>
          <w:ilvl w:val="1"/>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Date of Termination</w:t>
      </w:r>
      <w:r>
        <w:rPr>
          <w:rFonts w:ascii="Times New Roman" w:cs="Times New Roman" w:eastAsia="Times New Roman" w:hAnsi="Times New Roman"/>
          <w:sz w:val="18"/>
          <w:szCs w:val="18"/>
          <w:color w:val="auto"/>
        </w:rPr>
        <w:t>”) shall mean the date of the termination of Executive’s employment with the Company specified in a Notice of Termination.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5" w:name="page96"/>
    <w:bookmarkEnd w:id="95"/>
    <w:p>
      <w:pPr>
        <w:ind w:right="40" w:firstLine="1505"/>
        <w:spacing w:after="0" w:line="265" w:lineRule="auto"/>
        <w:tabs>
          <w:tab w:leader="none" w:pos="2037" w:val="left"/>
        </w:tabs>
        <w:numPr>
          <w:ilvl w:val="2"/>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Deemed Resignation</w:t>
      </w:r>
      <w:r>
        <w:rPr>
          <w:rFonts w:ascii="Times New Roman" w:cs="Times New Roman" w:eastAsia="Times New Roman" w:hAnsi="Times New Roman"/>
          <w:sz w:val="18"/>
          <w:szCs w:val="18"/>
          <w:color w:val="auto"/>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36"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2"/>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Executive’s Obligations upon Termination</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u w:val="single" w:color="auto"/>
          <w:color w:val="auto"/>
        </w:rPr>
      </w:pPr>
    </w:p>
    <w:p>
      <w:pPr>
        <w:ind w:left="760" w:right="20" w:firstLine="1494"/>
        <w:spacing w:after="0" w:line="258" w:lineRule="auto"/>
        <w:tabs>
          <w:tab w:leader="none" w:pos="2557"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Executive shall provide Executive’s reasonable cooperation in connection with any action or proceeding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appeal from any action or proceeding) which relates to events occurring during Executive’s employment hereunder; provided the Company shall indemnify and hold harmless Executive with respect to any such cooperation and reimburse Executive for Executive’s reasonable costs and expenses (including legal counsel selected by Executive and reasonably acceptable to the Company) and such cooperation shall not unreasonably burden Executive or unreasonably interfere with any subsequent employment that Executive may undertake.</w:t>
      </w:r>
    </w:p>
    <w:p>
      <w:pPr>
        <w:spacing w:after="0" w:line="141" w:lineRule="exact"/>
        <w:rPr>
          <w:rFonts w:ascii="Times New Roman" w:cs="Times New Roman" w:eastAsia="Times New Roman" w:hAnsi="Times New Roman"/>
          <w:sz w:val="18"/>
          <w:szCs w:val="18"/>
          <w:color w:val="auto"/>
        </w:rPr>
      </w:pPr>
    </w:p>
    <w:p>
      <w:pPr>
        <w:ind w:left="760" w:firstLine="1494"/>
        <w:spacing w:after="0" w:line="254" w:lineRule="auto"/>
        <w:tabs>
          <w:tab w:leader="none" w:pos="2557" w:val="left"/>
        </w:tabs>
        <w:numPr>
          <w:ilvl w:val="3"/>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Company Property</w:t>
      </w:r>
      <w:r>
        <w:rPr>
          <w:rFonts w:ascii="Times New Roman" w:cs="Times New Roman" w:eastAsia="Times New Roman" w:hAnsi="Times New Roman"/>
          <w:sz w:val="18"/>
          <w:szCs w:val="18"/>
          <w:color w:val="auto"/>
        </w:rPr>
        <w:t>. Executive hereby acknowledges and agrees that all Company Property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 furnished to, or prepared by, Executive in the course of, or incident to, Executive’s employment, belongs to the Company and shall be promptly returned to the Company upon termination of Executive’s employment (and will not be kept in Executive’s possession or delivered to anyone else). For purposes of this Agreement, “</w:t>
      </w:r>
      <w:r>
        <w:rPr>
          <w:rFonts w:ascii="Times New Roman" w:cs="Times New Roman" w:eastAsia="Times New Roman" w:hAnsi="Times New Roman"/>
          <w:sz w:val="18"/>
          <w:szCs w:val="18"/>
          <w:b w:val="1"/>
          <w:bCs w:val="1"/>
          <w:i w:val="1"/>
          <w:iCs w:val="1"/>
          <w:color w:val="auto"/>
        </w:rPr>
        <w:t>Company Property</w:t>
      </w:r>
      <w:r>
        <w:rPr>
          <w:rFonts w:ascii="Times New Roman" w:cs="Times New Roman" w:eastAsia="Times New Roman" w:hAnsi="Times New Roman"/>
          <w:sz w:val="18"/>
          <w:szCs w:val="18"/>
          <w:color w:val="auto"/>
        </w:rPr>
        <w:t>” includes, without limitation, all books, manuals, records, reports, notes, contracts, lists, blueprints, and other documents, or materials, or copies thereof (including computer files), keys, building card keys, company credit cards, telephone calling cards, computer hardware and software, laptop computers, docking stations, cellular and portable telephone equipment, personal digital assistant (PDA) devices and all other proprietary information relating to the business of the Company or its subsidiaries or affiliates. Following termination, Executive shall not retain any written or other tangible material containing any proprietary information of the Company or its subsidiaries or affiliates.</w:t>
      </w:r>
    </w:p>
    <w:p>
      <w:pPr>
        <w:spacing w:after="0" w:line="14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Consequences of Termination</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ind w:firstLine="1505"/>
        <w:spacing w:after="0" w:line="270" w:lineRule="auto"/>
        <w:tabs>
          <w:tab w:leader="none" w:pos="2037" w:val="left"/>
        </w:tabs>
        <w:numPr>
          <w:ilvl w:val="2"/>
          <w:numId w:val="8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Payments of Accrued Obligations upon all Terminations of Employment</w:t>
      </w:r>
      <w:r>
        <w:rPr>
          <w:rFonts w:ascii="Times New Roman" w:cs="Times New Roman" w:eastAsia="Times New Roman" w:hAnsi="Times New Roman"/>
          <w:sz w:val="17"/>
          <w:szCs w:val="17"/>
          <w:color w:val="auto"/>
        </w:rPr>
        <w:t>. Upon a termination of Executive’s employment for any reason, Executive (or Executive’s estate or legal representative, as applicable) shall be entitled to receive, within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 off owed to Executive,</w:t>
      </w:r>
    </w:p>
    <w:p>
      <w:pPr>
        <w:spacing w:after="0" w:line="1" w:lineRule="exact"/>
        <w:rPr>
          <w:rFonts w:ascii="Times New Roman" w:cs="Times New Roman" w:eastAsia="Times New Roman" w:hAnsi="Times New Roman"/>
          <w:sz w:val="17"/>
          <w:szCs w:val="17"/>
          <w:u w:val="single" w:color="auto"/>
          <w:color w:val="auto"/>
        </w:rPr>
      </w:pPr>
    </w:p>
    <w:p>
      <w:pPr>
        <w:ind w:firstLine="8"/>
        <w:spacing w:after="0" w:line="253" w:lineRule="auto"/>
        <w:tabs>
          <w:tab w:leader="none" w:pos="3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 6(b), the payments and benefits described in this Section 6(a) shall be the only payments and benefits payable in the event of Executive’s termination of employment for any reason.</w:t>
      </w:r>
    </w:p>
    <w:p>
      <w:pPr>
        <w:spacing w:after="0" w:line="14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2"/>
          <w:numId w:val="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Severance Plan Participation.</w:t>
      </w:r>
      <w:r>
        <w:rPr>
          <w:rFonts w:ascii="Times New Roman" w:cs="Times New Roman" w:eastAsia="Times New Roman" w:hAnsi="Times New Roman"/>
          <w:sz w:val="18"/>
          <w:szCs w:val="18"/>
          <w:color w:val="auto"/>
        </w:rPr>
        <w:t xml:space="preserve"> The Company has adopted and currently maintains the Executive Severance Plan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Plan</w:t>
      </w:r>
      <w:r>
        <w:rPr>
          <w:rFonts w:ascii="Times New Roman" w:cs="Times New Roman" w:eastAsia="Times New Roman" w:hAnsi="Times New Roman"/>
          <w:sz w:val="18"/>
          <w:szCs w:val="18"/>
          <w:color w:val="auto"/>
        </w:rPr>
        <w:t>”) that provides for certain payment and benefits upon qualifying terminations of employment. Following the Effective Date, the Board or the Committee shall designate Executive as a participant in the Severance Plan, subject to Executive complying with the terms and conditions of the Severance Plan (including Executive’s entry into a participation agreement under the Severance Plan). Executive shall not be entitled to any other severance payments or benefits other than as set forth in the Severance Plan, unless otherwise determined by the Board or the Committee.</w:t>
      </w:r>
    </w:p>
    <w:p>
      <w:pPr>
        <w:spacing w:after="0" w:line="143" w:lineRule="exact"/>
        <w:rPr>
          <w:sz w:val="20"/>
          <w:szCs w:val="20"/>
          <w:color w:val="auto"/>
        </w:rPr>
      </w:pPr>
    </w:p>
    <w:p>
      <w:pPr>
        <w:ind w:right="120" w:firstLine="757"/>
        <w:spacing w:after="0" w:line="259" w:lineRule="auto"/>
        <w:tabs>
          <w:tab w:leader="none" w:pos="10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Successors</w:t>
      </w:r>
      <w:r>
        <w:rPr>
          <w:rFonts w:ascii="Times New Roman" w:cs="Times New Roman" w:eastAsia="Times New Roman" w:hAnsi="Times New Roman"/>
          <w:sz w:val="18"/>
          <w:szCs w:val="18"/>
          <w:color w:val="auto"/>
        </w:rPr>
        <w:t>. The Company shall assign its rights and obligations under this Agreement to any successor to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15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1505"/>
        <w:spacing w:after="0" w:line="256" w:lineRule="auto"/>
        <w:tabs>
          <w:tab w:leader="none" w:pos="2037" w:val="left"/>
        </w:tabs>
        <w:numPr>
          <w:ilvl w:val="1"/>
          <w:numId w:val="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Restrictive Covenant Agreements; Right to Work</w:t>
      </w:r>
      <w:r>
        <w:rPr>
          <w:rFonts w:ascii="Times New Roman" w:cs="Times New Roman" w:eastAsia="Times New Roman" w:hAnsi="Times New Roman"/>
          <w:sz w:val="18"/>
          <w:szCs w:val="18"/>
          <w:color w:val="auto"/>
        </w:rPr>
        <w:t>. Executive hereby affirms Executive’s obligations under that certain Confidential Information and Intellectual Property Assignment Agreement by and between Executive and the Company dated as of March 8, 2021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The Confidentiality Agreement shall survive the termination of this Agreement and Executive’s employment with the Company for the applicable period(s) set forth therein. Notwithstanding the foregoing, in the event of any conflict between the terms of the Confidentiality Agreement and the terms of this Agreement, the terms of this Agreement shall prevail. As a condition of Executive’s employment with the Company, Executive is required to provide evidence of Executive’s identity and eligibility for employment in the United States.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6" w:name="page97"/>
    <w:bookmarkEnd w:id="96"/>
    <w:p>
      <w:pPr>
        <w:ind w:firstLine="1505"/>
        <w:spacing w:after="0" w:line="260"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41" w:lineRule="exact"/>
        <w:rPr>
          <w:rFonts w:ascii="Times New Roman" w:cs="Times New Roman" w:eastAsia="Times New Roman" w:hAnsi="Times New Roman"/>
          <w:sz w:val="18"/>
          <w:szCs w:val="18"/>
          <w:u w:val="single" w:color="auto"/>
          <w:color w:val="auto"/>
        </w:rPr>
      </w:pPr>
    </w:p>
    <w:p>
      <w:pPr>
        <w:ind w:right="320" w:firstLine="1505"/>
        <w:spacing w:after="0" w:line="281"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35" w:lineRule="exact"/>
        <w:rPr>
          <w:rFonts w:ascii="Times New Roman" w:cs="Times New Roman" w:eastAsia="Times New Roman" w:hAnsi="Times New Roman"/>
          <w:sz w:val="18"/>
          <w:szCs w:val="18"/>
          <w:u w:val="single" w:color="auto"/>
          <w:color w:val="auto"/>
        </w:rPr>
      </w:pPr>
    </w:p>
    <w:p>
      <w:pPr>
        <w:ind w:right="180" w:firstLine="1505"/>
        <w:spacing w:after="0" w:line="281"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22" w:lineRule="exact"/>
        <w:rPr>
          <w:rFonts w:ascii="Times New Roman" w:cs="Times New Roman" w:eastAsia="Times New Roman" w:hAnsi="Times New Roman"/>
          <w:sz w:val="18"/>
          <w:szCs w:val="18"/>
          <w:u w:val="single" w:color="auto"/>
          <w:color w:val="auto"/>
        </w:rPr>
      </w:pPr>
    </w:p>
    <w:p>
      <w:pPr>
        <w:ind w:right="60" w:firstLine="1505"/>
        <w:spacing w:after="0" w:line="255"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of this Agreement, together with the Confidentiality Agreement and the Arbitration Agreement (as defined below), are intended by the Parties to be the final expression of their agreement with respect to the employment of Executive by the Company and supersede all prior understandings and agreements, whether written or oral, regarding Executive’s service to the Company. The Parties further intend that this Agreement, together with the Confidentiality Agreement, shall constitute the complete and exclusive statement of their terms and that no extrinsic evidence whatsoever may be introduced in any judicial, administrative, or other legal proceeding to vary the terms of this Agreement or the Confidentiality Agreement. Notwithstanding the foregoing, in the event of any conflict between the terms of the Confidentiality Agreement and the terms of this Agreement, the terms of this Agreement shall prevail.</w:t>
      </w:r>
    </w:p>
    <w:p>
      <w:pPr>
        <w:spacing w:after="0" w:line="146" w:lineRule="exact"/>
        <w:rPr>
          <w:rFonts w:ascii="Times New Roman" w:cs="Times New Roman" w:eastAsia="Times New Roman" w:hAnsi="Times New Roman"/>
          <w:sz w:val="18"/>
          <w:szCs w:val="18"/>
          <w:u w:val="single" w:color="auto"/>
          <w:color w:val="auto"/>
        </w:rPr>
      </w:pPr>
    </w:p>
    <w:p>
      <w:pPr>
        <w:ind w:right="20" w:firstLine="1505"/>
        <w:spacing w:after="0" w:line="256"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representative of the Company, as applicable,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58" w:lineRule="exact"/>
        <w:rPr>
          <w:rFonts w:ascii="Times New Roman" w:cs="Times New Roman" w:eastAsia="Times New Roman" w:hAnsi="Times New Roman"/>
          <w:sz w:val="18"/>
          <w:szCs w:val="18"/>
          <w:u w:val="single" w:color="auto"/>
          <w:color w:val="auto"/>
        </w:rPr>
      </w:pPr>
    </w:p>
    <w:p>
      <w:pPr>
        <w:ind w:right="480" w:firstLine="1505"/>
        <w:spacing w:after="0" w:line="281"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Executive shall sign and abide by that certain [Arbitration Agreement] in the form provided by the Company (the “</w:t>
      </w:r>
      <w:r>
        <w:rPr>
          <w:rFonts w:ascii="Times New Roman" w:cs="Times New Roman" w:eastAsia="Times New Roman" w:hAnsi="Times New Roman"/>
          <w:sz w:val="18"/>
          <w:szCs w:val="18"/>
          <w:b w:val="1"/>
          <w:bCs w:val="1"/>
          <w:i w:val="1"/>
          <w:iCs w:val="1"/>
          <w:color w:val="auto"/>
        </w:rPr>
        <w:t>Arbitration Agreement</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u w:val="single" w:color="auto"/>
          <w:color w:val="auto"/>
        </w:rPr>
      </w:pPr>
    </w:p>
    <w:p>
      <w:pPr>
        <w:ind w:right="40" w:firstLine="1505"/>
        <w:spacing w:after="0" w:line="256"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45" w:lineRule="exact"/>
        <w:rPr>
          <w:rFonts w:ascii="Times New Roman" w:cs="Times New Roman" w:eastAsia="Times New Roman" w:hAnsi="Times New Roman"/>
          <w:sz w:val="18"/>
          <w:szCs w:val="18"/>
          <w:u w:val="single" w:color="auto"/>
          <w:color w:val="auto"/>
        </w:rPr>
      </w:pPr>
    </w:p>
    <w:p>
      <w:pPr>
        <w:ind w:right="200" w:firstLine="1505"/>
        <w:spacing w:after="0" w:line="265"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50" w:lineRule="exact"/>
        <w:rPr>
          <w:rFonts w:ascii="Times New Roman" w:cs="Times New Roman" w:eastAsia="Times New Roman" w:hAnsi="Times New Roman"/>
          <w:sz w:val="18"/>
          <w:szCs w:val="18"/>
          <w:u w:val="single" w:color="auto"/>
          <w:color w:val="auto"/>
        </w:rPr>
      </w:pPr>
    </w:p>
    <w:p>
      <w:pPr>
        <w:ind w:left="2560" w:hanging="306"/>
        <w:spacing w:after="0"/>
        <w:tabs>
          <w:tab w:leader="none" w:pos="2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Board at the Company’s headquarters,</w:t>
      </w:r>
    </w:p>
    <w:p>
      <w:pPr>
        <w:spacing w:after="0" w:line="18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the last address that the Company has in its personnel records for Executive, or</w:t>
      </w:r>
    </w:p>
    <w:p>
      <w:pPr>
        <w:spacing w:after="0" w:line="184"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other address as any Party shall have specified by notice in writing to the other Party.</w:t>
      </w:r>
    </w:p>
    <w:p>
      <w:pPr>
        <w:spacing w:after="0" w:line="197" w:lineRule="exact"/>
        <w:rPr>
          <w:rFonts w:ascii="Times New Roman" w:cs="Times New Roman" w:eastAsia="Times New Roman" w:hAnsi="Times New Roman"/>
          <w:sz w:val="18"/>
          <w:szCs w:val="18"/>
          <w:color w:val="auto"/>
        </w:rPr>
      </w:pPr>
    </w:p>
    <w:p>
      <w:pPr>
        <w:ind w:right="100" w:firstLine="1505"/>
        <w:spacing w:after="0" w:line="265"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36" w:lineRule="exact"/>
        <w:rPr>
          <w:rFonts w:ascii="Times New Roman" w:cs="Times New Roman" w:eastAsia="Times New Roman" w:hAnsi="Times New Roman"/>
          <w:sz w:val="18"/>
          <w:szCs w:val="18"/>
          <w:u w:val="single" w:color="auto"/>
          <w:color w:val="auto"/>
        </w:rPr>
      </w:pPr>
    </w:p>
    <w:p>
      <w:pPr>
        <w:ind w:right="160" w:firstLine="1505"/>
        <w:spacing w:after="0" w:line="255" w:lineRule="auto"/>
        <w:tabs>
          <w:tab w:leader="none" w:pos="2037"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Whistleblower Protections and Trade Secrets</w:t>
      </w:r>
      <w:r>
        <w:rPr>
          <w:rFonts w:ascii="Times New Roman" w:cs="Times New Roman" w:eastAsia="Times New Roman" w:hAnsi="Times New Roman"/>
          <w:sz w:val="18"/>
          <w:szCs w:val="18"/>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7" w:name="page98"/>
    <w:bookmarkEnd w:id="97"/>
    <w:p>
      <w:pPr>
        <w:ind w:right="240"/>
        <w:spacing w:after="0" w:line="280" w:lineRule="auto"/>
        <w:rPr>
          <w:sz w:val="20"/>
          <w:szCs w:val="20"/>
          <w:color w:val="auto"/>
        </w:rPr>
      </w:pPr>
      <w:r>
        <w:rPr>
          <w:rFonts w:ascii="Times New Roman" w:cs="Times New Roman" w:eastAsia="Times New Roman" w:hAnsi="Times New Roman"/>
          <w:sz w:val="17"/>
          <w:szCs w:val="17"/>
          <w:color w:val="auto"/>
        </w:rPr>
        <w:t>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22" w:lineRule="exact"/>
        <w:rPr>
          <w:sz w:val="20"/>
          <w:szCs w:val="20"/>
          <w:color w:val="auto"/>
        </w:rPr>
      </w:pPr>
    </w:p>
    <w:p>
      <w:pPr>
        <w:ind w:right="40" w:firstLine="757"/>
        <w:spacing w:after="0" w:line="254" w:lineRule="auto"/>
        <w:tabs>
          <w:tab w:leader="none" w:pos="10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Prior Employment</w:t>
      </w:r>
      <w:r>
        <w:rPr>
          <w:rFonts w:ascii="Times New Roman" w:cs="Times New Roman" w:eastAsia="Times New Roman" w:hAnsi="Times New Roman"/>
          <w:sz w:val="18"/>
          <w:szCs w:val="18"/>
          <w:color w:val="auto"/>
        </w:rPr>
        <w:t>. Executive represents and warrants that Executive’s acceptance of employment with the Company has not breached,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 (c) 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15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1505"/>
        <w:spacing w:after="0" w:line="253" w:lineRule="auto"/>
        <w:tabs>
          <w:tab w:leader="none" w:pos="2037" w:val="left"/>
        </w:tabs>
        <w:numPr>
          <w:ilvl w:val="1"/>
          <w:numId w:val="8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10(a)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spacing w:after="0" w:line="148" w:lineRule="exact"/>
        <w:rPr>
          <w:rFonts w:ascii="Times New Roman" w:cs="Times New Roman" w:eastAsia="Times New Roman" w:hAnsi="Times New Roman"/>
          <w:sz w:val="18"/>
          <w:szCs w:val="18"/>
          <w:u w:val="single" w:color="auto"/>
          <w:color w:val="auto"/>
        </w:rPr>
      </w:pPr>
    </w:p>
    <w:p>
      <w:pPr>
        <w:ind w:right="20" w:firstLine="1505"/>
        <w:spacing w:after="0" w:line="256" w:lineRule="auto"/>
        <w:tabs>
          <w:tab w:leader="none" w:pos="2037" w:val="left"/>
        </w:tabs>
        <w:numPr>
          <w:ilvl w:val="1"/>
          <w:numId w:val="8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Installments and Reimbursements</w:t>
      </w:r>
      <w:r>
        <w:rPr>
          <w:rFonts w:ascii="Times New Roman" w:cs="Times New Roman" w:eastAsia="Times New Roman" w:hAnsi="Times New Roman"/>
          <w:sz w:val="18"/>
          <w:szCs w:val="18"/>
          <w:color w:val="auto"/>
        </w:rPr>
        <w:t>. Notwithstanding any provision to the contrary in this Agreement: (i) for purposes of Section 409A, Executive’s right to receive installment payments shall be treated as a right to receive a series of separate and distinct payments; and (ii) to the extent that any reimbursement of expenses or in-kind benefits constitutes “deferred compensation” under Section 409A, such reimbursement or benefit shall be provided no later than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xml:space="preserve">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54" w:lineRule="exact"/>
        <w:rPr>
          <w:rFonts w:ascii="Times New Roman" w:cs="Times New Roman" w:eastAsia="Times New Roman" w:hAnsi="Times New Roman"/>
          <w:sz w:val="18"/>
          <w:szCs w:val="18"/>
          <w:u w:val="single" w:color="auto"/>
          <w:color w:val="auto"/>
        </w:rPr>
      </w:pPr>
    </w:p>
    <w:p>
      <w:pPr>
        <w:ind w:right="140" w:firstLine="757"/>
        <w:spacing w:after="0" w:line="268" w:lineRule="auto"/>
        <w:tabs>
          <w:tab w:leader="none" w:pos="10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Acknowledgement</w:t>
      </w:r>
      <w:r>
        <w:rPr>
          <w:rFonts w:ascii="Times New Roman" w:cs="Times New Roman" w:eastAsia="Times New Roman" w:hAnsi="Times New Roman"/>
          <w:sz w:val="18"/>
          <w:szCs w:val="18"/>
          <w:color w:val="auto"/>
        </w:rPr>
        <w:t>. Executive acknowledges that Executive has read and understands this Agreement, is fully aware of its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has not acted in reliance upon any representations or promises made by the Company other than those contained in writing herein, and has entered into this Agreement freely based on Executive’s own judgment.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8" w:name="page99"/>
    <w:bookmarkEnd w:id="98"/>
    <w:p>
      <w:pPr>
        <w:ind w:left="760"/>
        <w:spacing w:after="0"/>
        <w:rPr>
          <w:sz w:val="20"/>
          <w:szCs w:val="20"/>
          <w:color w:val="auto"/>
        </w:rPr>
      </w:pPr>
      <w:r>
        <w:rPr>
          <w:rFonts w:ascii="Times New Roman" w:cs="Times New Roman" w:eastAsia="Times New Roman" w:hAnsi="Times New Roman"/>
          <w:sz w:val="18"/>
          <w:szCs w:val="18"/>
          <w:color w:val="auto"/>
        </w:rPr>
        <w:t>The Parties have executed this Agreement as of the date set forth above.</w:t>
      </w:r>
    </w:p>
    <w:p>
      <w:pPr>
        <w:spacing w:after="0" w:line="180"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-7620</wp:posOffset>
            </wp:positionV>
            <wp:extent cx="2279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97" w:lineRule="exact"/>
        <w:rPr>
          <w:sz w:val="20"/>
          <w:szCs w:val="20"/>
          <w:color w:val="auto"/>
        </w:rPr>
      </w:pPr>
    </w:p>
    <w:p>
      <w:pPr>
        <w:ind w:left="4500"/>
        <w:spacing w:after="0"/>
        <w:tabs>
          <w:tab w:leader="none" w:pos="5200" w:val="left"/>
          <w:tab w:leader="none" w:pos="5560" w:val="left"/>
        </w:tabs>
        <w:rPr>
          <w:sz w:val="20"/>
          <w:szCs w:val="20"/>
          <w:color w:val="auto"/>
        </w:rPr>
      </w:pPr>
      <w:r>
        <w:rPr>
          <w:rFonts w:ascii="Times New Roman" w:cs="Times New Roman" w:eastAsia="Times New Roman" w:hAnsi="Times New Roman"/>
          <w:sz w:val="18"/>
          <w:szCs w:val="18"/>
          <w:color w:val="auto"/>
        </w:rPr>
        <w:t>Name:</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-7620</wp:posOffset>
            </wp:positionV>
            <wp:extent cx="1898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-7620</wp:posOffset>
            </wp:positionV>
            <wp:extent cx="2279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205" w:lineRule="exact"/>
        <w:rPr>
          <w:sz w:val="20"/>
          <w:szCs w:val="20"/>
          <w:color w:val="auto"/>
        </w:rPr>
      </w:pPr>
    </w:p>
    <w:p>
      <w:pPr>
        <w:ind w:left="4500"/>
        <w:spacing w:after="0"/>
        <w:tabs>
          <w:tab w:leader="none" w:pos="5200" w:val="left"/>
          <w:tab w:leader="none" w:pos="5560" w:val="left"/>
        </w:tabs>
        <w:rPr>
          <w:sz w:val="20"/>
          <w:szCs w:val="20"/>
          <w:color w:val="auto"/>
        </w:rPr>
      </w:pPr>
      <w:r>
        <w:rPr>
          <w:rFonts w:ascii="Times New Roman" w:cs="Times New Roman" w:eastAsia="Times New Roman" w:hAnsi="Times New Roman"/>
          <w:sz w:val="18"/>
          <w:szCs w:val="18"/>
          <w:color w:val="auto"/>
        </w:rPr>
        <w:t>Name:</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-7620</wp:posOffset>
            </wp:positionV>
            <wp:extent cx="1898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6" w:right="1440" w:bottom="1440" w:gutter="0" w:footer="0" w:header="0"/>
        </w:sectPr>
      </w:pPr>
    </w:p>
    <w:bookmarkStart w:id="99" w:name="page100"/>
    <w:bookmarkEnd w:id="99"/>
    <w:p>
      <w:pPr>
        <w:jc w:val="right"/>
        <w:ind w:right="40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Spenser Skates, certify that:</w:t>
      </w:r>
    </w:p>
    <w:p>
      <w:pPr>
        <w:spacing w:after="0" w:line="225"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Casey, certify that:</w:t>
      </w:r>
    </w:p>
    <w:p>
      <w:pPr>
        <w:spacing w:after="0" w:line="225"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Andrew Casey</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ind w:left="3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4"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September 30, 2024 as filed with the Securities and Exchange Commission on the date hereof (the “Report”), I certify, pursuant to 18 U.S.C. § 1350, as adopted pursuant to § 906 of the Sarbanes-Oxley Act of 2002, as amended, that:</w:t>
      </w:r>
    </w:p>
    <w:p>
      <w:pPr>
        <w:spacing w:after="0" w:line="177" w:lineRule="exact"/>
        <w:rPr>
          <w:sz w:val="20"/>
          <w:szCs w:val="20"/>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September 30, 2024 as filed with the Securities and Exchange Commission on the date hereof (the “Report”), I certify, pursuant to 18 U.S.C. § 1350, as adopted pursuant to § 906 of the Sarbanes-Oxley Act of 2002, as amended, that:</w:t>
      </w:r>
    </w:p>
    <w:p>
      <w:pPr>
        <w:spacing w:after="0" w:line="177" w:lineRule="exact"/>
        <w:rPr>
          <w:sz w:val="20"/>
          <w:szCs w:val="20"/>
          <w:color w:val="auto"/>
        </w:rPr>
      </w:pPr>
    </w:p>
    <w:p>
      <w:pPr>
        <w:ind w:left="1020" w:hanging="504"/>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Andrew Casey</w:t>
      </w:r>
    </w:p>
    <w:p>
      <w:pPr>
        <w:spacing w:after="0" w:line="2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2"/>
    </w:lvl>
  </w:abstractNum>
  <w:abstractNum w:abstractNumId="7">
    <w:nsid w:val="7644A45C"/>
    <w:multiLevelType w:val="hybridMultilevel"/>
    <w:lvl w:ilvl="0">
      <w:lvlJc w:val="left"/>
      <w:lvlText w:val="(%1)"/>
      <w:numFmt w:val="decimal"/>
      <w:start w:val="3"/>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decimal"/>
      <w:start w:val="4"/>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6"/>
    </w:lvl>
  </w:abstractNum>
  <w:abstractNum w:abstractNumId="18">
    <w:nsid w:val="520EEDD1"/>
    <w:multiLevelType w:val="hybridMultilevel"/>
    <w:lvl w:ilvl="0">
      <w:lvlJc w:val="left"/>
      <w:lvlText w:val="(%1)"/>
      <w:numFmt w:val="decimal"/>
      <w:start w:val="7"/>
    </w:lvl>
  </w:abstractNum>
  <w:abstractNum w:abstractNumId="19">
    <w:nsid w:val="374A3FE6"/>
    <w:multiLevelType w:val="hybridMultilevel"/>
    <w:lvl w:ilvl="0">
      <w:lvlJc w:val="left"/>
      <w:lvlText w:val="(%1)"/>
      <w:numFmt w:val="decimal"/>
      <w:start w:val="8"/>
    </w:lvl>
  </w:abstractNum>
  <w:abstractNum w:abstractNumId="20">
    <w:nsid w:val="4F4EF005"/>
    <w:multiLevelType w:val="hybridMultilevel"/>
    <w:lvl w:ilvl="0">
      <w:lvlJc w:val="left"/>
      <w:lvlText w:val="(%1)"/>
      <w:numFmt w:val="decimal"/>
      <w:start w:val="9"/>
    </w:lvl>
  </w:abstractNum>
  <w:abstractNum w:abstractNumId="21">
    <w:nsid w:val="23F9C13C"/>
    <w:multiLevelType w:val="hybridMultilevel"/>
    <w:lvl w:ilvl="0">
      <w:lvlJc w:val="left"/>
      <w:lvlText w:val="(%1)"/>
      <w:numFmt w:val="decimal"/>
      <w:start w:val="10"/>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lowerLetter"/>
      <w:start w:val="1"/>
    </w:lvl>
    <w:lvl w:ilvl="1">
      <w:lvlJc w:val="left"/>
      <w:lvlText w:val="(%2)"/>
      <w:numFmt w:val="lowerLetter"/>
      <w:start w:val="1"/>
    </w:lvl>
  </w:abstractNum>
  <w:abstractNum w:abstractNumId="46">
    <w:nsid w:val="1381823A"/>
    <w:multiLevelType w:val="hybridMultilevel"/>
    <w:lvl w:ilvl="0">
      <w:lvlJc w:val="left"/>
      <w:lvlText w:val="(%1)"/>
      <w:numFmt w:val="lowerLetter"/>
      <w:start w:val="2"/>
    </w:lvl>
    <w:lvl w:ilvl="1">
      <w:lvlJc w:val="left"/>
      <w:lvlText w:val="(%2)"/>
      <w:numFmt w:val="lowerLetter"/>
      <w:start w:val="5"/>
    </w:lvl>
  </w:abstractNum>
  <w:abstractNum w:abstractNumId="47">
    <w:nsid w:val="5DB70AE5"/>
    <w:multiLevelType w:val="hybridMultilevel"/>
    <w:lvl w:ilvl="0">
      <w:lvlJc w:val="left"/>
      <w:lvlText w:val="%1"/>
      <w:numFmt w:val="lowerLetter"/>
      <w:start w:val="1"/>
    </w:lvl>
    <w:lvl w:ilvl="1">
      <w:lvlJc w:val="left"/>
      <w:lvlText w:val="(%2)"/>
      <w:numFmt w:val="lowerLetter"/>
      <w:start w:val="6"/>
    </w:lvl>
  </w:abstractNum>
  <w:abstractNum w:abstractNumId="48">
    <w:nsid w:val="100F8FCA"/>
    <w:multiLevelType w:val="hybridMultilevel"/>
    <w:lvl w:ilvl="0">
      <w:lvlJc w:val="left"/>
      <w:lvlText w:val="(%1)"/>
      <w:numFmt w:val="lowerLetter"/>
      <w:start w:val="35"/>
    </w:lvl>
    <w:lvl w:ilvl="1">
      <w:lvlJc w:val="left"/>
      <w:lvlText w:val="(%2)"/>
      <w:numFmt w:val="lowerLetter"/>
      <w:start w:val="8"/>
    </w:lvl>
  </w:abstractNum>
  <w:abstractNum w:abstractNumId="49">
    <w:nsid w:val="6590700B"/>
    <w:multiLevelType w:val="hybridMultilevel"/>
    <w:lvl w:ilvl="0">
      <w:lvlJc w:val="left"/>
      <w:lvlText w:val="%1"/>
      <w:numFmt w:val="lowerLetter"/>
      <w:start w:val="1"/>
    </w:lvl>
    <w:lvl w:ilvl="1">
      <w:lvlJc w:val="left"/>
      <w:lvlText w:val="(%2)"/>
      <w:numFmt w:val="lowerLetter"/>
      <w:start w:val="20"/>
    </w:lvl>
  </w:abstractNum>
  <w:abstractNum w:abstractNumId="50">
    <w:nsid w:val="15014ACB"/>
    <w:multiLevelType w:val="hybridMultilevel"/>
    <w:lvl w:ilvl="0">
      <w:lvlJc w:val="left"/>
      <w:lvlText w:val="(%1)"/>
      <w:numFmt w:val="lowerLetter"/>
      <w:start w:val="2"/>
    </w:lvl>
    <w:lvl w:ilvl="1">
      <w:lvlJc w:val="left"/>
      <w:lvlText w:val="(%2)"/>
      <w:numFmt w:val="lowerLetter"/>
      <w:start w:val="23"/>
    </w:lvl>
  </w:abstractNum>
  <w:abstractNum w:abstractNumId="51">
    <w:nsid w:val="5F5E7FD0"/>
    <w:multiLevelType w:val="hybridMultilevel"/>
    <w:lvl w:ilvl="0">
      <w:lvlJc w:val="left"/>
      <w:lvlText w:val="(%1)"/>
      <w:numFmt w:val="lowerLetter"/>
      <w:start w:val="35"/>
    </w:lvl>
    <w:lvl w:ilvl="1">
      <w:lvlJc w:val="left"/>
      <w:lvlText w:val="%2"/>
      <w:numFmt w:val="lowerLetter"/>
      <w:start w:val="1"/>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1)"/>
      <w:numFmt w:val="lowerLetter"/>
      <w:start w:val="3"/>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Roman"/>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4"/>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lowerLetter"/>
      <w:start w:val="2"/>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2"/>
    </w:lvl>
  </w:abstractNum>
  <w:abstractNum w:abstractNumId="64">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5">
    <w:nsid w:val="11447B73"/>
    <w:multiLevelType w:val="hybridMultilevel"/>
    <w:lvl w:ilvl="0">
      <w:lvlJc w:val="left"/>
      <w:lvlText w:val="(%1)"/>
      <w:numFmt w:val="lowerRoman"/>
      <w:start w:val="2"/>
    </w:lvl>
  </w:abstractNum>
  <w:abstractNum w:abstractNumId="66">
    <w:nsid w:val="42963E5A"/>
    <w:multiLevelType w:val="hybridMultilevel"/>
    <w:lvl w:ilvl="0">
      <w:lvlJc w:val="left"/>
      <w:lvlText w:val="(%1)"/>
      <w:numFmt w:val="lowerRoman"/>
      <w:start w:val="5"/>
    </w:lvl>
  </w:abstractNum>
  <w:abstractNum w:abstractNumId="67">
    <w:nsid w:val="A0382C5"/>
    <w:multiLevelType w:val="hybridMultilevel"/>
    <w:lvl w:ilvl="0">
      <w:lvlJc w:val="left"/>
      <w:lvlText w:val="(%1)"/>
      <w:numFmt w:val="lowerLetter"/>
      <w:start w:val="3"/>
    </w:lvl>
  </w:abstractNum>
  <w:abstractNum w:abstractNumId="68">
    <w:nsid w:val="8F2B15E"/>
    <w:multiLevelType w:val="hybridMultilevel"/>
    <w:lvl w:ilvl="0">
      <w:lvlJc w:val="left"/>
      <w:lvlText w:val="(%1)"/>
      <w:numFmt w:val="lowerLetter"/>
      <w:start w:val="4"/>
    </w:lvl>
    <w:lvl w:ilvl="1">
      <w:lvlJc w:val="left"/>
      <w:lvlText w:val="(%2)"/>
      <w:numFmt w:val="lowerRoman"/>
      <w:start w:val="1"/>
    </w:lvl>
  </w:abstractNum>
  <w:abstractNum w:abstractNumId="69">
    <w:nsid w:val="1A32234B"/>
    <w:multiLevelType w:val="hybridMultilevel"/>
    <w:lvl w:ilvl="0">
      <w:lvlJc w:val="left"/>
      <w:lvlText w:val="%1."/>
      <w:numFmt w:val="decimal"/>
      <w:start w:val="3"/>
    </w:lvl>
    <w:lvl w:ilvl="1">
      <w:lvlJc w:val="left"/>
      <w:lvlText w:val="(%2)"/>
      <w:numFmt w:val="lowerLetter"/>
      <w:start w:val="1"/>
    </w:lvl>
  </w:abstractNum>
  <w:abstractNum w:abstractNumId="70">
    <w:nsid w:val="3B0FD379"/>
    <w:multiLevelType w:val="hybridMultilevel"/>
    <w:lvl w:ilvl="0">
      <w:lvlJc w:val="left"/>
      <w:lvlText w:val="%1."/>
      <w:numFmt w:val="decimal"/>
      <w:start w:val="7"/>
    </w:lvl>
  </w:abstractNum>
  <w:abstractNum w:abstractNumId="71">
    <w:nsid w:val="68EB2F63"/>
    <w:multiLevelType w:val="hybridMultilevel"/>
    <w:lvl w:ilvl="0">
      <w:lvlJc w:val="left"/>
      <w:lvlText w:val="%1."/>
      <w:numFmt w:val="decimal"/>
      <w:start w:val="11"/>
    </w:lvl>
  </w:abstractNum>
  <w:abstractNum w:abstractNumId="72">
    <w:nsid w:val="4962813B"/>
    <w:multiLevelType w:val="hybridMultilevel"/>
    <w:lvl w:ilvl="0">
      <w:lvlJc w:val="left"/>
      <w:lvlText w:val="%1."/>
      <w:numFmt w:val="decimal"/>
      <w:start w:val="1"/>
    </w:lvl>
    <w:lvl w:ilvl="1">
      <w:lvlJc w:val="left"/>
      <w:lvlText w:val="(%2)"/>
      <w:numFmt w:val="lowerLetter"/>
      <w:start w:val="1"/>
    </w:lvl>
  </w:abstractNum>
  <w:abstractNum w:abstractNumId="73">
    <w:nsid w:val="60B6DF70"/>
    <w:multiLevelType w:val="hybridMultilevel"/>
    <w:lvl w:ilvl="0">
      <w:lvlJc w:val="left"/>
      <w:lvlText w:val="%1"/>
      <w:numFmt w:val="decimal"/>
      <w:start w:val="1"/>
    </w:lvl>
    <w:lvl w:ilvl="1">
      <w:lvlJc w:val="left"/>
      <w:lvlText w:val="(%2)"/>
      <w:numFmt w:val="lowerLetter"/>
      <w:start w:val="2"/>
    </w:lvl>
  </w:abstractNum>
  <w:abstractNum w:abstractNumId="74">
    <w:nsid w:val="6A5EE64"/>
    <w:multiLevelType w:val="hybridMultilevel"/>
    <w:lvl w:ilvl="0">
      <w:lvlJc w:val="left"/>
      <w:lvlText w:val="%1."/>
      <w:numFmt w:val="decimal"/>
      <w:start w:val="2"/>
    </w:lvl>
    <w:lvl w:ilvl="1">
      <w:lvlJc w:val="left"/>
      <w:lvlText w:val="(%2)"/>
      <w:numFmt w:val="lowerLetter"/>
      <w:start w:val="1"/>
    </w:lvl>
  </w:abstractNum>
  <w:abstractNum w:abstractNumId="75">
    <w:nsid w:val="14330624"/>
    <w:multiLevelType w:val="hybridMultilevel"/>
    <w:lvl w:ilvl="0">
      <w:lvlJc w:val="left"/>
      <w:lvlText w:val="%1"/>
      <w:numFmt w:val="decimal"/>
      <w:start w:val="1"/>
    </w:lvl>
    <w:lvl w:ilvl="1">
      <w:lvlJc w:val="left"/>
      <w:lvlText w:val="(%2)"/>
      <w:numFmt w:val="lowerLetter"/>
      <w:start w:val="2"/>
    </w:lvl>
  </w:abstractNum>
  <w:abstractNum w:abstractNumId="76">
    <w:nsid w:val="7FFFCA11"/>
    <w:multiLevelType w:val="hybridMultilevel"/>
    <w:lvl w:ilvl="0">
      <w:lvlJc w:val="left"/>
      <w:lvlText w:val="%1."/>
      <w:numFmt w:val="decimal"/>
      <w:start w:val="4"/>
    </w:lvl>
    <w:lvl w:ilvl="1">
      <w:lvlJc w:val="left"/>
      <w:lvlText w:val="%2"/>
      <w:numFmt w:val="lowerLetter"/>
      <w:start w:val="1"/>
    </w:lvl>
  </w:abstractNum>
  <w:abstractNum w:abstractNumId="77">
    <w:nsid w:val="1A27709E"/>
    <w:multiLevelType w:val="hybridMultilevel"/>
    <w:lvl w:ilvl="0">
      <w:lvlJc w:val="left"/>
      <w:lvlText w:val="%1."/>
      <w:numFmt w:val="decimal"/>
      <w:start w:val="5"/>
    </w:lvl>
    <w:lvl w:ilvl="1">
      <w:lvlJc w:val="left"/>
      <w:lvlText w:val="(%2)"/>
      <w:numFmt w:val="lowerLetter"/>
      <w:start w:val="1"/>
    </w:lvl>
  </w:abstractNum>
  <w:abstractNum w:abstractNumId="78">
    <w:nsid w:val="71EA110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79">
    <w:nsid w:val="100F59DC"/>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80">
    <w:nsid w:val="7FB7E0AA"/>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1">
    <w:nsid w:val="6EB5BD4"/>
    <w:multiLevelType w:val="hybridMultilevel"/>
    <w:lvl w:ilvl="0">
      <w:lvlJc w:val="left"/>
      <w:lvlText w:val="%1."/>
      <w:numFmt w:val="decimal"/>
      <w:start w:val="7"/>
    </w:lvl>
    <w:lvl w:ilvl="1">
      <w:lvlJc w:val="left"/>
      <w:lvlText w:val="(%2)"/>
      <w:numFmt w:val="lowerLetter"/>
      <w:start w:val="1"/>
    </w:lvl>
  </w:abstractNum>
  <w:abstractNum w:abstractNumId="82">
    <w:nsid w:val="6F6DD9AC"/>
    <w:multiLevelType w:val="hybridMultilevel"/>
    <w:lvl w:ilvl="0">
      <w:lvlJc w:val="left"/>
      <w:lvlText w:val="(%1)"/>
      <w:numFmt w:val="lowerLetter"/>
      <w:start w:val="2"/>
    </w:lvl>
    <w:lvl w:ilvl="1">
      <w:lvlJc w:val="left"/>
      <w:lvlText w:val="(%2)"/>
      <w:numFmt w:val="lowerRoman"/>
      <w:start w:val="1"/>
    </w:lvl>
  </w:abstractNum>
  <w:abstractNum w:abstractNumId="83">
    <w:nsid w:val="94211F2"/>
    <w:multiLevelType w:val="hybridMultilevel"/>
    <w:lvl w:ilvl="0">
      <w:lvlJc w:val="left"/>
      <w:lvlText w:val="%1."/>
      <w:numFmt w:val="decimal"/>
      <w:start w:val="9"/>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34" Type="http://schemas.openxmlformats.org/officeDocument/2006/relationships/hyperlink" Target="https://www.sec.gov/Archives/edgar/data/1866692/000119312524159934/d806887dex31.htm" TargetMode="External"/><Relationship Id="rId335" Type="http://schemas.openxmlformats.org/officeDocument/2006/relationships/hyperlink" Target="https://www.sec.gov/Archives/edgar/data/1866692/000119312521278308/d93786dex32.htm" TargetMode="External"/><Relationship Id="rId336" Type="http://schemas.openxmlformats.org/officeDocument/2006/relationships/hyperlink" Target="https://www.sec.gov/Archives/edgar/data/1866692/000119312521260696/d143868dex42.htm" TargetMode="External"/><Relationship Id="rId337" Type="http://schemas.openxmlformats.org/officeDocument/2006/relationships/hyperlink" Target="https://www.sec.gov/Archives/edgar/data/1866692/000119312521278407/d114916dex44.htm" TargetMode="External"/><Relationship Id="rId338"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2024-11-07T15:48:14Z</dcterms:created>
  <dcterms:modified xsi:type="dcterms:W3CDTF">2024-11-07T15:48:14Z</dcterms:modified>
</cp:coreProperties>
</file>