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pl-20251231.htm"/>
      <w:bookmarkStart w:id="1" w:name="ksampl2025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ind w:left="4320" w:right="4320" w:hanging="0"/>
        <w:jc w:val="center"/>
        <w:rPr>
          <w:rFonts w:ascii="Times New Roman" w:hAnsi="Times New Roman"/>
          <w:b/>
          <w:color w:val="000000"/>
          <w:sz w:val="36"/>
        </w:rPr>
      </w:pPr>
      <w:r>
        <w:rPr>
          <w:rFonts w:ascii="Times New Roman" w:hAnsi="Times New Roman"/>
          <w:b/>
          <w:color w:val="000000"/>
          <w:sz w:val="36"/>
        </w:rPr>
        <w:t>FORM 10-K</w:t>
      </w:r>
    </w:p>
    <w:p>
      <w:pPr>
        <w:pStyle w:val="TextBody"/>
        <w:bidi w:val="0"/>
        <w:spacing w:before="60" w:after="283"/>
        <w:ind w:left="4320" w:right="4320" w:hanging="0"/>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001-40817</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spacing w:before="60" w:after="283"/>
        <w:jc w:val="center"/>
        <w:rPr>
          <w:rFonts w:ascii="Times New Roman" w:hAnsi="Times New Roman"/>
          <w:b/>
          <w:color w:val="000000"/>
          <w:sz w:val="44"/>
        </w:rPr>
      </w:pPr>
      <w:r>
        <w:rPr>
          <w:rFonts w:ascii="Times New Roman" w:hAnsi="Times New Roman"/>
          <w:b/>
          <w:color w:val="000000"/>
          <w:sz w:val="44"/>
        </w:rPr>
        <w:t>AMPLITUDE,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45-3937349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201 Third Street,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Registrant’s telephone number, including area code: (415) 231-2353</w:t>
      </w:r>
      <w:r>
        <w:rPr>
          <w:rFonts w:ascii="Times New Roman" w:hAnsi="Times New Roman"/>
          <w:color w:val="000000"/>
          <w:sz w:val="20"/>
        </w:rPr>
        <w:t xml:space="preserve"> </w:t>
      </w:r>
    </w:p>
    <w:p>
      <w:pPr>
        <w:pStyle w:val="TextBody"/>
        <w:bidi w:val="0"/>
        <w:spacing w:before="60" w:after="283"/>
        <w:ind w:left="4320" w:right="4320" w:hanging="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70" w:type="dxa"/>
        <w:jc w:val="left"/>
        <w:tblInd w:w="0" w:type="dxa"/>
        <w:tblLayout w:type="fixed"/>
        <w:tblCellMar>
          <w:top w:w="28" w:type="dxa"/>
          <w:left w:w="28" w:type="dxa"/>
          <w:bottom w:w="28" w:type="dxa"/>
          <w:right w:w="28" w:type="dxa"/>
        </w:tblCellMar>
      </w:tblPr>
      <w:tblGrid>
        <w:gridCol w:w="3886"/>
        <w:gridCol w:w="146"/>
        <w:gridCol w:w="751"/>
        <w:gridCol w:w="146"/>
        <w:gridCol w:w="294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AMPL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w:t>
      </w:r>
      <w:r>
        <w:rPr>
          <w:rFonts w:ascii="Times New Roman" w:hAnsi="Times New Roman"/>
          <w:caps/>
          <w:color w:val="000000"/>
          <w:sz w:val="14"/>
        </w:rPr>
        <w:t>Yes</w:t>
      </w:r>
      <w:r>
        <w:rPr>
          <w:rFonts w:ascii="Times New Roman" w:hAnsi="Times New Roman"/>
          <w:caps/>
          <w:color w:val="000000"/>
          <w:sz w:val="20"/>
        </w:rPr>
        <w:t xml:space="preserve"> </w:t>
      </w:r>
      <w:r>
        <w:rPr>
          <w:rFonts w:ascii="Times New Roman" w:hAnsi="Times New Roman"/>
          <w:color w:val="000000"/>
          <w:sz w:val="20"/>
        </w:rPr>
        <w:t xml:space="preserve">☒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15(d) of the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r>
        <w:rPr>
          <w:rFonts w:ascii="Times New Roman" w:hAnsi="Times New Roman"/>
          <w:color w:val="000000"/>
          <w:sz w:val="14"/>
        </w:rPr>
        <w:b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br/>
        <w:t xml:space="preserve">Indicate by check mark whether the registrant is a shell company (as defined in Rule 12b-2 of the Exchange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The aggregate market value of the voting and non-voting common equity held by non-affiliates of the Registrant, based on the closing price of the shares of Class A common stock on the Nasdaq Capital Market on June 30, 2025, was approximately $1,214.9</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As of February 13, 2026, there were 104,143,565</w:t>
      </w:r>
      <w:r>
        <w:rPr>
          <w:rFonts w:ascii="Times New Roman" w:hAnsi="Times New Roman"/>
          <w:color w:val="000000"/>
          <w:sz w:val="20"/>
        </w:rPr>
        <w:t xml:space="preserve"> </w:t>
      </w:r>
      <w:r>
        <w:rPr>
          <w:rFonts w:ascii="Times New Roman" w:hAnsi="Times New Roman"/>
          <w:color w:val="000000"/>
          <w:sz w:val="14"/>
        </w:rPr>
        <w:t>shares of the registrant's Class A common stock and 29,583,125</w:t>
      </w:r>
      <w:r>
        <w:rPr>
          <w:rFonts w:ascii="Times New Roman" w:hAnsi="Times New Roman"/>
          <w:color w:val="000000"/>
          <w:sz w:val="20"/>
        </w:rPr>
        <w:t xml:space="preserve"> </w:t>
      </w:r>
      <w:r>
        <w:rPr>
          <w:rFonts w:ascii="Times New Roman" w:hAnsi="Times New Roman"/>
          <w:color w:val="000000"/>
          <w:sz w:val="14"/>
        </w:rPr>
        <w:t>shares of the registrant's Class B common stock, each with a $0.00001 par value per share, outstanding.</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Portions of the registrant’s definitive proxy statement for the registrant’s 2026 annual meeting of stockholders, which will be filed with the Securities and Exchange Commission no later than 120 days after December 31, 2025, are incorporated by reference in Part III of this Annual Report on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8789"/>
        <w:gridCol w:w="512"/>
      </w:tblGrid>
      <w:tr>
        <w:trPr/>
        <w:tc>
          <w:tcPr>
            <w:tcW w:w="904" w:type="dxa"/>
            <w:tcBorders/>
            <w:vAlign w:val="center"/>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d_analy">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_di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and_supple">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disagreements_w_acc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ntng_fees">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about: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new customers;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usage of our AI Analytics Platform and upsell and cross-sell additional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or sustain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success of our sales and marketing efforts, including our ability to grow and maintain our channel partners, and our ability to promote our brand;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public health crises and other global events, such as the war in Ukraine and the conflicts in the Middle East, on our business and the global economy generally;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drive growth by incorporating artificial intelligence and machine learning solutions into our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 and any costs associated therewith;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associated with being a public company.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Annual Report on Form 10-K.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1A, “Risk Factors” in this Annual Report on Form 10-K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the statements are made available.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the forward-looking statements in this Annual Report on Form 10-K by these cautionary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 Item 1A, “Risk Factors” in this Annual Report on Form 10-K.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have been growing rapidly over the last several years, which makes it difficult to forecast our future results of operations and increases the risk of your investment.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As our costs increase, we may not be able to generate sufficient revenue to achieve and sustain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focus on sales to larger enterprise organizations and may become more dependent on those relationships, which may increase the variability of our sales cycle and our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over the term of our customer contracts. Consequently, downturns or upturns in new sales may not be immediately reflected in our results of operations and may be difficult to discern.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our industry or the global economy, or reductions in software spending, could limit our ability to grow our business and materially adversely affect our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for SaaS applications develops more slowly than we expect or declines, our business would be materially adversely affected.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rights may not protect our business or provide us with a competitive advantage, which could have a material adverse effect on our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and use of machine learning and generative artificial intelligence technologies (collectively, “AI Technologies”) within our AI Analytics Platform may not achieve their intended benefits and may expose us to technical, legal, and regulatory risks, which could have a material adverse effect on our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 regulation, including import, export control, economic sanctions, and trade sanctions, and anti-corruption laws and regulations, which may expose us to liability and increase our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been, and in the future, may be, volatile, and could decline significantly and rapidly.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have the ability to influence the outcome of director elections and other matters requiring stockholder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3" w:name="item1"/>
      <w:bookmarkEnd w:id="3"/>
      <w:r>
        <w:rPr>
          <w:rFonts w:ascii="Times New Roman" w:hAnsi="Times New Roman"/>
          <w:b/>
          <w:color w:val="000000"/>
          <w:sz w:val="20"/>
        </w:rPr>
        <w:t xml:space="preserve">Item 1. </w:t>
      </w:r>
      <w:bookmarkStart w:id="4" w:name="item_1_business"/>
      <w:bookmarkEnd w:id="4"/>
      <w:r>
        <w:rPr>
          <w:rFonts w:ascii="Times New Roman" w:hAnsi="Times New Roman"/>
          <w:b/>
          <w:color w:val="000000"/>
          <w:sz w:val="20"/>
        </w:rPr>
        <w:t>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Founded in 2012, Amplitude is driving the evolution of AI analytics as part of our mission to help companies build better products and digital experiences.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we were the first company to recognize that traditional analytics tools were built for websites and marketing campaigns, not for understanding how people engage with digital products. That’s why we built an AI Analytics Platform designed specifically to analyze behavioral data and provide real-time, actionable insights that drive business outcomes.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Today, our platform goes far beyond standalone analytics. It unifies Analytics, Session Replay, Feature Experimentation, Web Experimentation, Audience Activation, Guides and Surveys, AI Agents, Amplitude Model Context Protocol ("MCP"), AI Visibility, AI Feedback and Automated Insights, allowing teams to seamlessly move from data to insights to actions—all in one place.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platform is more than a collection of independent products. They all work better together, creating a powerful feedback loop where each component enhances the others. This integrated approach helps businesses to not just track and measure user behavior, but actively improve engagement, retention, and monetization.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digital transformation continues to accelerate, the market opportunity ahead remains massive. Companies face increasing challenges in understanding their users, making data-driven decisions, and delivering personalized, high-impact experiences. Businesses are shifting from traditional acquisition-focused marketing to product-led growth ("PLG") strategies, and also understanding their existing customers is more important than ever.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This shift has brought AI analytics to the fore as a key component of the modern data stack, integrating product, marketing, and experience analytics into a single, holistic category. As a first mover in this space, we believe Amplitude is well-positioned to lead the category as it grows.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generate revenue primarily through subscription-based pricing, offering flexible plans that scale with our customers. We reach customers through a combination of direct sales, solution partners, and product-led growth, ensuring that businesses of all sizes can adopt and expand their use of Amplitude.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we had 4,797 paying customers, including 27 of the Fortune 100, demonstrating both strong adoption and the significant opportunity that remains. Our land-and-expand model enables us to grow alongside our customers, increasing usage across teams, use cases, and digital properties.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With a trusted, scalable, and deeply integrated platform, Amplitude is redefining how companies leverage data to drive customer engagement, business growth, and digital innovation—cementing our position as the leader in AI analytics.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Industry Trends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Amplitude was founded in 2012 to help companies build better products and digital experiences. The founders had seen first hand how important it was to make data-driven decisions in product development—but also how difficult it was to get that right.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problem was the dearth of tools that could provide actionable data and insights into how users interacted with digital products. At the time, traditional analytics tools were designed for surface-level metrics like web traffic and marketing performance—but fell short in understanding and being able to act on user behavior within digital products or websites.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This gap inspired Amplitude to create an AI Analytics Platform purpose-built to analyze complex user behaviors and enable product teams to take action and make better decisions based on that data. The platform was designed to provide high-quality data, share real-time insights, facilitate faster experimentation and engage users with personalized experiences.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Fast forward to today, it’s clear that AI products are not optional—they are central to business survival. The proliferation of mobile and cloud technologies has lowered barriers to entry, enabling new players to disrupt established markets.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result, we are seeing the convergence of product, web and marketing, and AI experience analytics into what both Gartner and Forrester call the ‘AI analytics’ category—itself a pivotal element of modern data platforms as businesses centralize and streamline their data stacks.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the same time, the digital economy continues to grow exponentially, broadening the competitive focus from acquiring new customers to retaining and engaging existing ones. Companies are increasingly turning to innovative digital strategies to navigate this landscape, with data-driven insights becoming essential to maintaining relevance and driving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Convergence of Marketing and Product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lines between product and marketing goals and objectives are blurring as businesses shift toward a product-led growth model. Traditionally, these teams operated separately—marketing focused on driving awareness and acquisition, while product teams worked on improving in-app experiences. Today, success is measured by shared goals like user engagement, retention, and lifetime value—bringing these teams closer together than ever before.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the same time, privacy regulations and restrictions on third-party data are making it harder for companies to rely on traditional advertising and external targeting. This has forced a shift towards first-party data strategies and retention-driven approaches—where a deep understanding of existing users is more important than ever.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These overall shifts in the landscape demand analytics solutions that provide a company with a single, trusted source of truth about how users interact with their products. Amplitude helps bridge the goals of product and marketing by providing real-time, actionable insights that enable teams to collaborate, experiment, and optimize user experiences, campaigns and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Reinventing Digital Product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approach to building digital products is also undergoing a profound transformation. Intuition is being replaced by data-driven strategies that leverage in-product behavioral data to inform decisions. We are seeing modern digital product teams increasingly embrace a customer-centric data-driven approach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 xml:space="preserve">Harnesses Behavioral Data: </w:t>
      </w:r>
      <w:r>
        <w:rPr>
          <w:rFonts w:ascii="Times New Roman" w:hAnsi="Times New Roman"/>
          <w:color w:val="000000"/>
          <w:sz w:val="20"/>
        </w:rPr>
        <w:t>The increasing time consumers spend with digital products has resulted in an explosion of rich behavioral data, enabling businesses to analyze user actions at unprecedented levels of detail.</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Delivers Personalization at Scale:</w:t>
      </w:r>
      <w:r>
        <w:rPr>
          <w:color w:val="000000"/>
        </w:rPr>
        <w:t xml:space="preserve"> </w:t>
      </w:r>
      <w:r>
        <w:rPr>
          <w:rFonts w:ascii="Times New Roman" w:hAnsi="Times New Roman"/>
          <w:color w:val="000000"/>
          <w:sz w:val="20"/>
        </w:rPr>
        <w:t xml:space="preserve">As consumer expectations for tailored experiences rise, we are seeing a gradual increase in companies using product data and AI to create adaptive and personalized user-centric solutions.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b/>
          <w:color w:val="000000"/>
          <w:sz w:val="20"/>
        </w:rPr>
        <w:t xml:space="preserve">Democratizes Data Access: </w:t>
      </w:r>
      <w:r>
        <w:rPr>
          <w:rFonts w:ascii="Times New Roman" w:hAnsi="Times New Roman"/>
          <w:color w:val="000000"/>
          <w:sz w:val="20"/>
        </w:rPr>
        <w:t>Centralized data teams traditionally controlled analytics, creating bottlenecks and reducing agility. By enabling access to insights across functions—product management, marketing, engineering, and beyond—companies can foster faster, collaborative decision-making processes.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AI Analytics: The Engine of Transformation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digital transformation progresses, analytics has become indispensable for understanding and optimizing digital investments.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By uncovering bottlenecks in user journeys and identifying features that resonate, organizations can iterate more effectively, improving both product innovation and customer satisfaction. We believe those that embrace AI analytics as part of their transformation strategies will gain competitive advantages, which will help them to adapt to market shifts and increase the value of their digital investments.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That said, despite significant investments in analytics tools, traditional systems often struggle to specifically address product data. Key challenges include: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 xml:space="preserve">Complexity of Digital Products: </w:t>
      </w:r>
      <w:r>
        <w:rPr>
          <w:rFonts w:ascii="Times New Roman" w:hAnsi="Times New Roman"/>
          <w:color w:val="000000"/>
          <w:sz w:val="20"/>
        </w:rPr>
        <w:t>Unlike simpler, linear marketing funnels, user journeys within digital products involve thousands of unique events and interactions.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 xml:space="preserve">Massive Scale: </w:t>
      </w:r>
      <w:r>
        <w:rPr>
          <w:rFonts w:ascii="Times New Roman" w:hAnsi="Times New Roman"/>
          <w:color w:val="000000"/>
          <w:sz w:val="20"/>
        </w:rPr>
        <w:t>The combination of high user volumes and engagement rates generates vast datasets, creating challenges for real-time analysis and actionable insights.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b/>
          <w:color w:val="000000"/>
          <w:sz w:val="20"/>
        </w:rPr>
        <w:t xml:space="preserve">Fragmented Ecosystems: </w:t>
      </w:r>
      <w:r>
        <w:rPr>
          <w:rFonts w:ascii="Times New Roman" w:hAnsi="Times New Roman"/>
          <w:color w:val="000000"/>
          <w:sz w:val="20"/>
        </w:rPr>
        <w:t>Legacy systems—ranging from web analytics to sentiment-based tools—struggle to meet the demands of modern digital products. These solutions often lack the flexibility, depth, and real-time capabilities needed to analyze behavioral data holistically and effectively.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Against this backdrop, we believe the evolution of the AI analytics market will be driven by several trends: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Continued Proliferation of Data Silos:</w:t>
      </w:r>
      <w:r>
        <w:rPr>
          <w:color w:val="000000"/>
        </w:rPr>
        <w:t xml:space="preserve"> </w:t>
      </w:r>
      <w:r>
        <w:rPr>
          <w:rFonts w:ascii="Times New Roman" w:hAnsi="Times New Roman"/>
          <w:color w:val="000000"/>
          <w:sz w:val="20"/>
        </w:rPr>
        <w:t>Data will continue to be siloed and fragmented across organizations, making it difficult for teams to parse through and understand it all. This will drive the need for solutions that can aggregate and unify this data—giving teams a clear understanding and a single source of truth.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Increased Consolidation and Centralization:</w:t>
      </w:r>
      <w:r>
        <w:rPr>
          <w:color w:val="000000"/>
        </w:rPr>
        <w:t xml:space="preserve"> </w:t>
      </w:r>
      <w:r>
        <w:rPr>
          <w:rFonts w:ascii="Times New Roman" w:hAnsi="Times New Roman"/>
          <w:color w:val="000000"/>
          <w:sz w:val="20"/>
        </w:rPr>
        <w:t xml:space="preserve">Businesses are consolidating analytics and adjacent functions—such as session replay, digital adoption, activation, and experimentation tools—into unified ecosystems.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AI and Automation:</w:t>
      </w:r>
      <w:r>
        <w:rPr>
          <w:color w:val="000000"/>
        </w:rPr>
        <w:t xml:space="preserve"> </w:t>
      </w:r>
      <w:r>
        <w:rPr>
          <w:rFonts w:ascii="Times New Roman" w:hAnsi="Times New Roman"/>
          <w:color w:val="000000"/>
          <w:sz w:val="20"/>
        </w:rPr>
        <w:t>Advances in generative and agentic AI and machine learning are enabling more sophisticated personalization and accelerated workflows, helping companies anticipate user needs and deliver just-in-time experiences.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Rising Demand for Agility:</w:t>
      </w:r>
      <w:r>
        <w:rPr>
          <w:color w:val="000000"/>
        </w:rPr>
        <w:t xml:space="preserve"> </w:t>
      </w:r>
      <w:r>
        <w:rPr>
          <w:rFonts w:ascii="Times New Roman" w:hAnsi="Times New Roman"/>
          <w:color w:val="000000"/>
          <w:sz w:val="20"/>
        </w:rPr>
        <w:t xml:space="preserve">Organizations are prioritizing tools that empower cross-functional teams to access and act on insights in real-time, fostering a culture of continuous improvement and innovation.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Product-Led Growth ("PLG"):</w:t>
      </w:r>
      <w:r>
        <w:rPr>
          <w:color w:val="000000"/>
        </w:rPr>
        <w:t xml:space="preserve"> </w:t>
      </w:r>
      <w:r>
        <w:rPr>
          <w:rFonts w:ascii="Times New Roman" w:hAnsi="Times New Roman"/>
          <w:color w:val="000000"/>
          <w:sz w:val="20"/>
        </w:rPr>
        <w:t>Businesses are increasingly shifting towards a PLG strategy, where product adoption and customer expansion are driven by seamless, self-serve experiences. By allowing users to experience value early and independently, we believe PLG will help accelerate acquisition, reduce friction in onboarding, and drive organic growth.</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By integrating behavioral data, personalization, and democratized insights, AI Analytics Platforms are redefining how organizations understand and engage their users. As businesses continue to invest in digital transformation, analytics will play an increasingly critical role in shaping strategies and delivering growth. We believe Amplitude’s focus on in-product behavioral data and real-time capabilities makes us well-positioned to lead this evolution.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Platform</w:t>
      </w:r>
    </w:p>
    <w:p>
      <w:pPr>
        <w:pStyle w:val="TextBody"/>
        <w:bidi w:val="0"/>
        <w:spacing w:before="240" w:after="283"/>
        <w:jc w:val="center"/>
        <w:rPr/>
      </w:pPr>
      <w:r>
        <w:rPr/>
        <w:drawing>
          <wp:inline distT="0" distB="0" distL="0" distR="0">
            <wp:extent cx="6381750" cy="2505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0" cy="2505075"/>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vision is to live in a world where technology never leaves you frustrated. If we're successful, technology will work exactly as it is supposed to. It will feel like it is designed just for you. That's a tall order. It almost feels unachievable. But that's the point.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a day-to-day basis, our mission is to help companies build better products and digital experiences. To make that possible, we believe we have built the industry’s first unified AI Analytics Platform—a deeply integrated system where each product builds off of the next.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platform brings together Analytics, Session Replay, Feature Experimentation, Web Experimentation, Audience Activation, Guides and Surveys, AI Agent, Amplitude MCP, AI Visibility, AI Feedback and Automated Insights. It is fully self-service, and is designed to enable and activate everyone in an organization to own and drive growth.</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platform works in concert to help organizations understand what features and experiences users love, where they’re getting stuck, and what keeps them coming back. And we get to the heart of what users are thinking and doing and why. This provides teams with the tools they need to improve experiences and grow their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Behind the power of our platform is our bespoke Behavioral Graph—one of the largest repositories of user behavior data in the world. Purpose-built for complex, interactive behavioral queries, the Graph scales to look at every individual action taken in a digital product or experience, and identifies combinations of actions that lead to a desired outcome. It then processes that data to help teams understand what actions to take to improve experiences.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Amplitude AI Analytics Platform delivers: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Trusted Data: </w:t>
      </w:r>
      <w:r>
        <w:rPr>
          <w:rFonts w:ascii="Times New Roman" w:hAnsi="Times New Roman"/>
          <w:color w:val="000000"/>
          <w:sz w:val="20"/>
        </w:rPr>
        <w:t>Amplitude streamlines data management, helps ensure data privacy, security, accuracy, and quality, and governs access to ensure that teams have access to data they trust.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Clearer Insights: </w:t>
      </w:r>
      <w:r>
        <w:rPr>
          <w:rFonts w:ascii="Times New Roman" w:hAnsi="Times New Roman"/>
          <w:color w:val="000000"/>
          <w:sz w:val="20"/>
        </w:rPr>
        <w:t xml:space="preserve">Amplitude gets to the heart of what is driving behavior—the analysis that matters, not just surface-level metrics. Whether it’s a product manager or seasoned analyst, we lead them to ask the right questions, answer them in the moment, and help them understand what customers are doing—so they can choose what to do next.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Faster Actions:</w:t>
      </w:r>
      <w:r>
        <w:rPr>
          <w:color w:val="000000"/>
        </w:rPr>
        <w:t xml:space="preserve"> </w:t>
      </w:r>
      <w:r>
        <w:rPr>
          <w:rFonts w:ascii="Times New Roman" w:hAnsi="Times New Roman"/>
          <w:color w:val="000000"/>
          <w:sz w:val="20"/>
        </w:rPr>
        <w:t>Amplitude creates the collaboration critical to efficient growth. We unite product, marketing, data, and engineering teams around a shared understanding of the customer journey so they can uncover insights, target cohorts, build experiments, launch guides, and survey users—all from a single platform.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platform is comprised of several primary offerings, all of which complement each other and work better together: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Analytics:</w:t>
      </w:r>
      <w:r>
        <w:rPr>
          <w:color w:val="000000"/>
        </w:rPr>
        <w:t xml:space="preserve"> </w:t>
      </w:r>
      <w:r>
        <w:rPr>
          <w:rFonts w:ascii="Times New Roman" w:hAnsi="Times New Roman"/>
          <w:color w:val="000000"/>
          <w:sz w:val="20"/>
        </w:rPr>
        <w:t>As mentioned, Amplitude Analytics is the cornerstone of the platform and provides real-time insights into user behavior. It combines advanced quantitative metrics with qualitative tools like funnel analysis and cohort tracking to help businesses understand what’s driving engagement, conversion, and retention.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Session Replay: </w:t>
      </w:r>
      <w:r>
        <w:rPr>
          <w:rFonts w:ascii="Times New Roman" w:hAnsi="Times New Roman"/>
          <w:color w:val="000000"/>
          <w:sz w:val="20"/>
        </w:rPr>
        <w:t>A critical tool for understanding user behavior, Amplitude Session Replay complements Amplitude Analytics and offers a qualitative perspective by reconstructing user journeys. Teams can see exactly how users interact with products, identify friction points, and develop targeted solutions. They then use these insights to get a better understanding of why users are doing what they are doing.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Feature Experimentation:</w:t>
      </w:r>
      <w:r>
        <w:rPr>
          <w:color w:val="000000"/>
        </w:rPr>
        <w:t xml:space="preserve"> </w:t>
      </w:r>
      <w:r>
        <w:rPr>
          <w:rFonts w:ascii="Times New Roman" w:hAnsi="Times New Roman"/>
          <w:color w:val="000000"/>
          <w:sz w:val="20"/>
        </w:rPr>
        <w:t xml:space="preserve">By leveraging behavioral data and Amplitude's powerful cohort capabilities, Amplitude Feature Experimentation enables product, data, and engineering teams to build world-class experiments. Enterprise-ready feature management is built in, so teams can build faster, test impact, and ship new features with confidence.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Web Experimentation:</w:t>
      </w:r>
      <w:r>
        <w:rPr>
          <w:color w:val="000000"/>
        </w:rPr>
        <w:t xml:space="preserve"> </w:t>
      </w:r>
      <w:r>
        <w:rPr>
          <w:rFonts w:ascii="Times New Roman" w:hAnsi="Times New Roman"/>
          <w:color w:val="000000"/>
          <w:sz w:val="20"/>
        </w:rPr>
        <w:t xml:space="preserve">This product makes it easy for product managers, marketers, and growth leaders to A/B test and personalize web experiences. With visual editing and point-and-click interaction, Amplitude Web Experimentation reduces the need for engineering support and accelerates testing.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Activation: </w:t>
      </w:r>
      <w:r>
        <w:rPr>
          <w:rFonts w:ascii="Times New Roman" w:hAnsi="Times New Roman"/>
          <w:color w:val="000000"/>
          <w:sz w:val="20"/>
        </w:rPr>
        <w:t xml:space="preserve">Formerly known as the Amplitude Customer Data Platform ("CDP"), Amplitude Activation unifies data across multiple sources, creating a single, enriched dataset that fuels analytics and personalization. Amplitude Activation resolves identity conflicts, streamlines data integration, and facilitates that organizations can easily personalize and activate campaigns and experiences to segments of users in a few simple clicks.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Guides and Surveys: </w:t>
      </w:r>
      <w:r>
        <w:rPr>
          <w:rFonts w:ascii="Times New Roman" w:hAnsi="Times New Roman"/>
          <w:color w:val="000000"/>
          <w:sz w:val="20"/>
        </w:rPr>
        <w:t>Launched in February 2025 just four months after our acquisition of Command AI, this new product helps companies to deploy in-product guides, tours, and surveys using the power of behavioral insights to fuel great results. In this way, users get the help they need to drive them further along in their journey. Other companies have tried to do this —but the results have been suboptimal because they do not have the context needed to make them useful. With Amplitude Guides and Surveys, we are making the most of our platform to help customers take a more-personalized approach.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AI Agents: </w:t>
      </w:r>
      <w:r>
        <w:rPr>
          <w:rFonts w:ascii="Times New Roman" w:hAnsi="Times New Roman"/>
          <w:color w:val="000000"/>
          <w:sz w:val="20"/>
        </w:rPr>
        <w:t>Launched in June 2025, these new agents turn Amplitude into a team of specialized experts that help you accomplish specific goals, such as better checkout conversion or faster feature adoption. With AI Agents, Amplitude is leading the shift toward self-improving products, transforming how teams build, deploy, and optimize digital experiences.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MCP: </w:t>
      </w:r>
      <w:r>
        <w:rPr>
          <w:rFonts w:ascii="Times New Roman" w:hAnsi="Times New Roman"/>
          <w:color w:val="000000"/>
          <w:sz w:val="20"/>
        </w:rPr>
        <w:t>Launched in October 2025, the Amplitude MCP server enables teams to analyze product data, experiments, and user behavior using conversational AI. Query your Amplitude analytics, dashboards, experiments, and feature flags directly through AI interfaces using natural language.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AI Visibility: </w:t>
      </w:r>
      <w:r>
        <w:rPr>
          <w:rFonts w:ascii="Times New Roman" w:hAnsi="Times New Roman"/>
          <w:color w:val="000000"/>
          <w:sz w:val="20"/>
        </w:rPr>
        <w:t>Launched in October 2025, AI Visibility is a new capability that gives marketers unprecedented insight into how their brand shows up in AI search results, accompanied by recommendations on how to improve it based on a company’s actual data.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AI Feedback: </w:t>
      </w:r>
      <w:r>
        <w:rPr>
          <w:rFonts w:ascii="Times New Roman" w:hAnsi="Times New Roman"/>
          <w:color w:val="000000"/>
          <w:sz w:val="20"/>
        </w:rPr>
        <w:t>Launched in November 2025, AI Feedback is the industry’s first customer feedback engine with a proprietary large language models ("LLM") process that automatically turns raw input into prioritized, actionable insights. Pairing AI Feedback with Amplitude’s Analytics, Session Replay, and Guides and Surveys allows companies to instantly surface customer input, understand what matters most, and take action within the Amplitude platform. AI Feedback was developed following Amplitude’s July acquisition of Kraftful, Inc. (“Kraftful”), a fast-growing AI company, to accelerate AI product strategy.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Automated Insights:</w:t>
      </w:r>
      <w:r>
        <w:rPr>
          <w:color w:val="000000"/>
        </w:rPr>
        <w:t xml:space="preserve"> </w:t>
      </w:r>
      <w:r>
        <w:rPr>
          <w:rFonts w:ascii="Times New Roman" w:hAnsi="Times New Roman"/>
          <w:color w:val="000000"/>
          <w:sz w:val="20"/>
        </w:rPr>
        <w:t>Launched in December 2025, Amplitude's Automated Insights can replicate an expert's standard analysis process in a fraction of the time. It executes various chained tool calls, thinking like an analyst would. It searches charts and reports to investigate experiments, campaigns, and product releases. It incorporates business context to connect dots across relevant sources into a clear, data-backed story.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When used together, Analytics, Session Replay, Feature Experimentation, Web Experimentation, Audience Activation, Guides and Surveys, AI Agents, Amplitude MCP, AI Visibility, AI Feedback, and Automated Insights create a powerful feedback loop that helps businesses understand their users, optimize experiences, and take action quickly—all in one place.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Amplitude Made Easy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do recognize that getting started with AI analytics can be tough. Companies often need engineers to set up data pipelines and instrument events. Teams need to know what to query, how to set up cohorts, and what to measure. And people often don't know how to analyze the data or translate it into actions. In Fall 2024, Amplitude helped to change all of that.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With a host of new capabilities, including Auto-Capture (which allows organizations to start capturing every user click and swipe with a single line of code), and a revamped user experience, Amplitude Made Easy removes the heavy lifting so teams can get started, get insights, and get to value faster. With Amplitude Made Easy, teams can leverage out-of-the-box insights and an AI-powered query engine to get answers. And they can rely on best practices, templates, and dedicated user hubs to support their entire experience.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Scaling through Integrations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Lastly, our platform is designed to scale with businesses, supporting massive data volumes and complex user journeys. With support for more than 100 different data sources and destinations, Amplitude integrates seamlessly with tools like Salesforce, Slack, Braze, Snowflake, and cloud providers. As a natural extension of any technology ecosystem, Amplitude enables teams to collaborate effortlessly and drive unified decision making.</w:t>
      </w:r>
    </w:p>
    <w:p>
      <w:pPr>
        <w:pStyle w:val="TextBody"/>
        <w:bidi w:val="0"/>
        <w:spacing w:before="360" w:after="283"/>
        <w:jc w:val="left"/>
        <w:rPr>
          <w:rFonts w:ascii="Times New Roman" w:hAnsi="Times New Roman"/>
          <w:sz w:val="20"/>
        </w:rPr>
      </w:pPr>
      <w:r>
        <w:rPr>
          <w:rFonts w:ascii="Times New Roman" w:hAnsi="Times New Roman"/>
          <w:b/>
          <w:color w:val="000000"/>
          <w:sz w:val="20"/>
        </w:rPr>
        <w:t>Key Benefits to Customers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6343650" cy="3571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43650" cy="3571875"/>
                    </a:xfrm>
                    <a:prstGeom prst="rect">
                      <a:avLst/>
                    </a:prstGeom>
                  </pic:spPr>
                </pic:pic>
              </a:graphicData>
            </a:graphic>
          </wp:inline>
        </w:drawing>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Amplitude’s AI Analytics Platform is more than a collection of independent products—it’s a strategic enabler for the digital-first future. By combining advanced analytics, intuitive interfaces, and a customer-first approach, Amplitude helps businesses to unlock innovation, foster collaboration, and achieve transformative growth.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Make Confident, Data-Driven Decisions:</w:t>
      </w:r>
      <w:r>
        <w:rPr>
          <w:color w:val="000000"/>
        </w:rPr>
        <w:t xml:space="preserve"> </w:t>
      </w:r>
      <w:r>
        <w:rPr>
          <w:rFonts w:ascii="Times New Roman" w:hAnsi="Times New Roman"/>
          <w:color w:val="000000"/>
          <w:sz w:val="20"/>
        </w:rPr>
        <w:t xml:space="preserve">Amplitude empowers teams to answer critical questions about customer behavior, helping product investments to be informed by data rather than guesswork. Our platform provides detailed insights into how users engage with digital products, revealing opportunities to optimize experiences and remove friction. By analyzing user journeys, identifying conversion drivers, and spotting pain points, customers can confidently make the right product bets. This data-driven approach is designed to accelerate innovation, reduce risk, and increase return on investment.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Accelerate Time-to-Insight and Innovation:</w:t>
      </w:r>
      <w:r>
        <w:rPr>
          <w:color w:val="000000"/>
        </w:rPr>
        <w:t xml:space="preserve"> </w:t>
      </w:r>
      <w:r>
        <w:rPr>
          <w:rFonts w:ascii="Times New Roman" w:hAnsi="Times New Roman"/>
          <w:color w:val="000000"/>
          <w:sz w:val="20"/>
        </w:rPr>
        <w:t xml:space="preserve">In today’s competitive landscape, speed is critical. Amplitude equips organizations with real-time analytics to rapidly identify opportunities and adapt strategies. Teams can quickly test hypotheses, measure the impact of changes, and iterate on product designs to address challenges before they escalate. This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rapid experimentation capability helps businesses to stay ahead of market trends, deliver better experiences, and respond dynamically to customer needs.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Take Action to Improve the Product Experience: </w:t>
      </w:r>
      <w:r>
        <w:rPr>
          <w:rFonts w:ascii="Times New Roman" w:hAnsi="Times New Roman"/>
          <w:color w:val="000000"/>
          <w:sz w:val="20"/>
        </w:rPr>
        <w:t xml:space="preserve">We don't just help companies understand their customers. We empower them to create better digital experiences. Whether you need to test the impact of a new feature with a cohort of users, personalize your website to drive better conversion, create a product tour to improve your onboarding experience, or add an in-product survey to gather qualitative feedback, Amplitude helps teams take data-based actions quickly.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Foster Cross-Functional Collaboration: </w:t>
      </w:r>
      <w:r>
        <w:rPr>
          <w:rFonts w:ascii="Times New Roman" w:hAnsi="Times New Roman"/>
          <w:color w:val="000000"/>
          <w:sz w:val="20"/>
        </w:rPr>
        <w:t>By eliminating data silos, our platform creates a shared understanding of customer behavior across teams. Out-of-the-box dashboards and customizable analytics reports bring product, marketing, engineering, and executive teams together. This shared visibility fosters alignment, enables individuals to work toward the same goals, and encourages data-driven collaboration.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Unlock the Potential of Customer Data: </w:t>
      </w:r>
      <w:r>
        <w:rPr>
          <w:rFonts w:ascii="Times New Roman" w:hAnsi="Times New Roman"/>
          <w:color w:val="000000"/>
          <w:sz w:val="20"/>
        </w:rPr>
        <w:t xml:space="preserve">As the volume and complexity of data grow, organizations face increasing challenges in managing and deriving value from it. Amplitude simplifies this process by integrating data from diverse sources into a single, enriched dataset. This single source of truth facilitates accuracy, consistency, and usability, enabling teams to uncover insights that would otherwise remain hidden. Whether analyzing user paths, predicting churn, or segmenting audiences for targeted campaigns, Amplitude turns raw data into strategic advantage.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Deliver Personalization and Drive Engagement: </w:t>
      </w:r>
      <w:r>
        <w:rPr>
          <w:rFonts w:ascii="Times New Roman" w:hAnsi="Times New Roman"/>
          <w:color w:val="000000"/>
          <w:sz w:val="20"/>
        </w:rPr>
        <w:t>Amplitude empowers companies to create personalized, engaging digital experiences that resonate with their customers. By leveraging behavioral data and advanced machine learning models, our platform enables teams to design campaigns, products, and features tailored to specific user needs. We believe these personalized experiences improve engagement, build customer loyalty, and increase lifetime value, helping businesses thrive in a customer-centric market.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Scale with Enterprise-Grade Capabilities:</w:t>
      </w:r>
      <w:r>
        <w:rPr>
          <w:color w:val="000000"/>
        </w:rPr>
        <w:t xml:space="preserve"> </w:t>
      </w:r>
      <w:r>
        <w:rPr>
          <w:rFonts w:ascii="Times New Roman" w:hAnsi="Times New Roman"/>
          <w:color w:val="000000"/>
          <w:sz w:val="20"/>
        </w:rPr>
        <w:t>Designed for organizations of all sizes, Amplitude scales to handle massive data volumes and complex user journeys. Whether they’re a startup or a global enterprise, our customers benefit from our robust infrastructure, enterprise-grade security, and seamless integration with existing tools. We believe this scalability helps Amplitude grow alongside its customers, providing reliable, high-performance AI analytics no matter the size or scope of the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Realize Tangible Business Outcomes: </w:t>
      </w:r>
      <w:r>
        <w:rPr>
          <w:rFonts w:ascii="Times New Roman" w:hAnsi="Times New Roman"/>
          <w:color w:val="000000"/>
          <w:sz w:val="20"/>
        </w:rPr>
        <w:t>From increasing conversion rates and reducing churn to shortening product development cycles, Amplitude delivers measurable results. Customers report significant improvements in revenue, efficiency, and user satisfaction after adopting our platform.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Industry Solutions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Financial Services</w:t>
      </w:r>
      <w:r>
        <w:rPr>
          <w:rFonts w:ascii="Times New Roman" w:hAnsi="Times New Roman"/>
          <w:color w:val="000000"/>
          <w:sz w:val="20"/>
        </w:rPr>
        <w:t>: Personalize the banking experience by leveraging user data to understand customer behaviors and preferences, leading to more targeted services.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B2B: </w:t>
      </w:r>
      <w:r>
        <w:rPr>
          <w:rFonts w:ascii="Times New Roman" w:hAnsi="Times New Roman"/>
          <w:color w:val="000000"/>
          <w:sz w:val="20"/>
        </w:rPr>
        <w:t>Increase product adoption through insights into user engagement, helping businesses refine their offerings to better meet client needs.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Media:</w:t>
      </w:r>
      <w:r>
        <w:rPr>
          <w:color w:val="000000"/>
        </w:rPr>
        <w:t xml:space="preserve"> </w:t>
      </w:r>
      <w:r>
        <w:rPr>
          <w:rFonts w:ascii="Times New Roman" w:hAnsi="Times New Roman"/>
          <w:color w:val="000000"/>
          <w:sz w:val="20"/>
        </w:rPr>
        <w:t>Identify impactful content by analyzing user interactions, helping media companies to optimize content strategies and enhance audience engagement.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Healthcare:</w:t>
      </w:r>
      <w:r>
        <w:rPr>
          <w:color w:val="000000"/>
        </w:rPr>
        <w:t xml:space="preserve"> </w:t>
      </w:r>
      <w:r>
        <w:rPr>
          <w:rFonts w:ascii="Times New Roman" w:hAnsi="Times New Roman"/>
          <w:color w:val="000000"/>
          <w:sz w:val="20"/>
        </w:rPr>
        <w:t>Improve patient engagement and outcomes by understanding user interactions with digital health platforms.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Ecommerce:</w:t>
      </w:r>
      <w:r>
        <w:rPr>
          <w:color w:val="000000"/>
        </w:rPr>
        <w:t xml:space="preserve"> </w:t>
      </w:r>
      <w:r>
        <w:rPr>
          <w:rFonts w:ascii="Times New Roman" w:hAnsi="Times New Roman"/>
          <w:color w:val="000000"/>
          <w:sz w:val="20"/>
        </w:rPr>
        <w:t>Boost sales and customer loyalty by analyzing shopping behaviors and tailoring experiences accordingly.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Case Solutions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 Active Users: </w:t>
      </w:r>
      <w:r>
        <w:rPr>
          <w:rFonts w:ascii="Times New Roman" w:hAnsi="Times New Roman"/>
          <w:color w:val="000000"/>
          <w:sz w:val="20"/>
        </w:rPr>
        <w:t>Acquire and retain users by understanding their behaviors and optimizing the user journey to encourage engagement.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Increase Customer Lifetime Value: </w:t>
      </w:r>
      <w:r>
        <w:rPr>
          <w:rFonts w:ascii="Times New Roman" w:hAnsi="Times New Roman"/>
          <w:color w:val="000000"/>
          <w:sz w:val="20"/>
        </w:rPr>
        <w:t>Enhance customer retention by delivering personalized experiences that resonate with users.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Accelerate Monetization:</w:t>
      </w:r>
      <w:r>
        <w:rPr>
          <w:color w:val="000000"/>
        </w:rPr>
        <w:t xml:space="preserve"> </w:t>
      </w:r>
      <w:r>
        <w:rPr>
          <w:rFonts w:ascii="Times New Roman" w:hAnsi="Times New Roman"/>
          <w:color w:val="000000"/>
          <w:sz w:val="20"/>
        </w:rPr>
        <w:t>Identify and leverage key behaviors that drive revenue, optimizing strategies for monetization.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Team Solutions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Product: </w:t>
      </w:r>
      <w:r>
        <w:rPr>
          <w:rFonts w:ascii="Times New Roman" w:hAnsi="Times New Roman"/>
          <w:color w:val="000000"/>
          <w:sz w:val="20"/>
        </w:rPr>
        <w:t>Empower product teams with insights to build better products and drive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Marketing:</w:t>
      </w:r>
      <w:r>
        <w:rPr>
          <w:color w:val="000000"/>
        </w:rPr>
        <w:t xml:space="preserve"> </w:t>
      </w:r>
      <w:r>
        <w:rPr>
          <w:rFonts w:ascii="Times New Roman" w:hAnsi="Times New Roman"/>
          <w:color w:val="000000"/>
          <w:sz w:val="20"/>
        </w:rPr>
        <w:t>Provide marketing teams with the tools to understand campaign performance and customer segments, driving effective strategies.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Data:</w:t>
      </w:r>
      <w:r>
        <w:rPr>
          <w:color w:val="000000"/>
        </w:rPr>
        <w:t xml:space="preserve"> </w:t>
      </w:r>
      <w:r>
        <w:rPr>
          <w:rFonts w:ascii="Times New Roman" w:hAnsi="Times New Roman"/>
          <w:color w:val="000000"/>
          <w:sz w:val="20"/>
        </w:rPr>
        <w:t>Enable data teams to manage and analyze information effectively, ensuring accuracy and accessibility.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Engineering: </w:t>
      </w:r>
      <w:r>
        <w:rPr>
          <w:rFonts w:ascii="Times New Roman" w:hAnsi="Times New Roman"/>
          <w:color w:val="000000"/>
          <w:sz w:val="20"/>
        </w:rPr>
        <w:t>Support engineering teams in implementing and maintaining robust data infrastructures.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Company Size Solutions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Startups: </w:t>
      </w:r>
      <w:r>
        <w:rPr>
          <w:rFonts w:ascii="Times New Roman" w:hAnsi="Times New Roman"/>
          <w:color w:val="000000"/>
          <w:sz w:val="20"/>
        </w:rPr>
        <w:t>Offer scalable solutions that grow with the company, providing essential insights without overwhelming resources.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Enterprise: </w:t>
      </w:r>
      <w:r>
        <w:rPr>
          <w:rFonts w:ascii="Times New Roman" w:hAnsi="Times New Roman"/>
          <w:color w:val="000000"/>
          <w:sz w:val="20"/>
        </w:rPr>
        <w:t>Deliver comprehensive analytics and data management capabilities to meet complex organizational needs.</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Model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generate revenue primarily by selling subscriptions to our AI Analytics Platform, and reach customers through a direct sales motion, solution partners, and product-led growth initiatives. Our customers typically start out using Amplitude for a specific business use case. As they see the value of our data, insights, and actions to drive positive business outcomes, they frequently expand beyond that initial use case.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AI Analytics Platform is applicable to businesses across industries, company size, and stage of digital maturity. We offer product packages that meet companies where they are in their AI analytics journey. And we plan to invest to capture the significant market opportunity that is out there.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rapid growth in our customer base since inception and had 4,797 paying customers and 27 of the Fortune 100 as of December 31, 2025. This demonstrates our successful traction to date, and the significant opportunity that still remains.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go-to-market motion will allow us to continue to acquire new customers and grow our customer base. Additionally, as more companies and industries continue their transformation into digital-first companies, we believe our immediate potential customer base will grow as we help these companies address their AI analytics needs.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winning key reference accounts among industries and emerging use cases to establish ourselves as the platform of choice for the next wave of digital innovation.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Expand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there are significant opportunities to continue expanding our relationships with existing customers. Our pricing model allows us to grow as our customers grow. We employ a land-and-expand business model designed to land with an initial use case and expand through onboarding additional functional teams, products, and use cases.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Promote Upsell:</w:t>
      </w:r>
      <w:r>
        <w:rPr>
          <w:color w:val="000000"/>
        </w:rPr>
        <w:t xml:space="preserve"> </w:t>
      </w:r>
      <w:r>
        <w:rPr>
          <w:rFonts w:ascii="Times New Roman" w:hAnsi="Times New Roman"/>
          <w:color w:val="000000"/>
          <w:sz w:val="20"/>
        </w:rPr>
        <w:t xml:space="preserve">Once a customer is on our platform there are many ways we can upsell. Customers can expand an initial use case by adding additional functionality to generate deeper analytics. They can also expand into additional functional teams who are looking to address a related use case or bring new digital products on our platform, both of which require additional data to be instrumented. As the strategic value of our platform grows as more data is instrumented and insights generated and shared, it becomes easier to find additional upsell opportunities across digital products, use cases, and teams.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Drive Cross-sell:</w:t>
      </w:r>
      <w:r>
        <w:rPr>
          <w:color w:val="000000"/>
        </w:rPr>
        <w:t xml:space="preserve"> </w:t>
      </w:r>
      <w:r>
        <w:rPr>
          <w:rFonts w:ascii="Times New Roman" w:hAnsi="Times New Roman"/>
          <w:color w:val="000000"/>
          <w:sz w:val="20"/>
        </w:rPr>
        <w:t>Our platform delivers end-to-end capabilities that allow our customers to expand beyond analytics and layer on additional products from our platform.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Pricing &amp; packaging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model is based on the functionality that our customers require to get the insights that they need. Naturally, different teams have different needs and requirements. Some are further along in their AI analytics journey and are looking to scale; others are just getting started. We want to put the full power of our platform into our customers’ hands, and we offer four tailored plans that make it easy to get started and grow:</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Starter: </w:t>
      </w:r>
      <w:r>
        <w:rPr>
          <w:rFonts w:ascii="Times New Roman" w:hAnsi="Times New Roman"/>
          <w:color w:val="000000"/>
          <w:sz w:val="20"/>
        </w:rPr>
        <w:t>Easily discover and report on user behavior insights to make smarter product decisions.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Plus: </w:t>
      </w:r>
      <w:r>
        <w:rPr>
          <w:rFonts w:ascii="Times New Roman" w:hAnsi="Times New Roman"/>
          <w:color w:val="000000"/>
          <w:sz w:val="20"/>
        </w:rPr>
        <w:t>Answer questions, manage features, and deliver personalized experiences faster with a powerful suite of products—including add-ons like Guides and Surveys where required.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Growth: </w:t>
      </w:r>
      <w:r>
        <w:rPr>
          <w:rFonts w:ascii="Times New Roman" w:hAnsi="Times New Roman"/>
          <w:color w:val="000000"/>
          <w:sz w:val="20"/>
        </w:rPr>
        <w:t>Drive results and revenue with advanced analytics, custom metrics, and dedicated customer support.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Enterprise:</w:t>
      </w:r>
      <w:r>
        <w:rPr>
          <w:color w:val="000000"/>
        </w:rPr>
        <w:t xml:space="preserve"> </w:t>
      </w:r>
      <w:r>
        <w:rPr>
          <w:rFonts w:ascii="Times New Roman" w:hAnsi="Times New Roman"/>
          <w:color w:val="000000"/>
          <w:sz w:val="20"/>
        </w:rPr>
        <w:t>Leverage trusted data at scale with enterprise-grade security features for larger companies with complex needs and controls.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realize that events are sometimes hard to predict, so all plans are now available based on monthly tracked users (MTUs). This makes it easier to predict usage and enable customers to pay according to their monthly unique users.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the year ended December 31, 2025, subscription revenue comprised 98% of our total revenue. Our aforementioned ability to expand within our customer base is also demonstrated by our dollar-based net retention rate. As of December 31, 2025 and 2024, our dollar-based net retention rate for the trailing twelve months (“TTM”) across paying customers was 104% and 97%,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Technology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Data enters our platform through many sources, including our software-development kits (“SDKs”), server side, and integration with our partner systems. It then goes through the processing and cleanup stage before being stored in our behavioral graph which is a user-oriented distributed columnar data store. As explained in the platform section above, our Behavioral Graph powers the analytics, collaboration, prediction, and recommendation platform.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designed a platform that can process large amounts of data and provide an interactive query/response model. Instead of building a general-purpose data storage and processing system similar to data warehouses that would require our users to know SQL and wait a long time to get answers to their analytics-oriented join-heavy queries, we have built a platform from the ground up focused on end-user behavior analysis that is optimized to ingest, process, and store data in a format and structure to power low latency query/response.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Real-time Data Management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underpinning of the AI Analytics Platform is our real-time Data Management layer. This layer includes our core data platform that offers our customers a number of tools and capabilities for ingesting data, resolving identity issues, and managing customer and product data.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Key features include: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Structured, event-based schema. We ingest and process event data. Each event represents an interaction that an end user or device performed on our customers’ products. Event data has information about the event as well as the end user and device that has performed the event, and it follows a specific but flexible schema. As event data enters our platform, it gets ingested, sanitized, enriched, and canonicalized and is stored in an optimized format in our behavioral graph to enable low latency query/response.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Breadth and scale of digital sources. We have a number of tools and offerings, such as several client-side and server-side SDKs, APIs, and integration with customer storage systems. For example, Amazon S3 and data warehouse integrations allow us to ingest from a number of sources, including mobile applications, websites, and backend services.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Identity resolution for a multi-platform world. In the multi-platform world, end users interact with our customers’ products through many devices. Through continuous event streaming, our identity resolution service automatically captures one consistent view of a customer’s usage as end users log in and out, browse anonymously, and use multiple devices.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governance and observability. With the rapid expansion of customer and product data, organizations require tools to manage the complexity and maintain trust. Our governance toolkit provides a two-pronged approach that is both proactive – through schema planning, validation and error reporting – and reactive – through retroactive data merges and schema changes. Our observability gives data leaders insights and visibility into how data is being used by their organization so they can make informed decisions about what to track.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Customers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AI Analytics Platform is used globally by organizations of all sizes and across a vast range of industries. As of December 31, 2025 and 2024, we had 4,797 and 3,875 paying customers, respectively, representing year-over-year growth of 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continue to increase the number of customers who have entered and grown into larger subscriptions with us. As of December 31, 2025 and 2024, we had 698 and 591 customers, respectively, that each represented greater than $100,000 in annual recurring revenue ("ARR"), representing a 18% increase year-over-year.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as of December 31, 2025 and 2024, we had 56 and 42 customers, respectively, that each represented greater than $1.0 million in ARR, up 33% year-over-year. The number of customers representing greater than $100,000 and $1.0 million in ARR demonstrates the strategic importance of our platform and our ability to land significant accounts and grow them over time.</w:t>
      </w:r>
    </w:p>
    <w:p>
      <w:pPr>
        <w:pStyle w:val="TextBody"/>
        <w:bidi w:val="0"/>
        <w:spacing w:before="36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sales and marketing efforts focus on addressing a prospect’s initial AI analytics use case across one or more digital products or experiences. We then aim to expand those relationships over time as we deliver ongoing value and meet a greater portion of our customers’ AI analytics needs.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employ a multi-pronged go-to-market strategy combining direct sales (including field and inside sales), product-led growth initiatives, and marketing initiatives to build brand awareness and generate demand. Our field sales personnel focus on attracting new customers as well as expanding usage within our existing customer base. Our sales team is supported by business and sales development professionals and solution consultants who facilitate the sales process through identifying use cases based on customer needs, assessing requirements, addressing security and technical questions, consulting on customers’ data stacks, and finding additional expansion use cases.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meet companies wherever they are in their analytics journey, we offer a variety of free and paid plans depending on a customer’s needs.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For example, we offer a free, </w:t>
      </w:r>
      <w:r>
        <w:rPr>
          <w:rFonts w:ascii="Times New Roman" w:hAnsi="Times New Roman"/>
          <w:i/>
          <w:color w:val="000000"/>
          <w:sz w:val="20"/>
        </w:rPr>
        <w:t>Starter</w:t>
      </w:r>
      <w:r>
        <w:rPr>
          <w:rFonts w:ascii="Times New Roman" w:hAnsi="Times New Roman"/>
          <w:color w:val="000000"/>
          <w:sz w:val="20"/>
        </w:rPr>
        <w:t xml:space="preserve"> plan for early-stage startups and individuals. Our self-serve Plus plan is built for growing startups and small teams who need more customization and access to feature management and Audience Activation capabilities. Our Growth plan provides access to additional capabilities, such as automated insights, experiments, guides and surveys, and audience management. And our Enterprise plan is ideal for larger organizations that have more sophisticated needs and requirements.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Professional Services team helps customers design and execute their AI analytics, product-led growth, and personalization projects. We offer our customers implementation, training, and related services to help them realize the full benefits of our AI Analytics Platform.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also work closely with our partner ecosystem to help them deploy our solutions and build our technology into their services offerings. This provides opportunities for us to increase the breadth and depth of our deployment within new and existing customers. We have numerous partners in the program,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Solutions partners:</w:t>
      </w:r>
      <w:r>
        <w:rPr>
          <w:color w:val="000000"/>
        </w:rPr>
        <w:t xml:space="preserve"> </w:t>
      </w:r>
      <w:r>
        <w:rPr>
          <w:rFonts w:ascii="Times New Roman" w:hAnsi="Times New Roman"/>
          <w:color w:val="000000"/>
          <w:sz w:val="20"/>
        </w:rPr>
        <w:t>global systems integrators, consultancies, and digital agencies that partner with Amplitude to provide business transformation strategy, best practices, and support.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Technology partners: </w:t>
      </w:r>
      <w:r>
        <w:rPr>
          <w:rFonts w:ascii="Times New Roman" w:hAnsi="Times New Roman"/>
          <w:color w:val="000000"/>
          <w:sz w:val="20"/>
        </w:rPr>
        <w:t>who integrate their software with our AI Analytics Platform to build and deliver end-to-end enterprise technology solutions. Amplitude has dozens of technology integrations and partners across more than a dozen software categories, including marketing automation, attribution tools, data warehouses, and customer data platforms, to name a few.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marketing efforts focus on driving demand generation across all segments and across both new and existing customers, as well as raising our brand profile globally. To do this, we utilize a combination of online and offline programs such as online advertising, blogs, public relations, social media, analyst relations, educational white papers and webinars, product demos, workshops, roundtables, podcasts, and customer case studies.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we had 437 employees in our sales and marketing organization.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our company culture enables us to achieve our mission, is a core driver of our business success, and is a significant reason why people choose to build their careers at Amplitude. We are pioneers in this field and endeavor to make product, business, and people decisions that allow us to carry out our mission while staying true to our values.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Diversity, Equity, and Inclusion (“DEI”) are rooted in the fabric of our culture. We advance our culture of belonging–in which Humility, Ownership, Growth Mindset, and Customer Centricity are at the center–by coming together to make a collective impact in our work and our communities. Through strategic initiatives and partnerships, policy development and stewardship, innovation and education, our DEI-embedded culture shapes our future to one where all employees can fully realize their potential.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Humility: </w:t>
      </w:r>
      <w:r>
        <w:rPr>
          <w:rFonts w:ascii="Times New Roman" w:hAnsi="Times New Roman"/>
          <w:color w:val="000000"/>
          <w:sz w:val="20"/>
        </w:rPr>
        <w:t>No ego—we operate from a place of empathy and openness and seek to understand many points of view.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Ownership:</w:t>
      </w:r>
      <w:r>
        <w:rPr>
          <w:color w:val="000000"/>
        </w:rPr>
        <w:t xml:space="preserve"> </w:t>
      </w:r>
      <w:r>
        <w:rPr>
          <w:rFonts w:ascii="Times New Roman" w:hAnsi="Times New Roman"/>
          <w:color w:val="000000"/>
          <w:sz w:val="20"/>
        </w:rPr>
        <w:t>We take the initiative to solve problems that drive our shared company success.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Growth Mindset: </w:t>
      </w:r>
      <w:r>
        <w:rPr>
          <w:rFonts w:ascii="Times New Roman" w:hAnsi="Times New Roman"/>
          <w:color w:val="000000"/>
          <w:sz w:val="20"/>
        </w:rPr>
        <w:t>We’re tenacious in the face of challenges and seek input in order to grow ourselves and others.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Customer Centricity:</w:t>
      </w:r>
      <w:r>
        <w:rPr>
          <w:color w:val="000000"/>
        </w:rPr>
        <w:t xml:space="preserve"> </w:t>
      </w:r>
      <w:r>
        <w:rPr>
          <w:rFonts w:ascii="Times New Roman" w:hAnsi="Times New Roman"/>
          <w:color w:val="000000"/>
          <w:sz w:val="20"/>
        </w:rPr>
        <w:t>We put the customer at the center of everything we do.</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values set the tone for how we show up with one another and our customers. We are deliberate in operationalizing our values through our selection of talent and how we reward success. We regularly recognize and celebrate those who are exemplary models of our values through our Quarterly Values Awards.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we had a total of 780 employees, including 188 employees located outside the United States. None of our employees is represented by a labor union or covered by collective bargaining agreements. We have not experienced any work stoppages. We consider our relationship with our employees to be good.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research and development efforts are focused on continued innovation, enhancing our platform features and functionalities, and expanding the services we offer to increase market penetration and deepen our relationships with our customers. We believe the timely development of new, and the enhancement of our existing platform features and services is essential to maintaining our competitive position. We continually incorporate feedback and new cases from our customers into our platform. As of December 31, 2025, we had 223 employees in our research and development organization. We intend to continue to invest in our research and development capabilities to extend our platform. Research and development expenses totaled $97.6 million and $97.6 million in years ended December 31, 2025 and 2024,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market for AI analytics is new and evolving. Businesses have used a range of point solutions built for other use cases in an effort to address their needs, none of which offer the breadth and depth of capabilities offered by our AI Analytics Platform. However, we do compete with a number of companies, ranging from large and diversified businesses to smaller start-ups, that offer certain point solutions and functionality similar to aspects of our platform. These point solution providers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analytics point solutions such as Mixpanel, Posthog, and ContentSquare;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Experimentation vendors such as Optimizely, Statsig, and LaunchDarkly;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CDP providers such as mParticle and Twilio Segment;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Session Replay solutions such as Fullstory, Contentsquare, and Quantum Metric;</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Web and marketing analytics vendors such as Adobe and Google Analytics;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Guides and Surveys vendors such as Pendo.</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principal competitive factors for companies in our industry are: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Powerful and flexible infrastructure that can ingest and manage a broad variety and large volume of data;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Platform functionality, including speed, scale, and breadth and depth of insights;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of end-user base and level of customer adoption;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Enterprise-grade technology that is secure and reliable;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Product-led growth offerings;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enable collaboration across numerous teams;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Ease of integration and deployment with existing IT infrastructure;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Mindshare with line of business and non-technical teams;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address a variety of evolving customer needs and use cases;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total cost of ownership;</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awareness and reputation;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of professional services and customer support;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 of sales and marketing efforts;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Adherence to industry standards and certifications.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the basis of the factors above, we believe that we compare favorably to our competitors. However, some of our actual and potential competitors have advantages over us—such as substantially greater financial, technical, and other resources; larger sales forces and marketing budgets; greater brand recognition; broader distribution networks and global presence; longer operating histories; more established relationships with current or potential customers and commercial partners; and more mature intellectual property portfolios. They may be able to leverage these resources to gain market share and prevent potential customers from purchasing our products. Additionally, we expect the industry to attract new entrants who could compete with our business and introduce new offerings. As we scale and expand our business, we may enter new markets and encounter additional competition.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Artificial Intelligence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integrated AI Technologies throughout our AI Analytics Platform to help customers accelerate data insights and drive better decision-making. Our AI-powered capabilities include natural language querying of product data, automated trend summaries, and intelligent analysis tools powered by large language models. In fiscal year 2025, we launched several AI-focused products, including AI Agents, Amplitude MCP, AI Visibility, AI Feedback, and Automated Insights. We expect to continue investing in and developing AI technologies to enhance our platform's functionality and deliver greater value to our customers.</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intellectual property is an important part of our business. We rely on patent, copyright, trade secret, and trademark laws, as well as confidentiality agreements, license agreements, intellectual property assignment agreements, and similar contracts, to establish and protect our proprietary rights. We maintain a policy requiring our employees, contractors, consultants, and other third parties to enter into confidentiality and proprietary rights agreements to control access to our proprietary information. However, these laws, agreements, and policies provide only limited protection, and our intellectual property rights and other proprietary rights may still be challenged, invalidated, infringed, or misappropriated in the United States and in foreign jurisdictions. The laws of certain jurisdictions do not protect proprietary rights to the same extent as the laws of the United States, and it may therefore be difficult, impossible, or otherwise not commercially reasonable to protect our proprietary rights in certain jurisdictions. In addition, we use software components licensed from third parties under open-source software licenses, which licenses generally do not contain warranties or indemnifications from the licensors with respect to infringement, security vulnerabilities, or other issues. As a result, we would not have contractual protections if our use of the open-source software licensed from third parties infringes third-party intellectual property rights or if we encounter other issues with respect to our use of third-party open-source software. We also publicly license our SDK and certain other components to third parties pursuant to open-source licenses. The value of the software we publicly license to third parties pursuant to open-source licenses may be diminished given that such licenses grant those third parties broad rights to modify and distribute such software and could allow a competitor to more easily develop a competing product by examining our software.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pursue the registration of our domain names, trademarks, and service marks and pursue patent protection of our technology in the United States and in certain locations outside the United States. As of December 31, 2025, we had eight issued U.S. patents, and seven U.S. and five foreign patent applications pending. We continually review our development efforts to assess the existence and patentability of new intellectual property, and the extension of our intellectual property rights abroad. As of December 31, 2025, we had five registered trademarks in the United States, eleven registered trademarks internationally, and five pending trademarks applications internationally. As of December 31, 2025, we had no U.S. trademark applications pending.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Data Privacy &amp; Security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Numerous state, federal, and foreign laws and regulations, including consumer protection laws and regulations and data breach notification laws, govern the collection, dissemination, processing, use, access to, confidentiality, and security of personal information and could apply to our operations or the operations of our partners. In addition, certain foreign laws govern the privacy and security of personal data. Many of these laws differ from each other in significant ways and may not have the same effect, thus complicating compliance efforts. Failure to comply with these laws, where applicable, can result in, among other things, the imposition of significant civil and/or criminal penalties and private litigation. Privacy and security laws, regulations, and other obligations are constantly evolving, may conflict with each other, and can result in investigations, proceedings, or actions that lead to significant civil and/or criminal penalties and restrictions on data processing.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were incorporated in the State of Delaware in November 2011 as Sonalight, Inc. and founded our Amplitude business in 2012. In December 2014, we changed our name to Amplitude, Inc. Our principal executive offices are located at 201 Third Street, Suite 200, San Francisco, California 94103. Our telephone number is (415) 231-2353 and our website address is www.amplitude.com. Information contained on, or that can be accessed through, our website is not incorporated by reference into this Annual Report on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Annual Report on Form 10-K, Quarterly Reports on Form 10-Q, Current Reports on Form 8-K, and amendments to these reports filed pursuant to Sections 13(a) and 15(d) of the Exchange Act are filed with the SEC. Such reports and other information filed or furnished by us with the SEC are available free of charge on our investor relations website at investors.amplitude.com, as soon as reasonably practicable after we file such material with, or furnish it to, the SEC, when such reports are available on the SEC’s website at www.sec.gov.</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Risk Factors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A description of the risks and uncertainties associated with our business is set forth below. You should carefully consider the risks and uncertainties described below, together with all of the other information in this Annual Report on Form 10-K, including our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limited operating history and have been growing rapidly over the last several years, which makes it difficult to forecast our future results of operations and increases the risk of your investment.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revenue was $343.2 million and $299.3 million for the fiscal years ended December 31, 2025 and 2024, respectively. However, you should not rely on our historical revenue growth as an indication of our future performance.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revenue growth rate may decline over time. In future periods, our revenue growth could slow or our revenue could decline for a number of reasons, including slowing demand for our AI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Annual Report on Form 10-K.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history of losses. As our costs increase, we may not be able to generate sufficient revenue to achieve and sustain profitability.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experienced net losses in each period since inception. We generated net losses of $88.5 million and $94.3 million for the fiscal years ended December 31, 2025 and 2024, respectively. As of December 31, 2025, we had an accumulated deficit of $546.4 million. We expect our costs and expenses to increase in future periods. In particular, we intend to continue to invest significant resources in: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AI Analytics Platform, including investments in our research and development team, the development or acquisition of new products, features, and functionality, and improvements to the scalability, availability, and security of our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infrastructure, including expansion of our activities in third-party data centers that we may lease, enhancements to our network operations and infrastructure, and hiring of additional employees;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international expansion, in an effort to increase our customer base and sales;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administration, including legal, accounting, and other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AI Analytics Platform and the successful implementation of our marketing strategy.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customer retention and expansion and the rate at which we attract new customers may decline or fluctuate as a result of a number of factors, including our customers’ satisfaction with our AI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pStyle w:val="Heading2"/>
        <w:bidi w:val="0"/>
        <w:spacing w:before="360" w:after="283"/>
        <w:jc w:val="left"/>
        <w:rPr>
          <w:rFonts w:ascii="Times New Roman" w:hAnsi="Times New Roman"/>
          <w:sz w:val="20"/>
        </w:rPr>
      </w:pPr>
      <w:r>
        <w:rPr>
          <w:rFonts w:ascii="Times New Roman" w:hAnsi="Times New Roman"/>
          <w:i/>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demand for, or pricing of, our AI Analytics Platform, including as a result of our introduction of new products, features, and functionality;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usage of our AI Analytics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new customers;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existing customers;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expansion rates;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in new products, features, and functionality;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customers’ purchases;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speed with which customers are able to migrate data onto our platform after purchasing capacity;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awareness of our brand on a global basis;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or delays in purchasing decisions in anticipation of new products, features, or functionality developed or acquired by us or our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customers’ budgets and in the timing of their budget cycles and purchasing decisions;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control costs, including our operating expenses;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our cloud computing infrastructure, particularly the cloud services provided by Amazon Web Services (“AWS”);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and sales and marketing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non-cash expenses, including stock-based compensation, goodwill impairments, and other non-cash charges;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and retaining and motivating existing employees;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identify and complete, and the effects of, mergers, acquisitions, or strategic partnerships, and the ensuing integration efforts;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market, and industry conditions (including the current inflationary economic environment, rising interest rates, tariffs, and a potential recession), both domestically and internationally, as well as economic conditions specifically affecting industries in which our customers participate, and related difficulties in collections;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impact of climate change, natural disasters, health epidemics, political and social instability, including acts of war or other armed conflicts (including the war in Ukraine and the conflicts in the Middle East), and terrorist activities, on our business, operations, and the markets and communities in which we and our customers and partners operate and the disruption these events may cause to the global economy;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new accounting pronouncements;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changing laws, regulations, executive orders and enforcement priorities;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 the overall tax rate for our business, which may be affected by the mix of income we earn in the United States and in jurisdictions with comparatively lower tax rates, the effects of stock-based compensation, and the effects of changes in our business;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tax laws or judicial or regulatory interpretations of tax laws, which are recorded in the period such laws are enacted or interpretations are issued and may significantly affect the effective tax rate of that period;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 rates and changes in the proportion of our revenue and expenses denominated in foreign currencies;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security breaches of, technical difficulties with, or interruptions to, the delivery and use of our platform.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of these and other factors, or the cumulative effect of some of these factors, may cause our results of operations to vary significantly. To the extent our results of operations fall below the expectations of investors and securities analysts who follow our stock, the trading price of our Class A common stock could decline substantially, and we could face costly lawsuits, including securities class action litigation. For example, we previously defended against a securities class action lawsuit (“Securities Class Action”) and a shareholder derivative lawsuit (“Derivative Action”), which were filed in the United States District Court for the Northern District of California. We are also currently defending against two privacy class actions and previously defended against a third privacy action. See “Legal Matters” in Note 9 to our consolidated financial statements included in Part II, Item 8 of this Annual Report on Form 10-K for additional information regarding the Securities Class Action, the Derivative Action and privacy actions. We have incurred and will continue to incur significant legal costs in connection with the defense of these lawsuits and management will be required to devote significant time in managing the defense of the 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continue to focus on sales to larger organizations and may become more dependent on those relationships, which may increase the variability of our sales cycle and our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educate prospective customers about the uses and benefits of our AI Analytics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discretionary nature of purchasing and budget cycles and decisions;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competitive nature of evaluation and purchasing processes;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functionality demands;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planned introductions of new products, features, or functionality by us or our competitors;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lengthy purchasing approval processes.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recognize revenue over the term of our customer contracts. Consequently, downturns or upturns in new sales may not be immediately reflected in our results of operations and may be difficult to discern.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AI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conditions in our industry or the global economy, or reductions in software spending, could limit our ability to grow our business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the imposition of tariffs and any retaliatory trade protection measures or trade wars that ensue,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AI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for SaaS applications develops more slowly than we expect or declines, our business would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will depend to a substantial extent on the widespread adoption of SaaS applications in general, and of SaaS applications that look to solve aspects of AI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AI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AI Analytics Platform. If we or other SaaS providers experience data security incidents, loss of customer data, disruptions in delivery, or other problems, the market for SaaS applications, including our AI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in which we operate is highly competitive, and if we do not compete effectively,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market for applications that look to address AI analytics is fragmented, rapidly evolving, and highly competitive, with relatively low barriers to entry. As this market continues to mature and new technologies and competitors enter the market, we expect competition to intensify. We face competition from: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in-house software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integrated systems vendors;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smaller companies offering alternative SaaS applications;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or emerging entrants seeking to develop competing technologies.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competitors may be able to respond more quickly and effectively than we can to new or changing opportunities, technologies, standards, or customer requirements. With the introduction of new technologies, the evolution of our AI Analytics Platform, and new market entrants, we expect competition to intensify in the future. Pricing pressures and increased competition generally could result in reduced sales, reduced margins, financial losses, or the failure of our AI Analytics Platform to achieve or maintain more widespread market acceptance, any of which could harm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competitors vary in size and in the breadth and scope of the products and services they offer. Further, other established SaaS providers not currently focused on AI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this Annual Report on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innovate in response to changing customer needs and technology developments and other market requirements,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attract new customers and retain and increase revenue from existing customers depends in large part on our ability to enhance and improve our AI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AI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AI Analytics Platform to meet customer requirements, or otherwise gain market acceptance, our business, financial condition, and results of operations could be materially adversely affected.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Because our AI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AI Analytics Platform may need to address additional requirements specific to those industries.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we are unable to enhance our AI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properly develop, invest in, deploy, and manage AI Technologies used in our AI Analytics Platform, our business, financial condition, and results of operations could be materially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incorporated, and expect in the future we will continue to incorporate AI Technologies into our AI Analytics Platform, and are making significant investments in this area. Across our AI Analytics Platform, we offer our customers a suite of AI Technologies that are designed to help them surface, interpret, and achieve data insights faster, including capabilities that leverage large language models ("LLM") (i.e., AI models that can produce and output new data and information). For example, certain features use LLMs to enable natural language querying of product data, generate summaries of trends, and aid customers in analyzing their product data.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With respect to our products or services that incorporate AI Technology, the market for such products and services is rapidly evolving and important assumptions about the characteristics of targeted markets, pricing, sales cycles, cost, performance, and perceived value associated with our products or services may be inaccurate. We cannot be sure that the market will continue to grow or that it will grow in ways we anticipate. In addition, market acceptance of products and services that incorporate AI Technology is uncertain. Our failure to successfully develop and commercialize our products or services involving AI Technologies could depress the market price of our stock and impair our ability to: raise capital; expand our business; provide, improve and diversify our product offerings; continue our operations and efficiently manage our operating expenses; and respond effectively to competitive developments.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competitors or other third parties may incorporate AI Technologies into their products more quickly or more successfully than us, which could impair our ability to compete effectively.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incorporate LLMs into certain of our products and services as part of our AI Analytics Platform. There is a risk that AI Technologies could produce inaccurate or misleading data or other discriminatory or unexpected results or behaviors, all of which could harm our reputation, business, or customer relationships. While we take measures designed to ensure the accuracy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AI-generated insights, those measures may not always be successful, and in some cases, we may need to rely on users to report such inaccuracies.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claims, increasing our risks of liability. For example, the output data produced by certain AI Technologies may include information subject to certain privacy laws or constitute an unauthorized derivative work of the copyrighted material used in training the underlying AI Technology, any of which could also create a risk of liability for us, or adversely affect our customers and our business or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our proprietary AI Technologies, 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 In addition, to the extent any third 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Issues relating to the responsible use of our technologies, including AI Technologies in our AI Analytics Platform, may result in reputational or financial harm and liability.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Concerns relating to the responsible use of new and evolving technologies, such as AI Technologies, in our AI Analytics Platform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effectively manage our growth and changes to our business over time,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we continue to grow and expand our business and operations, significant demands may be placed on our management and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AI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as we grow, we will need to appropriately scale our internal business systems and our services organization, including customer support, to serve our customer base, particularly as our customer demographics change over time. Managing these changes will require significant expenditures and allocation of valuable management resources. If we fail to successfully manage our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and certain third party vendors of ours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We face numerous and evolving cybersecurity risks that threaten the confidentiality, integrity, and availability of our information technology systems and Confidential Information.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a range of cybersecurity risks and threats, including, cyberattacks, denial and degradation-of-service attacks, ransomware attacks, business email compromises, computer malware, malicious code, misconfigurations, "bugs,"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and tools – including artificial intelligence – may be used to sabotage, or to obtain unauthorized access to, 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AI Analytics Platform is proprietary, and we rely on the expertise of members of our engineering, operations, product, and software development teams for its continued performance. It may become increasingly difficult and costly to maintain and improve the performance of our AI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AI Analytics Platform could be impaired until we are able to identify, obtain, and implement equivalent services, if we are able to do so at all. Any of these circumstances could materially adversely affect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Real or perceived errors, failures, vulnerabilities or bugs in our platform could materially adversely affect our business and growth prospects.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Any failure to offer high-quality product support may adversely affect our relationships with our customers, our reputation, and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using our AI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AI Analytics Platform to our customers and prospective customers, and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Incorrect or improper implementation or use of our AI Analytics Platform could result in customer dissatisfaction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often assist our customers in implementing our AI Analytics Platform (whether through us directly or through a third-party implementation partner), and they may need training in the proper use of our AI Analytics Platform to maximize its potential and avoid inadequate performance. If we or our implementation partners fail to train customers on how to efficiently and effectively use our AI Analytics Platform or if we fail to provide adequate product support to our customers, we may lose opportunities for additional subscriptions, customers may choose not to renew or expand the use of our AI Analytics Platform, we may experience negative publicity or legal claims against us, and our reputation and brand may suffer. Any of these circumstances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customers and prospective customers expect our AI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AI Analytics Platform may become less marketable, less competitive, or obsolete, and our business, financial condition, results of operations, and growth prospects could be materially adversely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have the history with our subscription or pricing models necessary to accurately predict optimal pricing necessary to attract new customers and retain existing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limited experience with respect to determining the optimal prices for our AI Analytics Platform and, as a result, we have in the past needed, and expect in the future that we will need, to change our pricing model from time to time. As the market for our AI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effectively develop and expand our sales and marketing capabilities, including our relationships with channel partners, could harm our ability to increase our customer base and achieve broader market acceptance of our products and platform.</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AI Analytics Platform by new and existing customers, especially enterprise customers, our business, financial condition, and results of operations may be materially adversely affected.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build and maintain successful relationships with our channel partners or such channel partners may fail to perform,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AI Analytics Platform, but there can be no assurance that these steps will be effective. In addition, if our channel partners are unsuccessful in marketing and selling access to our AI Analytics Platform, it would limit our expansion into certain geographies, sectors, and industries. If we are unable to develop and maintain effective sales incentive programs for our channel partners, we may not be able to incentivize these partners to sell access to our AI Analytics Platform to customers.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AI Analytics Platform altogether. Our channel partners could subject us to lawsuits, potential liability, and reputational harm if, for example, any of our channel partners misrepresents the functionality of our AI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AI Analytics Platform. If our channel partners are unsuccessful in selling access to our AI Analytics Platform, or if we are unable to enter into arrangements with or retain a sufficient number of high-quality channel partners in each of the regions in which we sell access to our AI Analytics Platform and keep them motivated to sell access to our AI Analytics Platform, our business, financial condition, results of operations, and growth prospects could be materially adversely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marketing strategies are not effective in attracting new customers and retaining existing customers, our business and ability to grow our revenues would be harmed.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pStyle w:val="TextBody"/>
        <w:bidi w:val="0"/>
        <w:spacing w:before="360" w:after="283"/>
        <w:jc w:val="left"/>
        <w:rPr>
          <w:rFonts w:ascii="Times New Roman" w:hAnsi="Times New Roman"/>
          <w:sz w:val="20"/>
        </w:rPr>
      </w:pPr>
      <w:r>
        <w:rPr>
          <w:rFonts w:ascii="Times New Roman" w:hAnsi="Times New Roman"/>
          <w:b/>
          <w:i/>
          <w:color w:val="000000"/>
          <w:sz w:val="20"/>
        </w:rPr>
        <w:t>Sales efforts to larger organizations involve risks that may not be present or that are present to a lesser extent with respect to sales to smaller organizations.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or $100 million in revenue, may require considerable time to evaluate and test our AI Analytics Platform prior to making a purchase decision and placing an order. A number of factors influence the length and variability of our sales cycle, including the need to educate potential customers about the uses and benefits of our AI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maintain and enhance our brand, our business, financial condition, and results of operations may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maintaining and enhancing our reputation as a differentiated and category-defining company in AI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AI Analytics Platform from competitive products and services. In addition, independent industry analysts often provide reviews of our AI Analytics Platform, as well as products and services offered by our competitors, and the market perception of our AI Analytics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are international in scope, and we plan further geographic expansion, creating a variety of operational challenges.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years ended December 31, 2025 and 2024, 39% and 40%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current and future international business and operations involve a variety of risks,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slower than anticipated public cloud adoption by international businesses;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which may be unexpected, in a specific country’s or region’s political, economic, or legal and regulatory environment, including armed conflicts, pandemics, terrorist activities, tariffs, trade wars, or long-term environmental risks;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adapt and localize our AI Analytics Platform for specific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payment cycles and greater difficulty enforcing contracts, collecting accounts receivable, or satisfying revenue recognition criteria, especially in emerging markets;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evolving, and more stringent regulations relating to privacy and data security and the unauthorized use of, or access to, commercial and personal information, particularly in Europe;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potentially more onerous labor regulations, especially in Europe, where labor laws are generally more advantageous to employees as compared to the United States, including deemed hourly wage and overtime regulations in these locations;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a business in new markets with diverse cultures, languages, customs, legal systems, alternative dispute systems, and regulatory systems;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travel, real estate, infrastructure, and legal compliance costs associated with international operations;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exchange rate fluctuations and the resulting effect on our revenue and expenses, and the cost and risk of entering into hedging transactions if we choose to do so in the future;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our ability to reinvest earnings from operations in one country to fund the capital needs of our operations in other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business practices favoring local competitors or general market preferences for local vendors;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limited or insufficient intellectual property protection or difficulties obtaining, maintaining, protecting, or enforcing our intellectual property rights, including our trademarks and patents;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political, social or macroeconomic events, including the war in Ukraine, the conflicts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or preferences for domestic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technical standards, existing or future regulatory and certification requirements, and required features and functionality;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privacy and data security, including the E.U. General Data Protection Regulation (“EU GDPR”) and similar laws and regulations in other jurisdictions;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taxation, and regulations, adverse tax burdens, and foreign exchange controls that could make it difficult to repatriate earnings and cash.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we invest substantial time and resources to further expand our international operations and are unable to do so successfully and in a timely manner, our business, financial condition, and results of operations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war in Ukraine could materially adversely affect our business, results of operations,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Annual Report on Form 10-K.</w:t>
      </w:r>
    </w:p>
    <w:p>
      <w:pPr>
        <w:pStyle w:val="TextBody"/>
        <w:bidi w:val="0"/>
        <w:spacing w:before="360" w:after="283"/>
        <w:jc w:val="left"/>
        <w:rPr>
          <w:rFonts w:ascii="Times New Roman" w:hAnsi="Times New Roman"/>
          <w:sz w:val="20"/>
        </w:rPr>
      </w:pPr>
      <w:r>
        <w:rPr>
          <w:rFonts w:ascii="Times New Roman" w:hAnsi="Times New Roman"/>
          <w:b/>
          <w:i/>
          <w:color w:val="000000"/>
          <w:sz w:val="20"/>
        </w:rPr>
        <w:t>We derive, and expect to continue for some time to derive, substantially all of our revenue from our Amplitude Analytics product.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Although we have released our Amplitude Session Replay, Feature Experimentation, Web Experimentation, Audience Activation, Guides and Surveys, AI Agents, Amplitude Model Context Protocol ("MCP"), AI Visibility, AI Feedback and Automated Insights products, we currently derive, and expect to continue for some time to derive, a significant portion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years ended December 31, 2025 and 2024, our research and development expenses were 28% and 33%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agree to indemnify customers and other third parties, which exposes us to substantial potential liability.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require additional capital to support the growth of our business, and this capital might not be available on acceptable terms, if at all.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intellectual property rights may not protect our business or provide us with a competitive advantage,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obtain patents and other intellectual property rights for important innovations or maintain appropriate confidentiality and other protective measures to establish and maintain our trade secrets;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and evolution of, legal standards relating to the validity, enforceability, and scope of protection of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invalidation of our intellectual property rights through administrative processes or litigation;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by us to detect infringement or other misappropriation of our intellectual property rights by third parties;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practical, resource, or business limitations on our ability to enforce our rights.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intellectual property disputes, which are expensive to support and, if resolved adversely, may subject us to significant liability and increased costs of doing business, which could have a material adverse effect on us.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intellectual property litigation to which we become a party may require us to do one or more of the following: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selling, licensing, or using products or features that incorporate the intellectual property rights that we allegedly infringe, misappropriate, or violate;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substantial payments for legal fees, settlement payments, subscription fee refunds, or other costs or damages, including indemnification of third parties;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or enter into a royalty agreement, either of which may not be available on reasonable terms or at all, in order to obtain the right to sell or use the relevant intellectual property;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 the allegedly infringing products to avoid infringement, misappropriation, or violation, which could be costly, time-consuming, or impossible.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Our generative AI Technologies that are embedded in our AI Analytics Platform could generate output that is infringing, and we could be subject to claims or lawsuits, including for infringement of third-party intellectual property rights as a result of the output of such generative AI Technologies.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“open-source” software could negatively affect our ability to sell our platform and subject us to possible litigation.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use software in our AI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Compliance and Legal Matters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government regulation, including import, export control, economic sanctions, and trade sanctions, and anti-corruption laws and regulations, which may expose us to liability and increase our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AI Technologies.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regulatory framework for AI Technologies is rapidly evolving as many federal, state, and foreign government bodies and agencies have introduced or are currently considering additional laws, regulations, self-regulatory frameworks, guidelines and statutes.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guidelines, standards, or market perception of their requirements may have on our business and may not always be able to anticipate how to respond to these laws or regulations.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Already, certain existing legal regimes (e.g., relating to data privacy) regulate certain aspects of AI Technologies, and new laws regulating AI Technologies have either entered into force in the United States and the EU in 2025 or are expected to enter into force in the future.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conducted pursuant to the rescinded Biden executive order. The Trump administration may continue to rescind other existing federal orders and/or administrative policies relating to AI Technologies or may implement new executive orders and/or other rule making relating to AI Technologies in the future. Accordingly, the scope and direction of orders, policies, rules and regulations related to AI Technologies at the federal level in the United States in the near future is uncertain.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the California Privacy Protection Agency in 2025 finalized regulations under the California Consumer Privacy Act of 2018, as amended by the California Privacy Rights Act (collectively, the “CCPA”) regarding the use of automated decision-making. California also enacted a number of new laws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Liability Directives will have a material impact on the way AI is regulated in the EU. Global "digital" regulations continue to develop and evolve, including the EU GDPR, ePrivacy Directive and the Data Act (the "Data Act"). Further, in Europe we are subject to the EU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EU GDPR’s requirements around automated decision making and introduced uncertainty in the interpretation of these rules. Specifically, the CJEU has expanded the scope for automated decision making under the EU GDPR by finding that automated decision making activities can fall within the EU GDPR’s restrictions on those activities even if the required legal or similarly significant effect for the individual is carried out by a third party. The EU AI Act, and developing interpretation and application of the EU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Further, the Data Act came into force on September 12, 2025. The Data Act may apply to our provision of data processing services in the EU and introduces a general requirement to remove pre-commercial, commercial, technical, contractual and other barriers that inhibit our customers from terminating contracts, porting data or unbundling services. We are monitoring developments in this area. The changes introduced by the Data Act may impact the duration of customer relationships and result in additional compliance and operational costs, which may affect our business. If any of our data processing activities are found to violate the requirements imposed by this law, we may incur substantial fines, have to change our business practices, and face reputational harm, any of which could have an adverse effect on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affected by sanctions, export controls, and similar measures targeting Russia and other countries and territories, as well as other responses to Russia’s invasion of Ukraine.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result of Russia’s invasion of Ukraine, governmental authorities in the United States, the European Union, and the United Kingdom, among others, launched an expansion of coordinated sanctions and export control measures, including, for example: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on some of the largest state-owned and private Russian financial institutions (and their subsequent removal from the Society for Worldwide Interbank Financial Telecommunication payment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Russian and Belarusian individuals, including the Russian President, other politicians, and those with government connections or involvement in Russian military activities;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certain Russian businessmen and their businesses, some of which have significant financial and trade ties to the European Union;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of Russia’s foreign currency reserves and prohibition on secondary trading in Russian sovereign debt and certain transactions with the Russian Central Bank, National Wealth Fund, and the Ministry of Finance of the Russian Federation;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sectoral sanctions in various sectors of the Russian and Belarusian economies and the defense sector;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U.K. sanctions introducing restrictions on providing loans to, and dealing in securities issued by, persons connected with Russia;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access to the financial and capital markets in the European Union, as well as prohibitions on aircraft leasing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closure of airspace to Russian aircraft;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oil, liquefied natural gas, and coal to the United States and on “new investment” in Russia’s energy sector (often with similar bans being enacted in the United Kingdom and the European Union);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fish, seafood, and preparations thereof, alcoholic beverages, non-industrial diamonds, and gold to the United States;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ban on “new investment” in the Russian Federation by a U.S. person, which may be interpreted broadly (with a similar prohibition also enacted by the United Kingdom);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the provision of certain professional services, including accounting, trust and corporate formation, auditing, and management consulting services, and information technology and software services, among others;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bans on the provision of services related to the worldwide maritime transportation of seaborne Russian oil, if purchased above a specific price cap.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incur significant expenses to comply with the laws, regulations, and other obligations that apply to us. For example, in Europe, we are subject to the EU GDPR and to the United Kingdom General Data Protection Regulation and Data Protection Act 2018 (collectively, the “UK GDPR”) (the EU GDPR and UK GDPR together referred to as the “GDPR”). The GDPR went into effect in May 2018 and imposes stringent data protection requirements for processing the personal data of individuals within the EEA or UK in the context of our activities within the EEA or UK, including certain disclosure requirements, limitations on retention of personal data, mandatory data breach notification requirements, and additional obligations. Non-compliance with the GDPR can trigger fines of up to the greater of €20 million / £17.5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may have to make certain operational changes and we will have to implement revised standard contractual clauses and other relevant documentation for existing data transfers within required time frames.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AI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reflecting a trend toward more stringent privacy legislation in the United States. The enactment of such laws may have potentially conflicting requirements that would make compliance challenging.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Any future litigation against us could be costly and time-consuming to defend.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become, and have in the past been,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For additional information regarding our current litigation matters, see "Legal Matters" in Note 9 to our consolidated financial statements included in Part II, Item 8 of this Annual Report on Form 10-K.</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Tax and Accounting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exposure to foreign currency exchange rate fluctuations.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conduct transactions, particularly intercompany transactions, in currencies other than the U.S. dollar. While we have primarily transacted with customers and vendors in U.S. dollars, we have transacted in foreign currencies for subscriptions to our AI Analytics Platform, and we expect to significantly expand the number of transactions with customers for our AI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global operations and structure subject us to potentially adverse tax consequences.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may be limited.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2024 and have determined that none of our NOLs generated through December 31, 2024 will expire solely due to Section 382 limitations caused by ownership changes prior to December 31, 2024. We are in the process of updating our Section 382 study through December 31, 2025. However, we may have experienced ownership changes after December 31, 2024,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our effective tax rate or tax liability may have a material adverse effect on our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materially affect our financial results in the period or periods in which such outcome is determined.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effective tax rate could increase due to several factors,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relative amounts of income before taxes in the various jurisdictions in which we operate that have differing statutory tax rates;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tax treaties, and regulations or the interpretation of them, such as the Tax Cuts and Jobs Act, the CARES Act, the Inflation Reduction Act, and the One Big Beautiful Bill Act;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current and future tax audits, examinations, or administrative appeals;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acquisitions.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of these developments could materially adversely affect our results of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required to collect additional sales or indirect taxes or be subject to other tax liabilities that may increase the costs our customers would have to pay for our products and materially adversely affect our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An increasing number of states have considered or adopted laws that attempt to impose tax collection obligations on out-of-state companies. Additionally, the Supreme Court of the United States ruled in </w:t>
      </w:r>
      <w:r>
        <w:rPr>
          <w:rFonts w:ascii="Times New Roman" w:hAnsi="Times New Roman"/>
          <w:i/>
          <w:color w:val="000000"/>
          <w:sz w:val="20"/>
        </w:rPr>
        <w:t xml:space="preserve">South Dakota v. Wayfair, Inc. et al. </w:t>
      </w:r>
      <w:r>
        <w:rPr>
          <w:rFonts w:ascii="Times New Roman" w:hAnsi="Times New Roman"/>
          <w:color w:val="000000"/>
          <w:sz w:val="20"/>
        </w:rPr>
        <w:t>(“</w:t>
      </w:r>
      <w:r>
        <w:rPr>
          <w:rFonts w:ascii="Times New Roman" w:hAnsi="Times New Roman"/>
          <w:i/>
          <w:color w:val="000000"/>
          <w:sz w:val="20"/>
        </w:rPr>
        <w:t>Wayfair</w:t>
      </w:r>
      <w:r>
        <w:rPr>
          <w:rFonts w:ascii="Times New Roman" w:hAnsi="Times New Roman"/>
          <w:color w:val="000000"/>
          <w:sz w:val="20"/>
        </w:rPr>
        <w:t xml:space="preserve">”), that online sellers can be required to collect sales and use tax despite not having a physical presence in the buyer’s state. In response to </w:t>
      </w:r>
      <w:r>
        <w:rPr>
          <w:rFonts w:ascii="Times New Roman" w:hAnsi="Times New Roman"/>
          <w:i/>
          <w:color w:val="000000"/>
          <w:sz w:val="20"/>
        </w:rPr>
        <w:t>Wayfair</w:t>
      </w:r>
      <w:r>
        <w:rPr>
          <w:rFonts w:ascii="Times New Roman" w:hAnsi="Times New Roman"/>
          <w:color w:val="000000"/>
          <w:sz w:val="20"/>
        </w:rPr>
        <w:t xml:space="preserve">,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reported financial results may be adversely affected by changes in accounting principles generally accepted in the United States.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prove to be incorrect, our results of operations could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consolidated financial statements and accompanying notes appearing elsewhere in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goodwill or intangible assets become impaired, we may be required to record a significant charge to earnings.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trading price of our Class A common stock has been, and in the future, may be, volatile, and could decline significantly and rapidly.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price of our Class A common stock has fluctuated and may in the future fluctuate substantially in response to numerous factors in addition to the ones described in the preceding risk factors, many of which are beyond our control,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results of operations, or operating metrics and those of our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 or our failure to meet these projections;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financial estimates by any securities analysts who follow our company, or variance in our financial performance from expectations of securities analysts;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pricing of our AI Analytics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or growth rate of our addressable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AI Analytics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acquisitions, or new offerings;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data breaches, disruptions to, or other incidents involving, our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board of directors, senior management, or key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our Class A common stock made available for trading;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economic slowdowns, recessions, inflationary pressures, rising interest rates, tariffs, trade wars, financial market fluctuations, and reduced credit availability;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war or armed conflicts (including those in Ukraine and the Middle East), incidents of terrorism, pandemics, elections, or responses to these events;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investors or securities analysts view our stock structure unfavorably, particularly our dual class structure and the concentrated voting control of our executive officers, directors, and their affiliates.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have the ability to influence the outcome of director elections and other matters requiring stockholder approval.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the date of this Annual Report on Form 10-K,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while we do not expect to issue any additional shares of Class B common stock, any future issuances of Class B common stock would be dilutive to holders of Class A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predict the impact our dual class structure may have on the trading price of our Class A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Although we are currently a constituent of the Russell 3000 Index, certain index providers have historically excluded companies with multiple classes of shares. While S&amp;P Dow Jones and FTSE Russell currently allow for multi-class eligibility, any future change in their methodology—or a failure on our part to meet the 5% minimum public voting power required by FTSE Russell—could result in our removal.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substantial amounts of our Class A common stock in the public markets, or the perception that sales might occur, could cause the trading price of our Class A common stock to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have filed registration statements to register all shares subject to options and restricted stock units (“RSU”) outstanding or reserved for future issuance under our equity compensation plans. As of December 31, 2025, we had options outstanding that, if fully exercised, would result in the issuance of 9,855,901 shares of Class A common stock, as well as 14,049,044 shares of Class A common stock subject to RSUs.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Accordingly, these shares will be able to be freely sold in the public market upon issuance, subject to applicable vesting requirements and compliance by affiliates with Rule 144.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 </w:t>
      </w:r>
    </w:p>
    <w:p>
      <w:pPr>
        <w:pStyle w:val="TextBody"/>
        <w:bidi w:val="0"/>
        <w:spacing w:before="160" w:after="283"/>
        <w:jc w:val="left"/>
        <w:rPr>
          <w:rFonts w:ascii="Times New Roman" w:hAnsi="Times New Roman"/>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trading price of our Class A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trading price of our Class A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and not by written consent;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only be removed for cause;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for indemnification by our directors</w:t>
      </w:r>
      <w:r>
        <w:rPr>
          <w:rFonts w:ascii="Times New Roman" w:hAnsi="Times New Roman"/>
          <w:color w:val="000000"/>
          <w:sz w:val="20"/>
        </w:rPr>
        <w:t xml:space="preserve"> </w:t>
      </w:r>
      <w:r>
        <w:rPr>
          <w:rFonts w:ascii="Times New Roman" w:hAnsi="Times New Roman"/>
          <w:b/>
          <w:i/>
          <w:color w:val="000000"/>
          <w:sz w:val="20"/>
        </w:rPr>
        <w:t>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restated certificate of incorporation and amended and restated bylaws provide that we will indemnify our directors and officers, in each case to the fullest extent permitted by Delaware law.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as permitted by Section 145 of the Delaware General Corporation Law, our amended and restated bylaws and indemnification agreements that we have entered into with our directors and officers provide that: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retroactively amend our amended and restated bylaws to reduce our indemnification obligations to directors, officers, employees, and agents.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inability to attract and retain highly skilled employees could materially adversely affect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executive officers and other key employees, and the loss of one or more of these employees could materially adversely affect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 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the business, regulatory, or political climate in the San Francisco Bay Area could adversely affect our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laws and regulations related to the internet or changes in the internet infrastructure itself may diminish the demand for our AI Analytics Platform, and could harm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AI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AI Analytics Platform could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AI Analytics Platform or generate any particular level of revenue for us. Any expansion in our markets depends on a number of factors, including the cost, performance, and perceived value associated with our AI Analytics Platform and the products of our competitors. Even if the markets in which we compete achieve the forecasted growth, our business could fail to grow at similar rates, if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 the past sought, and intend in the future to seek, to acquire or invest in businesses, joint ventures, strategic or preferred partnerships, and platform technologies that we believe could complement or expand our AI Analytics Platform, enhance our technology, or otherwise offer growth opportunities. Any such acquisitions, partnerships,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disrupted by catastrophic occurrences and similar events.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conflicts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the trading price and trading volume of our Class A common stock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needs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are obligated to maintain proper and effective internal control over financial reporting, and any failure to maintain the adequacy of these internal controls may adversely affect investor confidence in our company and, as a result, the trading price of our Class A common stock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bookmarkStart w:id="6" w:name="item_1b_unresolved_comments"/>
      <w:bookmarkEnd w:id="6"/>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7" w:name="item_1c_cyber"/>
      <w:bookmarkEnd w:id="7"/>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Cybersecurity Risk Management and Strategy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developed and implemented a cybersecurity risk management program intended to protect the confidentiality, integrity, and availability of our critical systems and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design and assess our program based on industry-standard frameworks, such as the National Institute of Standards and Technology Cybersecurity Framework (“NIST CSF”), SOC2, ISO 27000, and ISO 27018. This does not imply that we meet any particular technical standards, specifications, or requirements, only that we use these frameworks as a guide to help us identify, assess, and manage cybersecurity risks relevant to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cybersecurity risk management program is part of our overall risk management program and shares similar governance processes and reporting channels that apply across the risk management program to financial, legal, compliance, and other operational risk areas.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Key elements of our cybersecurity risk management program include but are not limited to the following: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assessments designed to help identify material risks from cybersecurity threats to our critical systems, and information;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team principally responsible for managing (i) our cybersecurity risk assessment processes, (ii) our security controls, and (iii) our response to cybersecurity incidents;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external service providers, where appropriate, to assess, test or otherwise assist with aspects of our security processes;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awareness training of our employees, including incident response personnel, and senior management;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incident response plan that includes procedures for responding to cybersecurity incidents;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third-party risk management process</w:t>
      </w:r>
      <w:r>
        <w:rPr>
          <w:color w:val="000000"/>
        </w:rPr>
        <w:t xml:space="preserve"> </w:t>
      </w:r>
      <w:r>
        <w:rPr>
          <w:rFonts w:ascii="Times New Roman" w:hAnsi="Times New Roman"/>
          <w:color w:val="000000"/>
          <w:sz w:val="20"/>
        </w:rPr>
        <w:t>for key service providers based on our assessment of their criticality to our operations and respective risk profile, suppliers, and vendors who have access to our critical systems and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Factor—Risks Related to Our Business Operations and Industry—If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pStyle w:val="TextBody"/>
        <w:bidi w:val="0"/>
        <w:spacing w:before="360" w:after="283"/>
        <w:jc w:val="left"/>
        <w:rPr>
          <w:rFonts w:ascii="Times New Roman" w:hAnsi="Times New Roman"/>
          <w:sz w:val="20"/>
        </w:rPr>
      </w:pPr>
      <w:r>
        <w:rPr>
          <w:rFonts w:ascii="Times New Roman" w:hAnsi="Times New Roman"/>
          <w:b/>
          <w:i/>
          <w:color w:val="000000"/>
          <w:sz w:val="20"/>
        </w:rPr>
        <w:t>Cybersecurity Governance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Board considers cybersecurity risk as part of its risk oversight function and established a dedicated Cybersecurity Committee of the Board in July 2024 to oversee cybersecurity risks, including management’s implementation of our cybersecurity risk management program.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Cybersecurity Committee meets at least twice annually with management to review our cybersecurity risks and cyber risk management program, and periodically reports to the Board on its activity. In addition, management updates the Cybersecurity Committee and Board, where it deems appropriate, regarding any cybersecurity incidents it considers to be significant or potentially significant.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 team is responsible for assessing and managing our material risks from cybersecurity threats. Our Chief Information Security Officer, Jack Levy, reports to our Chief Engineering Officer, and is primarily responsible for our overall cybersecurity risk management program. He supervises both our internal cybersecurity personnel and our retained external cybersecurity consultants. Mr. Levy previously served as the Chief Security Officer at Instabase and the Vice President of Engineering and Security at Butterfly Network, Inc. He was also the Head of Cybersecurity Engineering at Bridgewater Associates and held a variety of other engineering and security leadership roles at Goldman Sachs, Dow Jones &amp; Co., Bloomberg LP, and National Instruments. Mr. Levy holds a Bachelor of Science in Engineering (B.S.E.) in Computer Engineering from the University of Michigan.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pStyle w:val="TextBody"/>
        <w:bidi w:val="0"/>
        <w:spacing w:before="360" w:after="283"/>
        <w:jc w:val="left"/>
        <w:rPr>
          <w:rFonts w:ascii="Times New Roman" w:hAnsi="Times New Roman"/>
          <w:sz w:val="20"/>
        </w:rPr>
      </w:pPr>
      <w:bookmarkStart w:id="8" w:name="item_2_properties"/>
      <w:bookmarkEnd w:id="8"/>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principal executive office is located in San Francisco and consists of approximately 57,530 square feet of space under a lease agreement that expires on February 28, 2029. We also lease six additional offices in Amsterdam, Paris, Singapore, London, Vancouver, and New York. We lease all of our facilities and do not own any real property. We may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See “Legal Matters” in Note 9 to our consolidated financial statements included in Part II, Item 8 of this Annual Report on Form 10-K.</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1" w:name="item_5_market_for_registrants_common_eq"/>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Price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Class A common stock has been traded on the Nasdaq Capital Market under the symbol “AMPL” since September 28, 2021. Prior to that date, there was no public trading market for our Class A common stock. Our Class B common stock is neither listed nor publicly traded.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February 13, 2026, there were 29 holders of record of our Class A common stock and 26 holders of record of our Class B common stock. The actual number of stockholders is greater than the number of holders of record and includes stockholders who are beneficial owners but whose shares are held in street name by brokers and other nominees.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never declared or paid any cash dividend on our common stock. We do not expect to declare or pay any cash dividends in the foreseeable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Company Purchases of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Stock repurchases during the three months ended December 31, 2025 were as follows:</w:t>
      </w:r>
    </w:p>
    <w:p>
      <w:pPr>
        <w:pStyle w:val="TextBody"/>
        <w:bidi w:val="0"/>
        <w:ind w:left="49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533"/>
        <w:gridCol w:w="146"/>
        <w:gridCol w:w="228"/>
        <w:gridCol w:w="1225"/>
        <w:gridCol w:w="146"/>
        <w:gridCol w:w="146"/>
        <w:gridCol w:w="314"/>
        <w:gridCol w:w="855"/>
        <w:gridCol w:w="146"/>
        <w:gridCol w:w="146"/>
        <w:gridCol w:w="309"/>
        <w:gridCol w:w="1973"/>
        <w:gridCol w:w="146"/>
        <w:gridCol w:w="146"/>
        <w:gridCol w:w="605"/>
        <w:gridCol w:w="1946"/>
        <w:gridCol w:w="195"/>
      </w:tblGrid>
      <w:tr>
        <w:trPr/>
        <w:tc>
          <w:tcPr>
            <w:tcW w:w="1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Total Number of Shares Purchased</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Total Number of Shares Purchased as Part of Publicly Announced Plans or Program</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Approximate Dollar Value of Shares that May Yet Be Purchased Under the Plans or Program</w:t>
            </w:r>
            <w:r>
              <w:rPr>
                <w:rFonts w:ascii="Times New Roman" w:hAnsi="Times New Roman"/>
                <w:b/>
                <w:color w:val="000000"/>
                <w:sz w:val="13"/>
              </w:rPr>
              <w:t>(2)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2025 through October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2025 through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2025 through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395,734 shares of our Class A Common Stock that were repurchased through a privately-negotiated transaction under the Company's contractual right of first refusal granted in connection with a prior acquisition.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On May 7, 2025, we announced that our Board of Directors authorized the repurchase of up to $50.0 million of our Class A Common Stock (the “Repurchase Program”). The Repurchase Program has no expiration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See the section titled “Security Ownership of Certain Beneficial Owners and Management and Related Stockholder Matters” for information regarding securities authorized for issuance.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graph compares (i) the cumulative total stockholder return on our Class A common stock from September 28, 2021 (the date our Class A common stock commenced trading on the Nasdaq Capital Market) through December 31, 2025 with (ii) the cumulative total return of the Nasdaq Composite Index and the Nasdaq Emerging Cloud Index over the same period, assuming the investment of $100 in our Class A common stock and in both of the other indices on September 28, 2021 and the reinvestment of dividends. The graph uses the beginning market price on September 28, 2021 of $50 per share as the initial value of our Class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As discussed above, we have never declared or paid a cash dividend on our Class A common stock and do not anticipate declaring or paying a cash dividend in the foreseeable future.</w:t>
      </w:r>
    </w:p>
    <w:p>
      <w:pPr>
        <w:pStyle w:val="TextBody"/>
        <w:bidi w:val="0"/>
        <w:jc w:val="center"/>
        <w:rPr/>
      </w:pPr>
      <w:r>
        <w:rPr/>
        <w:t> </w:t>
      </w:r>
    </w:p>
    <w:p>
      <w:pPr>
        <w:pStyle w:val="TextBody"/>
        <w:bidi w:val="0"/>
        <w:jc w:val="center"/>
        <w:rPr/>
      </w:pPr>
      <w:r>
        <w:rPr/>
        <w:drawing>
          <wp:inline distT="0" distB="0" distL="0" distR="0">
            <wp:extent cx="5905500" cy="3552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05500" cy="3552825"/>
                    </a:xfrm>
                    <a:prstGeom prst="rect">
                      <a:avLst/>
                    </a:prstGeom>
                  </pic:spPr>
                </pic:pic>
              </a:graphicData>
            </a:graphic>
          </wp:inline>
        </w:drawing>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2" w:name="item_6_reserved"/>
      <w:bookmarkEnd w:id="12"/>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3" w:name="item_7_managements_discussion_and_analy"/>
      <w:bookmarkEnd w:id="13"/>
      <w:r>
        <w:rPr>
          <w:rFonts w:ascii="Times New Roman" w:hAnsi="Times New Roman"/>
          <w:b/>
          <w:color w:val="000000"/>
          <w:sz w:val="20"/>
        </w:rPr>
        <w:t>Item 7.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included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 Item 1A in this Annual Report on Form 10-K. Our fiscal year ends December 31.</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Unless the context otherwise requires, all references in this report to “Amplitude,” the “Company,” “we,” “our,” “us,” or similar terms refer to Amplitude, Inc. and its subsidiaries.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Amplitude is a leading AI Analytics Platform that helps businesses understand how people are using their products so they can build amazing digital experiences that increase acquisition, monetization and retention and drive revenue growth. We work with more than 4,797 paying customers of various sizes and stages of digital maturity, across many industries, including the teams behind some of the most-beloved digital products in the world. We have experienced significant growth in recent years, with approximately 780 employees in seven global offices.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the core of our AI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solution. Consistently ranked #1 in multiple categories by G2, Amplitude Analytics provides real-time product data and reconstructed user visits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experienced significant growth in recent years driven by the rapid adoption of our AI Analytics Platform by our global, diversified base of 4,797 paying customers as of December 31, 2025. Our customers span across industries and sizes, from the leading digital innovators to those earlier in their digital transformation journey. For the years ended December 31, 2025 and 2024, our revenue was $343.2 million and $299.3 million, respectively, representing year-over-year growth of 15%. For the years ended December 31, 2025 and 2024, our net loss was $88.5 million and $94.3 million, respectively. For the years ended December 31, 2025 and 2024, our net cash provided by operating activities was $29.8 million and $18.5 million, respectively, and our free cash flow was $23.5 million and $11.7 million,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Model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generate revenue primarily through selling subscriptions to our platform. We reach customers through a direct sales motion, solution partners, and product-led growth initiatives, including subscription plans to meet the needs of a diverse range of companies. For the year ended December 31, 2025, subscription revenue comprised of 98% of our total revenue.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customers typically start out using our platform for a specific business use case. As they see the value of our data, insights, and actions to drive positive business outcomes, they frequently expand beyond that initial use case. Examples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data, users or new functionality to meet the needs of teams across the organization;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Using our platform for additional digital products in their portfolio and empowering the teams responsible for them (product, marketing, engineering, and analytics);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Layering additional offerings onto core Analytics to power new capabilities and drive additional business outcomes.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pricing model is based on the platform functionality that our customers require to get the insights that they need and our customers commit to a certain volume of events or monthly tracked users ("MTUs"). An event could be any action that a user takes in a digital product, such as ‘Create account’, ‘Add to cart’, or ‘Share photo’. Events can also be actions that occur in a product without user action, such as ‘Verification completed’. Customers have the flexibility to choose the events sent to our platform and can also attach custom properties to an event to enable greater insight on the digital product end user. An MTU is a unique user who triggers one or more events within a calendar month.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been effective in helping our customers to gauge the proper event volume or MTUs to contract to ensure that they maximize their investment in our platform. In situations where customers exceed their committed volume in a given period, they incur overage charges that we have the contractual right to bill at our discretion. Depending on the circumstances, we often use this as an opportunity to renegotiate a customer contract to ensure they have the right contracted volume to meet their business objectives. Historically, overage charges have not made up a significant portion of our revenue. In many cases, customers will proactively expand their contract within the contract term, generally increasing event or MTU volume and platform capabilities to expand existing or address new use cases. Substantially all of our sales led customer contracts have a subscription period of one year or longer. In the fiscal year ended December 31, 2025, we billed a majority of these contracts annually in advance with the remainder billed semi-annually, quarterly, or monthly.</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We offer a variety of free and paid plans depending on our customers’ needs wherever they are in their analytics journey. For example, we offer a </w:t>
      </w:r>
      <w:r>
        <w:rPr>
          <w:rFonts w:ascii="Times New Roman" w:hAnsi="Times New Roman"/>
          <w:i/>
          <w:color w:val="000000"/>
          <w:sz w:val="20"/>
        </w:rPr>
        <w:t xml:space="preserve">Free </w:t>
      </w:r>
      <w:r>
        <w:rPr>
          <w:rFonts w:ascii="Times New Roman" w:hAnsi="Times New Roman"/>
          <w:color w:val="000000"/>
          <w:sz w:val="20"/>
        </w:rPr>
        <w:t xml:space="preserve">plan for early-stage startups and individuals. Our self-serve </w:t>
      </w:r>
      <w:r>
        <w:rPr>
          <w:rFonts w:ascii="Times New Roman" w:hAnsi="Times New Roman"/>
          <w:i/>
          <w:color w:val="000000"/>
          <w:sz w:val="20"/>
        </w:rPr>
        <w:t xml:space="preserve">Plus </w:t>
      </w:r>
      <w:r>
        <w:rPr>
          <w:rFonts w:ascii="Times New Roman" w:hAnsi="Times New Roman"/>
          <w:color w:val="000000"/>
          <w:sz w:val="20"/>
        </w:rPr>
        <w:t xml:space="preserve">plan is built for growing startups and small teams who need more customization and access to feature management capabilities. Our </w:t>
      </w:r>
      <w:r>
        <w:rPr>
          <w:rFonts w:ascii="Times New Roman" w:hAnsi="Times New Roman"/>
          <w:i/>
          <w:color w:val="000000"/>
          <w:sz w:val="20"/>
        </w:rPr>
        <w:t xml:space="preserve">Growth </w:t>
      </w:r>
      <w:r>
        <w:rPr>
          <w:rFonts w:ascii="Times New Roman" w:hAnsi="Times New Roman"/>
          <w:color w:val="000000"/>
          <w:sz w:val="20"/>
        </w:rPr>
        <w:t xml:space="preserve">plan provides access to additional capabilities, such as automated insights, experiments, and audience management. Users also get access to dedicated customer support to further maximize the value from our platform. And our </w:t>
      </w:r>
      <w:r>
        <w:rPr>
          <w:rFonts w:ascii="Times New Roman" w:hAnsi="Times New Roman"/>
          <w:i/>
          <w:color w:val="000000"/>
          <w:sz w:val="20"/>
        </w:rPr>
        <w:t xml:space="preserve">Enterprise </w:t>
      </w:r>
      <w:r>
        <w:rPr>
          <w:rFonts w:ascii="Times New Roman" w:hAnsi="Times New Roman"/>
          <w:color w:val="000000"/>
          <w:sz w:val="20"/>
        </w:rPr>
        <w:t xml:space="preserve">plan is designed for larger organizations that have more sophisticated needs and requirements, and includes everything in the </w:t>
      </w:r>
      <w:r>
        <w:rPr>
          <w:rFonts w:ascii="Times New Roman" w:hAnsi="Times New Roman"/>
          <w:i/>
          <w:color w:val="000000"/>
          <w:sz w:val="20"/>
        </w:rPr>
        <w:t>Growth</w:t>
      </w:r>
      <w:r>
        <w:rPr>
          <w:rFonts w:ascii="Times New Roman" w:hAnsi="Times New Roman"/>
          <w:color w:val="000000"/>
          <w:sz w:val="20"/>
        </w:rPr>
        <w:t xml:space="preserve"> plan as well as additional robust features such as advanced data governance, custom user permissions and roles, automated insights, enterprise-grade security features, and more. At any point, a customer that needs additional capabilities can purchase add-on functionality or products, which are natively integrated with Amplitude Analytics.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land-and-expand business model is powered by the ease of use, rapid time to value, and broad applicability of our platform to provide actionable insights in real time to numerous teams across an organization. This model has enabled us, in many cases, to significantly expand the reach of our platform within organizations.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we had 698 paying customers that each represented greater than $100,000 in annual recurring revenue ("ARR") and 56 customers that each represented greater than $1.0 million in ARR, demonstrating the mission critical nature of our platform to help customers succeed in the new digital age. In comparison, we had 591 customers that each represented greater than $100,000 in ARR and 42 customers that each represented greater than $1.0 million in ARR for the years ended December 31, 2024. Customers that each represented greater than $100,000 in ARR accounted for approximately 78% and 75% of our total ARR as of December 31, 2025 and 2024, respectively. 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No single customer accounted for more than 10% of our revenue in the years ended December 31, 2025 and 2024.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expand within our customer base is also demonstrated by our strong dollar-based net retention rate. As of December 31, 2025 and 2024, our dollar-based net retention rate (TTM) across paying customers was 104% and 97%,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our AI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ARR. As of December 31, 2025 and 2024, we had 698 and 591 customers, respectively, that each represented greater than $100,000 in ARR, representing a 18% increase year-over-year. Additionally, we had 56 and 42 customers, respectively, that each represented greater than $1.0 million in ARR, up 33% year-over-year. As of each of December 31, 2025 and 2024, 27 of the Fortune 100 were paying customers, which demonstrates both our traction to date as well as our significant opportunity to continue to penetrate into the largest global organizations. We believe our relationship with some of the world’s most beloved product-led companies has resulted in increased brand credibility and access to many attractive growth opportunities.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and 2024, our TTM was 104% and 97%, respectively, for paying customers. Additionally, our ending dollar-based net retention rate for paying customers as of December 31, 2025 and 2024, was 105% and 100%,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Platform</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improve and expand our platform capabilities. In October 2024, we acquired Command AI to provide intuitive AI-powered user assistance to make complex software easier to adopt and navigate. In June 2025, we completed an asset acquisition of Inari to accelerate our AI roadmap, leveraging their team’s deep expertise in applied AI. In July 2025, we completed a talent acquisition of June.io, a startup focused on empowering early</w:t>
        <w:noBreakHyphen/>
        <w:t xml:space="preserve">stage product teams, to contribute to our next generation of AI-driven analytics experiences. In July 2025, we completed the acquisition of Kraftful, integrating Kraftful's Voice of Customer Technology to unite quantitative user behavioral data and qualitative user feedback into Amplitude. Going forward, we may pursue both strategic partnerships and acquisitions that we believe will be complementary to our business, accelerate customer acquisition, increase usage of our platform, and/or expand our platform offerings in our core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for Growth</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investment for growth encompasses multiple critical areas, including product expansion, our sales force, sales support, partner ecosystem, and our international presence. We continue to evolve our technology and product offerings, to ensure that we are best serving our customers’ needs. For example, in February 2025, following our acquisition of Command AI, we rolled out Guides and Surveys to help organizations improve onboarding and user engagement. In May 2025, we rolled out a suite of new marketing capabilities that give visibility into the entire customer journey, enabling marketers to increase conversion, improve ROI, and target audiences more precisely. In June 2025, we introduced Amplitude AI Agents, which turn Amplitude into a team of specialized experts that work 24/7 to analyze user behavior, run experiments, and optimize digital experiences. In October 2025, we launched Amplitude MCP server that enables teams to analyze product data, experiments, and user behavior using conversational AI. In October 2025, we launched AI Visibility, a new capability that gives marketers unprecedented insight into how their brand shows up in AI search results, accompanied by recommendations on how to improve it based on a company’s actual data. In November 2025, we launched AI Feedback, the industry’s first customer feedback engine with a proprietary LLM process that automatically turns raw input into prioritized, actionable insights. In December 2025, we launched Amplitude's Automated Insights that can replicate an expert's standard analysis process in a fraction of the time.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the evolution of our technology and product offerings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including those capitalized for internal-use software, to increase in dollar amount over time. Over the longer term, we believe these expenses as a percentage of revenue will decrease, though these expenses as a percentage of revenue could increase in the short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we previously experienced cost savings due to our restructuring, as we continue to invest in our sales efforts, we expect our sales and marketing expenses to increase in dollar amount over time. Over the longer term, we believe these expenses as a percentage of revenue will decrease, though these expenses as a percentage of revenue could increase in the short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Finally, we see opportunities to expand offices and headcount internationally to better service targeted international markets where we believe we have significant opportunity to accelerate existing traction and success. For the years ended December 31, 2025 and 2024, 39% and 40% of our revenue was generated outside the United States, respectively. As we seek to expand our business globally, we may be adversely affected by global economic and political instability. See “Risk Factors–Risks Related to Our Business and Industry–Our operations are international in scope, and we plan further geographic expansion, creating a variety of operational challenges.” </w:t>
      </w:r>
    </w:p>
    <w:p>
      <w:pPr>
        <w:pStyle w:val="TextBody"/>
        <w:bidi w:val="0"/>
        <w:spacing w:before="36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55" w:type="dxa"/>
        <w:jc w:val="left"/>
        <w:tblInd w:w="0" w:type="dxa"/>
        <w:tblLayout w:type="fixed"/>
        <w:tblCellMar>
          <w:top w:w="28" w:type="dxa"/>
          <w:left w:w="28" w:type="dxa"/>
          <w:bottom w:w="28" w:type="dxa"/>
          <w:right w:w="28" w:type="dxa"/>
        </w:tblCellMar>
      </w:tblPr>
      <w:tblGrid>
        <w:gridCol w:w="4291"/>
        <w:gridCol w:w="146"/>
        <w:gridCol w:w="225"/>
        <w:gridCol w:w="451"/>
        <w:gridCol w:w="290"/>
        <w:gridCol w:w="155"/>
        <w:gridCol w:w="225"/>
        <w:gridCol w:w="451"/>
        <w:gridCol w:w="283"/>
        <w:gridCol w:w="152"/>
        <w:gridCol w:w="369"/>
        <w:gridCol w:w="801"/>
        <w:gridCol w:w="31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YoY Growth</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(dollar values in millions)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Recurring Revenue (ARR)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Dollar-Based Net Retention Rate (TTM)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Paying Customers with ARR of $100,000 or greater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Annual Recurring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ARR is also not intended to be a forecast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Dollar-Based Net Retention Rate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average of the trailing 12-month dollar-based net retention rates, to arrive at the dollar-based net retention rate (“NRR (TTM)”).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Paying Customers with ARR of $100,000 or greater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define Paying Customers with ARR of $100,000 or greater as those Paying Customers on one or more paid subscriptions that have $100,000 or more in ARR.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ability to grow the number of paying customers on our platform, particularly those spending $100,000 or more a year,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Non-GAAP Financial Measures and related Non-GAAP reconciliations are for the year ended December 31, 2025, compared to the same period in 2024, unless otherwise stated. Non-GAAP Financial Measures and related Non-GAAP reconciliations for the year ended December 31, 2024 compared to the year ended December 31, 2023 may be found in the section titled “Management’s Discussion and Analysis of Financial Condition and Results of Operations” in our Annual Report on Form 10-K for the fiscal year ended December 31, 2024, filed with the SEC on February 20, 2025.</w:t>
      </w:r>
    </w:p>
    <w:p>
      <w:pPr>
        <w:pStyle w:val="TextBody"/>
        <w:bidi w:val="0"/>
        <w:jc w:val="left"/>
        <w:rPr/>
      </w:pPr>
      <w:r>
        <w:rPr/>
        <w:t> </w:t>
      </w:r>
    </w:p>
    <w:tbl>
      <w:tblPr>
        <w:tblW w:w="8473" w:type="dxa"/>
        <w:jc w:val="left"/>
        <w:tblInd w:w="0" w:type="dxa"/>
        <w:tblLayout w:type="fixed"/>
        <w:tblCellMar>
          <w:top w:w="28" w:type="dxa"/>
          <w:left w:w="28" w:type="dxa"/>
          <w:bottom w:w="28" w:type="dxa"/>
          <w:right w:w="28" w:type="dxa"/>
        </w:tblCellMar>
      </w:tblPr>
      <w:tblGrid>
        <w:gridCol w:w="5011"/>
        <w:gridCol w:w="146"/>
        <w:gridCol w:w="246"/>
        <w:gridCol w:w="911"/>
        <w:gridCol w:w="386"/>
        <w:gridCol w:w="170"/>
        <w:gridCol w:w="246"/>
        <w:gridCol w:w="981"/>
        <w:gridCol w:w="376"/>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253,928</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260,542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(96,005</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23,478</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Non-GAAP Gross Profit, Non-GAAP Gross Margin, Non-GAAP Income (Loss) from Operations, and Non-GAAP Income (Loss) from Operations Margin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and Reconciliations of Non-GAAP Financial Measures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tables reconcile the most directly comparable U.S. GAAP financial measure to each of these non-GAAP financial measures.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and Gross Margin</w:t>
      </w:r>
      <w:r>
        <w:rPr>
          <w:rFonts w:ascii="Times New Roman" w:hAnsi="Times New Roman"/>
          <w:color w:val="000000"/>
          <w:sz w:val="20"/>
        </w:rPr>
        <w:t xml:space="preserve"> </w:t>
      </w:r>
    </w:p>
    <w:p>
      <w:pPr>
        <w:pStyle w:val="TextBody"/>
        <w:bidi w:val="0"/>
        <w:jc w:val="left"/>
        <w:rPr/>
      </w:pPr>
      <w:r>
        <w:rPr/>
        <w:t> </w:t>
      </w:r>
    </w:p>
    <w:tbl>
      <w:tblPr>
        <w:tblW w:w="6820" w:type="dxa"/>
        <w:jc w:val="left"/>
        <w:tblInd w:w="0" w:type="dxa"/>
        <w:tblLayout w:type="fixed"/>
        <w:tblCellMar>
          <w:top w:w="28" w:type="dxa"/>
          <w:left w:w="28" w:type="dxa"/>
          <w:bottom w:w="28" w:type="dxa"/>
          <w:right w:w="28" w:type="dxa"/>
        </w:tblCellMar>
      </w:tblPr>
      <w:tblGrid>
        <w:gridCol w:w="3346"/>
        <w:gridCol w:w="146"/>
        <w:gridCol w:w="258"/>
        <w:gridCol w:w="956"/>
        <w:gridCol w:w="331"/>
        <w:gridCol w:w="178"/>
        <w:gridCol w:w="258"/>
        <w:gridCol w:w="956"/>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260,542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29" w:right="9360" w:hanging="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Stock-based compensation expense-related charges include employer payroll tax-related expenses on employee stock transactions.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Income (Loss) From Operations and Income (Loss) From Operations Margin</w:t>
      </w:r>
      <w:r>
        <w:rPr>
          <w:rFonts w:ascii="Times New Roman" w:hAnsi="Times New Roman"/>
          <w:color w:val="000000"/>
          <w:sz w:val="20"/>
        </w:rPr>
        <w:t xml:space="preserve"> </w:t>
      </w:r>
    </w:p>
    <w:p>
      <w:pPr>
        <w:pStyle w:val="TextBody"/>
        <w:bidi w:val="0"/>
        <w:jc w:val="left"/>
        <w:rPr/>
      </w:pPr>
      <w:r>
        <w:rPr/>
        <w:t> </w:t>
      </w:r>
    </w:p>
    <w:tbl>
      <w:tblPr>
        <w:tblW w:w="7709" w:type="dxa"/>
        <w:jc w:val="left"/>
        <w:tblInd w:w="0" w:type="dxa"/>
        <w:tblLayout w:type="fixed"/>
        <w:tblCellMar>
          <w:top w:w="28" w:type="dxa"/>
          <w:left w:w="28" w:type="dxa"/>
          <w:bottom w:w="28" w:type="dxa"/>
          <w:right w:w="28" w:type="dxa"/>
        </w:tblCellMar>
      </w:tblPr>
      <w:tblGrid>
        <w:gridCol w:w="4216"/>
        <w:gridCol w:w="146"/>
        <w:gridCol w:w="256"/>
        <w:gridCol w:w="895"/>
        <w:gridCol w:w="329"/>
        <w:gridCol w:w="177"/>
        <w:gridCol w:w="256"/>
        <w:gridCol w:w="1023"/>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(96,005</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95,627</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3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4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Stock-based compensation expense-related charges include employer payroll tax-related expenses on employee stock transactions</w:t>
      </w:r>
      <w:r>
        <w:rPr>
          <w:rFonts w:ascii="Times New Roman" w:hAnsi="Times New Roman"/>
          <w:i/>
          <w:color w:val="000000"/>
          <w:sz w:val="16"/>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4216"/>
        <w:gridCol w:w="146"/>
        <w:gridCol w:w="268"/>
        <w:gridCol w:w="936"/>
        <w:gridCol w:w="344"/>
        <w:gridCol w:w="185"/>
        <w:gridCol w:w="268"/>
        <w:gridCol w:w="93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(55,083</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(65,331</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23,478</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 </w:t>
      </w:r>
    </w:p>
    <w:p>
      <w:pPr>
        <w:pStyle w:val="TextBody"/>
        <w:bidi w:val="0"/>
        <w:spacing w:before="36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consist primarily of personnel and related expenses. These expenses also include third-party services and consulting expenses, software subscriptions, hosting expenses for research and development activities, product design costs prior to the application development stage,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increase in dollar amount but to decrease as a percentage of revenue over the longer term, though the percentage may fluctuate from period to period depending on the extent and timing of product development initiatives. In the short term, research and development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and related expenses,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though the percentage may fluctuate from period to period depending on the extent and timing of our marketing initiatives. In the short term, sales and marketing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also incurred certain expenses as part of operating as a publicly-traded company, including professional fees and insurance expenses. As a public company, we expect to continue to incur costs associated with accounting, compliance, insurance, and investor relations which could fluctuate from period to period.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Other income (expense), net consists primarily of interest income on our cash, cash equivalents, and marketable securities holdings and foreign currency transaction gains and losses.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 for (Benefit from) Income Taxes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Provision for (benefit from) income taxes consists primarily of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where the statutory tax rates are different from the federal statutory tax rate. We expect to maintain this full valuation allowance in U.S. jurisdictions for the foreseeable future as it is not more likely than not the deferred tax assets will be realized based on our history of losses.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revenue for those periods. The period-to-period comparison of financial results is not necessarily indicative of financial results to be achieved in future periods.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discussion and analysis are for the year ended December 31, 2025, compared to the same period in 2024, unless otherwise stated. Discussion and analysis for the year ended December 31, 2024 compared to the year ended December 31, 2023 may be found in the section titled “Management’s Discussion and Analysis of Financial Condition and Results of Operations” in our Annual Report on Form 10-K for the fiscal year ended December 31, 2024, filed with the SEC on February 20, 2025.</w:t>
      </w:r>
    </w:p>
    <w:p>
      <w:pPr>
        <w:pStyle w:val="TextBody"/>
        <w:bidi w:val="0"/>
        <w:jc w:val="left"/>
        <w:rPr/>
      </w:pPr>
      <w:r>
        <w:rPr/>
        <w:t> </w:t>
      </w:r>
    </w:p>
    <w:tbl>
      <w:tblPr>
        <w:tblW w:w="7704" w:type="dxa"/>
        <w:jc w:val="left"/>
        <w:tblInd w:w="0" w:type="dxa"/>
        <w:tblLayout w:type="fixed"/>
        <w:tblCellMar>
          <w:top w:w="28" w:type="dxa"/>
          <w:left w:w="28" w:type="dxa"/>
          <w:bottom w:w="28" w:type="dxa"/>
          <w:right w:w="28" w:type="dxa"/>
        </w:tblCellMar>
      </w:tblPr>
      <w:tblGrid>
        <w:gridCol w:w="4611"/>
        <w:gridCol w:w="146"/>
        <w:gridCol w:w="211"/>
        <w:gridCol w:w="781"/>
        <w:gridCol w:w="166"/>
        <w:gridCol w:w="146"/>
        <w:gridCol w:w="211"/>
        <w:gridCol w:w="841"/>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349,933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329,731</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 Amounts include stock-based compensation expense as follows:</w:t>
      </w:r>
      <w:r>
        <w:rPr>
          <w:rFonts w:ascii="Times New Roman" w:hAnsi="Times New Roman"/>
          <w:color w:val="000000"/>
          <w:sz w:val="20"/>
        </w:rPr>
        <w:t xml:space="preserve"> </w:t>
      </w:r>
    </w:p>
    <w:p>
      <w:pPr>
        <w:pStyle w:val="TextBody"/>
        <w:bidi w:val="0"/>
        <w:jc w:val="left"/>
        <w:rPr/>
      </w:pPr>
      <w:r>
        <w:rPr/>
        <w:t> </w:t>
      </w:r>
    </w:p>
    <w:tbl>
      <w:tblPr>
        <w:tblW w:w="6096" w:type="dxa"/>
        <w:jc w:val="left"/>
        <w:tblInd w:w="0" w:type="dxa"/>
        <w:tblLayout w:type="fixed"/>
        <w:tblCellMar>
          <w:top w:w="28" w:type="dxa"/>
          <w:left w:w="28" w:type="dxa"/>
          <w:bottom w:w="28" w:type="dxa"/>
          <w:right w:w="28" w:type="dxa"/>
        </w:tblCellMar>
      </w:tblPr>
      <w:tblGrid>
        <w:gridCol w:w="3451"/>
        <w:gridCol w:w="146"/>
        <w:gridCol w:w="224"/>
        <w:gridCol w:w="719"/>
        <w:gridCol w:w="155"/>
        <w:gridCol w:w="155"/>
        <w:gridCol w:w="224"/>
        <w:gridCol w:w="83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92,125</w:t>
            </w:r>
          </w:p>
        </w:tc>
        <w:tc>
          <w:tcPr>
            <w:tcW w:w="1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100,019</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the components of our consolidated statements of operations and comprehensive loss data, for each of the periods presented, as a percentage of revenue.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4611"/>
        <w:gridCol w:w="146"/>
        <w:gridCol w:w="209"/>
        <w:gridCol w:w="603"/>
        <w:gridCol w:w="474"/>
        <w:gridCol w:w="209"/>
        <w:gridCol w:w="209"/>
        <w:gridCol w:w="603"/>
        <w:gridCol w:w="716"/>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7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Note: Certain figures may not sum due to rounding</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Fiscal Years Ended December 31, 2025 and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6089" w:type="dxa"/>
        <w:jc w:val="left"/>
        <w:tblInd w:w="0" w:type="dxa"/>
        <w:tblLayout w:type="fixed"/>
        <w:tblCellMar>
          <w:top w:w="28" w:type="dxa"/>
          <w:left w:w="28" w:type="dxa"/>
          <w:bottom w:w="28" w:type="dxa"/>
          <w:right w:w="28" w:type="dxa"/>
        </w:tblCellMar>
      </w:tblPr>
      <w:tblGrid>
        <w:gridCol w:w="841"/>
        <w:gridCol w:w="146"/>
        <w:gridCol w:w="214"/>
        <w:gridCol w:w="793"/>
        <w:gridCol w:w="148"/>
        <w:gridCol w:w="148"/>
        <w:gridCol w:w="214"/>
        <w:gridCol w:w="793"/>
        <w:gridCol w:w="146"/>
        <w:gridCol w:w="146"/>
        <w:gridCol w:w="214"/>
        <w:gridCol w:w="687"/>
        <w:gridCol w:w="146"/>
        <w:gridCol w:w="146"/>
        <w:gridCol w:w="313"/>
        <w:gridCol w:w="67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343,214</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Revenue increased $43.9 million or 15%, in the year ended December 31, 2025 compared to the year ended December 31, 2024. The increase in revenue was primarily due to growth of our paying customer base, partially offset by partial and full churn among existing customers, which was lower than our strong expansion within our existing customer accounts as reflected by our NRR (TTM) of 104% as of December 31, 2025.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 and Gross Margin</w:t>
      </w:r>
      <w:r>
        <w:rPr>
          <w:rFonts w:ascii="Times New Roman" w:hAnsi="Times New Roman"/>
          <w:color w:val="000000"/>
          <w:sz w:val="20"/>
        </w:rPr>
        <w:t xml:space="preserve"> </w:t>
      </w:r>
    </w:p>
    <w:p>
      <w:pPr>
        <w:pStyle w:val="TextBody"/>
        <w:bidi w:val="0"/>
        <w:jc w:val="left"/>
        <w:rPr/>
      </w:pPr>
      <w:r>
        <w:rPr/>
        <w:t> </w:t>
      </w:r>
    </w:p>
    <w:tbl>
      <w:tblPr>
        <w:tblW w:w="6767" w:type="dxa"/>
        <w:jc w:val="left"/>
        <w:tblInd w:w="0" w:type="dxa"/>
        <w:tblLayout w:type="fixed"/>
        <w:tblCellMar>
          <w:top w:w="28" w:type="dxa"/>
          <w:left w:w="28" w:type="dxa"/>
          <w:bottom w:w="28" w:type="dxa"/>
          <w:right w:w="28" w:type="dxa"/>
        </w:tblCellMar>
      </w:tblPr>
      <w:tblGrid>
        <w:gridCol w:w="1396"/>
        <w:gridCol w:w="146"/>
        <w:gridCol w:w="222"/>
        <w:gridCol w:w="713"/>
        <w:gridCol w:w="285"/>
        <w:gridCol w:w="153"/>
        <w:gridCol w:w="222"/>
        <w:gridCol w:w="713"/>
        <w:gridCol w:w="271"/>
        <w:gridCol w:w="146"/>
        <w:gridCol w:w="214"/>
        <w:gridCol w:w="687"/>
        <w:gridCol w:w="146"/>
        <w:gridCol w:w="146"/>
        <w:gridCol w:w="294"/>
        <w:gridCol w:w="697"/>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89,286</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Cost of revenue increased $12.4 million or 16%, in the year ended December 31, 2025 compared to the year ended December 31, 2024. The increase was primarily due to increase of $6.0 million in third-party hosting costs as we increased capacity to support paying customer usage and growth of our paying customer base, $3.4 million increase in amortization of capitalized internal-use software development costs, and $2.8 million net increase in personnel and subcontractor-related expenses, including higher allocated overhead costs.</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p>
      <w:pPr>
        <w:pStyle w:val="TextBody"/>
        <w:bidi w:val="0"/>
        <w:jc w:val="left"/>
        <w:rPr/>
      </w:pPr>
      <w:r>
        <w:rPr/>
        <w:t> </w:t>
      </w:r>
    </w:p>
    <w:tbl>
      <w:tblPr>
        <w:tblW w:w="7559" w:type="dxa"/>
        <w:jc w:val="left"/>
        <w:tblInd w:w="0" w:type="dxa"/>
        <w:tblLayout w:type="fixed"/>
        <w:tblCellMar>
          <w:top w:w="28" w:type="dxa"/>
          <w:left w:w="28" w:type="dxa"/>
          <w:bottom w:w="28" w:type="dxa"/>
          <w:right w:w="28" w:type="dxa"/>
        </w:tblCellMar>
      </w:tblPr>
      <w:tblGrid>
        <w:gridCol w:w="2311"/>
        <w:gridCol w:w="146"/>
        <w:gridCol w:w="214"/>
        <w:gridCol w:w="793"/>
        <w:gridCol w:w="148"/>
        <w:gridCol w:w="148"/>
        <w:gridCol w:w="214"/>
        <w:gridCol w:w="793"/>
        <w:gridCol w:w="146"/>
        <w:gridCol w:w="146"/>
        <w:gridCol w:w="214"/>
        <w:gridCol w:w="687"/>
        <w:gridCol w:w="146"/>
        <w:gridCol w:w="146"/>
        <w:gridCol w:w="313"/>
        <w:gridCol w:w="678"/>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349,933</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329,731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increased $0.1 million or 0%, in the year ended December 31, 2025 compared to the year ended December 31, 2024. The increase was primarily driven by $10.3 million increase in personnel-related expenses, $0.6 million increase in hosting expense, $0.4 million increase in consulting expense, $0.3 million increase in legal expenses, and $0.3 million increase in software subscriptions expenses, offset by $11.8 million net year-over-year decrease in stock-based compensation primarily due to a one-time acquisition related expense acceleration in prior year for the Command AI acquisition.</w:t>
      </w:r>
    </w:p>
    <w:p>
      <w:pPr>
        <w:pStyle w:val="TextBody"/>
        <w:bidi w:val="0"/>
        <w:spacing w:before="36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and marketing expenses increased $19.7 million or 12%, in the year ended December 31, 2025 compared to the year ended December 31, 2024. The increase was primarily driven by $13.3 million increase in personnel-related expenses, $5.2 million increase in stock-based compensation expenses and related payroll taxes, and $1.1 million increase in sales event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increased $0.5 million or 1%, in the year ended December 31, 2025 compared to the year ended December 31, 2024. The increase was primarily driven by $1.8 million increase in consulting expenses, $1.2 million increase in software subscriptions expenses, and $0.6 million increase in stock-based compensation expenses and related payroll taxes, offset by $1.1 million decrease in legal expenses, $1.1 million decrease in bad debt expenses, $0.3 million decrease in recruiting expenses, and $0.3 million decrease in corporate insurance expenses.</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jc w:val="left"/>
        <w:rPr/>
      </w:pPr>
      <w:r>
        <w:rPr/>
        <w:t> </w:t>
      </w:r>
    </w:p>
    <w:tbl>
      <w:tblPr>
        <w:tblW w:w="7714" w:type="dxa"/>
        <w:jc w:val="left"/>
        <w:tblInd w:w="0" w:type="dxa"/>
        <w:tblLayout w:type="fixed"/>
        <w:tblCellMar>
          <w:top w:w="28" w:type="dxa"/>
          <w:left w:w="28" w:type="dxa"/>
          <w:bottom w:w="28" w:type="dxa"/>
          <w:right w:w="28" w:type="dxa"/>
        </w:tblCellMar>
      </w:tblPr>
      <w:tblGrid>
        <w:gridCol w:w="2386"/>
        <w:gridCol w:w="146"/>
        <w:gridCol w:w="236"/>
        <w:gridCol w:w="756"/>
        <w:gridCol w:w="163"/>
        <w:gridCol w:w="163"/>
        <w:gridCol w:w="236"/>
        <w:gridCol w:w="756"/>
        <w:gridCol w:w="146"/>
        <w:gridCol w:w="146"/>
        <w:gridCol w:w="225"/>
        <w:gridCol w:w="676"/>
        <w:gridCol w:w="166"/>
        <w:gridCol w:w="146"/>
        <w:gridCol w:w="277"/>
        <w:gridCol w:w="714"/>
        <w:gridCol w:w="37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Other income (expense), net decreased $4.2 million or 28%, in the year ended December 31, 2025 compared to the year ended December 31, 2024. The decrease was primarily due to lower interest income of $3.8 million driven by a lower combined yield on investments and cash equivalents during the year ended December 31, 2025.</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(Benefit from) Income Taxes</w:t>
      </w:r>
      <w:r>
        <w:rPr>
          <w:rFonts w:ascii="Times New Roman" w:hAnsi="Times New Roman"/>
          <w:color w:val="000000"/>
          <w:sz w:val="20"/>
        </w:rPr>
        <w:t xml:space="preserve"> </w:t>
      </w:r>
    </w:p>
    <w:p>
      <w:pPr>
        <w:pStyle w:val="TextBody"/>
        <w:bidi w:val="0"/>
        <w:jc w:val="left"/>
        <w:rPr/>
      </w:pPr>
      <w:r>
        <w:rPr/>
        <w:t> </w:t>
      </w:r>
    </w:p>
    <w:tbl>
      <w:tblPr>
        <w:tblW w:w="8680" w:type="dxa"/>
        <w:jc w:val="left"/>
        <w:tblInd w:w="0" w:type="dxa"/>
        <w:tblLayout w:type="fixed"/>
        <w:tblCellMar>
          <w:top w:w="28" w:type="dxa"/>
          <w:left w:w="28" w:type="dxa"/>
          <w:bottom w:w="28" w:type="dxa"/>
          <w:right w:w="28" w:type="dxa"/>
        </w:tblCellMar>
      </w:tblPr>
      <w:tblGrid>
        <w:gridCol w:w="3436"/>
        <w:gridCol w:w="146"/>
        <w:gridCol w:w="262"/>
        <w:gridCol w:w="710"/>
        <w:gridCol w:w="181"/>
        <w:gridCol w:w="181"/>
        <w:gridCol w:w="262"/>
        <w:gridCol w:w="710"/>
        <w:gridCol w:w="146"/>
        <w:gridCol w:w="146"/>
        <w:gridCol w:w="243"/>
        <w:gridCol w:w="658"/>
        <w:gridCol w:w="146"/>
        <w:gridCol w:w="146"/>
        <w:gridCol w:w="313"/>
        <w:gridCol w:w="678"/>
        <w:gridCol w:w="31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Provision for (benefit from) income taxes increased $1.4 million or 79%, in the year ended December 31, 2025 compared to the year ended December 31, 2024, primarily due to increased foreign taxes during the year ended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$546.4 million as of December 31, 2025. We generated positive cash flows from operating activities during the years ended December 31, 2025 and 2024; however, we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 traded company.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our principal sources of liquidity were cash and cash equivalents of $81.1 million and restricted cash of $0.9 million. We also had $171.4 million in marketable securities that provide additional capital resources. Additionally, a substantial source of our cash provided by operating activities is our deferred revenue, which is included on our consolidated balance sheets as a liability. Deferred revenue consists of the unearned portion of billed fees for our subscriptions, which is recorded as revenue over the term of the subscription agreement. As of December 31, 2025, we had $121.9 million of deferred revenue, all of which was recorded as a current liability. This deferred revenue will be recognized as revenue when or as the related performance obligations are met.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periods presented: </w:t>
      </w:r>
    </w:p>
    <w:p>
      <w:pPr>
        <w:pStyle w:val="TextBody"/>
        <w:bidi w:val="0"/>
        <w:jc w:val="left"/>
        <w:rPr/>
      </w:pPr>
      <w:r>
        <w:rPr/>
        <w:t> </w:t>
      </w:r>
    </w:p>
    <w:tbl>
      <w:tblPr>
        <w:tblW w:w="7062" w:type="dxa"/>
        <w:jc w:val="left"/>
        <w:tblInd w:w="0" w:type="dxa"/>
        <w:tblLayout w:type="fixed"/>
        <w:tblCellMar>
          <w:top w:w="28" w:type="dxa"/>
          <w:left w:w="28" w:type="dxa"/>
          <w:bottom w:w="28" w:type="dxa"/>
          <w:right w:w="28" w:type="dxa"/>
        </w:tblCellMar>
      </w:tblPr>
      <w:tblGrid>
        <w:gridCol w:w="4216"/>
        <w:gridCol w:w="146"/>
        <w:gridCol w:w="221"/>
        <w:gridCol w:w="771"/>
        <w:gridCol w:w="173"/>
        <w:gridCol w:w="152"/>
        <w:gridCol w:w="221"/>
        <w:gridCol w:w="771"/>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largest source of operating cash is cash collection from sales of subscriptions to our paying customers. Our primary uses of cash from operating activities are for personnel and related expenses, marketing expenses, and third-party hosting-related and software expenses. For the years ended December 31, 2025 and 2024, we have generated positive cash flow from operating activities.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provided by operating activities of $29.8 million for fiscal 2025 reflects our net loss of $88.5 million, adjusted by non-cash items such as stock-based compensation expense of $92.1 million, depreciation and amortization of $9.6 million, non-cash operating lease costs of $4.4 million, and other non-cash adjustments of $2.1 million, as well as net cash provided by changes in our operating assets and liabilities of $10.1 million. The net cash provided by changes in operating assets and liabilities primarily consisted of collections outpacing revenue recognized as evidenced through the increase in cash of $15.0 million from changes in accounts receivable and deferred revenue, and an increase of $13.8 million from changes in accrued expenses and accounts payable. These changes were offset by an increase in prepaid expenses and other current and non-current assets of $3.1 million, a $4.7 million decrease in operating lease liabilities due to payments related to our operating lease obligations, and an increase in deferred commissions of $10.9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provided by operating activities of $18.5 million for fiscal 2024 reflects our net loss of $94.3 million, adjusted by non-cash items such as stock-based compensation expense of $100.0 million, depreciation and amortization of $6.1 million, and non-cash operating lease costs of $4.0 million as well as net cash provided by changes in our operating assets and liabilities of $2.4 million. The net cash provided by changes in operating assets and liabilities primarily consisted of collections outpacing revenue recognized as evidenced through the increase in cash of $8.6 million from changes in accounts receivable and deferred revenue and a net increase in accrued expenses and accounts payable of $8.5 million. These changes were offset by an increase in prepaid expenses and other current and non-current assets of $5.5 million, a $4.9 million decrease in operating lease liabilities due to payments related to our operating lease obligations, and an increase in deferred commissions of $4.3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investing activities of $55.1 million for fiscal 2025 consisted of $116.8 million of purchases of marketable securities, $3.0 million in cash paid for an acquisition, net of cash acquired, $4.7 million of capitalized internal-use software development costs, $1.6 million in purchases of property and equipment, and 0.2 million in issuance of a bridge loan. These decreases were offset by $71.3 million of cash received from the maturities of marketable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investing activities of $75.4 million for fiscal 2024 consisted of $146.3 million of purchases of marketable securities, $16.1 million in cash paid for an acquisition, net of cash acquired, $5.1 million of capitalized internal-use software development costs, and $1.7 million in purchases of property and equipment. These decreases were offset by $93.8 million of cash received from the maturities of marketable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financing activities of $65.3 million for fiscal 2025 primarily consisted of $38.4 million in net tax remittance on equity awards related to the vesting of RSU awards under a withhold-to-cover method, $30.8 million in repurchase of common stock, and $1.1 million cash paid for acquisition holdbacks, offset by $4.9 million in proceeds from the exercise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financing activities of $19.9 million for fiscal 2024 primarily consisted of $26.4 million in net tax remittance on equity awards related to the vesting of RSU awards under a withhold-to-cover method, offset by $6.5 million in proceeds from the exercise of stock options.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Remaining Performance Obligations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Remaining performance obligations (“RPO”) as of December 31, 2025 and 2024, including the expected timing of recognition, is as follows: </w:t>
      </w:r>
    </w:p>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313"/>
        <w:gridCol w:w="678"/>
        <w:gridCol w:w="31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Annual Report on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pStyle w:val="TextBody"/>
        <w:bidi w:val="0"/>
        <w:jc w:val="left"/>
        <w:rPr/>
      </w:pPr>
      <w:r>
        <w:rPr/>
        <w:t> </w:t>
      </w:r>
    </w:p>
    <w:tbl>
      <w:tblPr>
        <w:tblW w:w="9795" w:type="dxa"/>
        <w:jc w:val="left"/>
        <w:tblInd w:w="0" w:type="dxa"/>
        <w:tblLayout w:type="fixed"/>
        <w:tblCellMar>
          <w:top w:w="28" w:type="dxa"/>
          <w:left w:w="28" w:type="dxa"/>
          <w:bottom w:w="28" w:type="dxa"/>
          <w:right w:w="28" w:type="dxa"/>
        </w:tblCellMar>
      </w:tblPr>
      <w:tblGrid>
        <w:gridCol w:w="3196"/>
        <w:gridCol w:w="146"/>
        <w:gridCol w:w="211"/>
        <w:gridCol w:w="781"/>
        <w:gridCol w:w="146"/>
        <w:gridCol w:w="146"/>
        <w:gridCol w:w="211"/>
        <w:gridCol w:w="676"/>
        <w:gridCol w:w="146"/>
        <w:gridCol w:w="146"/>
        <w:gridCol w:w="213"/>
        <w:gridCol w:w="792"/>
        <w:gridCol w:w="146"/>
        <w:gridCol w:w="146"/>
        <w:gridCol w:w="213"/>
        <w:gridCol w:w="792"/>
        <w:gridCol w:w="146"/>
        <w:gridCol w:w="146"/>
        <w:gridCol w:w="239"/>
        <w:gridCol w:w="766"/>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2029-2030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After 2030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2"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and real estate-related</w:t>
              <w:br/>
              <w:t>   commitments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Purchase commitments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contractual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29" w:right="9360" w:hanging="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Consists of future real estate-related non-cancellable minimum rental payments under operating leases and real estate commitments with substitution rights.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In April 2025, the Company entered into a new private pricing addendum with Amazon Web Services (“AWS”) for cloud computing infrastructure, which replaced the Company's prior agreement with AWS. Under the terms of the agreement, the Company has a minimum purchase commitment of $326.3 million in AWS services through March 2031. As of December 31, 2025, $294.8 million remains on this commitment.</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financial statements are prepared in accordance with U.S. GAAP. The preparation of these financial statements requires us to make estimates and assumptions that affect the reported amounts of assets, liabilities, revenues,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critical accounting estimates, assumptions, and judgments that we believe have the most significant impact on our consolidated financial statements are described below.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Revenue is recognized when, or as, the RPO is satisfied by transferring the control of the promised service to a customer. The amount of revenue recognized reflects the consideration that we expect to be entitled to receive in exchange for these services. We account for revenue contracts with customers by applying the requirements of ASC 606, which includes the following steps: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contract, or contracts, with the customer;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of the revenue when, or as, a performance obligation is satisfied.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SaaS subscription agreements with customers enable them to access and send event volume data to our cloud-based platform. Subscription arrangements with customers do not provide the customer with the right to take possession of our software at any time. Instead, customers are granted continuous access to the platform over the contractual period. A time-elapsed method is used to measure progress because our obligation is to provide continuous service over the contractual period and control is transferred evenly over the contractual period. Accordingly, the fixed consideration related to subscription revenue is recognized ratably over the contract term beginning on the date access to the subscription product is provisioned. Typical subscription terms are in increments of 12 months with various payment terms ranging from monthly to annual up-front payments. Most contracts are non-cancellable over the contractual term and are subject to standard terms and conditions; however, certain contracts contain nonstandard terms that may impact the timing of revenue recognition.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Contract Acquisition Costs (Deferred Commissions)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capitalize sales commissions that are recoverable and incremental due to the acquisition of customer contracts. We determine whether costs should be deferred based on its sales compensation plans, if the commissions are in fact incremental and would not have occurred absent the customer contract.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Commissions paid upon the initial acquisition of a contract are deferred and then amortized on a straight-line basis over a period of benefit, determined to be five years. The period of benefit is estimated by considering factors such as the expected life of our subscription contracts, historical customer attrition rates, technological life of our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We determine the period of benefit for renewal subscription contracts by considering the contractual term for renewal contracts.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statements of operations and comprehensive loss. We periodically review these deferred commissions to determine whether events or changes in circumstances have occurred that could impact recoverability or the period of benefit. There were no impairment losses recorded during the periods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See Note 1 to our consolidated financial statements included in Part II, Item 8 of this Annual Report on Form 10-K for more information regarding recent accounting pronouncements.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item_7a_quantitative_and_qualitative_dis"/>
      <w:bookmarkEnd w:id="14"/>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cash and cash equivalents and marketable securities primarily consist of cash on hand and highly liquid investments in money market funds and U.S. government securities. As of December 31, 2025, we had cash and cash equivalents of $81.1 million and marketable securities, including non-current investments, of $171.4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8_financial_statements_and_supple"/>
      <w:bookmarkEnd w:id="15"/>
      <w:r>
        <w:rPr>
          <w:rFonts w:ascii="Times New Roman" w:hAnsi="Times New Roman"/>
          <w:b/>
          <w:color w:val="000000"/>
          <w:sz w:val="20"/>
        </w:rPr>
        <w:t>Item 8. Financial Statements and Supplementary Data</w:t>
      </w:r>
    </w:p>
    <w:p>
      <w:pPr>
        <w:pStyle w:val="TextBody"/>
        <w:bidi w:val="0"/>
        <w:jc w:val="left"/>
        <w:rPr/>
      </w:pPr>
      <w:r>
        <w:rPr/>
        <w:t> </w:t>
      </w:r>
    </w:p>
    <w:tbl>
      <w:tblPr>
        <w:tblW w:w="7067" w:type="dxa"/>
        <w:jc w:val="left"/>
        <w:tblInd w:w="0" w:type="dxa"/>
        <w:tblLayout w:type="fixed"/>
        <w:tblCellMar>
          <w:top w:w="28" w:type="dxa"/>
          <w:left w:w="28" w:type="dxa"/>
          <w:bottom w:w="28" w:type="dxa"/>
          <w:right w:w="28" w:type="dxa"/>
        </w:tblCellMar>
      </w:tblPr>
      <w:tblGrid>
        <w:gridCol w:w="6271"/>
        <w:gridCol w:w="796"/>
      </w:tblGrid>
      <w:tr>
        <w:trPr/>
        <w:tc>
          <w:tcPr>
            <w:tcW w:w="62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6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report_of_independent_registered">
              <w:r>
                <w:rPr>
                  <w:rStyle w:val="InternetLink"/>
                  <w:rFonts w:ascii="Times New Roman" w:hAnsi="Times New Roman"/>
                  <w:color w:val="0000FF"/>
                  <w:sz w:val="20"/>
                  <w:u w:val="single"/>
                </w:rPr>
                <w:t>Report of Independent Registered Public Accounting Firm (PCAOB ID 185)</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68</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balancesheets">
              <w:r>
                <w:rPr>
                  <w:rStyle w:val="InternetLink"/>
                  <w:rFonts w:ascii="Times New Roman" w:hAnsi="Times New Roman"/>
                  <w:color w:val="0000FF"/>
                  <w:sz w:val="20"/>
                  <w:u w:val="single"/>
                </w:rPr>
                <w:t>Consolidated Balance Sheets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70</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statementsofoperations">
              <w:r>
                <w:rPr>
                  <w:rStyle w:val="InternetLink"/>
                  <w:rFonts w:ascii="Times New Roman" w:hAnsi="Times New Roman"/>
                  <w:color w:val="0000FF"/>
                  <w:sz w:val="20"/>
                  <w:u w:val="single"/>
                </w:rPr>
                <w:t>Consolidated Statements of Operations and Comprehensive Loss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71</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statementsofequity">
              <w:r>
                <w:rPr>
                  <w:rStyle w:val="InternetLink"/>
                  <w:rFonts w:ascii="Times New Roman" w:hAnsi="Times New Roman"/>
                  <w:color w:val="0000FF"/>
                  <w:sz w:val="20"/>
                  <w:u w:val="single"/>
                </w:rPr>
                <w:t>Consolidated Statements of Stockholders’ Equity</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72</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statementsofcashflows">
              <w:r>
                <w:rPr>
                  <w:rStyle w:val="InternetLink"/>
                  <w:rFonts w:ascii="Times New Roman" w:hAnsi="Times New Roman"/>
                  <w:color w:val="0000FF"/>
                  <w:sz w:val="20"/>
                  <w:u w:val="single"/>
                </w:rPr>
                <w:t>Consolidated Statements of Cash Flows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73</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notestotheconsolidatedfinancial">
              <w:r>
                <w:rPr>
                  <w:rStyle w:val="InternetLink"/>
                  <w:rFonts w:ascii="Times New Roman" w:hAnsi="Times New Roman"/>
                  <w:color w:val="0000FF"/>
                  <w:sz w:val="20"/>
                  <w:u w:val="single"/>
                </w:rPr>
                <w:t>Notes to Consolidated Financial Statements</w:t>
              </w:r>
            </w:hyperlink>
          </w:p>
        </w:tc>
        <w:tc>
          <w:tcPr>
            <w:tcW w:w="79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74</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report_of_independent_registered"/>
      <w:bookmarkEnd w:id="16"/>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Board of Directors</w:t>
        <w:br/>
        <w:t>Amplitude, Inc.:</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Opinions on the Consolidated Financial Statements and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audited the accompanying consolidated balance sheets of Amplitude, Inc. and subsidiaries (the Company) as of December 31, 2025 and 2024, the related consolidated statements of operations and comprehensive loss,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for Opinions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 arrangements with non-standard terms and conditions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discussed in Note 1 of the consolidated financial statements, the Company generates revenue from Software as a Service (SaaS) subscriptions to customers. Most customer contracts are subject to standard terms and conditions; however, certain contracts contain nonstandard terms that may impact the timing of revenue recognition. For the year ended December 31, 2025, the Company’s revenue was $343.2 million, which included revenue related to sales of SaaS subscription arrangements.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identified the evaluation of revenue from SaaS subscription arrangements with non-standard terms and conditions as a critical audit matter. Significant auditor judgment was required to evaluate the Company’s assessment of the impact on revenue recognition for certain terms and conditions that are unique to certain contracts. Specifically, complex auditor judgment was required to evaluate the Company’s determination of the timing of revenue recognition for SaaS subscription arrangements with non-standard terms and conditions.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evaluated the design and tested the operating effectiveness of certain internal controls related to the Company’s revenue recognition process, including controls related to the assessment of contractual terms that impact the determination of the timing of SaaS subscription revenue recognition. We selected a sample of SaaS subscription revenue transactions and evaluated the Company’s identification and assessment of the terms and conditions impacting revenue recognition by reading the underlying contracts and accounting analysis to evaluate whether management’s analysis determined the appropriate timing of revenue recognition.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Santa Clara, California</w:t>
      </w:r>
    </w:p>
    <w:p>
      <w:pPr>
        <w:pStyle w:val="TextBody"/>
        <w:bidi w:val="0"/>
        <w:jc w:val="left"/>
        <w:rPr>
          <w:rFonts w:ascii="Times New Roman" w:hAnsi="Times New Roman"/>
          <w:color w:val="000000"/>
          <w:sz w:val="20"/>
        </w:rPr>
      </w:pPr>
      <w:r>
        <w:rPr>
          <w:rFonts w:ascii="Times New Roman" w:hAnsi="Times New Roman"/>
          <w:color w:val="000000"/>
          <w:sz w:val="20"/>
        </w:rPr>
        <w:t>February 18,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7" w:name="condensed_consolidated_balance_sheets"/>
      <w:bookmarkStart w:id="18" w:name="consolidatedbalancesheets"/>
      <w:bookmarkEnd w:id="17"/>
      <w:bookmarkEnd w:id="18"/>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per share amounts)</w:t>
      </w:r>
    </w:p>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6126"/>
        <w:gridCol w:w="146"/>
        <w:gridCol w:w="211"/>
        <w:gridCol w:w="841"/>
        <w:gridCol w:w="166"/>
        <w:gridCol w:w="146"/>
        <w:gridCol w:w="211"/>
        <w:gridCol w:w="841"/>
        <w:gridCol w:w="611"/>
      </w:tblGrid>
      <w:tr>
        <w:trPr/>
        <w:tc>
          <w:tcPr>
            <w:tcW w:w="6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$1,046</w:t>
              <w:br/>
              <w:t>   and $1,417 as of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commissions,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commissions,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445,911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stock, $0.00001 par value per share; 20,000 shares authorized </w:t>
              <w:br/>
              <w:t xml:space="preserve">   as of December 31, 2025 and 2024; zero shares issued and </w:t>
              <w:br/>
              <w:t>   outstanding as of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Class A common stock, $0.00001 par value per share; 600,000 shares </w:t>
              <w:br/>
              <w:t>   authorized as of December 31, 2025 and 2024; 104,400 and 96,095</w:t>
              <w:br/>
              <w:t>   shares issued and outstanding as of December 31, 2025 and 2024,</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$0.00001 par value per share; 600,000 shares</w:t>
              <w:br/>
              <w:t>   authorized as of December 31, 2025 and 2024; 29,633 and 33,093</w:t>
              <w:br/>
              <w:t>   shares issued and outstanding as of December 31, 2025 and 2024,</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754,398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fin143868_3"/>
      <w:bookmarkEnd w:id="19"/>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0" w:name="consolidatedstatementsofoperations"/>
      <w:bookmarkEnd w:id="20"/>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883" w:type="dxa"/>
        <w:jc w:val="left"/>
        <w:tblInd w:w="0" w:type="dxa"/>
        <w:tblLayout w:type="fixed"/>
        <w:tblCellMar>
          <w:top w:w="28" w:type="dxa"/>
          <w:left w:w="28" w:type="dxa"/>
          <w:bottom w:w="28" w:type="dxa"/>
          <w:right w:w="28" w:type="dxa"/>
        </w:tblCellMar>
      </w:tblPr>
      <w:tblGrid>
        <w:gridCol w:w="5146"/>
        <w:gridCol w:w="546"/>
        <w:gridCol w:w="211"/>
        <w:gridCol w:w="781"/>
        <w:gridCol w:w="166"/>
        <w:gridCol w:w="146"/>
        <w:gridCol w:w="211"/>
        <w:gridCol w:w="781"/>
        <w:gridCol w:w="166"/>
        <w:gridCol w:w="146"/>
        <w:gridCol w:w="211"/>
        <w:gridCol w:w="781"/>
        <w:gridCol w:w="591"/>
      </w:tblGrid>
      <w:tr>
        <w:trPr/>
        <w:tc>
          <w:tcPr>
            <w:tcW w:w="5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 common</w:t>
              <w:br/>
              <w:t>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w:t>
              <w:br/>
              <w:t>   attributable to Class A and Class B common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unrealized gains on marketable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consolidatedstatementsofequity"/>
      <w:bookmarkEnd w:id="21"/>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7"/>
        <w:gridCol w:w="146"/>
        <w:gridCol w:w="149"/>
        <w:gridCol w:w="708"/>
        <w:gridCol w:w="170"/>
        <w:gridCol w:w="149"/>
        <w:gridCol w:w="262"/>
        <w:gridCol w:w="205"/>
        <w:gridCol w:w="486"/>
        <w:gridCol w:w="146"/>
        <w:gridCol w:w="146"/>
        <w:gridCol w:w="256"/>
        <w:gridCol w:w="151"/>
        <w:gridCol w:w="720"/>
        <w:gridCol w:w="166"/>
        <w:gridCol w:w="146"/>
        <w:gridCol w:w="196"/>
        <w:gridCol w:w="316"/>
        <w:gridCol w:w="948"/>
        <w:gridCol w:w="166"/>
        <w:gridCol w:w="146"/>
        <w:gridCol w:w="256"/>
        <w:gridCol w:w="171"/>
        <w:gridCol w:w="880"/>
        <w:gridCol w:w="166"/>
        <w:gridCol w:w="146"/>
        <w:gridCol w:w="256"/>
        <w:gridCol w:w="175"/>
        <w:gridCol w:w="834"/>
        <w:gridCol w:w="216"/>
      </w:tblGrid>
      <w:tr>
        <w:trPr/>
        <w:tc>
          <w:tcPr>
            <w:tcW w:w="1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114,199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294,969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 withholding on net share settlement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(9,844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 of unvested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(90,363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120,010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294,753</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105,033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6,506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in connection with</w:t>
              <w:br/>
              <w:t>   an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6,836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6,795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 withholding on net share settlement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(94,319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129,188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296,556</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96,299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4,881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in connection with</w:t>
              <w:br/>
              <w:t>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8,543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 withholding on net share settlement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(38,502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(30,739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(88,541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134,033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791,146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245,346</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fin143868_5"/>
      <w:bookmarkEnd w:id="22"/>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3" w:name="consolidatedstatementsofcashflows"/>
      <w:bookmarkEnd w:id="23"/>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28"/>
        <w:gridCol w:w="146"/>
        <w:gridCol w:w="211"/>
        <w:gridCol w:w="841"/>
        <w:gridCol w:w="166"/>
        <w:gridCol w:w="146"/>
        <w:gridCol w:w="211"/>
        <w:gridCol w:w="841"/>
        <w:gridCol w:w="166"/>
        <w:gridCol w:w="146"/>
        <w:gridCol w:w="211"/>
        <w:gridCol w:w="781"/>
        <w:gridCol w:w="1011"/>
      </w:tblGrid>
      <w:tr>
        <w:trPr/>
        <w:tc>
          <w:tcPr>
            <w:tcW w:w="5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bridge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for tax withholding obligations on equity award</w:t>
              <w:br/>
              <w:t>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tax withholding obligations on equity award</w:t>
              <w:br/>
              <w:t>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acquisition holdback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30,011</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219,349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249,360</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Vesting of early exercised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 included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capitalized as internal-use software</w:t>
              <w:br/>
              <w: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in connection with business</w:t>
              <w:br/>
              <w:t>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4" w:name="notestotheconsolidatedfinancial"/>
      <w:bookmarkEnd w:id="24"/>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Summary of Business and Significant Accounting Policies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Amplitude, Inc. (the “Company”) was incorporated in the state of Delaware in 2011 and is headquartered in San Francisco, California. The Company provides an AI Analytics Platform that helps businesses understand how people are using their digital products so they can improve the digital experience provided by those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a single operating and reportable segment. The software segment provides an AI Analytics Platform to customers using a SaaS model. The Company derives revenue primarily in the United States and manages the business activities on a consolidated basis. The accounting policies of the software segment are the same as those described in the summary of significant accounting policies.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chief operating decision maker, who, in the Company’s case, is the Chief Executive Officer (“CEO”), assesses performance for the software segment and decides how to allocate resources based on functional expenses exclusive of stock-based compensation, amortization of acquired intangible assets, non-recurring charges such as restructuring and other related charges as well as related tax impacts of these items. The CEO uses these functional expense captions and consolidated net loss to evaluate income generated or losses incurred from the software segment, and utilizes the metric in deciding operating decisions, including, but not limited to, investing in R&amp;D, product developments, personnel, and other expenses. The measure of segment assets is reported on the balance sheet as total consolidated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tables sets forth operating segment information (in thousands):</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2476"/>
        <w:gridCol w:w="146"/>
        <w:gridCol w:w="211"/>
        <w:gridCol w:w="781"/>
        <w:gridCol w:w="166"/>
        <w:gridCol w:w="146"/>
        <w:gridCol w:w="211"/>
        <w:gridCol w:w="781"/>
        <w:gridCol w:w="166"/>
        <w:gridCol w:w="146"/>
        <w:gridCol w:w="211"/>
        <w:gridCol w:w="781"/>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4"/>
        </w:rPr>
      </w:pPr>
      <w:r>
        <w:rPr>
          <w:rFonts w:ascii="Times New Roman" w:hAnsi="Times New Roman"/>
          <w:color w:val="000000"/>
          <w:sz w:val="16"/>
        </w:rPr>
        <w:t>Amounts exclude other segment expenses as follows:</w:t>
      </w:r>
      <w:r>
        <w:rPr>
          <w:rFonts w:ascii="Times New Roman" w:hAnsi="Times New Roman"/>
          <w:color w:val="000000"/>
          <w:sz w:val="24"/>
        </w:rPr>
        <w:t xml:space="preserve"> </w:t>
      </w:r>
    </w:p>
    <w:p>
      <w:pPr>
        <w:pStyle w:val="TextBody"/>
        <w:bidi w:val="0"/>
        <w:jc w:val="left"/>
        <w:rPr/>
      </w:pPr>
      <w:r>
        <w:rPr/>
        <w:t> </w:t>
      </w:r>
    </w:p>
    <w:tbl>
      <w:tblPr>
        <w:tblW w:w="9073" w:type="dxa"/>
        <w:jc w:val="left"/>
        <w:tblInd w:w="0" w:type="dxa"/>
        <w:tblLayout w:type="fixed"/>
        <w:tblCellMar>
          <w:top w:w="28" w:type="dxa"/>
          <w:left w:w="28" w:type="dxa"/>
          <w:bottom w:w="28" w:type="dxa"/>
          <w:right w:w="28" w:type="dxa"/>
        </w:tblCellMar>
      </w:tblPr>
      <w:tblGrid>
        <w:gridCol w:w="5386"/>
        <w:gridCol w:w="146"/>
        <w:gridCol w:w="211"/>
        <w:gridCol w:w="676"/>
        <w:gridCol w:w="146"/>
        <w:gridCol w:w="146"/>
        <w:gridCol w:w="211"/>
        <w:gridCol w:w="781"/>
        <w:gridCol w:w="146"/>
        <w:gridCol w:w="146"/>
        <w:gridCol w:w="211"/>
        <w:gridCol w:w="676"/>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related employer payroll</w:t>
              <w:br/>
              <w: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reporting currency of the Company is the United States dollar. The functional currency of the Company’s foreign subsidiaries is also the United States dollar. Foreign currency transaction gains and losses are recognized in “Other income (expense), net” in the consolidated statements of operations and comprehensive loss, and have not been material for any of the periods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the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period of benefit for deferred commissions;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useful lives of long-lived assets;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valuation of goodwill and intangible assets;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measurement, and valuation of deferred tax assets and income tax uncertainties;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incremental borrowing rates used for operating leases.</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derives revenue primarily from sales of subscription services. Revenue is recognized when, or as, the related performance obligation is satisfied by transferring the control of the promised service to a customer. The amount of revenue recognized reflects the consideration that the Company expects to be entitled to receive in exchange for these services.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achieve the core principle of the revenue standard, the Company applies the following steps: </w:t>
      </w:r>
    </w:p>
    <w:p>
      <w:pPr>
        <w:pStyle w:val="TextBody"/>
        <w:bidi w:val="0"/>
        <w:spacing w:before="360" w:after="283"/>
        <w:ind w:left="604" w:right="0" w:hanging="0"/>
        <w:jc w:val="left"/>
        <w:rPr>
          <w:rFonts w:ascii="Times New Roman" w:hAnsi="Times New Roman"/>
          <w:i/>
          <w:color w:val="000000"/>
          <w:sz w:val="20"/>
        </w:rPr>
      </w:pPr>
      <w:r>
        <w:rPr>
          <w:rFonts w:ascii="Times New Roman" w:hAnsi="Times New Roman"/>
          <w:i/>
          <w:color w:val="000000"/>
          <w:sz w:val="20"/>
        </w:rPr>
        <w:t>(i)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Identification of the contract, or contracts, with the customer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considers the terms and conditions of the contract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283"/>
        <w:ind w:left="604" w:right="0" w:hanging="0"/>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Identification of the performance obligations in the contract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whereby the transfer of the services and the products is separately identifiable from other promises in the contract. The Company’s performance obligations consist of (1) core subscription services and (2) professional and other services. </w:t>
      </w:r>
    </w:p>
    <w:p>
      <w:pPr>
        <w:pStyle w:val="TextBody"/>
        <w:bidi w:val="0"/>
        <w:spacing w:before="360" w:after="283"/>
        <w:ind w:left="604" w:right="0" w:hanging="0"/>
        <w:jc w:val="left"/>
        <w:rPr>
          <w:rFonts w:ascii="Times New Roman" w:hAnsi="Times New Roman"/>
          <w:i/>
          <w:color w:val="000000"/>
          <w:sz w:val="20"/>
        </w:rPr>
      </w:pPr>
      <w:r>
        <w:rPr>
          <w:rFonts w:ascii="Times New Roman" w:hAnsi="Times New Roman"/>
          <w:i/>
          <w:color w:val="000000"/>
          <w:sz w:val="20"/>
        </w:rPr>
        <w:t>(iii)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Determination of the transaction price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transaction price is determined based on the consideration to which the Company expects to be entitled in exchange for transferring services to the customer. The transaction price includes SaaS subscription fees based on the contracted usage as well as variable consideration associated with overage fees on exceeded volume limits.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604" w:right="0" w:hanging="0"/>
        <w:jc w:val="left"/>
        <w:rPr>
          <w:rFonts w:ascii="Times New Roman" w:hAnsi="Times New Roman"/>
          <w:i/>
          <w:color w:val="000000"/>
          <w:sz w:val="20"/>
        </w:rPr>
      </w:pPr>
      <w:r>
        <w:rPr>
          <w:rFonts w:ascii="Times New Roman" w:hAnsi="Times New Roman"/>
          <w:i/>
          <w:color w:val="000000"/>
          <w:sz w:val="20"/>
        </w:rPr>
        <w:t>(iv)</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Allocation of the transaction price to the performance obligations in the contract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Contracts that contain multiple performance obligations require an allocation of the transaction price to each performance obligation based on each performance obligation’s relative standalone selling price. Contracts typically have one performance obligation of providing access to the core subscription service. On occasion, contracts include professional services to customers, which are separate performance obligations. Professional services revenue has historically not been significant. </w:t>
      </w:r>
    </w:p>
    <w:p>
      <w:pPr>
        <w:pStyle w:val="TextBody"/>
        <w:bidi w:val="0"/>
        <w:spacing w:before="360" w:after="283"/>
        <w:ind w:left="604" w:right="0" w:hanging="0"/>
        <w:jc w:val="left"/>
        <w:rPr>
          <w:rFonts w:ascii="Times New Roman" w:hAnsi="Times New Roman"/>
          <w:i/>
          <w:color w:val="000000"/>
          <w:sz w:val="20"/>
        </w:rPr>
      </w:pPr>
      <w:r>
        <w:rPr>
          <w:rFonts w:ascii="Times New Roman" w:hAnsi="Times New Roman"/>
          <w:i/>
          <w:color w:val="000000"/>
          <w:sz w:val="20"/>
        </w:rPr>
        <w:t>(v)</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Recognition of the revenue when, or as, a performance obligation is satisfied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Revenue is recognized at the time the related performance obligation is satisfied by transferring the control of the promised service to a customer. For subscription services, revenue is recognized as the customer is given access to the core subscription service, in an amount that reflects the consideration that the Company expects to receive in exchange for access to the services. With respect to professional services, the Company recognizes revenue as services are delivered. The Company generates all its revenue from contracts with customers. </w:t>
      </w:r>
    </w:p>
    <w:p>
      <w:pPr>
        <w:pStyle w:val="TextBody"/>
        <w:bidi w:val="0"/>
        <w:spacing w:before="360" w:after="283"/>
        <w:jc w:val="left"/>
        <w:rPr>
          <w:rFonts w:ascii="Times New Roman" w:hAnsi="Times New Roman"/>
          <w:sz w:val="20"/>
        </w:rPr>
      </w:pPr>
      <w:r>
        <w:rPr>
          <w:rFonts w:ascii="Times New Roman" w:hAnsi="Times New Roman"/>
          <w:i/>
          <w:color w:val="000000"/>
          <w:sz w:val="20"/>
        </w:rPr>
        <w:t>Subscription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generates revenue from subscription services including SaaS subscriptions and customer support services subject to contractual subscription terms. SaaS subscriptions enable customers to access and send event volume data to the Company’s cloud-based platform. Subscription arrangements with customers do not provide the customer with the right to take possession of the Company’s software at any time. Instead, customers are granted continuous access to the platform over the contractual period. A time-elapsed method is used to measure progress because the Company’s obligation is to provide continuous service over the contractual period and control is transferred evenly over the contractual period. Accordingly, the fixed consideration related to subscription revenue is recognized ratably over the contract term beginning on the date access to the subscription product is provisioned. Typical subscription terms are in increments of 12 months with various payment terms ranging from monthly to annual up-front payments. Most contracts are non-cancellable over the contractual term and are subject to standard terms and conditions; however, certain contracts contain nonstandard terms that may impact the timing of revenue recognition.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 </w:t>
      </w:r>
    </w:p>
    <w:p>
      <w:pPr>
        <w:pStyle w:val="TextBody"/>
        <w:bidi w:val="0"/>
        <w:spacing w:before="360" w:after="283"/>
        <w:jc w:val="left"/>
        <w:rPr>
          <w:rFonts w:ascii="Times New Roman" w:hAnsi="Times New Roman"/>
          <w:sz w:val="20"/>
        </w:rPr>
      </w:pPr>
      <w:r>
        <w:rPr>
          <w:rFonts w:ascii="Times New Roman" w:hAnsi="Times New Roman"/>
          <w:i/>
          <w:color w:val="000000"/>
          <w:sz w:val="20"/>
        </w:rPr>
        <w:t>Remaining performance obligations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contracts with customers generally include one combined performance obligation, its core subscription offering, which is a series of distinct services transferred to the customer ratably over the respective obligation’s term. Other performance obligations that may be identified in contracts include professional services. As of December 31, 2025, the unrecognized transaction price related to remaining performance obligations was $417.7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remaining performance obligations as of December 31, 2025 are expected to be recognized as follows (in thousands): </w:t>
      </w:r>
    </w:p>
    <w:p>
      <w:pPr>
        <w:pStyle w:val="TextBody"/>
        <w:bidi w:val="0"/>
        <w:jc w:val="left"/>
        <w:rPr/>
      </w:pPr>
      <w:r>
        <w:rPr/>
        <w:t> </w:t>
      </w:r>
    </w:p>
    <w:tbl>
      <w:tblPr>
        <w:tblW w:w="6600" w:type="dxa"/>
        <w:jc w:val="left"/>
        <w:tblInd w:w="0" w:type="dxa"/>
        <w:tblLayout w:type="fixed"/>
        <w:tblCellMar>
          <w:top w:w="28" w:type="dxa"/>
          <w:left w:w="28" w:type="dxa"/>
          <w:bottom w:w="28" w:type="dxa"/>
          <w:right w:w="28" w:type="dxa"/>
        </w:tblCellMar>
      </w:tblPr>
      <w:tblGrid>
        <w:gridCol w:w="3451"/>
        <w:gridCol w:w="146"/>
        <w:gridCol w:w="268"/>
        <w:gridCol w:w="992"/>
        <w:gridCol w:w="146"/>
        <w:gridCol w:w="146"/>
        <w:gridCol w:w="268"/>
        <w:gridCol w:w="992"/>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the Company’s disaggregation of revenue by geographic areas, as determined based on the address of the Company's customers (in thousands): </w:t>
      </w:r>
    </w:p>
    <w:p>
      <w:pPr>
        <w:pStyle w:val="TextBody"/>
        <w:bidi w:val="0"/>
        <w:jc w:val="left"/>
        <w:rPr/>
      </w:pPr>
      <w:r>
        <w:rPr/>
        <w:t> </w:t>
      </w:r>
    </w:p>
    <w:tbl>
      <w:tblPr>
        <w:tblW w:w="5143" w:type="dxa"/>
        <w:jc w:val="left"/>
        <w:tblInd w:w="0" w:type="dxa"/>
        <w:tblLayout w:type="fixed"/>
        <w:tblCellMar>
          <w:top w:w="28" w:type="dxa"/>
          <w:left w:w="28" w:type="dxa"/>
          <w:bottom w:w="28" w:type="dxa"/>
          <w:right w:w="28" w:type="dxa"/>
        </w:tblCellMar>
      </w:tblPr>
      <w:tblGrid>
        <w:gridCol w:w="1246"/>
        <w:gridCol w:w="146"/>
        <w:gridCol w:w="211"/>
        <w:gridCol w:w="781"/>
        <w:gridCol w:w="146"/>
        <w:gridCol w:w="146"/>
        <w:gridCol w:w="211"/>
        <w:gridCol w:w="781"/>
        <w:gridCol w:w="146"/>
        <w:gridCol w:w="146"/>
        <w:gridCol w:w="211"/>
        <w:gridCol w:w="78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Accounts Receivable,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Accounts receivable are primarily comprised of cash due from customers and are recorded at the invoiced amount, net of an allowance for doubtful accounts. The Company has a well-established collections history from its customers. Credit is extended to customers based on an evaluation of their financial condition and other factors. In determining the necessary allowance for doubtful accounts, the Company estimates the lifetime expected credit losses against the existing accounts receivable balance. The Company's estimate is based on certain factors including historical loss rates, current economic conditions, reasonable and supportable forecasts, and customer-specific circumstances. The Company maintained an allowance of $1.0 million and $1.4 million for doubtful accounts as of December 31, 2025 and 2024, respectively. The movements in the allowance for doubtful accounts were not material for any of the periods presented. The Company does not have any off-balance-sheet credit exposure related to its customers.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Risk and Significant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 customer accounted for 10% or more of total revenue for the years ended December 31, 2025, 2024, and 2023. As of December 31, 2025 and 2024, no customers represented 10% or more of accounts receivable.</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Deferred revenue consists of billings of payments received in advance of revenue recognition and is recognized when, or as, performance obligations are satisfied. The Company generally invoices its customers annually or in semi-annual, quarterly, or in monthly installments. Accordingly, the deferred revenue balance does not represent the total contract value of annual non-cancellable subscription agreements. The amount of revenue recognized in the years ended December 31, 2025 and 2024 that was included in deferred revenue at the beginning of the period was $108.5 million and $102.0 million,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Commissions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capitalizes sales commissions that are recoverable and incremental due to the acquisition of customer contracts. The Company determines whether costs should be deferred based on its sales compensation plans, if the commissions are in fact incremental and would not have occurred absent the customer contract.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Commissions paid upon the initial acquisition of a contract are deferred and then amortized on a straight-line basis over a period of benefit, determined to be five years. The period of benefit is estimated by considering factors such as the expected life of the Company's subscription contracts, historical customer attrition rates, technological life of the Company's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The Company determines the period of benefit for renewal subscription contracts by considering the contractual term for renewal contracts.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 of operations and comprehensive loss. The Company periodically reviews these deferred commissions to determine whether events or changes in circumstances have occurred that could impact recoverability or the period of benefit. There were no impairment losses recorded during the periods presented.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represents a roll-forward of the Company’s deferred commissions as of December 31, 2025 and 2024 (in thousands): </w:t>
      </w:r>
    </w:p>
    <w:p>
      <w:pPr>
        <w:pStyle w:val="TextBody"/>
        <w:bidi w:val="0"/>
        <w:jc w:val="left"/>
        <w:rPr/>
      </w:pPr>
      <w:r>
        <w:rPr/>
        <w:t> </w:t>
      </w:r>
    </w:p>
    <w:tbl>
      <w:tblPr>
        <w:tblW w:w="5877" w:type="dxa"/>
        <w:jc w:val="left"/>
        <w:tblInd w:w="0" w:type="dxa"/>
        <w:tblLayout w:type="fixed"/>
        <w:tblCellMar>
          <w:top w:w="28" w:type="dxa"/>
          <w:left w:w="28" w:type="dxa"/>
          <w:bottom w:w="28" w:type="dxa"/>
          <w:right w:w="28" w:type="dxa"/>
        </w:tblCellMar>
      </w:tblPr>
      <w:tblGrid>
        <w:gridCol w:w="3211"/>
        <w:gridCol w:w="146"/>
        <w:gridCol w:w="221"/>
        <w:gridCol w:w="771"/>
        <w:gridCol w:w="173"/>
        <w:gridCol w:w="152"/>
        <w:gridCol w:w="221"/>
        <w:gridCol w:w="771"/>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53,515</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revenue primarily consists of costs related to third-party hosting costs; employee-related expenses, including salaries, stock-based compensation and benefits for operations and support personnel, software license fees, certain developed technology and acquired developed software amortization, and allocated overhead.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costs related to research, design, maintenance, and minor enhancements of the Company’s platform are expensed as incurred. These costs consist primarily of personnel and related expenses. These costs also include third-party services and consulting expenses, software subscriptions, hosting expenses for research and development activities, product design costs prior to the application development stage, and allocated overhead costs for overhead used in research and development activities. A substantial portion of the Company's research and development efforts are focused on enhancing its software, including identifying opportunities to add new features and functionality to its platform. </w:t>
      </w:r>
    </w:p>
    <w:p>
      <w:pPr>
        <w:pStyle w:val="TextBody"/>
        <w:bidi w:val="0"/>
        <w:spacing w:before="360" w:after="283"/>
        <w:jc w:val="left"/>
        <w:rPr>
          <w:rFonts w:ascii="Times New Roman" w:hAnsi="Times New Roman"/>
          <w:sz w:val="20"/>
        </w:rPr>
      </w:pPr>
      <w:r>
        <w:rPr>
          <w:rFonts w:ascii="Times New Roman" w:hAnsi="Times New Roman"/>
          <w:b/>
          <w:i/>
          <w:color w:val="000000"/>
          <w:sz w:val="20"/>
        </w:rPr>
        <w:t>Advertising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expenses all advertising costs as incurred as a component of sales and marketing expenses. Advertising expenses of $4.5 million, $5.9 million, and $5.5 million were incurred during the years ended December 31, 2025, 2024, and 2023,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records stock-based compensation expense for all stock-based awards, including stock options, restricted stock units (“RSUs”) and purchase rights issued under the 2021 Employee Stock Purchase Plan (“ESPP”), made to employees, non-employees, and directors based on estimated fair values recognized over the requisite service period. The Company measures and recognizes compensation expense for all stock-based payment awards granted to employees, directors, and non-employees based on the estimated fair values on the date of the grant and vesting criteria. For options, vesting is typically over a four-year period and is contingent upon continued employment on each vesting date. In general, options granted to newly hired employees vest ratably each month over a 36-month period to 48-month period. RSUs typically vest ratably each quarter over a three-year period and is contingent upon continued employment on each vesting date.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recognizes compensation expense for service-based stock-based awards as an expense over the employee’s or director’s requisite service period on a straight-line basis. Forfeitures are accounted for as they occur. Stock-based compensation expense is allocated to cost of revenue and operating expenses on the consolidated statements of operations and comprehensive loss based on where the associated employee’s functional department is located.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fair value of stock options granted under the 2021 Plan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For stock options considered to be “plain vanilla” options, the Company estimates the expected term based on the simplified method, which is essentially the weighted average of the vesting period and contractual term, as the Company's historical option exercise experience does not provide a reasonable basis upon which to estimate the expected term. Depending on when the award was issued, the volatility is based on the historical volatility of the Company's Class A common stock or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or purchase right. The Company’s expected dividend yield input is zero as it has not historically paid, nor does it expect in the future to pay, cash dividends on its common stock. Stock-based compensation expense for RSUs granted under the 2021 Plan is measured based on the fair value of the underlying shares on the date of grant. </w:t>
      </w:r>
    </w:p>
    <w:p>
      <w:pPr>
        <w:pStyle w:val="TextBody"/>
        <w:bidi w:val="0"/>
        <w:spacing w:before="360" w:after="283"/>
        <w:jc w:val="left"/>
        <w:rPr>
          <w:rFonts w:ascii="Times New Roman" w:hAnsi="Times New Roman"/>
          <w:sz w:val="20"/>
        </w:rPr>
      </w:pPr>
      <w:r>
        <w:rPr>
          <w:rFonts w:ascii="Times New Roman" w:hAnsi="Times New Roman"/>
          <w:b/>
          <w:i/>
          <w:color w:val="000000"/>
          <w:sz w:val="20"/>
        </w:rPr>
        <w:t>Taxes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income in the period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the enactment date. Valuation allowances are established for deferred tax assets to the extent it is more likely than not that the deferred tax assets may not be realized.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evaluates uncertain tax positions taken or expected to be taken in the course of preparing its tax return to determine whether the tax positions are more likely than not of being sustained upon challenge by the applicable tax authority.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a maturity of three months or less when purchased to be cash equivalents. Cash and cash equivalents are stated at fair value. Restricted cash represents cash held to collateralize lease obligations related to the Company's property leases. As of December 31, 2025, $0.9 million of restricted cash was recorded as non-current assets. As of December 31, 2024, $0.9 million of restricted cash was recorded as current assets. The following table represents the Company's cash, cash equivalents, and restricted cash at each period end (in thousands): </w:t>
      </w:r>
    </w:p>
    <w:p>
      <w:pPr>
        <w:pStyle w:val="TextBody"/>
        <w:bidi w:val="0"/>
        <w:jc w:val="left"/>
        <w:rPr/>
      </w:pPr>
      <w:r>
        <w:rPr/>
        <w:t> </w:t>
      </w:r>
    </w:p>
    <w:tbl>
      <w:tblPr>
        <w:tblW w:w="6645" w:type="dxa"/>
        <w:jc w:val="left"/>
        <w:tblInd w:w="0" w:type="dxa"/>
        <w:tblLayout w:type="fixed"/>
        <w:tblCellMar>
          <w:top w:w="28" w:type="dxa"/>
          <w:left w:w="28" w:type="dxa"/>
          <w:bottom w:w="28" w:type="dxa"/>
          <w:right w:w="28" w:type="dxa"/>
        </w:tblCellMar>
      </w:tblPr>
      <w:tblGrid>
        <w:gridCol w:w="3991"/>
        <w:gridCol w:w="146"/>
        <w:gridCol w:w="211"/>
        <w:gridCol w:w="676"/>
        <w:gridCol w:w="146"/>
        <w:gridCol w:w="146"/>
        <w:gridCol w:w="211"/>
        <w:gridCol w:w="781"/>
        <w:gridCol w:w="146"/>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Investments in Marketable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Investments in marketable securities consist of commercial paper, corporate notes, and bonds, as well as U.S. Treasury and government agency securities. Management determines the appropriate classification of investments at the time of purchase and reevaluates such determination at each balance sheet date. Marketable securities are classified as available-for-sale and are carried at fair value on the consolidated balance sheets and are classified as short-term or long-term based on their remaining contractual maturities.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evaluates its investments with unrealized loss positions at the individual security level to determine whether the unrealized loss was related to credit or noncredit factors. The Company considers whether a credit loss exists based on the extent of the unrealized loss position, any adverse conditions specifically related to the security or the issuer's operating environment, pay structure of the security, the issuer's payment history and any changes in the issuer's credit rating. Estimated credit losses are determined using a discounted cash flow model and recorded as an allowance, with changes in expected credit losses on the Company's investments recorded in “Other income (expense), net” in the consolidated statements of operations and comprehensive loss. Unrealized gains and losses related to noncredit factors are reflected in “Accumulated other comprehensive income (loss)” on the consolidated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determines fair value based upon the exit price that would be received to sell an asset or paid to transfer a liability in an orderly transaction between market participants, as determined by either the principal market or the most advantageous market for the asset or liability. Inputs used in the valuation techniques to derive fair values are classified based on a three-level hierarchy. These levels are: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Level 1 – Unadjusted quoted prices in active markets for identical assets or liabilities that are accessible at the measurement date for assets or liabilities; the fair value hierarchy gives the highest priority to Level 1 inputs.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Level 3 – Unobservable inputs for the asset or liability used to measure fair value to the extent that observable inputs are not available, thereby allowing for situations in which there is little, if any, market activity for the asset or liability at the measurement date; the fair value hierarchy gives the lowest priority to Level 3 inputs.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Observable inputs are based on market data obtained from independent sources. The fair value of cash, restricted cash, accounts receivable, accounts payable, and accrued liabilities approximated their carrying values as of December 31, 2025 and 2024 due to their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short-term nature. The fair values of all of these instruments are categorized as Level 1 in the fair value hierarchy. The fair value of the Company's cash equivalents and marketable securities as categorized by the fair value level hierarchy is detailed in Note 3.</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acquired set includes an input and at least one substantive process that together contribute to the ability to create outputs, the Company considers the acquired set a business. When the Company acquires a business, the purchase consideration is allocated to the tangible assets acquired, liabilities assumed, and intangible assets acquired based on their estimated respective fair value using the acquisition method of accounting. The excess of the fair value of purchase consideration over the values of these identifiable assets and liabilities is recorded as goodwill. When determining the fair value of assets acquired and liabilities assumed at the acquisition date, management uses its best estimates and assumptions, particularly with respect to acquired intangible assets. These assumptions include, but are not limited to, projected revenue and costs. Management’s estimates of fair value are based upon assumptions believed to be reasonable, but which are inherently uncertain and unpredictable and, as a result, actual results may differ from estimates. Acquisition costs, such as legal and consulting fees, are expensed as incurred. During the measurement period, which is not to exceed one year from the acquisition date, the Company may record adjustments to the assets acquired and liabilities assumed, with the corresponding offset to goodwill. Upon the conclusion of the measurement period, any subsequent adjustments are recorded in the consolidated statement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 and Other Acquired Intangible Assets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net assets acquired in connection with business combinations accounted for using the acquisition method of accounting. The Company has one reporting unit and performs testing of goodwill impairment at the reporting unit level in the fourth quarter of each year, or as events occur or circumstances change that would more likely than not reduce the fair value of the reporting unit below its carrying amount. These triggering events that may indicate impairment include, but are not limited to, a significant adverse change in customer demand or business climate that could affect the value of goodwill or a significant decrease in expected cash flows.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less than the carrying amount, then a quantitative goodwill impairment test is required. Goodwill is considered impaired if the carrying value of the reporting unit exceeds its fair value. There were no impairments of goodwill recorded for the years ended December 31, 2025, 2024, and 2023.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Intangible assets mainly consist of developed technology resulting from the Company’s acquisitions. Acquired intangible assets are recorded at cost, net of accumulated amortization. Intangible assets are amortized on a straight-line basis over their estimated useful lives, which was determined to be one to five years based on the intangible asset class. For developed technology, amortization costs were included within cost of revenue in the consolidated statements of operations upon the related product release date. Long-lived assets, including intangible assets, are reviewed for impairment whenever events or changes in circumstances indicate that the carrying amount of the asset may not be recoverable. There was no impairment of intangible assets recorded for the years ended December 31, 2025, 2024, and 2023.</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Depreciation is calculated on a straight-line basis over the shorter of the estimated useful lives of the respective assets or the expected lease term for leasehold improvements, as follows: </w:t>
      </w:r>
    </w:p>
    <w:p>
      <w:pPr>
        <w:pStyle w:val="TextBody"/>
        <w:bidi w:val="0"/>
        <w:jc w:val="left"/>
        <w:rPr/>
      </w:pPr>
      <w:r>
        <w:rPr/>
        <w:t> </w:t>
      </w:r>
    </w:p>
    <w:tbl>
      <w:tblPr>
        <w:tblW w:w="7243" w:type="dxa"/>
        <w:jc w:val="left"/>
        <w:tblInd w:w="0" w:type="dxa"/>
        <w:tblLayout w:type="fixed"/>
        <w:tblCellMar>
          <w:top w:w="28" w:type="dxa"/>
          <w:left w:w="28" w:type="dxa"/>
          <w:bottom w:w="28" w:type="dxa"/>
          <w:right w:w="28" w:type="dxa"/>
        </w:tblCellMar>
      </w:tblPr>
      <w:tblGrid>
        <w:gridCol w:w="3391"/>
        <w:gridCol w:w="146"/>
        <w:gridCol w:w="370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Property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the expected lease term or 5 years</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including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Maintenance and repairs are charged to expense as incurred and improvements are capitalized. When assets are retired or otherwise disposed of, the cost and accumulated depreciation is removed from the accounts and any resulting gain or loss is reflected in the statements of operations and comprehensive loss for the period realized.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determines if an arrangement is, or contains, a lease at inception. Leases arise from contractual obligations that convey the right to control the use of identified property, plant or equipment for a period of time in exchange for consideration. The Company determines whether an arrangement is or contains a lease at inception, based on whether there is an identified asset and whether the Company controls the use of the identified asset throughout the period of use. At lease commencement date, the Company determines lease classification between finance and operating, allocates the consideration to the lease and non-lease components and recognizes a right-of-use (“ROU”) asset and corresponding lease liability for each lease component. ROU assets represent the Company’s right to use an underlying asset for the lease term and lease liabilities represent the Company’s obligation to make lease payments based on the lease contracts.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Operating lease ROU assets and liabilities were recognized at adoption date or lease commencement date, based on the present value of lease payments over the remaining lease term. The Company’s lease contracts do not provide an implicit rate, as such the Company used its incremental borrowing rate based on the information available at adoption date or lease commencement date, if the commencement date was after January 1, 2022, in determining the present value of lease payments. The operating lease ROU assets also include any lease payments made to the lessors at or before the lease commencement date, and excludes lease incentives. The lease terms may include options to extend or terminate the lease when it is reasonably certain that the Company will exercise that option.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lease liability is initially measured as the present value of the remaining lease payments over the lease term. The discount rate used to determine the present value is the Company's incremental borrowing rate unless the interest rate implicit in the lease is readily determinable. The Company estimates the incremental borrowing rate based on the information available at lease commencement date for borrowings with a similar term. The ROU asset is initially measured as the present value of the lease payments, adjusted for initial direct costs, prepaid lease payments to lessors and lease incentives. The operating lease right-of-use assets and liabilities recognized at January 1, 2022, the adoption date, were based on the present value of lease payments over the remaining lease term as of that date, using the incremental borrowing rate as of that date.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elected the practical expedients to not recognize right-of-use assets and liabilities for leases with a term of less than twelve months and to not separate non-lease components from the associated lease components for the Company's office leases and certain other asset classes. The total consideration includes fixed payments and contractual escalation provisions. The Company is responsible for maintenance, insurance, property taxes and other variable payments, which are expensed as incurred. The Company's leases include options to renew or terminate. The Company includes the option to renew or terminate in the determination of the lease term when the option is deemed to be reasonably certain that the Company will exercise that option. The Company accounts for changes in the expected lease term as a modification of the original contract.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Operating leases are classified in “Operating lease right-of-use assets” and “Operating lease liabilities, non-current” on the Company's consolidated balance sheets. The current balance of the operating lease liabilities is included within “Accrued expenses” on the Company's consolidated balance sheets. Operating lease expense is recognized on a straight-line basis over the expected lease term and included in “Operating expenses” in the Company's consolidated statements of operations and comprehensive loss.</w:t>
      </w:r>
    </w:p>
    <w:p>
      <w:pPr>
        <w:pStyle w:val="TextBody"/>
        <w:bidi w:val="0"/>
        <w:spacing w:before="360" w:after="283"/>
        <w:jc w:val="left"/>
        <w:rPr>
          <w:rFonts w:ascii="Times New Roman" w:hAnsi="Times New Roman"/>
          <w:sz w:val="20"/>
        </w:rPr>
      </w:pPr>
      <w:r>
        <w:rPr>
          <w:rFonts w:ascii="Times New Roman" w:hAnsi="Times New Roman"/>
          <w:b/>
          <w:i/>
          <w:color w:val="000000"/>
          <w:sz w:val="20"/>
        </w:rPr>
        <w:t>Capitalized Internal-Use Software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capitalizes development costs related to its platform and certain other projects for internal use. The Company considered the guidance set forth in Financial Accounting Standards Board (“FASB”) Accounting Standards Codification (“ASC”) Subtopic 350-40-15, </w:t>
      </w:r>
      <w:r>
        <w:rPr>
          <w:rFonts w:ascii="Times New Roman" w:hAnsi="Times New Roman"/>
          <w:i/>
          <w:color w:val="000000"/>
          <w:sz w:val="20"/>
        </w:rPr>
        <w:t>Accounting for the Cost of Computer Software Developed or Obtained for Internal Use</w:t>
      </w:r>
      <w:r>
        <w:rPr>
          <w:rFonts w:ascii="Times New Roman" w:hAnsi="Times New Roman"/>
          <w:color w:val="000000"/>
          <w:sz w:val="20"/>
        </w:rPr>
        <w:t>, which requires companies to capitalize qualifying computer software costs that are incurred during the application development stage, and then amortize them over the software’s estimated useful life. Costs related to preliminary project activities and post-implementation activities are expensed as incurred. Capitalized internal-use software costs are included in “Property and equipment, net” on the Company's consolidated balance sheets and are amortized on a straight-line basis over its estimated useful life into cost of revenue within the consolidated statements of operations and comprehensive loss. All software development costs prior to capitalization have been recorded in research and development expense in the consolidated statements of operations. There was no impairment to capitalized internal-use software costs during the years ended December 31, 2025, 2024, and 2023.</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evaluates its long-lived assets or asset groups for impairment whenever triggering events indicate that the carrying value of an asset or asset group may not be recoverable based on the expected future cash flows attributable to that asset or asset group. Recoverability of assets held and used is measured by comparison of the carrying amount of an asset or an asset group to the sum of undiscounted future net cash flows expected to be generated by the asset or asset group. If the carrying amount of an asset or asset group exceeds the sum of undiscounted future cash flows, then an impairment charge would be recognized based on the excess of the carrying amount over its fair value. No impairment loss on long-lived assets was recognized in the years ended December 31, 2025, 2024, and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Basic net loss per share is computed by dividing the net loss attributable to the Company’s common stockholders for the period by the weighted-average number of common shares outstanding during the period. Diluted net loss per share is the same as basic net loss per share for all periods presented because the effects of potentially dilutive items would decrease the Company’s net loss per share in each period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delivers its applications over the internet as a subscription service using a SaaS model. Each subscription is subject to the terms of the contractual arrangement with the customer and often includes certain provisions for holding the customer harmless against and indemnifying the customer from costs, damages, losses, liabilities, and expenses arising from claims that the Company’s software infringes upon a copyright, trademark, or other trade secret rights, and third-party claims arising from the Company’s breach of the contract. Customers also indemnify the Company for claims relating their improper use of the service or intellectual property claims originating from customer actions or content.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not incurred any expense in defense or reimbursement of any of its customers for losses related to indemnification provisions, and no material claims against the Company are outstanding as of December 31, 2025, 2024, and 2023. The Company’s exposure under these indemnification provisions is often capped at a fixed amount in many customer agreements, but remains uncapped in others. The Company has determined that potential costs related to indemnification are neither probable nor reasonably estimable, primarily due to the lack of a history of prior indemnification claims and the unique facts and circumstances for each particular contractual arrangement. As such, the Company has not recorded a reserve for the years ended December 31, 2025 and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in the ordinary course of business, the Company may provide indemnifications of varying scope and terms to vendors, directors, officers, and other parties with respect to certain matters. The Company has not incurred any material costs as a result of such indemnifications and have not accrued any liabilities related to such obligations in its consolidated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Warranties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certain customers, the Company provides a performance warranty for accessibility to the Company’s platform as identified in an order form during the order duration. The Company’s software products are generally warranted for certain customers to substantially conform to the specifications set forth in the related customer contract and published documentation. In the event there is a failure of such warranties, the Company generally will correct the problem or provide a reasonable workaround or replacement product. The Company has the standard 30-day cure period for failures that amount to a material breach, and no warranted time frame for nonmaterial failures. If the Company cannot correct or provide a workaround or replacement product for material failures within the cure period, then the customer’s remedy is generally limited to termination of the contractual arrangement related to the nonconforming product services with a pro rata refund of the related fees paid. The Company has not incurred significant expense under these service warranties, nor does it expect that any future expense is probable. Accordingly, the Company has determined that potential costs related to warranties are not probable or estimable and, as such, has not recorded a reserve as of December 31, 2025 and 2024.</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2023, the FASB issued Accounting Standards Update (“ASU”) 2023-09, Income Taxes (Topic 740): Improvements to Income Tax Disclosures, which requires that an entity, on an annual basis, disclose additional income tax information, primarily related to the rate reconciliation and income taxes paid. The standard is intended to enhance the transparency and decision usefulness of income tax disclosures. The Company adopted this standard on a prospective basis for the year ended December 31, 2025. See Note 7 </w:t>
      </w:r>
      <w:r>
        <w:rPr>
          <w:rFonts w:ascii="Times New Roman" w:hAnsi="Times New Roman"/>
          <w:i/>
          <w:color w:val="000000"/>
          <w:sz w:val="20"/>
        </w:rPr>
        <w:t>Income Taxes</w:t>
      </w:r>
      <w:r>
        <w:rPr>
          <w:rFonts w:ascii="Times New Roman" w:hAnsi="Times New Roman"/>
          <w:color w:val="000000"/>
          <w:sz w:val="20"/>
        </w:rPr>
        <w:t xml:space="preserve"> in the accompanying notes to the consolidated financial statements for further details.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this standard.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Targeted Improvements to the Accounting for Internal-Use Software. The ASU is intended to modernize the internal-use software guidance by eliminating accounting consideration of software project development stages and enhancing the guidance around the probable-to-complete threshold. ASU 2025-06 is effective for annual and interim periods beginning after December 15, 2027, with early adoption permitted. The Company is currently evaluating the impact of adopting this standard.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tables show the Company’s financial statement details as of December 31, 2025 and 2024. </w:t>
      </w:r>
    </w:p>
    <w:p>
      <w:pPr>
        <w:pStyle w:val="TextBody"/>
        <w:bidi w:val="0"/>
        <w:spacing w:before="36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6659" w:type="dxa"/>
        <w:jc w:val="left"/>
        <w:tblInd w:w="0" w:type="dxa"/>
        <w:tblLayout w:type="fixed"/>
        <w:tblCellMar>
          <w:top w:w="28" w:type="dxa"/>
          <w:left w:w="28" w:type="dxa"/>
          <w:bottom w:w="28" w:type="dxa"/>
          <w:right w:w="28" w:type="dxa"/>
        </w:tblCellMar>
      </w:tblPr>
      <w:tblGrid>
        <w:gridCol w:w="4056"/>
        <w:gridCol w:w="146"/>
        <w:gridCol w:w="211"/>
        <w:gridCol w:w="676"/>
        <w:gridCol w:w="146"/>
        <w:gridCol w:w="146"/>
        <w:gridCol w:w="211"/>
        <w:gridCol w:w="676"/>
        <w:gridCol w:w="3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6814"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11"/>
        <w:gridCol w:w="736"/>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Depreciation and amortization expense related to property and equipment for the years ended December 31, 2025, 2024, and 2023 was $8.1 million, $5.4 million, and $4.2 million,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changes in the carrying value of capitalized internal-use software costs for the periods presented below are as follows (in thousands): </w:t>
      </w:r>
    </w:p>
    <w:p>
      <w:pPr>
        <w:pStyle w:val="TextBody"/>
        <w:bidi w:val="0"/>
        <w:jc w:val="left"/>
        <w:rPr/>
      </w:pPr>
      <w:r>
        <w:rPr/>
        <w:t> </w:t>
      </w:r>
    </w:p>
    <w:tbl>
      <w:tblPr>
        <w:tblW w:w="4920" w:type="dxa"/>
        <w:jc w:val="left"/>
        <w:tblInd w:w="0" w:type="dxa"/>
        <w:tblLayout w:type="fixed"/>
        <w:tblCellMar>
          <w:top w:w="28" w:type="dxa"/>
          <w:left w:w="28" w:type="dxa"/>
          <w:bottom w:w="28" w:type="dxa"/>
          <w:right w:w="28" w:type="dxa"/>
        </w:tblCellMar>
      </w:tblPr>
      <w:tblGrid>
        <w:gridCol w:w="3676"/>
        <w:gridCol w:w="146"/>
        <w:gridCol w:w="211"/>
        <w:gridCol w:w="676"/>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Accrued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jc w:val="left"/>
        <w:rPr/>
      </w:pPr>
      <w:r>
        <w:rPr/>
        <w:t> </w:t>
      </w:r>
    </w:p>
    <w:tbl>
      <w:tblPr>
        <w:tblW w:w="6744" w:type="dxa"/>
        <w:jc w:val="left"/>
        <w:tblInd w:w="0" w:type="dxa"/>
        <w:tblLayout w:type="fixed"/>
        <w:tblCellMar>
          <w:top w:w="28" w:type="dxa"/>
          <w:left w:w="28" w:type="dxa"/>
          <w:bottom w:w="28" w:type="dxa"/>
          <w:right w:w="28" w:type="dxa"/>
        </w:tblCellMar>
      </w:tblPr>
      <w:tblGrid>
        <w:gridCol w:w="4141"/>
        <w:gridCol w:w="146"/>
        <w:gridCol w:w="211"/>
        <w:gridCol w:w="676"/>
        <w:gridCol w:w="146"/>
        <w:gridCol w:w="146"/>
        <w:gridCol w:w="211"/>
        <w:gridCol w:w="676"/>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 and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employee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for financial assets measured at fair value, the respective fair value and classification by level of input within the fair value hierarchy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66"/>
        <w:gridCol w:w="146"/>
        <w:gridCol w:w="255"/>
        <w:gridCol w:w="945"/>
        <w:gridCol w:w="146"/>
        <w:gridCol w:w="146"/>
        <w:gridCol w:w="550"/>
        <w:gridCol w:w="1103"/>
        <w:gridCol w:w="146"/>
        <w:gridCol w:w="146"/>
        <w:gridCol w:w="634"/>
        <w:gridCol w:w="1044"/>
        <w:gridCol w:w="146"/>
        <w:gridCol w:w="146"/>
        <w:gridCol w:w="211"/>
        <w:gridCol w:w="781"/>
        <w:gridCol w:w="394"/>
      </w:tblGrid>
      <w:tr>
        <w:trPr/>
        <w:tc>
          <w:tcPr>
            <w:tcW w:w="3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66"/>
        <w:gridCol w:w="146"/>
        <w:gridCol w:w="255"/>
        <w:gridCol w:w="945"/>
        <w:gridCol w:w="146"/>
        <w:gridCol w:w="146"/>
        <w:gridCol w:w="625"/>
        <w:gridCol w:w="1028"/>
        <w:gridCol w:w="146"/>
        <w:gridCol w:w="146"/>
        <w:gridCol w:w="634"/>
        <w:gridCol w:w="1044"/>
        <w:gridCol w:w="146"/>
        <w:gridCol w:w="146"/>
        <w:gridCol w:w="211"/>
        <w:gridCol w:w="781"/>
        <w:gridCol w:w="394"/>
      </w:tblGrid>
      <w:tr>
        <w:trPr/>
        <w:tc>
          <w:tcPr>
            <w:tcW w:w="3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126,661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276,861</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Included in “Cash and cash equivalents” in the Company's consolidated balance sheets as of December 31, 2025 and 2024, in addition to cash of $36.8</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$21.5</w:t>
      </w:r>
      <w:r>
        <w:rPr>
          <w:rFonts w:ascii="Times New Roman" w:hAnsi="Times New Roman"/>
          <w:color w:val="000000"/>
          <w:sz w:val="20"/>
        </w:rPr>
        <w:t xml:space="preserve"> </w:t>
      </w:r>
      <w:r>
        <w:rPr>
          <w:rFonts w:ascii="Times New Roman" w:hAnsi="Times New Roman"/>
          <w:color w:val="000000"/>
          <w:sz w:val="16"/>
        </w:rPr>
        <w:t xml:space="preserve">million,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fair value of the Company's available-for-sale securities as of December 31, 2025, by remaining contractual maturities, was as follows (in thousands):</w:t>
      </w:r>
    </w:p>
    <w:p>
      <w:pPr>
        <w:pStyle w:val="TextBody"/>
        <w:bidi w:val="0"/>
        <w:jc w:val="left"/>
        <w:rPr/>
      </w:pPr>
      <w:r>
        <w:rPr/>
        <w:t> </w:t>
      </w:r>
    </w:p>
    <w:tbl>
      <w:tblPr>
        <w:tblW w:w="5220" w:type="dxa"/>
        <w:jc w:val="left"/>
        <w:tblInd w:w="0" w:type="dxa"/>
        <w:tblLayout w:type="fixed"/>
        <w:tblCellMar>
          <w:top w:w="28" w:type="dxa"/>
          <w:left w:w="28" w:type="dxa"/>
          <w:bottom w:w="28" w:type="dxa"/>
          <w:right w:w="28" w:type="dxa"/>
        </w:tblCellMar>
      </w:tblPr>
      <w:tblGrid>
        <w:gridCol w:w="2401"/>
        <w:gridCol w:w="146"/>
        <w:gridCol w:w="146"/>
        <w:gridCol w:w="146"/>
        <w:gridCol w:w="466"/>
        <w:gridCol w:w="1724"/>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greater than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Company periodically evaluates its investments for expected credit losses. The unrealized losses on the available-for-sale securities were primarily due to unfavorable changes in interest rates subsequent to the initial purchase of these securities. None of the Company's available-for-sale securities have been in a continuous unrealized loss position for twelve months or longer as of December 31, 2025.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December 31, 2025 and 2024 to represent a credit loss.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Acquisitions, Intangible Assets, and Goodwill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Asset Acquisition Completed in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June 25, 2025, the Company acquired certain assets from Inari, a privately-held company, for $0.5 million in cash. This includes holdbacks that will be paid on the 12-month anniversary of the closing date. The Company has accounted for this transaction as an asset acquisition. In allocating the aggregate purchase price based on the estimated fair values, the Company recorded $0.5 million as a developed technology intangible asset to be amortized over an estimated useful life of three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Combination Completed in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July 3, 2025, the Company completed the acquisition of Kraftful, Inc. (“Kraftful”) by acquiring all of its outstanding capital stock for a total consideration of $3.8 million (net of cash acquired of $0.2 million). The total consisted of $2.9 million in cash, net of holdback and $0.9 million of equity consideration through the issuance of 71,157 shares of its common stock and restricted stock units. In connection with the Acquisition, the Company agreed to grant certain equity awards to key employees of Kraftful, representing an aggregate of 284,625 shares of restricted common stock and restricted stock units with a total grant date fair value of $3.6 million to be recognized as compensation expense. The holdback amount of $0.2 million is expected to be paid on the 12-month anniversary of the Acquisition Date. The transaction was accounted for as a business combination.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allocation of the purchase price to the fair value of the assets acquired and liabilities assumed (in thousands):</w:t>
      </w:r>
    </w:p>
    <w:p>
      <w:pPr>
        <w:pStyle w:val="TextBody"/>
        <w:bidi w:val="0"/>
        <w:jc w:val="left"/>
        <w:rPr/>
      </w:pPr>
      <w:r>
        <w:rPr/>
        <w:t> </w:t>
      </w:r>
    </w:p>
    <w:tbl>
      <w:tblPr>
        <w:tblW w:w="3846" w:type="dxa"/>
        <w:jc w:val="left"/>
        <w:tblInd w:w="0" w:type="dxa"/>
        <w:tblLayout w:type="fixed"/>
        <w:tblCellMar>
          <w:top w:w="28" w:type="dxa"/>
          <w:left w:w="28" w:type="dxa"/>
          <w:bottom w:w="28" w:type="dxa"/>
          <w:right w:w="28" w:type="dxa"/>
        </w:tblCellMar>
      </w:tblPr>
      <w:tblGrid>
        <w:gridCol w:w="1981"/>
        <w:gridCol w:w="346"/>
        <w:gridCol w:w="346"/>
        <w:gridCol w:w="211"/>
        <w:gridCol w:w="571"/>
        <w:gridCol w:w="391"/>
      </w:tblGrid>
      <w:tr>
        <w:trPr/>
        <w:tc>
          <w:tcPr>
            <w:tcW w:w="1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price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developed technology intangible asset will be amortized over an estimated useful life of five years. The Company believes the goodwill generated from the acquisition is primarily attributable to the workforce of Kraftful. By leveraging the synergies from the acquisition, we integrated Kraftful's Voice of Customer Technology to unite quantitative user behavioral data and qualitative user feedback into Amplitude's platform.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Combination Completed in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October 15, 2024, the Company completed the acquisition of Command AI, a privately-held company, for an aggregate of $33.6 million, consisting of $26.7 million of cash and $6.9 million of equity consideration through the issuance of 0.8 million shares of its common stock. This includes a holdback amount of $1.1 million that will be paid on the 12-month anniversary of the closing date. The Company has accounted for this transaction as a business combination. In allocating the aggregate purchase price based on the estimated fair values, the Company recorded $9.6 million of cash, $3.7 million as a developed technology intangible asset, $0.7 million as a customer related intangible asset, and $90 thousand as a trade name asset. The useful lives of the acquired intangible assets are as follows:</w:t>
      </w:r>
    </w:p>
    <w:p>
      <w:pPr>
        <w:pStyle w:val="TextBody"/>
        <w:bidi w:val="0"/>
        <w:jc w:val="left"/>
        <w:rPr/>
      </w:pPr>
      <w:r>
        <w:rPr/>
        <w:t> </w:t>
      </w:r>
    </w:p>
    <w:tbl>
      <w:tblPr>
        <w:tblW w:w="3193" w:type="dxa"/>
        <w:jc w:val="left"/>
        <w:tblInd w:w="0" w:type="dxa"/>
        <w:tblLayout w:type="fixed"/>
        <w:tblCellMar>
          <w:top w:w="28" w:type="dxa"/>
          <w:left w:w="28" w:type="dxa"/>
          <w:bottom w:w="28" w:type="dxa"/>
          <w:right w:w="28" w:type="dxa"/>
        </w:tblCellMar>
      </w:tblPr>
      <w:tblGrid>
        <w:gridCol w:w="1981"/>
        <w:gridCol w:w="146"/>
        <w:gridCol w:w="106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excess of purchase consideration over the fair value of net assets acquired was recorded as goodwill in the amount of $20.3 million after the measurement period and working capital adjustments. As part of the acquisition, the Company also agreed to retention agreements with key employees in which 1.4 million shares of common stock are restricted and deemed as compensation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post combination services. The total value of $13.0 million related to these restricted shares was recognized as stock-based compensation expense in the year ended December 31,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believes the goodwill balance associated with the Command AI acquisition represents the synergies expected from expanded market opportunities when integrating the acquired developed technology with the Company’s offerings as well as acquiring an assembled workforce. Related goodwill is deductible for income tax purposes.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Aggregate acquisition-related costs associated with the Company's business combinations were not material for all periods presented and were included in general and administrative expenses in the consolidated statements of operations and comprehensive loss. The results of operations of the business combinations have been included in the Company’s consolidated financial statements from the acquisition date. The business combinations did not have a material impact on the Company’s consolidated financial statements. Therefore, historical results of operations prior to the acquisition dates and pro forma results of operations have not been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 Other Than Goodwill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Intangible assets, net consisted of the following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9"/>
        <w:gridCol w:w="346"/>
        <w:gridCol w:w="240"/>
        <w:gridCol w:w="768"/>
        <w:gridCol w:w="146"/>
        <w:gridCol w:w="146"/>
        <w:gridCol w:w="344"/>
        <w:gridCol w:w="1035"/>
        <w:gridCol w:w="166"/>
        <w:gridCol w:w="146"/>
        <w:gridCol w:w="238"/>
        <w:gridCol w:w="646"/>
        <w:gridCol w:w="146"/>
        <w:gridCol w:w="146"/>
        <w:gridCol w:w="240"/>
        <w:gridCol w:w="768"/>
        <w:gridCol w:w="146"/>
        <w:gridCol w:w="146"/>
        <w:gridCol w:w="344"/>
        <w:gridCol w:w="1035"/>
        <w:gridCol w:w="166"/>
        <w:gridCol w:w="146"/>
        <w:gridCol w:w="238"/>
        <w:gridCol w:w="646"/>
        <w:gridCol w:w="398"/>
      </w:tblGrid>
      <w:tr>
        <w:trPr/>
        <w:tc>
          <w:tcPr>
            <w:tcW w:w="14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Amortization expense of intangible assets was $1.5 million, $0.7 million, and $1.4 million for the years ended December 31, 2025, 2024, and 2023,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future amortization expense is expected to be as follows (in thousands): </w:t>
      </w:r>
    </w:p>
    <w:p>
      <w:pPr>
        <w:pStyle w:val="TextBody"/>
        <w:bidi w:val="0"/>
        <w:jc w:val="left"/>
        <w:rPr/>
      </w:pPr>
      <w:r>
        <w:rPr/>
        <w:t> </w:t>
      </w:r>
    </w:p>
    <w:tbl>
      <w:tblPr>
        <w:tblW w:w="2075" w:type="dxa"/>
        <w:jc w:val="left"/>
        <w:tblInd w:w="0" w:type="dxa"/>
        <w:tblLayout w:type="fixed"/>
        <w:tblCellMar>
          <w:top w:w="28" w:type="dxa"/>
          <w:left w:w="28" w:type="dxa"/>
          <w:bottom w:w="28" w:type="dxa"/>
          <w:right w:w="28" w:type="dxa"/>
        </w:tblCellMar>
      </w:tblPr>
      <w:tblGrid>
        <w:gridCol w:w="756"/>
        <w:gridCol w:w="146"/>
        <w:gridCol w:w="211"/>
        <w:gridCol w:w="571"/>
        <w:gridCol w:w="391"/>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Stockholders’ Equity and Equity Incentive Plans </w:t>
      </w:r>
    </w:p>
    <w:p>
      <w:pPr>
        <w:pStyle w:val="TextBody"/>
        <w:bidi w:val="0"/>
        <w:spacing w:before="24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consolidated financial statements, unless otherwise noted. Holders of common stock are entitled to receive any dividends whenever funds are legally available and if declared by the Company's board of directors.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reserved shares of its Class A common stock as follows: </w:t>
      </w:r>
    </w:p>
    <w:p>
      <w:pPr>
        <w:pStyle w:val="TextBody"/>
        <w:bidi w:val="0"/>
        <w:jc w:val="left"/>
        <w:rPr/>
      </w:pPr>
      <w:r>
        <w:rPr/>
        <w:t> </w:t>
      </w:r>
    </w:p>
    <w:tbl>
      <w:tblPr>
        <w:tblW w:w="8959" w:type="dxa"/>
        <w:jc w:val="left"/>
        <w:tblInd w:w="0" w:type="dxa"/>
        <w:tblLayout w:type="fixed"/>
        <w:tblCellMar>
          <w:top w:w="28" w:type="dxa"/>
          <w:left w:w="28" w:type="dxa"/>
          <w:bottom w:w="28" w:type="dxa"/>
          <w:right w:w="28" w:type="dxa"/>
        </w:tblCellMar>
      </w:tblPr>
      <w:tblGrid>
        <w:gridCol w:w="5566"/>
        <w:gridCol w:w="146"/>
        <w:gridCol w:w="146"/>
        <w:gridCol w:w="1036"/>
        <w:gridCol w:w="146"/>
        <w:gridCol w:w="146"/>
        <w:gridCol w:w="146"/>
        <w:gridCol w:w="1036"/>
        <w:gridCol w:w="5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Stock Option and Grant Plan and 2021 Incentive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11,501,725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13,519,769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19,038,398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18,310,859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4,810,524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reserved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48,592,652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48,142,877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2014 Stock Option and Grant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2021 Incentive Award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December 31, 2025, a total of 19,038,398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pStyle w:val="TextBody"/>
        <w:bidi w:val="0"/>
        <w:spacing w:before="360" w:after="283"/>
        <w:jc w:val="left"/>
        <w:rPr>
          <w:rFonts w:ascii="Times New Roman" w:hAnsi="Times New Roman"/>
          <w:sz w:val="20"/>
        </w:rPr>
      </w:pPr>
      <w:r>
        <w:rPr>
          <w:rFonts w:ascii="Times New Roman" w:hAnsi="Times New Roman"/>
          <w:i/>
          <w:color w:val="000000"/>
          <w:sz w:val="20"/>
        </w:rPr>
        <w:t>Stock Option Awards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Stock options granted under the 2014 Plan and the 2021 Plan (collectively, the “combined stock plans”) generally vest based on continued service over four years.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Option activity under the Company's combined stock plans is set forth below:</w:t>
      </w:r>
    </w:p>
    <w:p>
      <w:pPr>
        <w:pStyle w:val="TextBody"/>
        <w:bidi w:val="0"/>
        <w:jc w:val="left"/>
        <w:rPr/>
      </w:pPr>
      <w:r>
        <w:rPr/>
        <w:t> </w:t>
      </w:r>
    </w:p>
    <w:tbl>
      <w:tblPr>
        <w:tblW w:w="8958" w:type="dxa"/>
        <w:jc w:val="left"/>
        <w:tblInd w:w="0" w:type="dxa"/>
        <w:tblLayout w:type="fixed"/>
        <w:tblCellMar>
          <w:top w:w="28" w:type="dxa"/>
          <w:left w:w="28" w:type="dxa"/>
          <w:bottom w:w="28" w:type="dxa"/>
          <w:right w:w="28" w:type="dxa"/>
        </w:tblCellMar>
      </w:tblPr>
      <w:tblGrid>
        <w:gridCol w:w="3271"/>
        <w:gridCol w:w="146"/>
        <w:gridCol w:w="146"/>
        <w:gridCol w:w="1036"/>
        <w:gridCol w:w="166"/>
        <w:gridCol w:w="146"/>
        <w:gridCol w:w="285"/>
        <w:gridCol w:w="631"/>
        <w:gridCol w:w="146"/>
        <w:gridCol w:w="146"/>
        <w:gridCol w:w="256"/>
        <w:gridCol w:w="825"/>
        <w:gridCol w:w="146"/>
        <w:gridCol w:w="146"/>
        <w:gridCol w:w="302"/>
        <w:gridCol w:w="973"/>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Balances as of December 31, 2025</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Exercisable as of December 31, 2025</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As no forfeitures are estimated due to the Company's adoption of ASU No. 2016-09, all options are vested or expected to vest. As of December 31, 2025, no options were outstanding that were subject to a future performance condition.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Exercisable shares include vested options as well as unvested shares that can be early exercised.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aggregate intrinsic values of options are calculated as the difference between the exercise price of the options and the market price for shares of the Company’s Class A common stock as of each period-end. The total intrinsic value of options exercised for the years ended December 31, 2025, 2024, and 2023 was $14.0 million, $17.3 million, and $16.4 million,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 stock options were granted in the years ended December 31, 2025 and December 31, 2024. Stock options granted during the year ended December 31, 2023 had a weighted average grant date fair value of $6.69 per share. The fair value is being expensed over the vesting period of the options on a straight-line basis as the services are being provided. No tax benefits were realized from options during the periods.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total unrecognized stock-based compensation expense related to options outstanding under the combined stock plans was $1.7 million. This unrecognized expense as of December 31, 2025 is expected to be recognized over the weighted average remaining vesting period of 1.48 years. As of December 31, 2025, the Company had 249,500 shares of non-employee stock options outstanding under the combined stock plans.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fair value of each option granted to employees under the 2021 Plan is estimated on the grant date using the Black-Scholes pricing model.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range of assumptions and data inputs were used in the Black-Scholes option-pricing model to estimate the fair value of the options granted under the 2021 Plan: </w:t>
      </w:r>
    </w:p>
    <w:p>
      <w:pPr>
        <w:pStyle w:val="TextBody"/>
        <w:bidi w:val="0"/>
        <w:jc w:val="left"/>
        <w:rPr/>
      </w:pPr>
      <w:r>
        <w:rPr/>
        <w:t> </w:t>
      </w:r>
    </w:p>
    <w:tbl>
      <w:tblPr>
        <w:tblW w:w="5858" w:type="dxa"/>
        <w:jc w:val="left"/>
        <w:tblInd w:w="0" w:type="dxa"/>
        <w:tblLayout w:type="fixed"/>
        <w:tblCellMar>
          <w:top w:w="28" w:type="dxa"/>
          <w:left w:w="28" w:type="dxa"/>
          <w:bottom w:w="28" w:type="dxa"/>
          <w:right w:w="28" w:type="dxa"/>
        </w:tblCellMar>
      </w:tblPr>
      <w:tblGrid>
        <w:gridCol w:w="2371"/>
        <w:gridCol w:w="146"/>
        <w:gridCol w:w="163"/>
        <w:gridCol w:w="388"/>
        <w:gridCol w:w="163"/>
        <w:gridCol w:w="163"/>
        <w:gridCol w:w="163"/>
        <w:gridCol w:w="388"/>
        <w:gridCol w:w="163"/>
        <w:gridCol w:w="163"/>
        <w:gridCol w:w="432"/>
        <w:gridCol w:w="964"/>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$11.37 - $12.37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 - 4.36%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 - 56.8%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RSUs granted under the 2021 Plan generally vest based on continued service. During the years ended December 31, 2025, 2024, and 2023, the Company recorded $88.5 million, $85.2 million, and $77.1 million in expense related to RSUs,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total fair value of RSUs vested during the years ended December 31, 2025, 2024, and 2023 was $99.0 million, $69.7 million, and $56.3 million, respectively. As of December 31, 2025, total unrecognized stock-based compensation expense related to RSUs was $136.5 million. This unrecognized expense as of December 31, 2025 is expected to be recognized over the weighted average remaining vesting period of 1.91 years. As of December 31, 2025, the Company had 143,699 shares of non-employee RSUs outstanding under the combined stock plans.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RSU activity for the year ended December 31, 2025 was as follows: </w:t>
      </w:r>
    </w:p>
    <w:p>
      <w:pPr>
        <w:pStyle w:val="TextBody"/>
        <w:bidi w:val="0"/>
        <w:jc w:val="left"/>
        <w:rPr/>
      </w:pPr>
      <w:r>
        <w:rPr/>
        <w:t> </w:t>
      </w:r>
    </w:p>
    <w:tbl>
      <w:tblPr>
        <w:tblW w:w="5628" w:type="dxa"/>
        <w:jc w:val="left"/>
        <w:tblInd w:w="0" w:type="dxa"/>
        <w:tblLayout w:type="fixed"/>
        <w:tblCellMar>
          <w:top w:w="28" w:type="dxa"/>
          <w:left w:w="28" w:type="dxa"/>
          <w:bottom w:w="28" w:type="dxa"/>
          <w:right w:w="28" w:type="dxa"/>
        </w:tblCellMar>
      </w:tblPr>
      <w:tblGrid>
        <w:gridCol w:w="2821"/>
        <w:gridCol w:w="146"/>
        <w:gridCol w:w="146"/>
        <w:gridCol w:w="1036"/>
        <w:gridCol w:w="166"/>
        <w:gridCol w:w="146"/>
        <w:gridCol w:w="263"/>
        <w:gridCol w:w="713"/>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12,340,405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(8,543,220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2021 Employee Stock Purchase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December 31, 2025, a total of 5,649,309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the purchase period ended May 14, 2025, the offering period was terminated and participants were automatically enrolled in a new 12-month offering period commencing on May 15, 2025 and ending on May 14, 2026. The impact of the rollover feature did not result in material incremental compensation cost for the year ended December 31,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assumptions were used to calculate the fair value of shares to be granted under the ESPP during the period utilizing the Black-Scholes option-pricing model: </w:t>
      </w:r>
    </w:p>
    <w:p>
      <w:pPr>
        <w:pStyle w:val="TextBody"/>
        <w:bidi w:val="0"/>
        <w:jc w:val="left"/>
        <w:rPr/>
      </w:pPr>
      <w:r>
        <w:rPr/>
        <w:t> </w:t>
      </w:r>
    </w:p>
    <w:tbl>
      <w:tblPr>
        <w:tblW w:w="7366" w:type="dxa"/>
        <w:jc w:val="left"/>
        <w:tblInd w:w="0" w:type="dxa"/>
        <w:tblLayout w:type="fixed"/>
        <w:tblCellMar>
          <w:top w:w="28" w:type="dxa"/>
          <w:left w:w="28" w:type="dxa"/>
          <w:bottom w:w="28" w:type="dxa"/>
          <w:right w:w="28" w:type="dxa"/>
        </w:tblCellMar>
      </w:tblPr>
      <w:tblGrid>
        <w:gridCol w:w="2371"/>
        <w:gridCol w:w="146"/>
        <w:gridCol w:w="432"/>
        <w:gridCol w:w="964"/>
        <w:gridCol w:w="163"/>
        <w:gridCol w:w="163"/>
        <w:gridCol w:w="404"/>
        <w:gridCol w:w="901"/>
        <w:gridCol w:w="163"/>
        <w:gridCol w:w="163"/>
        <w:gridCol w:w="404"/>
        <w:gridCol w:w="90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$10.73 - $12.14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$9.34 - $9.59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$9.98 - $10.76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 - 4.29%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 - 5.43%</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 - 5.41%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 - 65.9%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 - 56.0%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 - 60.0%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0.5 - 1.0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0.5 - 1.0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expected term for the ESPP purchase rights is based on the duration of the offering period. Estimated volatility for ESPP purchase rights is based on the historical volatility of the Company's Class A common stock. The risk-free interest rate is based on the U.S. Treasury yield curve in effect at the time the ESPP purchase right was granted at the beginning of the offering period. The Company has not declared, nor does it expect to declare dividends.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1.7 million shares have been purchased under the ESPP. During the years ended December 31, 2025, 2024, and 2023, the Company issued 453,099, 469,567, and 473,792 shares under the ESPP, respectively, in settlement of $3.9 million, $3.8 million, and $4.1 million of ESPP liabilities,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years ended December 31, 2025, 2024, and 2023 the Company recognized $1.8 million, $1.6 million, and $2.4 million of stock-based compensation expense related to the ESPP, respectively. As of December 31, 2025, total unrecognized compensation costs related to the ESPP was $1.6 million, which will be amortized over a weighted average period of 0.68 years.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Stock-based compensation expense, net of actual forfeitures is reflected in the consolidated statement of operations and comprehensive loss (in thousands): </w:t>
      </w:r>
    </w:p>
    <w:p>
      <w:pPr>
        <w:pStyle w:val="TextBody"/>
        <w:bidi w:val="0"/>
        <w:jc w:val="left"/>
        <w:rPr/>
      </w:pPr>
      <w:r>
        <w:rPr/>
        <w:t> </w:t>
      </w:r>
    </w:p>
    <w:tbl>
      <w:tblPr>
        <w:tblW w:w="7538"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781"/>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May 6, 2025, the Board approved a share repurchase program (the “Repurchase Program”), under which the Company is authorized to repurchase up to $50.0 million of the Company’s Class A common stock. Under the Repurchase Program, the Company may repurchase shares of the Company’s outstanding Class A common stock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Repurchase Program will be determined based on market conditions, share price and other factors. The Repurchase Program does not have an expiration date, does not require the Company to repurchase any specific number of shares of its Class A common stock, and may be modified, suspended or terminated at any time without notice.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year ended December 31, 2025, the Company repurchased 2,209,082 shares of its Class A common stock for an aggregate amount of $23.9 million, including broker commission fees. Shares repurchased by the Company are immediately retired and returned to the status of authorized and unissued. The cost paid to repurchase shares in excess of the par value is recorded to additional paid-in capital on the Company’s consolidated balance sheet. As of December 31, 2025, a total of $26.1 million remained available for future repurchases under the Repurchase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Share Repurchases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2025, the Company repurchased and retired 599,655 shares of its Class A common stock for an aggregate purchase price of $6.8 million. The repurchase was conducted through a privately negotiated transaction under the Company’s contractual right of first refusal granted in connection with a prior acquisition and was not part of the Repurchase Program.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Shares repurchased by the Company are immediately retired and returned to the status of authorized and unissued. The cost paid to repurchase shares in excess of the par value is recorded to additional paid-in capital on the Company’s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 Benefit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established a savings and retirement plan for employees that permits participants to make contributions by salary deductions pursuant to Section 401(k) of the Internal Revenue Code. The plan is available to all regular employees on the Company’s U.S. payroll. The Company does not currently match employees’ contributions.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Pre-tax book loss has been recorded in the following jurisdictions (in thousands): </w:t>
      </w:r>
    </w:p>
    <w:p>
      <w:pPr>
        <w:pStyle w:val="TextBody"/>
        <w:bidi w:val="0"/>
        <w:jc w:val="left"/>
        <w:rPr/>
      </w:pPr>
      <w:r>
        <w:rPr/>
        <w:t> </w:t>
      </w:r>
    </w:p>
    <w:tbl>
      <w:tblPr>
        <w:tblW w:w="6110" w:type="dxa"/>
        <w:jc w:val="left"/>
        <w:tblInd w:w="0" w:type="dxa"/>
        <w:tblLayout w:type="fixed"/>
        <w:tblCellMar>
          <w:top w:w="28" w:type="dxa"/>
          <w:left w:w="28" w:type="dxa"/>
          <w:bottom w:w="28" w:type="dxa"/>
          <w:right w:w="28" w:type="dxa"/>
        </w:tblCellMar>
      </w:tblPr>
      <w:tblGrid>
        <w:gridCol w:w="1996"/>
        <w:gridCol w:w="146"/>
        <w:gridCol w:w="211"/>
        <w:gridCol w:w="736"/>
        <w:gridCol w:w="166"/>
        <w:gridCol w:w="146"/>
        <w:gridCol w:w="146"/>
        <w:gridCol w:w="211"/>
        <w:gridCol w:w="736"/>
        <w:gridCol w:w="166"/>
        <w:gridCol w:w="146"/>
        <w:gridCol w:w="146"/>
        <w:gridCol w:w="211"/>
        <w:gridCol w:w="736"/>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pre-tax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provision for income taxes consists of the following (in thousands): </w:t>
      </w:r>
    </w:p>
    <w:p>
      <w:pPr>
        <w:pStyle w:val="TextBody"/>
        <w:bidi w:val="0"/>
        <w:jc w:val="left"/>
        <w:rPr/>
      </w:pPr>
      <w:r>
        <w:rPr/>
        <w:t> </w:t>
      </w:r>
    </w:p>
    <w:tbl>
      <w:tblPr>
        <w:tblW w:w="5865" w:type="dxa"/>
        <w:jc w:val="left"/>
        <w:tblInd w:w="0" w:type="dxa"/>
        <w:tblLayout w:type="fixed"/>
        <w:tblCellMar>
          <w:top w:w="28" w:type="dxa"/>
          <w:left w:w="28" w:type="dxa"/>
          <w:bottom w:w="28" w:type="dxa"/>
          <w:right w:w="28" w:type="dxa"/>
        </w:tblCellMar>
      </w:tblPr>
      <w:tblGrid>
        <w:gridCol w:w="1866"/>
        <w:gridCol w:w="146"/>
        <w:gridCol w:w="211"/>
        <w:gridCol w:w="571"/>
        <w:gridCol w:w="166"/>
        <w:gridCol w:w="146"/>
        <w:gridCol w:w="146"/>
        <w:gridCol w:w="211"/>
        <w:gridCol w:w="571"/>
        <w:gridCol w:w="166"/>
        <w:gridCol w:w="146"/>
        <w:gridCol w:w="146"/>
        <w:gridCol w:w="211"/>
        <w:gridCol w:w="571"/>
        <w:gridCol w:w="591"/>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ASU 2023-09 requires entities to provide additional information in their tax rate reconciliation. The ASU is effective for the Company as of December 31, 2025, and the Company has elected to adopt the ASU on a prospective basis. The differences between the US federal statutory tax rate and the Company's effective tax rates from operations for the current year were as follow (in thousands):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51" w:type="dxa"/>
        <w:jc w:val="left"/>
        <w:tblInd w:w="0" w:type="dxa"/>
        <w:tblLayout w:type="fixed"/>
        <w:tblCellMar>
          <w:top w:w="28" w:type="dxa"/>
          <w:left w:w="28" w:type="dxa"/>
          <w:bottom w:w="28" w:type="dxa"/>
          <w:right w:w="28" w:type="dxa"/>
        </w:tblCellMar>
      </w:tblPr>
      <w:tblGrid>
        <w:gridCol w:w="5026"/>
        <w:gridCol w:w="146"/>
        <w:gridCol w:w="211"/>
        <w:gridCol w:w="736"/>
        <w:gridCol w:w="166"/>
        <w:gridCol w:w="146"/>
        <w:gridCol w:w="146"/>
        <w:gridCol w:w="146"/>
        <w:gridCol w:w="631"/>
        <w:gridCol w:w="166"/>
        <w:gridCol w:w="193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1800" w:right="0" w:firstLine="18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Share-based payment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Non-deductible officer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Domestic state and local income taxes, net of federal effect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Withholding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State taxes in California made up the majority (greater than 50%) of tax effect in this category.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provision for income taxes differs from the amount computed by applying the federal income tax rate of 21% to pre-tax loss for the years ended December 31, 2024 and 2023 from operations as a result of the following:</w:t>
      </w:r>
    </w:p>
    <w:p>
      <w:pPr>
        <w:pStyle w:val="TextBody"/>
        <w:bidi w:val="0"/>
        <w:jc w:val="left"/>
        <w:rPr/>
      </w:pPr>
      <w:r>
        <w:rPr/>
        <w:t> </w:t>
      </w:r>
    </w:p>
    <w:tbl>
      <w:tblPr>
        <w:tblW w:w="6721" w:type="dxa"/>
        <w:jc w:val="left"/>
        <w:tblInd w:w="0" w:type="dxa"/>
        <w:tblLayout w:type="fixed"/>
        <w:tblCellMar>
          <w:top w:w="28" w:type="dxa"/>
          <w:left w:w="28" w:type="dxa"/>
          <w:bottom w:w="28" w:type="dxa"/>
          <w:right w:w="28" w:type="dxa"/>
        </w:tblCellMar>
      </w:tblPr>
      <w:tblGrid>
        <w:gridCol w:w="3781"/>
        <w:gridCol w:w="146"/>
        <w:gridCol w:w="146"/>
        <w:gridCol w:w="631"/>
        <w:gridCol w:w="166"/>
        <w:gridCol w:w="271"/>
        <w:gridCol w:w="146"/>
        <w:gridCol w:w="146"/>
        <w:gridCol w:w="631"/>
        <w:gridCol w:w="166"/>
        <w:gridCol w:w="4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federal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tax effects of temporary differences that give rise to significant portions of the Company’s deferred tax assets and liabilities as of December 31, 2025 and 2024 related to the following (in thousands): </w:t>
      </w:r>
    </w:p>
    <w:p>
      <w:pPr>
        <w:pStyle w:val="TextBody"/>
        <w:bidi w:val="0"/>
        <w:jc w:val="left"/>
        <w:rPr/>
      </w:pPr>
      <w:r>
        <w:rPr/>
        <w:t> </w:t>
      </w:r>
    </w:p>
    <w:tbl>
      <w:tblPr>
        <w:tblW w:w="6595" w:type="dxa"/>
        <w:jc w:val="left"/>
        <w:tblInd w:w="0" w:type="dxa"/>
        <w:tblLayout w:type="fixed"/>
        <w:tblCellMar>
          <w:top w:w="28" w:type="dxa"/>
          <w:left w:w="28" w:type="dxa"/>
          <w:bottom w:w="28" w:type="dxa"/>
          <w:right w:w="28" w:type="dxa"/>
        </w:tblCellMar>
      </w:tblPr>
      <w:tblGrid>
        <w:gridCol w:w="3676"/>
        <w:gridCol w:w="146"/>
        <w:gridCol w:w="211"/>
        <w:gridCol w:w="841"/>
        <w:gridCol w:w="166"/>
        <w:gridCol w:w="146"/>
        <w:gridCol w:w="146"/>
        <w:gridCol w:w="211"/>
        <w:gridCol w:w="84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Realizable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Income taxes are accounted for under the asset-and-liability method. Deferred tax assets and liabilities are recognized for future tax consequences attributable to differences between the financial statement carrying amounts of existing assets and liabilities and their respective tax bases and operating loss and tax credit carryforward. Deferred tax assets and liabilities are measured using enacted tax rates expected to apply to the taxable income or loss in the future years in which those temporary differences are expected to be recovered or settled. The effect on the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realizable.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evaluates uncertain tax positions taken or expected to be taken in the course of preparing its tax return to determine whether the tax positions are more likely than not of being sustained upon challenge by the applicable taxing authority. The Company recognizes the effect of income tax positions only if those positions are more likely than not of being sustained. Recognized income tax positions measured at the largest amount that is greater than 50% likely of being realized. Changes in recognition or remeasurement are reflected in the period in which the change in judgment occurs.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Company had approximately $605.8 million and $423.8 million of net operating loss carryforwards available to offset future federal and state taxable income, respectively. If realized, none of the net operating loss carryforwards will be recognized as a benefit through additional paid-in capital. If not realized, federal carryforward losses of $25.4 million will expire beginning in 2032 and $580.4 million of carryforward losses will carryforward indefinitely. State carryforwards will expire beginning 2030.</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Company had tax credit carryforwards of $19.9 million and $17.7 million, net of reserves to offset future federal and state tax and $1.0 million of foreign research tax credit carryforwards. The carryforwards will expire in various amounts for federal purposes beginning 2033. The California R&amp;D credits will not expire but the California competes tax credits will expire beginning 2026. The foreign research tax credits are allowed a carryforward of 20 years and are set to expire in 2042.</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Utilization of net operating loss carryforwards and credits may be subject to substantial annual limitation due to ownership change limitations provided by the Internal Revenue Code of 1986, as amended, and similar state provisions. The annual limitations may result in the expiration of the net operating losses before utilization.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2023, the FASB issued ASU 2023-09. ASU 2023-09 requires entities to provide additional disclosures about income taxes paid by jurisdiction. The ASU is effective for the Company as of December 31, 2025. The following represents a summary of the Company's income taxes paid for the year ended December 31, 2025 (in thousands):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2891"/>
        <w:gridCol w:w="146"/>
        <w:gridCol w:w="769"/>
        <w:gridCol w:w="1541"/>
        <w:gridCol w:w="591"/>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Netherland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income taxes paid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Company had unrecognized income tax benefits of $8.9 million. The increase in the Company’s unrecognized tax benefit was primarily attributable to current year credit activities. A reconciliation of the beginning and ending amount of unrealized tax benefit (excluding interest and penalties) is as follows (in thousands):</w:t>
      </w:r>
    </w:p>
    <w:p>
      <w:pPr>
        <w:pStyle w:val="TextBody"/>
        <w:bidi w:val="0"/>
        <w:jc w:val="left"/>
        <w:rPr/>
      </w:pPr>
      <w:r>
        <w:rPr/>
        <w:t> </w:t>
      </w:r>
    </w:p>
    <w:tbl>
      <w:tblPr>
        <w:tblW w:w="8705" w:type="dxa"/>
        <w:jc w:val="left"/>
        <w:tblInd w:w="0" w:type="dxa"/>
        <w:tblLayout w:type="fixed"/>
        <w:tblCellMar>
          <w:top w:w="28" w:type="dxa"/>
          <w:left w:w="28" w:type="dxa"/>
          <w:bottom w:w="28" w:type="dxa"/>
          <w:right w:w="28" w:type="dxa"/>
        </w:tblCellMar>
      </w:tblPr>
      <w:tblGrid>
        <w:gridCol w:w="5146"/>
        <w:gridCol w:w="146"/>
        <w:gridCol w:w="211"/>
        <w:gridCol w:w="571"/>
        <w:gridCol w:w="146"/>
        <w:gridCol w:w="146"/>
        <w:gridCol w:w="146"/>
        <w:gridCol w:w="211"/>
        <w:gridCol w:w="571"/>
        <w:gridCol w:w="146"/>
        <w:gridCol w:w="146"/>
        <w:gridCol w:w="146"/>
        <w:gridCol w:w="211"/>
        <w:gridCol w:w="571"/>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tax positions taken during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total unrecognized tax benefit, if recognized, would not affect the Company’s effective tax rate as the tax benefit would increase the deferred tax asset, which is currently offset with a full valuation allowance. Accrued interest and penalties related to the unrecognized tax benefits are recorded in income tax expense. No interest, penalties, or tax benefits were recognized during the year ended December 31, 2025.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files U.S. federal, Netherlands, United Kingdom, France, Singapore, Japan, Germany, Canada, India, and Australia income tax returns as well as state income tax returns for various state jurisdictions. Due to the Company’s net operating loss carryforwards in the United States, its income tax returns remain subject to federal and state tax authorities for all prior years. There are no tax years under examination by any jurisdiction, except India and Germany, at this time. The Company records liabilities related to uncertain tax positions and believes that it has provided adequate reserves for income tax uncertainties in all open tax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provides for U.S. federal income taxes on the earnings of foreign subsidiaries unless they are considered permanently reinvested outside of the U.S. As of December 31, 2025, the Company’s management asserted that it is their intent to indefinitely reinvest unremitted foreign earnings for all its foreign entities.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lease expense were as follows (in thousands, except years and rate):</w:t>
      </w:r>
    </w:p>
    <w:p>
      <w:pPr>
        <w:pStyle w:val="TextBody"/>
        <w:bidi w:val="0"/>
        <w:jc w:val="left"/>
        <w:rPr/>
      </w:pPr>
      <w:r>
        <w:rPr/>
        <w:t> </w:t>
      </w:r>
    </w:p>
    <w:tbl>
      <w:tblPr>
        <w:tblW w:w="4444" w:type="dxa"/>
        <w:jc w:val="left"/>
        <w:tblInd w:w="0" w:type="dxa"/>
        <w:tblLayout w:type="fixed"/>
        <w:tblCellMar>
          <w:top w:w="28" w:type="dxa"/>
          <w:left w:w="28" w:type="dxa"/>
          <w:bottom w:w="28" w:type="dxa"/>
          <w:right w:w="28" w:type="dxa"/>
        </w:tblCellMar>
      </w:tblPr>
      <w:tblGrid>
        <w:gridCol w:w="1801"/>
        <w:gridCol w:w="146"/>
        <w:gridCol w:w="262"/>
        <w:gridCol w:w="710"/>
        <w:gridCol w:w="181"/>
        <w:gridCol w:w="181"/>
        <w:gridCol w:w="262"/>
        <w:gridCol w:w="710"/>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637" w:type="dxa"/>
        <w:jc w:val="left"/>
        <w:tblInd w:w="0" w:type="dxa"/>
        <w:tblLayout w:type="fixed"/>
        <w:tblCellMar>
          <w:top w:w="28" w:type="dxa"/>
          <w:left w:w="28" w:type="dxa"/>
          <w:bottom w:w="28" w:type="dxa"/>
          <w:right w:w="28" w:type="dxa"/>
        </w:tblCellMar>
      </w:tblPr>
      <w:tblGrid>
        <w:gridCol w:w="3451"/>
        <w:gridCol w:w="146"/>
        <w:gridCol w:w="153"/>
        <w:gridCol w:w="490"/>
        <w:gridCol w:w="285"/>
        <w:gridCol w:w="153"/>
        <w:gridCol w:w="153"/>
        <w:gridCol w:w="490"/>
        <w:gridCol w:w="31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left"/>
        <w:rPr/>
      </w:pPr>
      <w:r>
        <w:rPr/>
        <w:t> </w:t>
      </w:r>
    </w:p>
    <w:tbl>
      <w:tblPr>
        <w:tblW w:w="8839" w:type="dxa"/>
        <w:jc w:val="left"/>
        <w:tblInd w:w="0" w:type="dxa"/>
        <w:tblLayout w:type="fixed"/>
        <w:tblCellMar>
          <w:top w:w="28" w:type="dxa"/>
          <w:left w:w="28" w:type="dxa"/>
          <w:bottom w:w="28" w:type="dxa"/>
          <w:right w:w="28" w:type="dxa"/>
        </w:tblCellMar>
      </w:tblPr>
      <w:tblGrid>
        <w:gridCol w:w="6196"/>
        <w:gridCol w:w="146"/>
        <w:gridCol w:w="262"/>
        <w:gridCol w:w="710"/>
        <w:gridCol w:w="181"/>
        <w:gridCol w:w="181"/>
        <w:gridCol w:w="262"/>
        <w:gridCol w:w="710"/>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Future minimum lease payments under non-cancellable operating leases with initial lease terms in excess of one year included in the Company’s lease liabilities as of December 31, 2025 were as follows (in thousands):</w:t>
      </w:r>
    </w:p>
    <w:p>
      <w:pPr>
        <w:pStyle w:val="TextBody"/>
        <w:bidi w:val="0"/>
        <w:jc w:val="left"/>
        <w:rPr/>
      </w:pPr>
      <w:r>
        <w:rPr/>
        <w:t> </w:t>
      </w:r>
    </w:p>
    <w:tbl>
      <w:tblPr>
        <w:tblW w:w="5855" w:type="dxa"/>
        <w:jc w:val="left"/>
        <w:tblInd w:w="0" w:type="dxa"/>
        <w:tblLayout w:type="fixed"/>
        <w:tblCellMar>
          <w:top w:w="28" w:type="dxa"/>
          <w:left w:w="28" w:type="dxa"/>
          <w:bottom w:w="28" w:type="dxa"/>
          <w:right w:w="28" w:type="dxa"/>
        </w:tblCellMar>
      </w:tblPr>
      <w:tblGrid>
        <w:gridCol w:w="4211"/>
        <w:gridCol w:w="146"/>
        <w:gridCol w:w="211"/>
        <w:gridCol w:w="676"/>
        <w:gridCol w:w="61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undiscounted operating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4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August 8, 2024, a putative privacy class action captioned Atkins v. Amplitude, Inc., Case No. 3:24-cv-04913 was filed in the United States District Court for the Northern District of California, naming the Company as a defendant. The lawsuit is purportedly brought on behalf of all individuals who downloaded and used an application on their mobile device that embedded the Company’s Software Development Kit (“SDK”) and did not publicly disclose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The plaintiffs filed an amended complaint on November 15, 2024. The Company filed a motion to dismiss the amended complaint on January 7, 2025, and a motion to compel arbitration on April 8, 2025. On September 2, 2025, the court granted the Company's motion to compel arbitration and denied the Company's motion to dismiss as moot. On September 30, 2025, the plaintiffs filed a motion seeking to appeal the court's decision. That motion remains pending and the Company filed its response on October 22,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September 18, 2024, an individual privacy action captioned Shah v. Amplitude, Inc., Case No. 2:24-cv-08155-MEMF-JPR was filed in the United States District Court for the Central District of California, naming the Company as a defendant. The lawsuit is brought by an individual who alleges to have used an application on his mobile device that embedded the SDK without explicitly identifying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On December 4, 2024, the court stayed the case pending final resolution of Atkins v. Amplitude, Inc., Case No. 3:24-cv-04913 (N.D. Cal.).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calculation of basic and diluted net loss per share (in thousands, except per share data): </w:t>
      </w:r>
    </w:p>
    <w:p>
      <w:pPr>
        <w:pStyle w:val="TextBody"/>
        <w:bidi w:val="0"/>
        <w:jc w:val="left"/>
        <w:rPr/>
      </w:pPr>
      <w:r>
        <w:rPr/>
        <w:t> </w:t>
      </w:r>
    </w:p>
    <w:tbl>
      <w:tblPr>
        <w:tblW w:w="9483" w:type="dxa"/>
        <w:jc w:val="left"/>
        <w:tblInd w:w="0" w:type="dxa"/>
        <w:tblLayout w:type="fixed"/>
        <w:tblCellMar>
          <w:top w:w="28" w:type="dxa"/>
          <w:left w:w="28" w:type="dxa"/>
          <w:bottom w:w="28" w:type="dxa"/>
          <w:right w:w="28" w:type="dxa"/>
        </w:tblCellMar>
      </w:tblPr>
      <w:tblGrid>
        <w:gridCol w:w="5346"/>
        <w:gridCol w:w="146"/>
        <w:gridCol w:w="211"/>
        <w:gridCol w:w="781"/>
        <w:gridCol w:w="166"/>
        <w:gridCol w:w="146"/>
        <w:gridCol w:w="211"/>
        <w:gridCol w:w="781"/>
        <w:gridCol w:w="166"/>
        <w:gridCol w:w="146"/>
        <w:gridCol w:w="211"/>
        <w:gridCol w:w="781"/>
        <w:gridCol w:w="391"/>
      </w:tblGrid>
      <w:tr>
        <w:trPr/>
        <w:tc>
          <w:tcPr>
            <w:tcW w:w="5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attributable to Class A and Class B common </w:t>
              <w:br/>
              <w:t>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w:t>
              <w:br/>
              <w:t>   attributable to Class A and Class B common stockholders,</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attributable to Class A and Class B common</w:t>
              <w:br/>
              <w:t>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following potential shares of common stock were excluded from the calculation of diluted net loss per share because their effect would have been anti-dilutive for the periods presented (in thousands): </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3481"/>
        <w:gridCol w:w="146"/>
        <w:gridCol w:w="146"/>
        <w:gridCol w:w="676"/>
        <w:gridCol w:w="146"/>
        <w:gridCol w:w="146"/>
        <w:gridCol w:w="146"/>
        <w:gridCol w:w="676"/>
        <w:gridCol w:w="146"/>
        <w:gridCol w:w="146"/>
        <w:gridCol w:w="146"/>
        <w:gridCol w:w="67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early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RSU Awards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January and February 2026, the Company issued RSUs representing 402,462 shares of its Class A common stock to its employees with service-based vesting conditions. The service-based vesting condition for these awards is satisfied over three years. The grant date fair value of the RSUs issued in January and February 2026 was approximately $3.1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InfiniGrow Acquisition</w:t>
      </w:r>
    </w:p>
    <w:p>
      <w:pPr>
        <w:pStyle w:val="TextBody"/>
        <w:bidi w:val="0"/>
        <w:spacing w:before="120" w:after="160"/>
        <w:ind w:left="0" w:right="0" w:firstLine="490"/>
        <w:jc w:val="left"/>
        <w:rPr>
          <w:rFonts w:ascii="Times New Roman" w:hAnsi="Times New Roman"/>
          <w:color w:val="000000"/>
          <w:sz w:val="20"/>
        </w:rPr>
      </w:pPr>
      <w:r>
        <w:rPr>
          <w:rFonts w:ascii="Times New Roman" w:hAnsi="Times New Roman"/>
          <w:color w:val="000000"/>
          <w:sz w:val="20"/>
        </w:rPr>
        <w:t>On January 14, 2026 (the "Acquisition Date"), the Company acquired all the capital stock of InfiniGrow Ltd (“InfiniGrow”), a privately-held company, by assuming an aggregate amount of $1.8 million in liabilities (net of cash acquired of $0.1 million) (“the Acquisition”). Prior to the Acquisition, the Company provided InfiniGrow with short-term financing through two bridge loan agreements executed in December 2025 and January 2026. Upon closing, the $0.4 million total outstanding balance (including interest) was effectively settled as a preexisting relationship. Additionally, the Company agreed to grant certain equity payments to key employees, which will be issued under our equity incentive plan, with an aggregate target value of $6.5 million to be recognized as compensation expense over the requisite service period.</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InfiniGrow is an AI marketing analytics company that helps organizations measure, forecast, and optimize the impact of marketing on revenue. The acquisition reinforces the Company’s focus on making analytics actionable and helping marketers move faster, make smarter decisions, and drive business outcomes from a single platform. The Acquisition will be accounted for as a business combination, however, given the limited time that has passed since the Acquisition Date, the Company is still in the process of developing its fair value assumptions for the consideration, assets acquired, and liabilities assumed. As a result, we are unable to provide the amounts recognized as of the Acquisition Date for the major classes of assets acquired and liabilities assumed.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Repurchase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continued its execution of the Repurchase Program authorized by our Board of Directors on May 7, 2025. Subsequent to year-end and as of February 13, 2026, the Company repurchased 300,398 shares of Class A common stock for an aggregate amount of $3.0 million, including broker commission fees. Shares repurchased by the Company are immediately retired and returned to the status of authorized and unissued. The cost paid to repurchase shares in excess of the par value is recorded to additional paid-in capital on the Company’s consolidated balance sheet.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February 18, 2026, the Board approved an increase to the Repurchase Program, under which the Company is authorized to repurchase up to an additional $100.0 million of the Company’s Class A common stock. As of February 18, 2026, a total of $123.1 million remains available for future repurchases under the Repurchase Program. Under the Repurchase Program, the Company may repurchase shares of the Company’s outstanding Class A common stock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Repurchase Program will be determined based on market conditions, share price and other factors. The Repurchase Program does not have an expiration date, does not require the Company to repurchase any specific number of shares of its Class A common stock, and may be modified, suspended or terminated at any time without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5" w:name="item_9_changes_disagreements_w_accnts"/>
      <w:bookmarkEnd w:id="25"/>
      <w:r>
        <w:rPr>
          <w:rFonts w:ascii="Times New Roman" w:hAnsi="Times New Roman"/>
          <w:b/>
          <w:color w:val="000000"/>
          <w:sz w:val="20"/>
        </w:rPr>
        <w:t>Item 9. Changes in and Disagreements With Accountants on Accounting and Financial Disclosure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26" w:name="item_9a"/>
      <w:bookmarkEnd w:id="26"/>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Times New Roman" w:hAnsi="Times New Roman"/>
          <w:i/>
          <w:color w:val="000000"/>
          <w:sz w:val="20"/>
        </w:rPr>
        <w:t>Internal Control—Integrated Framework</w:t>
      </w:r>
      <w:r>
        <w:rPr>
          <w:rFonts w:ascii="Times New Roman" w:hAnsi="Times New Roman"/>
          <w:color w:val="000000"/>
          <w:sz w:val="20"/>
        </w:rPr>
        <w:t xml:space="preserve"> (2013) issued by the Committee of Sponsoring Organizations of the Treadway Commission (COSO). Based on that assessment, management has concluded that our internal control over financial reporting was effective as of December 31, 2025 to provide reasonable assurance regarding the reliability of financial reporting and the preparation of financial statements for external purposes in accordance with GAAP. Our independent registered public accounting firm, KPMG LLP, who audited the consolidated financial statements included in this Annual Report on Form 10-K, issued an audit report on our internal control over financial reporting. That Report of Independent Registered Public Accounting Firm is included in Item 8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on Effectiveness of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360" w:after="283"/>
        <w:jc w:val="left"/>
        <w:rPr>
          <w:rFonts w:ascii="Times New Roman" w:hAnsi="Times New Roman"/>
          <w:b/>
          <w:color w:val="000000"/>
          <w:sz w:val="20"/>
        </w:rPr>
      </w:pPr>
      <w:bookmarkStart w:id="27" w:name="item_9b_other_information"/>
      <w:bookmarkEnd w:id="27"/>
      <w:r>
        <w:rPr>
          <w:rFonts w:ascii="Times New Roman" w:hAnsi="Times New Roman"/>
          <w:b/>
          <w:color w:val="000000"/>
          <w:sz w:val="20"/>
        </w:rPr>
        <w:t>Item 9B.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Arrangements of Section 16 Reporting Persons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December 11, 2025, Catherine Wong, a member of our board of directors, adopted a Rule 10b5-1 trading plan that is intended to satisfy the affirmative defense of Rule 10b5-1(c) for the sale of up to 7,453 shares of our Class A common stock until December 31, 2026.</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November 26, 2025, Curtis Liu, our Chief Technology Officer, adopted a Rule 10b5-1 trading plan that is intended to satisfy the affirmative defense of Rule 10b5-1(c). The plan, which terminates on August 6, 2026, provides for the sale of up to an aggregate of 161,540 shares of the Company’s Class A Common Stock, plus up to an additional 106,610 shares of the Company's Class A Common Stock which will result from 50% of the net shares (after withholding for taxes) received upon the vesting of restricted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units. The plan covers shares held in two separate accounts: (i) shares held directly by Curtis Liu, and (ii) shares held indirectly by Curtis Liu as Trustee for the CL 2020 Trust.</w:t>
      </w:r>
    </w:p>
    <w:p>
      <w:pPr>
        <w:pStyle w:val="TextBody"/>
        <w:bidi w:val="0"/>
        <w:spacing w:before="360" w:after="283"/>
        <w:jc w:val="left"/>
        <w:rPr>
          <w:rFonts w:ascii="Times New Roman" w:hAnsi="Times New Roman"/>
          <w:b/>
          <w:color w:val="000000"/>
          <w:sz w:val="20"/>
        </w:rPr>
      </w:pPr>
      <w:bookmarkStart w:id="28" w:name="item_9c"/>
      <w:bookmarkEnd w:id="28"/>
      <w:r>
        <w:rPr>
          <w:rFonts w:ascii="Times New Roman" w:hAnsi="Times New Roman"/>
          <w:b/>
          <w:color w:val="000000"/>
          <w:sz w:val="20"/>
        </w:rPr>
        <w:t>Item 9C. Disclosure Regarding Foreign Jurisdictions that Prevent Inspections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29" w:name="item_10_directors_executive_officers"/>
      <w:bookmarkEnd w:id="29"/>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investors.amplitude.com. We intend to satisfy the disclosure requirement under Item 5.05 of Form 8-K regarding amendments to, or waiver from, a provision of our code of business conduct and ethics by posting such information on the website address and location specified above.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remaining information required by this item is incorporated by reference to the definitive Proxy Statement for our 2026 Annual Meeting of Stockholders, which will be filed with the SEC no later than 120 days after December 31, 2025.</w:t>
      </w:r>
    </w:p>
    <w:p>
      <w:pPr>
        <w:pStyle w:val="TextBody"/>
        <w:bidi w:val="0"/>
        <w:spacing w:before="360" w:after="283"/>
        <w:jc w:val="left"/>
        <w:rPr>
          <w:rFonts w:ascii="Times New Roman" w:hAnsi="Times New Roman"/>
          <w:sz w:val="20"/>
        </w:rPr>
      </w:pPr>
      <w:bookmarkStart w:id="30" w:name="item_11_executive_compensation"/>
      <w:bookmarkEnd w:id="30"/>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which will be filed with the SEC no later than 120 days after December 31, 2025.</w:t>
      </w:r>
    </w:p>
    <w:p>
      <w:pPr>
        <w:pStyle w:val="TextBody"/>
        <w:bidi w:val="0"/>
        <w:spacing w:before="360" w:after="283"/>
        <w:jc w:val="left"/>
        <w:rPr>
          <w:rFonts w:ascii="Times New Roman" w:hAnsi="Times New Roman"/>
          <w:sz w:val="20"/>
        </w:rPr>
      </w:pPr>
      <w:bookmarkStart w:id="31" w:name="item_12_security_ownership"/>
      <w:bookmarkEnd w:id="31"/>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which will be filed with the SEC no later than 120 days after December 31, 2025.</w:t>
      </w:r>
    </w:p>
    <w:p>
      <w:pPr>
        <w:pStyle w:val="TextBody"/>
        <w:bidi w:val="0"/>
        <w:spacing w:before="360" w:after="283"/>
        <w:jc w:val="left"/>
        <w:rPr>
          <w:rFonts w:ascii="Times New Roman" w:hAnsi="Times New Roman"/>
          <w:sz w:val="20"/>
        </w:rPr>
      </w:pPr>
      <w:bookmarkStart w:id="32" w:name="item_13_certain_relationships"/>
      <w:bookmarkEnd w:id="32"/>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which will be filed with the SEC no later than 120 days after December 31, 2025.</w:t>
      </w:r>
    </w:p>
    <w:p>
      <w:pPr>
        <w:pStyle w:val="TextBody"/>
        <w:bidi w:val="0"/>
        <w:spacing w:before="360" w:after="283"/>
        <w:jc w:val="left"/>
        <w:rPr>
          <w:rFonts w:ascii="Times New Roman" w:hAnsi="Times New Roman"/>
          <w:sz w:val="20"/>
        </w:rPr>
      </w:pPr>
      <w:bookmarkStart w:id="33" w:name="item_14_principal_accntng_fees"/>
      <w:bookmarkEnd w:id="33"/>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which will be filed with the SEC no later than 120 days after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4" w:name="item_15"/>
      <w:bookmarkEnd w:id="34"/>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financial statement are included in Part II, Item 8 of this Annual Report on Form 10-K: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Consolidated Balance Sheets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Consolidated Statements of Operations and Comprehensive Loss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Consolidated Statements of Stockholders’ Equity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Consolidated Statements of Cash Flows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Statement Schedules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Schedules not listed above have been omitted because the information required to be set forth therein is not applicable or is shown in the financial statements or notes herein.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documents listed in the following Exhibit Index of this Annual Report on Form 10-K are incorporated by reference or are filed with this Annual Report on Form 10-K, in each case as indicated therein (numbered in accordance with Item 601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4"/>
        <w:gridCol w:w="5109"/>
        <w:gridCol w:w="586"/>
        <w:gridCol w:w="865"/>
        <w:gridCol w:w="736"/>
        <w:gridCol w:w="766"/>
        <w:gridCol w:w="1099"/>
      </w:tblGrid>
      <w:tr>
        <w:trPr/>
        <w:tc>
          <w:tcPr>
            <w:tcW w:w="1044" w:type="dxa"/>
            <w:tcBorders/>
            <w:vAlign w:val="center"/>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c>
          <w:tcPr>
            <w:tcW w:w="1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Filed Herewith</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Restated Certificate of Incorporation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6/12/2024</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9/21/2021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w:anchor="ampl-ex4_1.htm">
              <w:r>
                <w:rPr>
                  <w:rStyle w:val="InternetLink"/>
                  <w:rFonts w:ascii="Times New Roman" w:hAnsi="Times New Roman"/>
                  <w:color w:val="0000FF"/>
                  <w:sz w:val="20"/>
                  <w:u w:val="single"/>
                </w:rPr>
                <w:t>Description of Securities Registered Pursuant to Section 12 of the Securities Exchange Act of 1934.</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Specimen Stock Certificate evidencing the shares of Class A Common Stock.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Specimen Stock Certificate evidencing the shares of Class B Common Stock.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333-259698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9/21/2021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Investors’ Rights Agreement, dated as of May 28, 2021, as amended, by and among the Registrant and certain of its stockholders.</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Warrant to Purchase Common Stock, dated November 22, 2017, issued to Pacific Western Bank.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Sublease, dated May 13, 2021, by and between the Registrant and Postmates, LLC.</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10.2#</w:t>
            </w:r>
          </w:p>
          <w:p>
            <w:pPr>
              <w:pStyle w:val="TableContents"/>
              <w:bidi w:val="0"/>
              <w:spacing w:before="0" w:after="283"/>
              <w:jc w:val="left"/>
              <w:rPr/>
            </w:pPr>
            <w:r>
              <w:rPr/>
              <w:t> </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Office Lease, dated as of March 21, 2025, by and between the Registrant and KR 201 Third Street Owner, LLC.</w:t>
              </w:r>
            </w:hyperlink>
          </w:p>
        </w:tc>
        <w:tc>
          <w:tcPr>
            <w:tcW w:w="5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001-40817</w:t>
            </w:r>
          </w:p>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5/7/2025</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First Amendment to Sublease, dated July 2, 2025, by and between the Registrant and Postmates LLC.</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11/6/2025</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10.4(a)#</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2014 Stock Option and Grant Plan, as amended.</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10.2(a)</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10.4(b)#</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Agreements under Amended and Restated 2014 Stock Option and Grant Plan, as amended.</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10.2(b)</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10.5(a)#</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2021 Incentive Award Plan.</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10.3(a)</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10.5(b)#</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Agreements under 2021 Incentive Award Plan.</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10.3(b)</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2"/>
        <w:gridCol w:w="6794"/>
        <w:gridCol w:w="424"/>
        <w:gridCol w:w="870"/>
        <w:gridCol w:w="466"/>
        <w:gridCol w:w="681"/>
        <w:gridCol w:w="288"/>
      </w:tblGrid>
      <w:tr>
        <w:trPr/>
        <w:tc>
          <w:tcPr>
            <w:tcW w:w="682" w:type="dxa"/>
            <w:tcBorders/>
            <w:vAlign w:val="center"/>
          </w:tcPr>
          <w:p>
            <w:pPr>
              <w:pStyle w:val="TableContents"/>
              <w:bidi w:val="0"/>
              <w:spacing w:before="0" w:after="283"/>
              <w:jc w:val="left"/>
              <w:rPr>
                <w:sz w:val="4"/>
                <w:szCs w:val="4"/>
              </w:rPr>
            </w:pPr>
            <w:r>
              <w:rPr>
                <w:sz w:val="4"/>
                <w:szCs w:val="4"/>
              </w:rPr>
            </w:r>
          </w:p>
        </w:tc>
        <w:tc>
          <w:tcPr>
            <w:tcW w:w="67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2021 Employee Stock Purchase Plan.</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Indemnification Agreement between the Registrant and each of its Directors and Executive Officers.</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Section 16 Bonus Plan</w:t>
              </w:r>
            </w:hyperlink>
            <w:r>
              <w:rPr>
                <w:rFonts w:ascii="Times New Roman" w:hAnsi="Times New Roman"/>
                <w:color w:val="000000"/>
                <w:sz w:val="20"/>
              </w:rPr>
              <w:t>.</w:t>
            </w:r>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8/8/2023</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Amended Non-Employee Director Compensation Program.</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Executive Severance Plan</w:t>
              </w:r>
            </w:hyperlink>
            <w:r>
              <w:rPr>
                <w:rFonts w:ascii="Times New Roman" w:hAnsi="Times New Roman"/>
                <w:color w:val="000000"/>
                <w:sz w:val="20"/>
              </w:rPr>
              <w:t>.</w:t>
            </w:r>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Employment Agreement between the Registrant and each of its executive officers</w:t>
              </w:r>
            </w:hyperlink>
            <w:r>
              <w:rPr>
                <w:rFonts w:ascii="Times New Roman" w:hAnsi="Times New Roman"/>
                <w:color w:val="000000"/>
                <w:sz w:val="20"/>
              </w:rPr>
              <w:t>.</w:t>
            </w:r>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w:anchor="ampl-ex19_1.htm">
              <w:r>
                <w:rPr>
                  <w:rStyle w:val="InternetLink"/>
                  <w:rFonts w:ascii="Times New Roman" w:hAnsi="Times New Roman"/>
                  <w:color w:val="0000FF"/>
                  <w:sz w:val="20"/>
                  <w:u w:val="single"/>
                </w:rPr>
                <w:t>Insider Trading Compliance Policy</w:t>
              </w:r>
            </w:hyperlink>
            <w:r>
              <w:rPr>
                <w:rFonts w:ascii="Times New Roman" w:hAnsi="Times New Roman"/>
                <w:color w:val="000000"/>
                <w:sz w:val="20"/>
              </w:rPr>
              <w: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Subsidiaries of Registrant</w:t>
              </w:r>
            </w:hyperlink>
            <w:r>
              <w:rPr>
                <w:rFonts w:ascii="Times New Roman" w:hAnsi="Times New Roman"/>
                <w:color w:val="000000"/>
                <w:sz w:val="20"/>
              </w:rPr>
              <w:t>.</w:t>
            </w:r>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2/20/2024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w:anchor="ampl-ex23_1.htm">
              <w:r>
                <w:rPr>
                  <w:rStyle w:val="InternetLink"/>
                  <w:rFonts w:ascii="Times New Roman" w:hAnsi="Times New Roman"/>
                  <w:color w:val="0000FF"/>
                  <w:sz w:val="20"/>
                  <w:u w:val="single"/>
                </w:rPr>
                <w:t>Consent of KPMG LLP, independent registered public accounting firm.</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in signature page hereto)</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w:anchor="amp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w:anchor="amp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w:anchor="amp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w:anchor="amp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794"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Policy Relating to Recovery of Erroneously Awarded Compensation</w:t>
              </w:r>
            </w:hyperlink>
            <w:r>
              <w:rPr>
                <w:rFonts w:ascii="Times New Roman" w:hAnsi="Times New Roman"/>
                <w:color w:val="000000"/>
                <w:sz w:val="20"/>
              </w:rPr>
              <w:t>.</w:t>
            </w:r>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2/20/2024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Indicates management contract or compensatory plan</w:t>
      </w:r>
    </w:p>
    <w:p>
      <w:pPr>
        <w:pStyle w:val="TextBody"/>
        <w:bidi w:val="0"/>
        <w:jc w:val="left"/>
        <w:rPr>
          <w:rFonts w:ascii="Times New Roman" w:hAnsi="Times New Roman"/>
          <w:sz w:val="20"/>
        </w:rPr>
      </w:pPr>
      <w:r>
        <w:rPr>
          <w:rFonts w:ascii="Times New Roman" w:hAnsi="Times New Roman"/>
          <w:color w:val="000000"/>
          <w:sz w:val="16"/>
        </w:rPr>
        <w:t>* The certifications attached as Exhibit 32.1 and Exhibit 32.2 that accompany this Annual Report on Form 10-K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Annual Report on Form 10-K, irrespective of any general incorporation language contained in such filing.</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35" w:name="item_16_form_10k_summary"/>
      <w:bookmarkEnd w:id="35"/>
      <w:r>
        <w:rPr>
          <w:rFonts w:ascii="Times New Roman" w:hAnsi="Times New Roman"/>
          <w:b/>
          <w:color w:val="000000"/>
          <w:sz w:val="20"/>
        </w:rPr>
        <w:t>Item 16. Form 10-K Summary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center"/>
        <w:rPr/>
      </w:pPr>
      <w:r>
        <w:rPr/>
        <w:t> </w:t>
      </w:r>
    </w:p>
    <w:tbl>
      <w:tblPr>
        <w:tblW w:w="3782" w:type="dxa"/>
        <w:jc w:val="left"/>
        <w:tblInd w:w="0" w:type="dxa"/>
        <w:tblLayout w:type="fixed"/>
        <w:tblCellMar>
          <w:top w:w="28" w:type="dxa"/>
          <w:left w:w="28" w:type="dxa"/>
          <w:bottom w:w="28" w:type="dxa"/>
          <w:right w:w="28" w:type="dxa"/>
        </w:tblCellMar>
      </w:tblPr>
      <w:tblGrid>
        <w:gridCol w:w="466"/>
        <w:gridCol w:w="3316"/>
      </w:tblGrid>
      <w:tr>
        <w:trPr/>
        <w:tc>
          <w:tcPr>
            <w:tcW w:w="46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Inc.</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Spenser Skates</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Spenser Skates Chief Executive Officer</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18,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power_of_attorney"/>
      <w:bookmarkEnd w:id="37"/>
      <w:r>
        <w:rPr>
          <w:rFonts w:ascii="Times New Roman" w:hAnsi="Times New Roman"/>
          <w:b/>
          <w:color w:val="000000"/>
          <w:sz w:val="20"/>
        </w:rPr>
        <w:t>POWER OF</w:t>
      </w:r>
      <w:r>
        <w:rPr>
          <w:rFonts w:ascii="Times New Roman" w:hAnsi="Times New Roman"/>
          <w:color w:val="000000"/>
          <w:sz w:val="20"/>
        </w:rPr>
        <w:t xml:space="preserve"> </w:t>
      </w:r>
      <w:r>
        <w:rPr>
          <w:rFonts w:ascii="Times New Roman" w:hAnsi="Times New Roman"/>
          <w:b/>
          <w:color w:val="000000"/>
          <w:sz w:val="20"/>
        </w:rPr>
        <w:t>ATTORNEY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Spenser Skates, Andrew Casey, and Elizabeth Fisher,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on behalf of the registrant and in the capacities and on the dates indicated.</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1786"/>
        <w:gridCol w:w="146"/>
        <w:gridCol w:w="3826"/>
        <w:gridCol w:w="146"/>
        <w:gridCol w:w="163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Chairperson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Spenser Skates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Casey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Gill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Gill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 Grady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 Grady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Curtis Liu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Curtis Liu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Erica Schultz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Erica Schultz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Tien Tzuo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Tien Tzuo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Whitehurst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Whitehurst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Catherine Wong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18, 2026</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Catherine Wong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ampl-ex4_1.htm"/>
      <w:bookmarkStart w:id="39" w:name="ksamplex4_1"/>
      <w:bookmarkEnd w:id="38"/>
      <w:bookmarkEnd w:id="39"/>
      <w:r>
        <w:rPr>
          <w:rFonts w:ascii="Times New Roman" w:hAnsi="Times New Roman"/>
          <w:b/>
          <w:color w:val="000000"/>
          <w:sz w:val="20"/>
        </w:rPr>
        <w:t>Exhibit 4.1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DESCRIPTION OF THE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Amplitude, Inc. (“we,” “our,” and “us”) has one class of securities registered under Section 12 of the Securities Exchange Act of 1934, as amended (the “Exchange Act”): our Class A common stock. The following description of our capital stock and provisions of our amended and restated certificate of incorporation, amended and restated bylaws, and amended and restated investors’ rights agreement, and the applicable provisions of the General Corporation Law of the State of Delaware (the “DGCL”) are summaries and are qualified by reference to our amended and restated certificate of incorporation, amended and restated bylaws, and amended and restated investors’ rights agreement, each of which has been publicly filed with the U.S. Securities and Exchange Commission, and the applicable provisions of the DGCL.</w:t>
      </w:r>
    </w:p>
    <w:p>
      <w:pPr>
        <w:pStyle w:val="TextBody"/>
        <w:bidi w:val="0"/>
        <w:spacing w:before="0" w:after="20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authorized capital stock consists of:</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Times New Roman" w:hAnsi="Times New Roman"/>
          <w:color w:val="000000"/>
          <w:sz w:val="20"/>
        </w:rPr>
        <w:t>600,000,000 shares of Class A common stock, par value $0.00001 per share;</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Times New Roman" w:hAnsi="Times New Roman"/>
          <w:color w:val="000000"/>
          <w:sz w:val="20"/>
        </w:rPr>
        <w:t>600,000,000 shares of Class B common stock, par value $0.00001 per share; and</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20,000,000 shares of undesignated preferred stock, par value $0.00001 per share. </w:t>
      </w:r>
    </w:p>
    <w:p>
      <w:pPr>
        <w:pStyle w:val="TextBody"/>
        <w:bidi w:val="0"/>
        <w:ind w:left="720" w:right="0" w:hanging="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two classes of authorized common stock: Class A common stock and Class B common stock. Only our Class A common stock is registered under Section 12 of the Exchange Act, and trades on the Nasdaq Capital Market under the ticker symbol “AMPL.”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rights of the holders of Class A common stock and Class B common stock are identical, except with respect to voting and conversion rights. </w:t>
      </w:r>
    </w:p>
    <w:p>
      <w:pPr>
        <w:pStyle w:val="TextBody"/>
        <w:bidi w:val="0"/>
        <w:spacing w:before="0" w:after="200"/>
        <w:jc w:val="left"/>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Shares of our Class A common stock are entitled to one vote per share and shares of our Class B common stock are entitled to five votes per share. The holders of our Class A common stock and the holders of our Class B common stock will generally vote together as a single class on all matters submitted to a vote of our stockholders, unless otherwise required by Delaware law or our restated certificate of incorporation. Delaware law could require either holders of our Class A common stock or holders of our Class B common stock to vote separately in the following circumstances: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Times New Roman" w:hAnsi="Times New Roman"/>
          <w:color w:val="000000"/>
          <w:sz w:val="20"/>
        </w:rPr>
        <w:t>if we were to seek to amend our restated certificate of incorporation to increase or decrease the par value of a class of our capital stock, then that class would be required to vote separately to approve the proposed amendment; and</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Times New Roman" w:hAnsi="Times New Roman"/>
          <w:color w:val="000000"/>
          <w:sz w:val="20"/>
        </w:rPr>
        <w:t>if we were to seek to amend our restated certificate of incorporation in a manner that alters or changes the powers, preferences, or special rights of a class of our capital stock in a manner that would affect its holders adversely, then that class would be required to vote separately to approve the proposed amendment.</w:t>
      </w:r>
      <w:r>
        <w:rPr>
          <w:color w:val="000000"/>
        </w:rPr>
        <w:t xml:space="preserve"> </w:t>
      </w:r>
    </w:p>
    <w:p>
      <w:pPr>
        <w:pStyle w:val="TextBody"/>
        <w:bidi w:val="0"/>
        <w:ind w:left="720" w:right="0" w:hanging="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election of directors by our stockholders shall be determined by a plurality of the votes cast and our stockholders are not entitled to cumulative voting for the election of directors. In addition, except as otherwise provided by our amended and restated certificate of incorporation, amended and restated bylaws, the rules or regulations of the Nasdaq Stock Market LLC (“Nasdaq”), or applicable law or pursuant to any regulation applicable </w:t>
      </w:r>
    </w:p>
    <w:p>
      <w:pPr>
        <w:pStyle w:val="HorizontalLine"/>
        <w:pBdr>
          <w:bottom w:val="double" w:sz="2" w:space="0" w:color="808080"/>
        </w:pBdr>
        <w:bidi w:val="0"/>
        <w:spacing w:before="0" w:after="283"/>
        <w:jc w:val="left"/>
        <w:rPr/>
      </w:pPr>
      <w:r>
        <w:rPr/>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to us or our securities, other matters shall be generally decided by the affirmative vote of the holders of a majority in voting power of the votes cast (excluding abstentions and broker non-votes) on such matter. </w:t>
      </w:r>
    </w:p>
    <w:p>
      <w:pPr>
        <w:pStyle w:val="TextBody"/>
        <w:bidi w:val="0"/>
        <w:spacing w:before="0" w:after="200"/>
        <w:jc w:val="left"/>
        <w:rPr>
          <w:rFonts w:ascii="Times New Roman" w:hAnsi="Times New Roman"/>
          <w:sz w:val="20"/>
        </w:rPr>
      </w:pPr>
      <w:r>
        <w:rPr>
          <w:rFonts w:ascii="Times New Roman" w:hAnsi="Times New Roman"/>
          <w:b/>
          <w:i/>
          <w:color w:val="000000"/>
          <w:sz w:val="20"/>
        </w:rPr>
        <w:t>Conversion rights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Each outstanding share of our Class B common stock is convertible at any time at the option of the holder into one share of our Class A common stock. Each share of our Class B common stock will convert automatically into one share of our Class A common stock upon any transfer, whether or not for value, except for certain permitted transfers described in our restated certificate of incorporation. In addition, each share of our Class B common stock held by Curtis Liu, Spenser Skates, and Jeffrey Wang, whom we refer to as our founders (or any of such founder’s affiliates), will convert automatically into one share of our Class A common stock on the earlier of (i) the death or incapacity of such founder or (ii) the date that is six months following the date on which such founder is no longer an employee or director of our company (unless such founder has rejoined our company during such six-month period). Each outstanding share of our Class B common stock will also convert automatically into one share of our Class A common stock on the date that is six months following the date on which no founder is an employee or director of our company (unless a founder has rejoined our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 </w:t>
      </w:r>
    </w:p>
    <w:p>
      <w:pPr>
        <w:pStyle w:val="TextBody"/>
        <w:bidi w:val="0"/>
        <w:spacing w:before="0" w:after="200"/>
        <w:jc w:val="left"/>
        <w:rPr>
          <w:rFonts w:ascii="Times New Roman" w:hAnsi="Times New Roman"/>
          <w:sz w:val="20"/>
        </w:rPr>
      </w:pPr>
      <w:r>
        <w:rPr>
          <w:rFonts w:ascii="Times New Roman" w:hAnsi="Times New Roman"/>
          <w:b/>
          <w:i/>
          <w:color w:val="000000"/>
          <w:sz w:val="20"/>
        </w:rPr>
        <w:t>Economic rights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Any dividend or distribution paid or payable to the holders of shares of Class A common stock and Class B common stock shall be paid pro rata, on an equal priority, </w:t>
      </w:r>
      <w:r>
        <w:rPr>
          <w:rFonts w:ascii="Times New Roman" w:hAnsi="Times New Roman"/>
          <w:i/>
          <w:color w:val="000000"/>
          <w:sz w:val="20"/>
        </w:rPr>
        <w:t>pari passu</w:t>
      </w:r>
      <w:r>
        <w:rPr>
          <w:rFonts w:ascii="Times New Roman" w:hAnsi="Times New Roman"/>
          <w:color w:val="000000"/>
          <w:sz w:val="20"/>
        </w:rPr>
        <w:t xml:space="preserve"> basis, unless different treatment of the shares of each such class is approved by the affirmative vote of the holders of a majority of the outstanding shares of the applicable class of stock treated adversely, each voting separately as a class;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 </w:t>
      </w:r>
    </w:p>
    <w:p>
      <w:pPr>
        <w:pStyle w:val="TextBody"/>
        <w:bidi w:val="0"/>
        <w:spacing w:before="0" w:after="200"/>
        <w:jc w:val="left"/>
        <w:rPr>
          <w:rFonts w:ascii="Times New Roman" w:hAnsi="Times New Roman"/>
          <w:sz w:val="20"/>
        </w:rPr>
      </w:pPr>
      <w:r>
        <w:rPr>
          <w:rFonts w:ascii="Times New Roman" w:hAnsi="Times New Roman"/>
          <w:i/>
          <w:color w:val="000000"/>
          <w:sz w:val="20"/>
        </w:rPr>
        <w:t>Liquidation</w:t>
      </w:r>
      <w:r>
        <w:rPr>
          <w:rFonts w:ascii="Times New Roman" w:hAnsi="Times New Roman"/>
          <w:color w:val="000000"/>
          <w:sz w:val="20"/>
        </w:rPr>
        <w:t xml:space="preserve">. In the event of our liquidation, dissolution, or winding-up and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B common stock. </w:t>
      </w:r>
    </w:p>
    <w:p>
      <w:pPr>
        <w:pStyle w:val="TextBody"/>
        <w:bidi w:val="0"/>
        <w:spacing w:before="0" w:after="200"/>
        <w:jc w:val="left"/>
        <w:rPr>
          <w:rFonts w:ascii="Times New Roman" w:hAnsi="Times New Roman"/>
          <w:sz w:val="20"/>
        </w:rPr>
      </w:pPr>
      <w:r>
        <w:rPr>
          <w:rFonts w:ascii="Times New Roman" w:hAnsi="Times New Roman"/>
          <w:i/>
          <w:color w:val="000000"/>
          <w:sz w:val="20"/>
        </w:rPr>
        <w:t xml:space="preserve">Change of Control Transactions. </w:t>
      </w:r>
      <w:r>
        <w:rPr>
          <w:rFonts w:ascii="Times New Roman" w:hAnsi="Times New Roman"/>
          <w:color w:val="000000"/>
          <w:sz w:val="20"/>
        </w:rPr>
        <w:t xml:space="preserve">In the event of certain mergers, consolidations, business combinations, or other similar transactions, shares of our Class A common stock or Class B common stock will be treated equally, identically, and will share ratably, on a per share basis, in any consideration related to such transaction, unless different treatment of the shares of each class is approved by the affirmative vote of the holders of a majority of the outstanding shares of Class A common stock and by the affirmative vote of the holders of a majority of the outstanding shares of Class B common stock, each voting separately as a class. In the event that the holders of shares of Class A common stock or Class B common stock are granted rights to elect to receive one of two or more alternative forms of consideration in connection with such transaction, the foregoing will be satisfied if holders of shares of Class A common stock and the holders of Class B common stock are granted identical election rights. </w:t>
      </w:r>
    </w:p>
    <w:p>
      <w:pPr>
        <w:pStyle w:val="TextBody"/>
        <w:bidi w:val="0"/>
        <w:spacing w:before="0" w:after="200"/>
        <w:jc w:val="left"/>
        <w:rPr>
          <w:rFonts w:ascii="Times New Roman" w:hAnsi="Times New Roman"/>
          <w:sz w:val="20"/>
        </w:rPr>
      </w:pPr>
      <w:r>
        <w:rPr>
          <w:rFonts w:ascii="Times New Roman" w:hAnsi="Times New Roman"/>
          <w:i/>
          <w:color w:val="000000"/>
          <w:sz w:val="20"/>
        </w:rPr>
        <w:t>Subdivisions and Combinations</w:t>
      </w:r>
      <w:r>
        <w:rPr>
          <w:rFonts w:ascii="Times New Roman" w:hAnsi="Times New Roman"/>
          <w:color w:val="000000"/>
          <w:sz w:val="20"/>
        </w:rPr>
        <w:t xml:space="preserve">. If we subdivide or combine in any manner outstanding shares of Class A common stock or Class B common stock, then the outstanding shares of the other class will be subdivided or combined in the same proportion and manner, unless different treatment of the shares of each class is approved by the affirmative vote of the holders of a majority of the outstanding shares of Class A common stock and by the affirmative vote of the holders of a majority of the outstanding shares of Class B common stock, each voting separately as a class. </w:t>
      </w:r>
    </w:p>
    <w:p>
      <w:pPr>
        <w:pStyle w:val="TextBody"/>
        <w:bidi w:val="0"/>
        <w:spacing w:before="0" w:after="200"/>
        <w:jc w:val="left"/>
        <w:rPr>
          <w:rFonts w:ascii="Times New Roman" w:hAnsi="Times New Roman"/>
          <w:sz w:val="20"/>
        </w:rPr>
      </w:pPr>
      <w:r>
        <w:rPr>
          <w:rFonts w:ascii="Times New Roman" w:hAnsi="Times New Roman"/>
          <w:b/>
          <w:i/>
          <w:color w:val="000000"/>
          <w:sz w:val="20"/>
        </w:rPr>
        <w:t>No preemptive or similar rights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Holders of shares of our common stock do not have preemptive, subscription, or redemption rights. There will be no redemption or sinking fund provisions applicable to our common stock. </w:t>
      </w:r>
    </w:p>
    <w:p>
      <w:pPr>
        <w:pStyle w:val="HorizontalLine"/>
        <w:pBdr>
          <w:bottom w:val="double" w:sz="2" w:space="0" w:color="808080"/>
        </w:pBdr>
        <w:bidi w:val="0"/>
        <w:spacing w:before="0" w:after="283"/>
        <w:jc w:val="left"/>
        <w:rPr/>
      </w:pPr>
      <w:r>
        <w:rPr/>
      </w:r>
    </w:p>
    <w:p>
      <w:pPr>
        <w:pStyle w:val="TextBody"/>
        <w:bidi w:val="0"/>
        <w:spacing w:before="0" w:after="200"/>
        <w:jc w:val="left"/>
        <w:rPr>
          <w:rFonts w:ascii="Times New Roman" w:hAnsi="Times New Roman"/>
          <w:sz w:val="20"/>
        </w:rPr>
      </w:pPr>
      <w:r>
        <w:rPr>
          <w:rFonts w:ascii="Times New Roman" w:hAnsi="Times New Roman"/>
          <w:b/>
          <w:i/>
          <w:color w:val="000000"/>
          <w:sz w:val="20"/>
        </w:rPr>
        <w:t>Fully paid and non-assessable</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All of our outstanding shares of Class A common stock and Class B common stock are fully paid and non-assessable. </w:t>
      </w:r>
    </w:p>
    <w:p>
      <w:pPr>
        <w:pStyle w:val="TextBody"/>
        <w:bidi w:val="0"/>
        <w:spacing w:before="0" w:after="200"/>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Under the terms of our restated certificate of incorporation, our board of directors is authorized to direct us to issue shares of preferred stock in one or more series without stockholder approval, unless required by law or by any stock exchange.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Class A and Class B common stock and may adversely affect the market price of the Class A common stock and the voting and other rights of the holders of Class A and Class B common stock. We have no current plans to issue any shares of preferred stock.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Equity Award Amendment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Equity awards granted under our Amended and Restated 2014 Stock Option and Grant Plan (as amended, the “2014 Plan”) generally settled in shares of Class B common stock. Class B common stock automatically converts to Class A common stock upon transfer unless transferred to a permitted transferee. In connection the direct listing of our Class A common stock (our “Direct Listing”), our board of directors amended all awards outstanding under our 2014 Plan to settle into Class A common stock (the “Equity Award Amendment”). Holders of Class A common stock received as a result of the Equity Award Amendment will have the one-time right to exchange such shares of Class A common stock for an equal number of shares of Class B common stock until such time as the Class A common stock is transferred. There are no pre-defined time period or other restrictions related to the holder’s right to exchange such shares of Class A common stock. Holders may only elect to exchange all, and not a portion, of such shares of Class A common stock. Such right will transfer to a permitted transferee.</w:t>
      </w:r>
    </w:p>
    <w:p>
      <w:pPr>
        <w:pStyle w:val="TextBody"/>
        <w:bidi w:val="0"/>
        <w:spacing w:before="0" w:after="200"/>
        <w:jc w:val="left"/>
        <w:rPr>
          <w:rFonts w:ascii="Times New Roman" w:hAnsi="Times New Roman"/>
          <w:sz w:val="20"/>
        </w:rPr>
      </w:pPr>
      <w:r>
        <w:rPr>
          <w:rFonts w:ascii="Times New Roman" w:hAnsi="Times New Roman"/>
          <w:b/>
          <w:color w:val="000000"/>
          <w:sz w:val="20"/>
        </w:rPr>
        <w:t>Choice of Forum</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DGCL or our certificate of incorporation or bylaws or as to which the DGCL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of 1933, as amended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(iv) any person or entity purchasing or otherwise acquiring or holding any interest in our shares of capital stock will be deemed to have notice of and consented to these provisions; and (v) failure to enforce the foregoing provisions would cause us irreparable harm, and we will be entitled to equitable relief, including injunctive relief and specific performance, to enforce the foregoing provisions. </w:t>
      </w:r>
    </w:p>
    <w:p>
      <w:pPr>
        <w:pStyle w:val="HorizontalLine"/>
        <w:pBdr>
          <w:bottom w:val="double" w:sz="2" w:space="0" w:color="808080"/>
        </w:pBdr>
        <w:bidi w:val="0"/>
        <w:spacing w:before="0" w:after="283"/>
        <w:jc w:val="left"/>
        <w:rPr/>
      </w:pPr>
      <w:r>
        <w:rPr/>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Although our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TextBody"/>
        <w:bidi w:val="0"/>
        <w:spacing w:before="0" w:after="200"/>
        <w:jc w:val="left"/>
        <w:rPr>
          <w:rFonts w:ascii="Times New Roman" w:hAnsi="Times New Roman"/>
          <w:sz w:val="20"/>
        </w:rPr>
      </w:pPr>
      <w:r>
        <w:rPr>
          <w:rFonts w:ascii="Times New Roman" w:hAnsi="Times New Roman"/>
          <w:b/>
          <w:color w:val="000000"/>
          <w:sz w:val="20"/>
        </w:rPr>
        <w:t>Anti-Takeover Provisions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w:t>
      </w:r>
    </w:p>
    <w:p>
      <w:pPr>
        <w:pStyle w:val="TextBody"/>
        <w:bidi w:val="0"/>
        <w:spacing w:before="0" w:after="200"/>
        <w:jc w:val="left"/>
        <w:rPr>
          <w:rFonts w:ascii="Times New Roman" w:hAnsi="Times New Roman"/>
          <w:sz w:val="20"/>
        </w:rPr>
      </w:pPr>
      <w:r>
        <w:rPr>
          <w:rFonts w:ascii="Times New Roman" w:hAnsi="Times New Roman"/>
          <w:b/>
          <w:i/>
          <w:color w:val="000000"/>
          <w:sz w:val="20"/>
        </w:rPr>
        <w:t>Multi-Class Stock</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As described above in “—Common Stock—Voting rights,” our restated certificate of incorporation provides for a multi-class common stock structure, pursuant to which holders of our Class B common stock, including our current investors, executives, and employees, have the ability to control the outcome of matters requiring stockholder approval, even if such holders own significantly less than a majority of the shares of the shares of our outstanding Class A common stock and Class B common stock, including the election of directors and significant corporate transactions, such as a merger or other sale of our company or its assets. </w:t>
      </w:r>
    </w:p>
    <w:p>
      <w:pPr>
        <w:pStyle w:val="TextBody"/>
        <w:bidi w:val="0"/>
        <w:spacing w:before="0" w:after="200"/>
        <w:jc w:val="left"/>
        <w:rPr>
          <w:rFonts w:ascii="Times New Roman" w:hAnsi="Times New Roman"/>
          <w:sz w:val="20"/>
        </w:rPr>
      </w:pPr>
      <w:r>
        <w:rPr>
          <w:rFonts w:ascii="Times New Roman" w:hAnsi="Times New Roman"/>
          <w:b/>
          <w:i/>
          <w:color w:val="000000"/>
          <w:sz w:val="20"/>
        </w:rPr>
        <w:t>Stockholder Action and Special Meetings of Stockholders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restated certificate of incorporation provides that any action required or permitted to be taken by our stockholders must be effected at a duly called annual or special meeting of our stockholders and may not be effected by any consent in writing by our stockholders. Our restated certificate of incorporation further provides that special meetings of our stockholders may be called only by a majority of our board of directors, thus prohibiting a stockholder from calling a special meeting. These provisions might delay the ability of our stockholders to force consideration of a proposal or for stockholders to take any action, including the removal of directors. </w:t>
      </w:r>
    </w:p>
    <w:p>
      <w:pPr>
        <w:pStyle w:val="TextBody"/>
        <w:bidi w:val="0"/>
        <w:spacing w:before="0" w:after="200"/>
        <w:jc w:val="left"/>
        <w:rPr>
          <w:rFonts w:ascii="Times New Roman" w:hAnsi="Times New Roman"/>
          <w:sz w:val="20"/>
        </w:rPr>
      </w:pPr>
      <w:r>
        <w:rPr>
          <w:rFonts w:ascii="Times New Roman" w:hAnsi="Times New Roman"/>
          <w:b/>
          <w:i/>
          <w:color w:val="000000"/>
          <w:sz w:val="20"/>
        </w:rPr>
        <w:t>Advance Notice Requirements for Stockholder Proposals and Director Nominations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p>
      <w:pPr>
        <w:pStyle w:val="TextBody"/>
        <w:bidi w:val="0"/>
        <w:spacing w:before="0" w:after="200"/>
        <w:jc w:val="left"/>
        <w:rPr>
          <w:rFonts w:ascii="Times New Roman" w:hAnsi="Times New Roman"/>
          <w:sz w:val="20"/>
        </w:rPr>
      </w:pPr>
      <w:r>
        <w:rPr>
          <w:rFonts w:ascii="Times New Roman" w:hAnsi="Times New Roman"/>
          <w:b/>
          <w:i/>
          <w:color w:val="000000"/>
          <w:sz w:val="20"/>
        </w:rPr>
        <w:t>Classified Board; Election and Removal of Directors; Filling Vacancies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board of directors is divided into three classes, divided as nearly as equal in number as possible.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voting shares will be able to elect all of our directors. Our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a resolution of the board of </w:t>
      </w:r>
    </w:p>
    <w:p>
      <w:pPr>
        <w:pStyle w:val="HorizontalLine"/>
        <w:pBdr>
          <w:bottom w:val="double" w:sz="2" w:space="0" w:color="808080"/>
        </w:pBdr>
        <w:bidi w:val="0"/>
        <w:spacing w:before="0" w:after="283"/>
        <w:jc w:val="left"/>
        <w:rPr/>
      </w:pPr>
      <w:r>
        <w:rPr/>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0" w:after="200"/>
        <w:jc w:val="left"/>
        <w:rPr>
          <w:rFonts w:ascii="Times New Roman" w:hAnsi="Times New Roman"/>
          <w:sz w:val="20"/>
        </w:rPr>
      </w:pPr>
      <w:r>
        <w:rPr>
          <w:rFonts w:ascii="Times New Roman" w:hAnsi="Times New Roman"/>
          <w:b/>
          <w:i/>
          <w:color w:val="000000"/>
          <w:sz w:val="20"/>
        </w:rPr>
        <w:t>Supermajority Requirements for Amendments of our Restated Certificate of Incorporation and Amended and Restated Bylaws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color w:val="000000"/>
          <w:sz w:val="20"/>
        </w:rPr>
        <w:t>Certain amendments to our restated certificate of incorporation and our amended and restated bylaws require the approval of 66</w:t>
      </w:r>
      <w:r>
        <w:rPr>
          <w:rFonts w:ascii="Times New Roman" w:hAnsi="Times New Roman"/>
          <w:color w:val="000000"/>
          <w:sz w:val="17"/>
        </w:rPr>
        <w:t>2</w:t>
      </w:r>
      <w:r>
        <w:rPr>
          <w:rFonts w:ascii="Times New Roman" w:hAnsi="Times New Roman"/>
          <w:color w:val="000000"/>
          <w:sz w:val="20"/>
        </w:rPr>
        <w:t>⁄</w:t>
      </w:r>
      <w:r>
        <w:rPr>
          <w:rFonts w:ascii="Times New Roman" w:hAnsi="Times New Roman"/>
          <w:color w:val="000000"/>
          <w:sz w:val="17"/>
        </w:rPr>
        <w:t>3</w:t>
      </w:r>
      <w:r>
        <w:rPr>
          <w:rFonts w:ascii="Times New Roman" w:hAnsi="Times New Roman"/>
          <w:color w:val="000000"/>
          <w:sz w:val="20"/>
        </w:rPr>
        <w:t xml:space="preserve">% of the outstanding voting power of our capital stock. </w:t>
      </w:r>
    </w:p>
    <w:p>
      <w:pPr>
        <w:pStyle w:val="TextBody"/>
        <w:bidi w:val="0"/>
        <w:spacing w:before="0" w:after="200"/>
        <w:jc w:val="left"/>
        <w:rPr>
          <w:rFonts w:ascii="Times New Roman" w:hAnsi="Times New Roman"/>
          <w:sz w:val="20"/>
        </w:rPr>
      </w:pPr>
      <w:r>
        <w:rPr>
          <w:rFonts w:ascii="Times New Roman" w:hAnsi="Times New Roman"/>
          <w:b/>
          <w:i/>
          <w:color w:val="000000"/>
          <w:sz w:val="20"/>
        </w:rPr>
        <w:t>Authorized but Unissued Shares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0" w:after="200"/>
        <w:jc w:val="left"/>
        <w:rPr>
          <w:rFonts w:ascii="Times New Roman" w:hAnsi="Times New Roman"/>
          <w:sz w:val="20"/>
        </w:rPr>
      </w:pPr>
      <w:r>
        <w:rPr>
          <w:rFonts w:ascii="Times New Roman" w:hAnsi="Times New Roman"/>
          <w:b/>
          <w:i/>
          <w:color w:val="000000"/>
          <w:sz w:val="20"/>
        </w:rPr>
        <w:t>Section 203 of the DGCL</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are subject to the provisions of Section 203 of the DGCL. This statute prevents certain Delaware corporations, under certain circumstances, from engaging in a “business combination” with an “interested stockholder.” In general, Section 203 defines an “interested stockholder” as an entity or person who, together with the person’s affiliates and associates, beneficially owns 15% or more of the outstanding voting stock of the corporation.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“business combination” includes a merger or sale of more than 10% of our assets. However, the above provisions of Section 203 of the DGCL do not apply if:</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Times New Roman" w:hAnsi="Times New Roman"/>
          <w:color w:val="000000"/>
          <w:sz w:val="20"/>
        </w:rPr>
        <w:t>the business combination takes place more than three years after the interested stockholder became an “interested stockholder;”</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Times New Roman" w:hAnsi="Times New Roman"/>
          <w:color w:val="000000"/>
          <w:sz w:val="20"/>
        </w:rPr>
        <w:t>our board of directors approves the transaction that made the stockholder an “interested stockholder” prior to the date of the transaction;</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Times New Roman" w:hAnsi="Times New Roman"/>
          <w:color w:val="000000"/>
          <w:sz w:val="20"/>
        </w:rPr>
        <w:t>after the completion of the transaction that resulted in the stockholder becoming an interested stockholder, that stockholder owned at least 85% of our voting stock outstanding, other than statutorily excluded shares of common stock; or</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Times New Roman" w:hAnsi="Times New Roman"/>
          <w:color w:val="000000"/>
          <w:sz w:val="20"/>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r>
        <w:rPr>
          <w:color w:val="000000"/>
        </w:rPr>
        <w:t xml:space="preserve"> </w:t>
      </w:r>
    </w:p>
    <w:p>
      <w:pPr>
        <w:pStyle w:val="TextBody"/>
        <w:bidi w:val="0"/>
        <w:ind w:left="720" w:right="0" w:hanging="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0"/>
        </w:rPr>
        <w:t>Limitation on Liability of Directors and Officers and Indemnification</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restated certificate of incorporation provides that our directors and officers will not be personally liable to us or our stockholders for monetary damages for any breach of fiduciary duty as a director or an officer, except to the extent such exemption from liability or limitation is not permitted under the DGCL, as may be amended. The DGCL provides that the certificate of incorporation may not eliminate or limit the liability of:</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Times New Roman" w:hAnsi="Times New Roman"/>
          <w:color w:val="000000"/>
          <w:sz w:val="20"/>
        </w:rPr>
        <w:t>a director or officer for any breach of the director’s or officer’s duty of loyalty to us or our stockholders;</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Times New Roman" w:hAnsi="Times New Roman"/>
          <w:color w:val="000000"/>
          <w:sz w:val="20"/>
        </w:rPr>
        <w:t>a director or officer for acts or omissions not in good faith or which involve intentional misconduct or a knowing violation of law;</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director pursuant to Section 174 of the DGCL;</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director or officer for any transaction from which the director or officer derived an improper personal benefit; or</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officer in any action by or in the right of us.</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amended and restated bylaws provide that we must indemnify our directors and officers to the fullest extent permitted by law. We are also expressly authorized to advance certain expenses (including attorneys’ fees) to our directors and officers and carry directors’ and officers’ insurance providing indemnification for our directors and officers for some liabilities. We believe that these indemnification provisions and insurance are useful to attract and retain qualified directors and executive officers. In addition, we have entered into separate indemnification agreements with each of our directors and executive officers. </w:t>
      </w:r>
    </w:p>
    <w:p>
      <w:pPr>
        <w:pStyle w:val="TextBody"/>
        <w:bidi w:val="0"/>
        <w:spacing w:before="0" w:after="200"/>
        <w:jc w:val="left"/>
        <w:rPr>
          <w:rFonts w:ascii="Times New Roman" w:hAnsi="Times New Roman"/>
          <w:sz w:val="20"/>
        </w:rPr>
      </w:pPr>
      <w:r>
        <w:rPr>
          <w:rFonts w:ascii="Times New Roman" w:hAnsi="Times New Roman"/>
          <w:b/>
          <w:color w:val="000000"/>
          <w:sz w:val="20"/>
        </w:rPr>
        <w:t>Registration Rights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are party to an amended and restated investors’ rights agreement that provides that certain holders of our capital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registration rights set forth in the amended and restated investors’ rights agreement will terminate (i) on September 21, 2026 or (ii) with respect to any particular stockholder, the earliest of when such stockholder is able to sell all of its shares pursuant to Rule 144(b)(1)(i) of the Securities Act or holds 1% or less of our outstanding Class A common stock, which includes shares of Class B common stock convertible into Class A common stock, and is able to sell all of its registrable shares pursuant to Rule 144 of the Securities Act during any three month period. We will pay the registration expenses (other than underwriting discounts and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 </w:t>
      </w:r>
    </w:p>
    <w:p>
      <w:pPr>
        <w:pStyle w:val="TextBody"/>
        <w:bidi w:val="0"/>
        <w:spacing w:before="0" w:after="200"/>
        <w:jc w:val="left"/>
        <w:rPr>
          <w:rFonts w:ascii="Times New Roman" w:hAnsi="Times New Roman"/>
          <w:sz w:val="20"/>
        </w:rPr>
      </w:pPr>
      <w:r>
        <w:rPr>
          <w:rFonts w:ascii="Times New Roman" w:hAnsi="Times New Roman"/>
          <w:b/>
          <w:i/>
          <w:color w:val="000000"/>
          <w:sz w:val="20"/>
        </w:rPr>
        <w:t>Demand Registration Rights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Certain holders of our Class A common stock and Class B common stock are entitled to certain demand registration rights. At any time beginning six months after the effectiveness of the registration statement related to our Direct Listing, holders of at least 50% of these shares of registrable securities can request that we register the offer and sale of their shares. We are obligated to effect only one such registration. Such request for registration must cover securities the anticipated aggregate offering price of which is at least $15.0 million. We will not be required to effect a demand registration during the period beginning 60 days prior to our good faith estimate of the date of the filing of, and ending on a date 180 days following the effectiveness of, a registration statement relating to the public offering of our Class A common stock. If we determine that it would be seriously detrimental to us and our stockholders to effect such a demand registration, we have the right to defer such registration, not more than once in any 12-month period, for a period of up to 90 days. </w:t>
      </w:r>
    </w:p>
    <w:p>
      <w:pPr>
        <w:pStyle w:val="TextBody"/>
        <w:bidi w:val="0"/>
        <w:spacing w:before="0" w:after="200"/>
        <w:jc w:val="left"/>
        <w:rPr>
          <w:rFonts w:ascii="Times New Roman" w:hAnsi="Times New Roman"/>
          <w:sz w:val="20"/>
        </w:rPr>
      </w:pPr>
      <w:r>
        <w:rPr>
          <w:rFonts w:ascii="Times New Roman" w:hAnsi="Times New Roman"/>
          <w:b/>
          <w:i/>
          <w:color w:val="000000"/>
          <w:sz w:val="20"/>
        </w:rPr>
        <w:t>Piggyback Registration Rights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the event that we propose to register any of our securities under the Securities Act, either for our own account or for the account of other security holders, certain holders of our Class A common stock and Class B common stock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demand registration, (ii) a registration relating solely to the sale of securities of participants in our stock plan, (iii) a registration relating to a corporate reorganization or transaction under Rule 145 of the Securities Act, (iv) a registration on any registration form that does not include substantially the same information as would be required to be included in a registration statement covering the sale of such shares, or (v) a registration in which the only shares being registered are shares issuable upon conversion of debt securities that are also being registered, the holders of such shares are entitled to notice of the registration and have the right, subject to certain limitations, to include their shares in the registration. </w:t>
      </w:r>
    </w:p>
    <w:p>
      <w:pPr>
        <w:pStyle w:val="TextBody"/>
        <w:bidi w:val="0"/>
        <w:spacing w:before="0" w:after="200"/>
        <w:jc w:val="left"/>
        <w:rPr>
          <w:rFonts w:ascii="Times New Roman" w:hAnsi="Times New Roman"/>
          <w:sz w:val="20"/>
        </w:rPr>
      </w:pPr>
      <w:r>
        <w:rPr>
          <w:rFonts w:ascii="Times New Roman" w:hAnsi="Times New Roman"/>
          <w:b/>
          <w:i/>
          <w:color w:val="000000"/>
          <w:sz w:val="20"/>
        </w:rPr>
        <w:t>S-3 Registration Rights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Certain holders of our Class A common stock and Class B common stock are entitled to certain Form S-3 registration rights. The holders of at least 30% of these shares then outstanding may make a request that we register </w:t>
      </w:r>
    </w:p>
    <w:p>
      <w:pPr>
        <w:pStyle w:val="HorizontalLine"/>
        <w:pBdr>
          <w:bottom w:val="double" w:sz="2" w:space="0" w:color="808080"/>
        </w:pBdr>
        <w:bidi w:val="0"/>
        <w:spacing w:before="0" w:after="283"/>
        <w:jc w:val="left"/>
        <w:rPr/>
      </w:pPr>
      <w:r>
        <w:rPr/>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offer and sale of their shares on a registration statement on Form S-3, if we are eligible to file a registration statement on Form S-3 and so long as the request covers securities the anticipated aggregate public offering price of which is at least $10.0 million, net of any underwriters’ discounts, or commissions.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once in any 12-month period, for a period of up to 90 days. </w:t>
      </w:r>
    </w:p>
    <w:p>
      <w:pPr>
        <w:pStyle w:val="TextBody"/>
        <w:bidi w:val="0"/>
        <w:spacing w:before="0" w:after="200"/>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transfer agent and registrar for our Class A common stock and Class B common stock is Computershare Trust Company, N.A. The transfer agent and registrar’s address is 150 Royall Street, Canton, Massachusetts 02021, and its telephone number is (800) 704-4098. </w:t>
      </w:r>
    </w:p>
    <w:p>
      <w:pPr>
        <w:pStyle w:val="TextBody"/>
        <w:bidi w:val="0"/>
        <w:spacing w:before="0" w:after="200"/>
        <w:jc w:val="left"/>
        <w:rPr>
          <w:rFonts w:ascii="Times New Roman" w:hAnsi="Times New Roman"/>
          <w:sz w:val="20"/>
        </w:rPr>
      </w:pPr>
      <w:r>
        <w:rPr>
          <w:rFonts w:ascii="Times New Roman" w:hAnsi="Times New Roman"/>
          <w:b/>
          <w:color w:val="000000"/>
          <w:sz w:val="20"/>
        </w:rPr>
        <w:t>Listing</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Class A common stock is listed on the Nasdaq Capital Market under the symbol “AMPL.”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ampl-ex19_1.htm"/>
      <w:bookmarkStart w:id="41" w:name="ksamplex19_1"/>
      <w:bookmarkEnd w:id="40"/>
      <w:bookmarkEnd w:id="41"/>
      <w:r>
        <w:rPr>
          <w:rFonts w:ascii="Times New Roman" w:hAnsi="Times New Roman"/>
          <w:b/>
          <w:color w:val="000000"/>
          <w:sz w:val="20"/>
        </w:rPr>
        <w:t>Exhibit 19.1</w:t>
      </w:r>
      <w:r>
        <w:br w:type="page"/>
      </w:r>
    </w:p>
    <w:p>
      <w:pPr>
        <w:pStyle w:val="Heading1"/>
        <w:bidi w:val="0"/>
        <w:spacing w:before="80" w:after="8"/>
        <w:ind w:left="2160" w:right="1968" w:hanging="0"/>
        <w:jc w:val="center"/>
        <w:rPr/>
      </w:pPr>
      <w:r>
        <w:rPr/>
        <w:t> </w:t>
      </w:r>
    </w:p>
    <w:tbl>
      <w:tblPr>
        <w:tblW w:w="10205" w:type="dxa"/>
        <w:jc w:val="left"/>
        <w:tblInd w:w="0" w:type="dxa"/>
        <w:tblLayout w:type="fixed"/>
        <w:tblCellMar>
          <w:top w:w="28" w:type="dxa"/>
          <w:left w:w="28" w:type="dxa"/>
          <w:bottom w:w="28" w:type="dxa"/>
          <w:right w:w="28" w:type="dxa"/>
        </w:tblCellMar>
      </w:tblPr>
      <w:tblGrid>
        <w:gridCol w:w="7474"/>
        <w:gridCol w:w="2731"/>
      </w:tblGrid>
      <w:tr>
        <w:trPr/>
        <w:tc>
          <w:tcPr>
            <w:tcW w:w="7474"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ind w:left="0" w:right="0" w:firstLine="2540"/>
              <w:jc w:val="left"/>
              <w:rPr>
                <w:sz w:val="4"/>
                <w:szCs w:val="4"/>
              </w:rPr>
            </w:pPr>
            <w:r>
              <w:rPr>
                <w:sz w:val="4"/>
                <w:szCs w:val="4"/>
              </w:rPr>
            </w:r>
          </w:p>
        </w:tc>
      </w:tr>
      <w:tr>
        <w:trPr/>
        <w:tc>
          <w:tcPr>
            <w:tcW w:w="7474" w:type="dxa"/>
            <w:tcBorders/>
            <w:tcMar>
              <w:top w:w="0" w:type="dxa"/>
              <w:left w:w="0" w:type="dxa"/>
              <w:bottom w:w="0" w:type="dxa"/>
              <w:right w:w="0" w:type="dxa"/>
            </w:tcMar>
            <w:vAlign w:val="center"/>
          </w:tcPr>
          <w:p>
            <w:pPr>
              <w:pStyle w:val="TableContents"/>
              <w:bidi w:val="0"/>
              <w:spacing w:before="0" w:after="283"/>
              <w:ind w:left="2540" w:right="981" w:firstLine="2540"/>
              <w:jc w:val="center"/>
              <w:rPr>
                <w:rFonts w:ascii="Times New Roman" w:hAnsi="Times New Roman"/>
                <w:b/>
                <w:color w:val="000000"/>
                <w:sz w:val="20"/>
              </w:rPr>
            </w:pPr>
            <w:r>
              <w:rPr>
                <w:rFonts w:ascii="Times New Roman" w:hAnsi="Times New Roman"/>
                <w:b/>
                <w:color w:val="000000"/>
                <w:sz w:val="20"/>
              </w:rPr>
              <w:t>AMPLITUDE, INC.</w:t>
            </w:r>
          </w:p>
        </w:tc>
        <w:tc>
          <w:tcPr>
            <w:tcW w:w="2731" w:type="dxa"/>
            <w:tcBorders/>
            <w:tcMar>
              <w:top w:w="0" w:type="dxa"/>
              <w:left w:w="0" w:type="dxa"/>
              <w:bottom w:w="0" w:type="dxa"/>
              <w:right w:w="0" w:type="dxa"/>
            </w:tcMar>
            <w:vAlign w:val="center"/>
          </w:tcPr>
          <w:p>
            <w:pPr>
              <w:pStyle w:val="TableContents"/>
              <w:bidi w:val="0"/>
              <w:spacing w:before="0" w:after="283"/>
              <w:ind w:left="0" w:right="0" w:firstLine="2540"/>
              <w:jc w:val="center"/>
              <w:rPr/>
            </w:pPr>
            <w:r>
              <w:rPr/>
              <w:t> </w:t>
            </w:r>
          </w:p>
        </w:tc>
      </w:tr>
      <w:tr>
        <w:trPr/>
        <w:tc>
          <w:tcPr>
            <w:tcW w:w="7474" w:type="dxa"/>
            <w:tcBorders/>
            <w:tcMar>
              <w:top w:w="0" w:type="dxa"/>
              <w:left w:w="0" w:type="dxa"/>
              <w:bottom w:w="0" w:type="dxa"/>
              <w:right w:w="0" w:type="dxa"/>
            </w:tcMar>
            <w:vAlign w:val="center"/>
          </w:tcPr>
          <w:p>
            <w:pPr>
              <w:pStyle w:val="TableContents"/>
              <w:bidi w:val="0"/>
              <w:spacing w:before="0" w:after="283"/>
              <w:ind w:left="2540" w:right="981" w:firstLine="2540"/>
              <w:jc w:val="center"/>
              <w:rPr>
                <w:rFonts w:ascii="Times New Roman" w:hAnsi="Times New Roman"/>
                <w:b/>
                <w:color w:val="000000"/>
                <w:sz w:val="20"/>
              </w:rPr>
            </w:pPr>
            <w:r>
              <w:rPr>
                <w:rFonts w:ascii="Times New Roman" w:hAnsi="Times New Roman"/>
                <w:b/>
                <w:color w:val="000000"/>
                <w:sz w:val="20"/>
              </w:rPr>
              <w:t>INSIDER TRADING COMPLIANCE POLICY</w:t>
            </w:r>
          </w:p>
        </w:tc>
        <w:tc>
          <w:tcPr>
            <w:tcW w:w="2731" w:type="dxa"/>
            <w:tcBorders/>
            <w:tcMar>
              <w:top w:w="0" w:type="dxa"/>
              <w:left w:w="0" w:type="dxa"/>
              <w:bottom w:w="0" w:type="dxa"/>
              <w:right w:w="0" w:type="dxa"/>
            </w:tcMar>
            <w:vAlign w:val="center"/>
          </w:tcPr>
          <w:p>
            <w:pPr>
              <w:pStyle w:val="TableContents"/>
              <w:bidi w:val="0"/>
              <w:spacing w:before="0" w:after="283"/>
              <w:ind w:left="0" w:right="0" w:firstLine="2540"/>
              <w:jc w:val="center"/>
              <w:rPr/>
            </w:pPr>
            <w:r>
              <w:rPr/>
              <w:t> </w:t>
            </w:r>
          </w:p>
        </w:tc>
      </w:tr>
      <w:tr>
        <w:trPr/>
        <w:tc>
          <w:tcPr>
            <w:tcW w:w="7474" w:type="dxa"/>
            <w:tcBorders/>
            <w:tcMar>
              <w:top w:w="0" w:type="dxa"/>
              <w:left w:w="0" w:type="dxa"/>
              <w:bottom w:w="0" w:type="dxa"/>
              <w:right w:w="0" w:type="dxa"/>
            </w:tcMar>
            <w:vAlign w:val="center"/>
          </w:tcPr>
          <w:p>
            <w:pPr>
              <w:pStyle w:val="TableContents"/>
              <w:bidi w:val="0"/>
              <w:spacing w:before="0" w:after="283"/>
              <w:ind w:left="2540" w:right="981" w:firstLine="2540"/>
              <w:jc w:val="center"/>
              <w:rPr>
                <w:rFonts w:ascii="Times New Roman" w:hAnsi="Times New Roman"/>
                <w:b/>
                <w:color w:val="000000"/>
                <w:sz w:val="20"/>
              </w:rPr>
            </w:pPr>
            <w:r>
              <w:rPr>
                <w:rFonts w:ascii="Times New Roman" w:hAnsi="Times New Roman"/>
                <w:b/>
                <w:color w:val="000000"/>
                <w:sz w:val="20"/>
              </w:rPr>
              <w:t>Effective December 2, 2025</w:t>
            </w:r>
          </w:p>
        </w:tc>
        <w:tc>
          <w:tcPr>
            <w:tcW w:w="2731" w:type="dxa"/>
            <w:tcBorders/>
            <w:tcMar>
              <w:top w:w="0" w:type="dxa"/>
              <w:left w:w="0" w:type="dxa"/>
              <w:bottom w:w="0" w:type="dxa"/>
              <w:right w:w="0" w:type="dxa"/>
            </w:tcMar>
            <w:vAlign w:val="center"/>
          </w:tcPr>
          <w:p>
            <w:pPr>
              <w:pStyle w:val="TableContents"/>
              <w:bidi w:val="0"/>
              <w:spacing w:before="0" w:after="283"/>
              <w:ind w:left="0" w:right="0" w:firstLine="2540"/>
              <w:jc w:val="center"/>
              <w:rPr/>
            </w:pPr>
            <w:r>
              <w:rPr/>
              <w:t> </w:t>
            </w:r>
          </w:p>
        </w:tc>
      </w:tr>
      <w:tr>
        <w:trPr/>
        <w:tc>
          <w:tcPr>
            <w:tcW w:w="7474" w:type="dxa"/>
            <w:tcBorders/>
            <w:tcMar>
              <w:top w:w="0" w:type="dxa"/>
              <w:left w:w="0" w:type="dxa"/>
              <w:bottom w:w="0" w:type="dxa"/>
              <w:right w:w="0" w:type="dxa"/>
            </w:tcMar>
            <w:vAlign w:val="center"/>
          </w:tcPr>
          <w:p>
            <w:pPr>
              <w:pStyle w:val="TableContents"/>
              <w:bidi w:val="0"/>
              <w:spacing w:before="117" w:after="283"/>
              <w:ind w:left="2540" w:right="981" w:firstLine="2540"/>
              <w:jc w:val="center"/>
              <w:rPr>
                <w:rFonts w:ascii="Times New Roman" w:hAnsi="Times New Roman"/>
                <w:b/>
                <w:color w:val="000000"/>
                <w:sz w:val="20"/>
              </w:rPr>
            </w:pPr>
            <w:r>
              <w:rPr>
                <w:rFonts w:ascii="Times New Roman" w:hAnsi="Times New Roman"/>
                <w:b/>
                <w:color w:val="000000"/>
                <w:sz w:val="20"/>
              </w:rPr>
              <w:t>Contents</w:t>
            </w:r>
          </w:p>
        </w:tc>
        <w:tc>
          <w:tcPr>
            <w:tcW w:w="27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7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b/>
                <w:color w:val="000000"/>
                <w:sz w:val="20"/>
              </w:rPr>
            </w:pPr>
            <w:r>
              <w:rPr>
                <w:rFonts w:ascii="Times New Roman" w:hAnsi="Times New Roman"/>
                <w:b/>
                <w:color w:val="000000"/>
                <w:sz w:val="20"/>
              </w:rPr>
              <w:t>Page</w:t>
            </w:r>
          </w:p>
        </w:tc>
      </w:tr>
      <w:tr>
        <w:trPr/>
        <w:tc>
          <w:tcPr>
            <w:tcW w:w="7474" w:type="dxa"/>
            <w:tcBorders/>
            <w:tcMar>
              <w:top w:w="0" w:type="dxa"/>
              <w:left w:w="0" w:type="dxa"/>
              <w:bottom w:w="0" w:type="dxa"/>
              <w:right w:w="0" w:type="dxa"/>
            </w:tcMar>
            <w:vAlign w:val="center"/>
          </w:tcPr>
          <w:p>
            <w:pPr>
              <w:pStyle w:val="TableContents"/>
              <w:bidi w:val="0"/>
              <w:spacing w:before="117" w:after="283"/>
              <w:ind w:left="50" w:right="0" w:firstLine="50"/>
              <w:jc w:val="left"/>
              <w:rPr>
                <w:rFonts w:ascii="Times New Roman" w:hAnsi="Times New Roman"/>
                <w:color w:val="000000"/>
                <w:sz w:val="20"/>
              </w:rPr>
            </w:pPr>
            <w:r>
              <w:rPr>
                <w:rFonts w:ascii="Times New Roman" w:hAnsi="Times New Roman"/>
                <w:color w:val="000000"/>
                <w:sz w:val="20"/>
              </w:rPr>
              <w:t>I. Summary</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color w:val="000000"/>
                <w:sz w:val="20"/>
              </w:rPr>
            </w:pPr>
            <w:r>
              <w:rPr>
                <w:rFonts w:ascii="Times New Roman" w:hAnsi="Times New Roman"/>
                <w:color w:val="000000"/>
                <w:sz w:val="20"/>
              </w:rPr>
              <w:t>1</w:t>
            </w:r>
          </w:p>
        </w:tc>
      </w:tr>
      <w:tr>
        <w:trPr/>
        <w:tc>
          <w:tcPr>
            <w:tcW w:w="7474" w:type="dxa"/>
            <w:tcBorders/>
            <w:tcMar>
              <w:top w:w="0" w:type="dxa"/>
              <w:left w:w="0" w:type="dxa"/>
              <w:bottom w:w="0" w:type="dxa"/>
              <w:right w:w="0" w:type="dxa"/>
            </w:tcMar>
            <w:vAlign w:val="center"/>
          </w:tcPr>
          <w:p>
            <w:pPr>
              <w:pStyle w:val="TableContents"/>
              <w:bidi w:val="0"/>
              <w:spacing w:before="115" w:after="283"/>
              <w:ind w:left="50" w:right="0" w:firstLine="50"/>
              <w:jc w:val="left"/>
              <w:rPr>
                <w:rFonts w:ascii="Times New Roman" w:hAnsi="Times New Roman"/>
                <w:color w:val="000000"/>
                <w:sz w:val="20"/>
              </w:rPr>
            </w:pPr>
            <w:r>
              <w:rPr>
                <w:rFonts w:ascii="Times New Roman" w:hAnsi="Times New Roman"/>
                <w:color w:val="000000"/>
                <w:sz w:val="20"/>
              </w:rPr>
              <w:t>II. Statement of Policies Prohibiting Insider Trading</w:t>
            </w:r>
          </w:p>
        </w:tc>
        <w:tc>
          <w:tcPr>
            <w:tcW w:w="2731" w:type="dxa"/>
            <w:tcBorders/>
            <w:tcMar>
              <w:top w:w="0" w:type="dxa"/>
              <w:left w:w="0" w:type="dxa"/>
              <w:bottom w:w="0" w:type="dxa"/>
              <w:right w:w="0" w:type="dxa"/>
            </w:tcMar>
            <w:vAlign w:val="center"/>
          </w:tcPr>
          <w:p>
            <w:pPr>
              <w:pStyle w:val="TableContents"/>
              <w:bidi w:val="0"/>
              <w:spacing w:before="115" w:after="283"/>
              <w:ind w:left="0" w:right="0" w:firstLine="50"/>
              <w:jc w:val="right"/>
              <w:rPr>
                <w:rFonts w:ascii="Times New Roman" w:hAnsi="Times New Roman"/>
                <w:color w:val="000000"/>
                <w:sz w:val="20"/>
              </w:rPr>
            </w:pPr>
            <w:r>
              <w:rPr>
                <w:rFonts w:ascii="Times New Roman" w:hAnsi="Times New Roman"/>
                <w:color w:val="000000"/>
                <w:sz w:val="20"/>
              </w:rPr>
              <w:t>2</w:t>
            </w:r>
          </w:p>
        </w:tc>
      </w:tr>
      <w:tr>
        <w:trPr/>
        <w:tc>
          <w:tcPr>
            <w:tcW w:w="7474" w:type="dxa"/>
            <w:tcBorders/>
            <w:tcMar>
              <w:top w:w="0" w:type="dxa"/>
              <w:left w:w="0" w:type="dxa"/>
              <w:bottom w:w="0" w:type="dxa"/>
              <w:right w:w="0" w:type="dxa"/>
            </w:tcMar>
            <w:vAlign w:val="center"/>
          </w:tcPr>
          <w:p>
            <w:pPr>
              <w:pStyle w:val="TableContents"/>
              <w:bidi w:val="0"/>
              <w:spacing w:before="117" w:after="283"/>
              <w:ind w:left="50" w:right="0" w:firstLine="50"/>
              <w:jc w:val="left"/>
              <w:rPr>
                <w:rFonts w:ascii="Times New Roman" w:hAnsi="Times New Roman"/>
                <w:color w:val="000000"/>
                <w:sz w:val="20"/>
              </w:rPr>
            </w:pPr>
            <w:r>
              <w:rPr>
                <w:rFonts w:ascii="Times New Roman" w:hAnsi="Times New Roman"/>
                <w:color w:val="000000"/>
                <w:sz w:val="20"/>
              </w:rPr>
              <w:t>III. Explanation of Insider Trading</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color w:val="000000"/>
                <w:sz w:val="20"/>
              </w:rPr>
            </w:pPr>
            <w:r>
              <w:rPr>
                <w:rFonts w:ascii="Times New Roman" w:hAnsi="Times New Roman"/>
                <w:color w:val="000000"/>
                <w:sz w:val="20"/>
              </w:rPr>
              <w:t>3</w:t>
            </w:r>
          </w:p>
        </w:tc>
      </w:tr>
      <w:tr>
        <w:trPr/>
        <w:tc>
          <w:tcPr>
            <w:tcW w:w="7474" w:type="dxa"/>
            <w:tcBorders/>
            <w:tcMar>
              <w:top w:w="0" w:type="dxa"/>
              <w:left w:w="0" w:type="dxa"/>
              <w:bottom w:w="0" w:type="dxa"/>
              <w:right w:w="0" w:type="dxa"/>
            </w:tcMar>
            <w:vAlign w:val="center"/>
          </w:tcPr>
          <w:p>
            <w:pPr>
              <w:pStyle w:val="TableContents"/>
              <w:bidi w:val="0"/>
              <w:spacing w:before="117" w:after="283"/>
              <w:ind w:left="50" w:right="0" w:firstLine="50"/>
              <w:jc w:val="left"/>
              <w:rPr>
                <w:rFonts w:ascii="Times New Roman" w:hAnsi="Times New Roman"/>
                <w:color w:val="000000"/>
                <w:sz w:val="20"/>
              </w:rPr>
            </w:pPr>
            <w:r>
              <w:rPr>
                <w:rFonts w:ascii="Times New Roman" w:hAnsi="Times New Roman"/>
                <w:color w:val="000000"/>
                <w:sz w:val="20"/>
              </w:rPr>
              <w:t>IV. Statement of Procedures to Prevent Insider Trading</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color w:val="000000"/>
                <w:sz w:val="20"/>
              </w:rPr>
            </w:pPr>
            <w:r>
              <w:rPr>
                <w:rFonts w:ascii="Times New Roman" w:hAnsi="Times New Roman"/>
                <w:color w:val="000000"/>
                <w:sz w:val="20"/>
              </w:rPr>
              <w:t>7</w:t>
            </w:r>
          </w:p>
        </w:tc>
      </w:tr>
      <w:tr>
        <w:trPr/>
        <w:tc>
          <w:tcPr>
            <w:tcW w:w="7474" w:type="dxa"/>
            <w:tcBorders/>
            <w:tcMar>
              <w:top w:w="0" w:type="dxa"/>
              <w:left w:w="0" w:type="dxa"/>
              <w:bottom w:w="0" w:type="dxa"/>
              <w:right w:w="0" w:type="dxa"/>
            </w:tcMar>
            <w:vAlign w:val="center"/>
          </w:tcPr>
          <w:p>
            <w:pPr>
              <w:pStyle w:val="TableContents"/>
              <w:bidi w:val="0"/>
              <w:spacing w:before="115" w:after="283"/>
              <w:ind w:left="50" w:right="0" w:firstLine="50"/>
              <w:jc w:val="left"/>
              <w:rPr>
                <w:rFonts w:ascii="Times New Roman" w:hAnsi="Times New Roman"/>
                <w:color w:val="000000"/>
                <w:sz w:val="20"/>
              </w:rPr>
            </w:pPr>
            <w:r>
              <w:rPr>
                <w:rFonts w:ascii="Times New Roman" w:hAnsi="Times New Roman"/>
                <w:color w:val="000000"/>
                <w:sz w:val="20"/>
              </w:rPr>
              <w:t>V. Additional Prohibited Transactions</w:t>
            </w:r>
          </w:p>
        </w:tc>
        <w:tc>
          <w:tcPr>
            <w:tcW w:w="2731" w:type="dxa"/>
            <w:tcBorders/>
            <w:tcMar>
              <w:top w:w="0" w:type="dxa"/>
              <w:left w:w="0" w:type="dxa"/>
              <w:bottom w:w="0" w:type="dxa"/>
              <w:right w:w="0" w:type="dxa"/>
            </w:tcMar>
            <w:vAlign w:val="center"/>
          </w:tcPr>
          <w:p>
            <w:pPr>
              <w:pStyle w:val="TableContents"/>
              <w:bidi w:val="0"/>
              <w:spacing w:before="115" w:after="283"/>
              <w:ind w:left="0" w:right="0" w:firstLine="50"/>
              <w:jc w:val="right"/>
              <w:rPr>
                <w:rFonts w:ascii="Times New Roman" w:hAnsi="Times New Roman"/>
                <w:color w:val="000000"/>
                <w:sz w:val="20"/>
              </w:rPr>
            </w:pPr>
            <w:r>
              <w:rPr>
                <w:rFonts w:ascii="Times New Roman" w:hAnsi="Times New Roman"/>
                <w:color w:val="000000"/>
                <w:sz w:val="20"/>
              </w:rPr>
              <w:t>10</w:t>
            </w:r>
          </w:p>
        </w:tc>
      </w:tr>
      <w:tr>
        <w:trPr/>
        <w:tc>
          <w:tcPr>
            <w:tcW w:w="7474" w:type="dxa"/>
            <w:tcBorders/>
            <w:tcMar>
              <w:top w:w="0" w:type="dxa"/>
              <w:left w:w="0" w:type="dxa"/>
              <w:bottom w:w="0" w:type="dxa"/>
              <w:right w:w="0" w:type="dxa"/>
            </w:tcMar>
            <w:vAlign w:val="center"/>
          </w:tcPr>
          <w:p>
            <w:pPr>
              <w:pStyle w:val="TableContents"/>
              <w:bidi w:val="0"/>
              <w:spacing w:before="117" w:after="283"/>
              <w:ind w:left="50" w:right="0" w:firstLine="50"/>
              <w:jc w:val="left"/>
              <w:rPr>
                <w:rFonts w:ascii="Times New Roman" w:hAnsi="Times New Roman"/>
                <w:color w:val="000000"/>
                <w:sz w:val="20"/>
              </w:rPr>
            </w:pPr>
            <w:r>
              <w:rPr>
                <w:rFonts w:ascii="Times New Roman" w:hAnsi="Times New Roman"/>
                <w:color w:val="000000"/>
                <w:sz w:val="20"/>
              </w:rPr>
              <w:t>VI. Rule 10b5-1 Trading Plans, Section 16, and Rule 144</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color w:val="000000"/>
                <w:sz w:val="20"/>
              </w:rPr>
            </w:pPr>
            <w:r>
              <w:rPr>
                <w:rFonts w:ascii="Times New Roman" w:hAnsi="Times New Roman"/>
                <w:color w:val="000000"/>
                <w:sz w:val="20"/>
              </w:rPr>
              <w:t>11</w:t>
            </w:r>
          </w:p>
        </w:tc>
      </w:tr>
      <w:tr>
        <w:trPr/>
        <w:tc>
          <w:tcPr>
            <w:tcW w:w="7474" w:type="dxa"/>
            <w:tcBorders/>
            <w:tcMar>
              <w:top w:w="0" w:type="dxa"/>
              <w:left w:w="0" w:type="dxa"/>
              <w:bottom w:w="0" w:type="dxa"/>
              <w:right w:w="0" w:type="dxa"/>
            </w:tcMar>
            <w:vAlign w:val="center"/>
          </w:tcPr>
          <w:p>
            <w:pPr>
              <w:pStyle w:val="TableContents"/>
              <w:bidi w:val="0"/>
              <w:spacing w:before="117" w:after="283"/>
              <w:ind w:left="50" w:right="0" w:firstLine="50"/>
              <w:jc w:val="left"/>
              <w:rPr>
                <w:rFonts w:ascii="Times New Roman" w:hAnsi="Times New Roman"/>
                <w:color w:val="000000"/>
                <w:sz w:val="20"/>
              </w:rPr>
            </w:pPr>
            <w:r>
              <w:rPr>
                <w:rFonts w:ascii="Times New Roman" w:hAnsi="Times New Roman"/>
                <w:color w:val="000000"/>
                <w:sz w:val="20"/>
              </w:rPr>
              <w:t>VII. Certification of Compliance</w:t>
            </w:r>
          </w:p>
        </w:tc>
        <w:tc>
          <w:tcPr>
            <w:tcW w:w="2731" w:type="dxa"/>
            <w:tcBorders/>
            <w:tcMar>
              <w:top w:w="0" w:type="dxa"/>
              <w:left w:w="0" w:type="dxa"/>
              <w:bottom w:w="0" w:type="dxa"/>
              <w:right w:w="0" w:type="dxa"/>
            </w:tcMar>
            <w:vAlign w:val="center"/>
          </w:tcPr>
          <w:p>
            <w:pPr>
              <w:pStyle w:val="TableContents"/>
              <w:bidi w:val="0"/>
              <w:spacing w:before="117" w:after="283"/>
              <w:ind w:left="0" w:right="47" w:hanging="0"/>
              <w:jc w:val="right"/>
              <w:rPr>
                <w:rFonts w:ascii="Times New Roman" w:hAnsi="Times New Roman"/>
                <w:color w:val="000000"/>
                <w:sz w:val="20"/>
              </w:rPr>
            </w:pPr>
            <w:r>
              <w:rPr>
                <w:rFonts w:ascii="Times New Roman" w:hAnsi="Times New Roman"/>
                <w:color w:val="000000"/>
                <w:sz w:val="20"/>
              </w:rPr>
              <w:t>14</w:t>
            </w:r>
          </w:p>
        </w:tc>
      </w:tr>
    </w:tbl>
    <w:p>
      <w:pPr>
        <w:pStyle w:val="Heading1"/>
        <w:bidi w:val="0"/>
        <w:spacing w:before="9" w:after="283"/>
        <w:jc w:val="left"/>
        <w:rPr/>
      </w:pPr>
      <w:r>
        <w:rPr/>
        <w:t> </w:t>
      </w:r>
    </w:p>
    <w:p>
      <w:pPr>
        <w:pStyle w:val="TextBody"/>
        <w:bidi w:val="0"/>
        <w:ind w:left="160" w:right="0" w:hanging="0"/>
        <w:jc w:val="left"/>
        <w:rPr>
          <w:rFonts w:ascii="Times New Roman" w:hAnsi="Times New Roman"/>
          <w:color w:val="000000"/>
          <w:sz w:val="20"/>
        </w:rPr>
      </w:pPr>
      <w:r>
        <w:rPr>
          <w:rFonts w:ascii="Times New Roman" w:hAnsi="Times New Roman"/>
          <w:color w:val="000000"/>
          <w:sz w:val="20"/>
        </w:rPr>
        <w:t>Schedule I Individuals Subject to Preclearance Requirement</w:t>
      </w:r>
    </w:p>
    <w:p>
      <w:pPr>
        <w:pStyle w:val="TextBody"/>
        <w:bidi w:val="0"/>
        <w:jc w:val="left"/>
        <w:rPr/>
      </w:pPr>
      <w:r>
        <w:rPr/>
        <w:t> </w:t>
      </w:r>
    </w:p>
    <w:p>
      <w:pPr>
        <w:pStyle w:val="TextBody"/>
        <w:pBdr/>
        <w:bidi w:val="0"/>
        <w:ind w:left="160" w:right="158" w:hanging="720"/>
        <w:jc w:val="left"/>
        <w:rPr>
          <w:rFonts w:ascii="Times New Roman" w:hAnsi="Times New Roman"/>
          <w:color w:val="000000"/>
          <w:sz w:val="20"/>
        </w:rPr>
      </w:pPr>
      <w:r>
        <w:rPr>
          <w:rFonts w:ascii="Times New Roman" w:hAnsi="Times New Roman"/>
          <w:color w:val="000000"/>
          <w:sz w:val="20"/>
        </w:rPr>
        <w:t>Attachment A Short-Swing Profit Rule Section 16(b) Checklist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2273" w:right="2273" w:hanging="0"/>
        <w:jc w:val="center"/>
        <w:rPr>
          <w:rFonts w:ascii="Times New Roman" w:hAnsi="Times New Roman"/>
          <w:b/>
          <w:color w:val="000000"/>
          <w:sz w:val="20"/>
        </w:rPr>
      </w:pPr>
      <w:r>
        <w:rPr>
          <w:rFonts w:ascii="Times New Roman" w:hAnsi="Times New Roman"/>
          <w:b/>
          <w:color w:val="000000"/>
          <w:sz w:val="20"/>
        </w:rPr>
        <w:t>AMPLITUDE, INC.</w:t>
      </w:r>
    </w:p>
    <w:p>
      <w:pPr>
        <w:pStyle w:val="TextBody"/>
        <w:bidi w:val="0"/>
        <w:spacing w:before="1" w:after="283"/>
        <w:ind w:left="2273" w:right="2273" w:hanging="0"/>
        <w:jc w:val="center"/>
        <w:rPr>
          <w:rFonts w:ascii="Times New Roman" w:hAnsi="Times New Roman"/>
          <w:b/>
          <w:color w:val="000000"/>
          <w:sz w:val="20"/>
        </w:rPr>
      </w:pPr>
      <w:r>
        <w:rPr>
          <w:rFonts w:ascii="Times New Roman" w:hAnsi="Times New Roman"/>
          <w:b/>
          <w:color w:val="000000"/>
          <w:sz w:val="20"/>
        </w:rPr>
        <w:t>INSIDER TRADING COMPLIANCE POLICY</w:t>
      </w:r>
    </w:p>
    <w:p>
      <w:pPr>
        <w:pStyle w:val="TextBody"/>
        <w:bidi w:val="0"/>
        <w:spacing w:before="7" w:after="283"/>
        <w:jc w:val="left"/>
        <w:rPr/>
      </w:pPr>
      <w:r>
        <w:rPr/>
        <w:t> </w:t>
      </w:r>
    </w:p>
    <w:p>
      <w:pPr>
        <w:pStyle w:val="TextBody"/>
        <w:bidi w:val="0"/>
        <w:ind w:left="2273" w:right="2273" w:hanging="0"/>
        <w:jc w:val="center"/>
        <w:rPr>
          <w:rFonts w:ascii="Times New Roman" w:hAnsi="Times New Roman"/>
          <w:b/>
          <w:color w:val="000000"/>
          <w:sz w:val="20"/>
        </w:rPr>
      </w:pPr>
      <w:r>
        <w:rPr>
          <w:rFonts w:ascii="Times New Roman" w:hAnsi="Times New Roman"/>
          <w:b/>
          <w:color w:val="000000"/>
          <w:sz w:val="20"/>
        </w:rPr>
        <w:t>December 2, 2025</w:t>
      </w:r>
    </w:p>
    <w:p>
      <w:pPr>
        <w:pStyle w:val="TextBody"/>
        <w:bidi w:val="0"/>
        <w:jc w:val="left"/>
        <w:rPr/>
      </w:pPr>
      <w:r>
        <w:rPr/>
        <w:t> </w:t>
      </w:r>
    </w:p>
    <w:p>
      <w:pPr>
        <w:pStyle w:val="TextBody"/>
        <w:bidi w:val="0"/>
        <w:ind w:left="160" w:right="157" w:firstLine="720"/>
        <w:jc w:val="both"/>
        <w:rPr>
          <w:rFonts w:ascii="Times New Roman" w:hAnsi="Times New Roman"/>
          <w:color w:val="000000"/>
          <w:sz w:val="20"/>
        </w:rPr>
      </w:pPr>
      <w:r>
        <w:rPr>
          <w:rFonts w:ascii="Times New Roman" w:hAnsi="Times New Roman"/>
          <w:color w:val="000000"/>
          <w:sz w:val="20"/>
        </w:rPr>
        <w:t>Federal and state laws prohibit trading in the securities of a company while in possession of material nonpublic information and providing material nonpublic information to others so that they can trade. Violating such laws can undermine investor trust, harm the reputation of Amplitude, Inc. (together with its subsidiaries, the “Company”), and result in your dismissal from the Company or even serious criminal and civil charges against you and the Company. The Company requires its personnel to comply at all times with federal laws and regulations governing insider trading and reserves the right to take disciplinary or other measure(s) it determines in its sole discretion to be appropriate in any particular situation, including disclosure of wrongdoing to governmental authorities.</w:t>
      </w:r>
    </w:p>
    <w:p>
      <w:pPr>
        <w:pStyle w:val="TextBody"/>
        <w:bidi w:val="0"/>
        <w:spacing w:before="7" w:after="283"/>
        <w:jc w:val="left"/>
        <w:rPr/>
      </w:pPr>
      <w:r>
        <w:rPr/>
        <w:t> </w:t>
      </w:r>
    </w:p>
    <w:p>
      <w:pPr>
        <w:pStyle w:val="TextBody"/>
        <w:bidi w:val="0"/>
        <w:ind w:left="160" w:right="157" w:firstLine="720"/>
        <w:jc w:val="both"/>
        <w:rPr>
          <w:rFonts w:ascii="Times New Roman" w:hAnsi="Times New Roman"/>
          <w:sz w:val="20"/>
        </w:rPr>
      </w:pPr>
      <w:r>
        <w:rPr>
          <w:rFonts w:ascii="Times New Roman" w:hAnsi="Times New Roman"/>
          <w:color w:val="000000"/>
          <w:sz w:val="20"/>
        </w:rPr>
        <w:t>This Insider Trading Compliance Policy (this “</w:t>
      </w:r>
      <w:r>
        <w:rPr>
          <w:rFonts w:ascii="Times New Roman" w:hAnsi="Times New Roman"/>
          <w:color w:val="000000"/>
          <w:sz w:val="20"/>
          <w:u w:val="single"/>
        </w:rPr>
        <w:t>Policy</w:t>
      </w:r>
      <w:r>
        <w:rPr>
          <w:rFonts w:ascii="Times New Roman" w:hAnsi="Times New Roman"/>
          <w:color w:val="000000"/>
          <w:sz w:val="20"/>
        </w:rPr>
        <w:t>”) outlines your responsibilities to avoid insider trading and implements certain procedures to help you avoid even the appearance of insider trading.</w:t>
      </w:r>
    </w:p>
    <w:p>
      <w:pPr>
        <w:pStyle w:val="TextBody"/>
        <w:bidi w:val="0"/>
        <w:spacing w:before="3" w:after="283"/>
        <w:jc w:val="left"/>
        <w:rPr/>
      </w:pPr>
      <w:r>
        <w:rPr/>
        <w:t> </w:t>
      </w:r>
    </w:p>
    <w:p>
      <w:pPr>
        <w:pStyle w:val="TextBody"/>
        <w:bidi w:val="0"/>
        <w:spacing w:before="0" w:after="0"/>
        <w:ind w:left="158" w:right="0" w:hanging="0"/>
        <w:jc w:val="left"/>
        <w:rPr>
          <w:rFonts w:ascii="Times New Roman" w:hAnsi="Times New Roman"/>
          <w:b/>
          <w:color w:val="000000"/>
          <w:sz w:val="20"/>
        </w:rPr>
      </w:pPr>
      <w:r>
        <w:rPr>
          <w:rFonts w:ascii="Times New Roman" w:hAnsi="Times New Roman"/>
          <w:b/>
          <w:color w:val="000000"/>
          <w:sz w:val="20"/>
        </w:rPr>
        <w:t>I.</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Summary</w:t>
      </w:r>
    </w:p>
    <w:p>
      <w:pPr>
        <w:pStyle w:val="TextBody"/>
        <w:bidi w:val="0"/>
        <w:spacing w:before="7" w:after="283"/>
        <w:jc w:val="left"/>
        <w:rPr/>
      </w:pPr>
      <w:r>
        <w:rPr/>
        <w:t> </w:t>
      </w:r>
    </w:p>
    <w:p>
      <w:pPr>
        <w:pStyle w:val="TextBody"/>
        <w:bidi w:val="0"/>
        <w:ind w:left="160" w:right="151" w:firstLine="720"/>
        <w:jc w:val="both"/>
        <w:rPr>
          <w:rFonts w:ascii="Times New Roman" w:hAnsi="Times New Roman"/>
          <w:sz w:val="20"/>
        </w:rPr>
      </w:pPr>
      <w:r>
        <w:rPr>
          <w:rFonts w:ascii="Times New Roman" w:hAnsi="Times New Roman"/>
          <w:color w:val="000000"/>
          <w:sz w:val="20"/>
        </w:rPr>
        <w:t>Preventing insider trading is necessary to comply with securities laws and to preserve the reputation and integrity of the Company. “</w:t>
      </w:r>
      <w:r>
        <w:rPr>
          <w:rFonts w:ascii="Times New Roman" w:hAnsi="Times New Roman"/>
          <w:color w:val="000000"/>
          <w:sz w:val="20"/>
          <w:u w:val="single"/>
        </w:rPr>
        <w:t>Insider trading</w:t>
      </w:r>
      <w:r>
        <w:rPr>
          <w:rFonts w:ascii="Times New Roman" w:hAnsi="Times New Roman"/>
          <w:color w:val="000000"/>
          <w:sz w:val="20"/>
        </w:rPr>
        <w:t>” occurs when any person purchases or sells a security while in possession of material nonpublic information relating to the security. Insider trading is a crime. The criminal penalties for violating insider trading laws include imprisonment and fines of up to $5 million for individuals and $25 million for corporations. Insider trading may also result in civil penalties, including disgorgement of profits and civil fines. Insider trading is also prohibited by this Policy, and violation of this Policy may result in Company- imposed sanctions, including removal or dismissal for cause.</w:t>
      </w:r>
    </w:p>
    <w:p>
      <w:pPr>
        <w:pStyle w:val="TextBody"/>
        <w:bidi w:val="0"/>
        <w:jc w:val="left"/>
        <w:rPr/>
      </w:pPr>
      <w:r>
        <w:rPr/>
        <w:t> </w:t>
      </w:r>
    </w:p>
    <w:p>
      <w:pPr>
        <w:pStyle w:val="TextBody"/>
        <w:bidi w:val="0"/>
        <w:ind w:left="160" w:right="152" w:firstLine="720"/>
        <w:jc w:val="both"/>
        <w:rPr>
          <w:rFonts w:ascii="Times New Roman" w:hAnsi="Times New Roman"/>
          <w:sz w:val="20"/>
        </w:rPr>
      </w:pPr>
      <w:r>
        <w:rPr>
          <w:rFonts w:ascii="Times New Roman" w:hAnsi="Times New Roman"/>
          <w:color w:val="000000"/>
          <w:sz w:val="20"/>
        </w:rPr>
        <w:t xml:space="preserve">This Policy applies to all officers, directors and employees of the Company. As someone subject to this Policy, you are responsible for ensuring that members of your household also comply with this Policy. This Policy also applies to any entities you control or are controlled by individuals subject to this Policy, including any corporations, partnerships or trusts, and transactions by such entities should be treated for the purposes of this Policy and applicable securities laws as if they were for your own account;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this Policy does not apply to any such entity that engages in the investment of securities in the ordinary course of its business (e.g., an investment fund or partnership) if such entity has established its own insider trading controls and procedures in compliance with applicable securities laws. The Company may determine that this Policy applies to additional persons with access to material nonpublic information, such as contractors or consultants. This Policy extends to all activities within and outside your Company duties. Every officer, director and employee must review this Policy. Questions regarding the Policy should be directed to the Company’s General Counsel (the “</w:t>
      </w:r>
      <w:r>
        <w:rPr>
          <w:rFonts w:ascii="Times New Roman" w:hAnsi="Times New Roman"/>
          <w:color w:val="000000"/>
          <w:sz w:val="20"/>
          <w:u w:val="single"/>
        </w:rPr>
        <w:t>Compliance Officer</w:t>
      </w:r>
      <w:r>
        <w:rPr>
          <w:rFonts w:ascii="Times New Roman" w:hAnsi="Times New Roman"/>
          <w:color w:val="000000"/>
          <w:sz w:val="20"/>
        </w:rPr>
        <w:t>”), who shall be responsible for the administration of this Policy.</w:t>
      </w:r>
    </w:p>
    <w:p>
      <w:pPr>
        <w:pStyle w:val="TextBody"/>
        <w:bidi w:val="0"/>
        <w:spacing w:before="9" w:after="283"/>
        <w:jc w:val="left"/>
        <w:rPr/>
      </w:pPr>
      <w:r>
        <w:rPr/>
        <w:t> </w:t>
      </w:r>
    </w:p>
    <w:p>
      <w:pPr>
        <w:pStyle w:val="TextBody"/>
        <w:bidi w:val="0"/>
        <w:spacing w:before="94" w:after="283"/>
        <w:ind w:left="160" w:right="157" w:firstLine="720"/>
        <w:jc w:val="both"/>
        <w:rPr>
          <w:rFonts w:ascii="Times New Roman" w:hAnsi="Times New Roman"/>
          <w:color w:val="000000"/>
          <w:sz w:val="20"/>
        </w:rPr>
      </w:pPr>
      <w:r>
        <w:rPr>
          <w:rFonts w:ascii="Times New Roman" w:hAnsi="Times New Roman"/>
          <w:color w:val="000000"/>
          <w:sz w:val="20"/>
        </w:rPr>
        <w:t>In the absence of the Compliance Officer, responsibility for administering this Policy will rest with the Chief Financial Officer or such other employee as may be designated by the Compliance Officer.</w:t>
      </w:r>
    </w:p>
    <w:p>
      <w:pPr>
        <w:pStyle w:val="TextBody"/>
        <w:bidi w:val="0"/>
        <w:spacing w:before="9" w:after="283"/>
        <w:jc w:val="left"/>
        <w:rPr/>
      </w:pPr>
      <w:r>
        <w:rPr/>
        <w:t> </w:t>
      </w:r>
    </w:p>
    <w:p>
      <w:pPr>
        <w:pStyle w:val="TextBody"/>
        <w:bidi w:val="0"/>
        <w:ind w:left="160" w:right="154" w:firstLine="720"/>
        <w:jc w:val="both"/>
        <w:rPr>
          <w:rFonts w:ascii="Times New Roman" w:hAnsi="Times New Roman"/>
          <w:color w:val="000000"/>
          <w:sz w:val="20"/>
        </w:rPr>
      </w:pPr>
      <w:r>
        <w:rPr>
          <w:rFonts w:ascii="Times New Roman" w:hAnsi="Times New Roman"/>
          <w:color w:val="000000"/>
          <w:sz w:val="20"/>
        </w:rPr>
        <w:t>In all cases, as someone subject to this Policy, you bear full responsibility for ensuring your compliance with this Policy, and also for ensuring that members of your household (and individuals not residing in your household but whose transactions are subject to your influence or control) and entities under your influence or control are in compliance with this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153" w:firstLine="720"/>
        <w:jc w:val="both"/>
        <w:rPr>
          <w:rFonts w:ascii="Times New Roman" w:hAnsi="Times New Roman"/>
          <w:color w:val="000000"/>
          <w:sz w:val="20"/>
        </w:rPr>
      </w:pPr>
      <w:r>
        <w:rPr>
          <w:rFonts w:ascii="Times New Roman" w:hAnsi="Times New Roman"/>
          <w:color w:val="000000"/>
          <w:sz w:val="20"/>
        </w:rPr>
        <w:t>Actions taken by the Company, the Compliance Officer or any other Company personnel do not constitute legal advice, nor do they insulate you from the consequences of noncompliance with this Policy.</w:t>
      </w:r>
    </w:p>
    <w:p>
      <w:pPr>
        <w:pStyle w:val="TextBody"/>
        <w:bidi w:val="0"/>
        <w:spacing w:before="9" w:after="283"/>
        <w:jc w:val="left"/>
        <w:rPr/>
      </w:pPr>
      <w:r>
        <w:rPr/>
        <w:t> </w:t>
      </w:r>
    </w:p>
    <w:p>
      <w:pPr>
        <w:pStyle w:val="TextBody"/>
        <w:bidi w:val="0"/>
        <w:spacing w:before="0" w:after="0"/>
        <w:ind w:left="158" w:right="0" w:hanging="0"/>
        <w:jc w:val="left"/>
        <w:rPr>
          <w:color w:val="000000"/>
        </w:rPr>
      </w:pPr>
      <w:r>
        <w:rPr>
          <w:color w:val="000000"/>
        </w:rPr>
        <w:t>•</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Statement of Policies Prohibiting Insider Trading</w:t>
      </w:r>
    </w:p>
    <w:p>
      <w:pPr>
        <w:pStyle w:val="TextBody"/>
        <w:bidi w:val="0"/>
        <w:spacing w:before="10" w:after="283"/>
        <w:jc w:val="left"/>
        <w:rPr/>
      </w:pPr>
      <w:r>
        <w:rPr/>
        <w:t> </w:t>
      </w:r>
    </w:p>
    <w:p>
      <w:pPr>
        <w:pStyle w:val="TextBody"/>
        <w:bidi w:val="0"/>
        <w:spacing w:before="94" w:after="283"/>
        <w:ind w:left="160" w:right="152" w:firstLine="720"/>
        <w:jc w:val="both"/>
        <w:rPr>
          <w:rFonts w:ascii="Times New Roman" w:hAnsi="Times New Roman"/>
          <w:color w:val="000000"/>
          <w:sz w:val="20"/>
        </w:rPr>
      </w:pPr>
      <w:r>
        <w:rPr>
          <w:rFonts w:ascii="Times New Roman" w:hAnsi="Times New Roman"/>
          <w:color w:val="000000"/>
          <w:sz w:val="20"/>
        </w:rPr>
        <w:t>No officer, director or employee (or any other person designated as subject to this Policy) shall purchase or sell any type of security while in possession of material nonpublic information relating to the security or the issuer of such security, whether the issuer of such security is the Company or any other company.</w:t>
      </w:r>
    </w:p>
    <w:p>
      <w:pPr>
        <w:pStyle w:val="TextBody"/>
        <w:bidi w:val="0"/>
        <w:spacing w:before="6" w:after="283"/>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Additionally, unless a specific exception is granted as described in Section IV.A. of this Policy, no officer, director or employee shall purchase or sell any security of the Company during the period beginning on the 15th calendar day of the last month of any fiscal quarter of the Company and ending upon completion of the first full trading day after the public release of earnings data for such fiscal quarter or during any other trading suspension period declared by the Company.</w:t>
      </w:r>
    </w:p>
    <w:p>
      <w:pPr>
        <w:pStyle w:val="TextBody"/>
        <w:bidi w:val="0"/>
        <w:spacing w:before="2" w:after="283"/>
        <w:jc w:val="left"/>
        <w:rPr/>
      </w:pPr>
      <w:r>
        <w:rPr/>
        <w:t> </w:t>
      </w:r>
    </w:p>
    <w:p>
      <w:pPr>
        <w:pStyle w:val="TextBody"/>
        <w:bidi w:val="0"/>
        <w:ind w:left="880" w:right="0" w:hanging="0"/>
        <w:jc w:val="left"/>
        <w:rPr>
          <w:rFonts w:ascii="Times New Roman" w:hAnsi="Times New Roman"/>
          <w:color w:val="000000"/>
          <w:sz w:val="20"/>
        </w:rPr>
      </w:pPr>
      <w:r>
        <w:rPr>
          <w:rFonts w:ascii="Times New Roman" w:hAnsi="Times New Roman"/>
          <w:color w:val="000000"/>
          <w:sz w:val="20"/>
        </w:rPr>
        <w:t>These prohibitions do not apply to:</w:t>
      </w:r>
    </w:p>
    <w:p>
      <w:pPr>
        <w:pStyle w:val="TextBody"/>
        <w:bidi w:val="0"/>
        <w:spacing w:before="6" w:after="283"/>
        <w:jc w:val="left"/>
        <w:rPr/>
      </w:pPr>
      <w:r>
        <w:rPr/>
        <w:t> </w:t>
      </w:r>
    </w:p>
    <w:p>
      <w:pPr>
        <w:pStyle w:val="TextBody"/>
        <w:bidi w:val="0"/>
        <w:spacing w:before="1" w:after="283"/>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purchases of the Company’s securities from the Company or sales of the Company’s securities to the Company;</w:t>
      </w:r>
    </w:p>
    <w:p>
      <w:pPr>
        <w:pStyle w:val="TextBody"/>
        <w:bidi w:val="0"/>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color w:val="000000"/>
          <w:sz w:val="20"/>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w:t>
      </w:r>
      <w:r>
        <w:rPr>
          <w:rFonts w:ascii="Times New Roman" w:hAnsi="Times New Roman"/>
          <w:color w:val="000000"/>
          <w:sz w:val="20"/>
          <w:u w:val="single"/>
        </w:rPr>
        <w:t>cashless exercise</w:t>
      </w:r>
      <w:r>
        <w:rPr>
          <w:color w:val="000000"/>
        </w:rPr>
        <w:t xml:space="preserve">” </w:t>
      </w:r>
      <w:r>
        <w:rPr>
          <w:rFonts w:ascii="Times New Roman" w:hAnsi="Times New Roman"/>
          <w:color w:val="000000"/>
          <w:sz w:val="20"/>
        </w:rPr>
        <w:t xml:space="preserve">of a Company stock option through a broker </w:t>
      </w:r>
      <w:r>
        <w:rPr>
          <w:rFonts w:ascii="Times New Roman" w:hAnsi="Times New Roman"/>
          <w:i/>
          <w:color w:val="000000"/>
          <w:sz w:val="20"/>
        </w:rPr>
        <w:t xml:space="preserve">does </w:t>
      </w:r>
      <w:r>
        <w:rPr>
          <w:rFonts w:ascii="Times New Roman" w:hAnsi="Times New Roman"/>
          <w:color w:val="000000"/>
          <w:sz w:val="20"/>
        </w:rPr>
        <w:t>involve a market sale of the Company’s securities, and therefore would not qualify under this exception);</w:t>
      </w:r>
    </w:p>
    <w:p>
      <w:pPr>
        <w:pStyle w:val="TextBody"/>
        <w:bidi w:val="0"/>
        <w:spacing w:before="9"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i/>
          <w:color w:val="000000"/>
          <w:sz w:val="20"/>
        </w:rPr>
        <w:t xml:space="preserve">bona fide </w:t>
      </w:r>
      <w:r>
        <w:rPr>
          <w:rFonts w:ascii="Times New Roman" w:hAnsi="Times New Roman"/>
          <w:color w:val="000000"/>
          <w:sz w:val="20"/>
        </w:rPr>
        <w:t>gifts of the Company’s securities, unless the individual making the gift knows that the recipient intends to sell the securities; or</w:t>
      </w:r>
    </w:p>
    <w:p>
      <w:pPr>
        <w:pStyle w:val="TextBody"/>
        <w:bidi w:val="0"/>
        <w:spacing w:before="7" w:after="283"/>
        <w:jc w:val="left"/>
        <w:rPr/>
      </w:pPr>
      <w:r>
        <w:rPr/>
        <w:t> </w:t>
      </w:r>
    </w:p>
    <w:p>
      <w:pPr>
        <w:pStyle w:val="TextBody"/>
        <w:bidi w:val="0"/>
        <w:spacing w:before="1" w:after="283"/>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 w:after="283"/>
        <w:jc w:val="both"/>
        <w:rPr/>
      </w:pPr>
      <w:r>
        <w:rPr>
          <w:rFonts w:ascii="Times New Roman" w:hAnsi="Times New Roman"/>
          <w:color w:val="000000"/>
          <w:sz w:val="20"/>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w:t>
      </w:r>
      <w:r>
        <w:rPr>
          <w:rFonts w:ascii="Times New Roman" w:hAnsi="Times New Roman"/>
          <w:color w:val="000000"/>
          <w:sz w:val="20"/>
          <w:u w:val="single"/>
        </w:rPr>
        <w:t>Rule 10b5-1</w:t>
      </w:r>
      <w:r>
        <w:rPr>
          <w:color w:val="000000"/>
        </w:rPr>
        <w:t>”</w:t>
      </w:r>
      <w:r>
        <w:rPr>
          <w:rFonts w:ascii="Times New Roman" w:hAnsi="Times New Roman"/>
          <w:color w:val="000000"/>
          <w:sz w:val="20"/>
        </w:rPr>
        <w:t>) promulgated under the Securities Exchange Act of 1934, as amended (the “</w:t>
      </w:r>
      <w:r>
        <w:rPr>
          <w:rFonts w:ascii="Times New Roman" w:hAnsi="Times New Roman"/>
          <w:color w:val="000000"/>
          <w:sz w:val="20"/>
          <w:u w:val="single"/>
        </w:rPr>
        <w:t>1934 Act</w:t>
      </w:r>
      <w:r>
        <w:rPr>
          <w:color w:val="000000"/>
        </w:rPr>
        <w:t>”</w:t>
      </w:r>
      <w:r>
        <w:rPr>
          <w:rFonts w:ascii="Times New Roman" w:hAnsi="Times New Roman"/>
          <w:color w:val="000000"/>
          <w:sz w:val="20"/>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pStyle w:val="TextBody"/>
        <w:bidi w:val="0"/>
        <w:spacing w:before="8" w:after="283"/>
        <w:jc w:val="left"/>
        <w:rPr/>
      </w:pPr>
      <w:r>
        <w:rPr/>
        <w:t> </w:t>
      </w:r>
    </w:p>
    <w:p>
      <w:pPr>
        <w:pStyle w:val="TextBody"/>
        <w:bidi w:val="0"/>
        <w:ind w:left="160" w:right="154" w:firstLine="720"/>
        <w:jc w:val="both"/>
        <w:rPr>
          <w:rFonts w:ascii="Times New Roman" w:hAnsi="Times New Roman"/>
          <w:color w:val="000000"/>
          <w:sz w:val="20"/>
        </w:rPr>
      </w:pPr>
      <w:r>
        <w:rPr>
          <w:rFonts w:ascii="Times New Roman" w:hAnsi="Times New Roman"/>
          <w:color w:val="000000"/>
          <w:sz w:val="20"/>
        </w:rPr>
        <w:t>From time to time, events will occur that are material to the Company and cause officers, directors or employees to be in possession of material nonpublic information. When that happens, the Company will recommend that those in possession of the material nonpublic information suspend all trading in the Company’s securities until the information is no longer material or has been publicly disclosed.</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155" w:firstLine="720"/>
        <w:jc w:val="both"/>
        <w:rPr>
          <w:rFonts w:ascii="Times New Roman" w:hAnsi="Times New Roman"/>
          <w:color w:val="000000"/>
          <w:sz w:val="20"/>
        </w:rPr>
      </w:pPr>
      <w:r>
        <w:rPr>
          <w:rFonts w:ascii="Times New Roman" w:hAnsi="Times New Roman"/>
          <w:color w:val="000000"/>
          <w:sz w:val="20"/>
        </w:rPr>
        <w:t>When such event-specific closed trading periods occur, those subject to it will be notified by the Company, or the Compliance Officer may determine in the Compliance Officer’s discretion to rely instead on the preclearance requirement provided for in Section IV.B of this Policy. The event-specific closed trading period will not be announced to those not subject to it, and those subject to it or otherwise aware of it should not disclose it to others.</w:t>
      </w:r>
    </w:p>
    <w:p>
      <w:pPr>
        <w:pStyle w:val="TextBody"/>
        <w:bidi w:val="0"/>
        <w:spacing w:before="7" w:after="283"/>
        <w:jc w:val="left"/>
        <w:rPr/>
      </w:pPr>
      <w:r>
        <w:rPr/>
        <w:t> </w:t>
      </w:r>
    </w:p>
    <w:p>
      <w:pPr>
        <w:pStyle w:val="TextBody"/>
        <w:bidi w:val="0"/>
        <w:ind w:left="160" w:right="156" w:firstLine="720"/>
        <w:jc w:val="both"/>
        <w:rPr>
          <w:rFonts w:ascii="Times New Roman" w:hAnsi="Times New Roman"/>
          <w:color w:val="000000"/>
          <w:sz w:val="20"/>
        </w:rPr>
      </w:pPr>
      <w:r>
        <w:rPr>
          <w:rFonts w:ascii="Times New Roman" w:hAnsi="Times New Roman"/>
          <w:color w:val="000000"/>
          <w:sz w:val="20"/>
        </w:rPr>
        <w:t>Even if the Company has not notified you that you are subject to an event-specific closed trading period, if you are aware of material nonpublic information about the Company, you should not trade in Company securities. Any failure by the Company to designate you as subject to an event-specific closed trading period, or to notify you of such designation, does not relieve you of your obligation not to trade in the Company’s securities while possessing material nonpublic information.</w:t>
      </w:r>
    </w:p>
    <w:p>
      <w:pPr>
        <w:pStyle w:val="TextBody"/>
        <w:bidi w:val="0"/>
        <w:spacing w:before="9" w:after="283"/>
        <w:jc w:val="left"/>
        <w:rPr/>
      </w:pPr>
      <w:r>
        <w:rPr/>
        <w:t> </w:t>
      </w:r>
    </w:p>
    <w:p>
      <w:pPr>
        <w:pStyle w:val="TextBody"/>
        <w:bidi w:val="0"/>
        <w:ind w:left="160" w:right="156" w:firstLine="720"/>
        <w:jc w:val="both"/>
        <w:rPr>
          <w:rFonts w:ascii="Times New Roman" w:hAnsi="Times New Roman"/>
          <w:sz w:val="20"/>
        </w:rPr>
      </w:pPr>
      <w:r>
        <w:rPr>
          <w:rFonts w:ascii="Times New Roman" w:hAnsi="Times New Roman"/>
          <w:color w:val="000000"/>
          <w:sz w:val="20"/>
        </w:rPr>
        <w:t>No officer, director or employee shall directly or indirectly communicate (or “</w:t>
      </w:r>
      <w:r>
        <w:rPr>
          <w:rFonts w:ascii="Times New Roman" w:hAnsi="Times New Roman"/>
          <w:color w:val="000000"/>
          <w:sz w:val="20"/>
          <w:u w:val="single"/>
        </w:rPr>
        <w:t>tip</w:t>
      </w:r>
      <w:r>
        <w:rPr>
          <w:rFonts w:ascii="Times New Roman" w:hAnsi="Times New Roman"/>
          <w:color w:val="000000"/>
          <w:sz w:val="20"/>
        </w:rPr>
        <w:t>”) material nonpublic information to anyone outside the Company (except in accordance with the Company’s policies regarding the protection or authorized external disclosure of Company information) or to anyone within the Company other than on a “need-to-know” basis.</w:t>
      </w:r>
    </w:p>
    <w:p>
      <w:pPr>
        <w:pStyle w:val="TextBody"/>
        <w:bidi w:val="0"/>
        <w:spacing w:before="4" w:after="283"/>
        <w:jc w:val="left"/>
        <w:rPr/>
      </w:pPr>
      <w:r>
        <w:rPr/>
        <w:t> </w:t>
      </w:r>
    </w:p>
    <w:p>
      <w:pPr>
        <w:pStyle w:val="TextBody"/>
        <w:bidi w:val="0"/>
        <w:spacing w:before="0" w:after="0"/>
        <w:ind w:left="158" w:right="0" w:hanging="0"/>
        <w:jc w:val="left"/>
        <w:rPr>
          <w:rFonts w:ascii="Times New Roman" w:hAnsi="Times New Roman"/>
          <w:b/>
          <w:color w:val="000000"/>
          <w:sz w:val="20"/>
        </w:rPr>
      </w:pPr>
      <w:r>
        <w:rPr>
          <w:rFonts w:ascii="Times New Roman" w:hAnsi="Times New Roman"/>
          <w:b/>
          <w:color w:val="000000"/>
          <w:sz w:val="20"/>
        </w:rPr>
        <w:t>III.</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Explanation of Insider Trading</w:t>
      </w:r>
    </w:p>
    <w:p>
      <w:pPr>
        <w:pStyle w:val="TextBody"/>
        <w:bidi w:val="0"/>
        <w:spacing w:before="7" w:after="283"/>
        <w:jc w:val="left"/>
        <w:rPr/>
      </w:pPr>
      <w:r>
        <w:rPr/>
        <w:t> </w:t>
      </w:r>
    </w:p>
    <w:p>
      <w:pPr>
        <w:pStyle w:val="TextBody"/>
        <w:bidi w:val="0"/>
        <w:ind w:left="160" w:right="161" w:firstLine="720"/>
        <w:jc w:val="both"/>
        <w:rPr/>
      </w:pPr>
      <w:r>
        <w:rPr>
          <w:color w:val="000000"/>
        </w:rPr>
        <w:t>“</w:t>
      </w:r>
      <w:r>
        <w:rPr>
          <w:rFonts w:ascii="Times New Roman" w:hAnsi="Times New Roman"/>
          <w:color w:val="000000"/>
          <w:sz w:val="20"/>
          <w:u w:val="single"/>
        </w:rPr>
        <w:t>Insider trading</w:t>
      </w:r>
      <w:r>
        <w:rPr>
          <w:rFonts w:ascii="Times New Roman" w:hAnsi="Times New Roman"/>
          <w:color w:val="000000"/>
          <w:sz w:val="20"/>
        </w:rPr>
        <w:t>” refers to the purchase or sale of a security while in possession of material nonpublic information relating to the security.</w:t>
      </w:r>
    </w:p>
    <w:p>
      <w:pPr>
        <w:pStyle w:val="TextBody"/>
        <w:bidi w:val="0"/>
        <w:spacing w:before="8" w:after="283"/>
        <w:jc w:val="left"/>
        <w:rPr/>
      </w:pPr>
      <w:r>
        <w:rPr/>
        <w:t> </w:t>
      </w:r>
    </w:p>
    <w:p>
      <w:pPr>
        <w:pStyle w:val="TextBody"/>
        <w:bidi w:val="0"/>
        <w:ind w:left="160" w:right="157" w:firstLine="720"/>
        <w:jc w:val="both"/>
        <w:rPr/>
      </w:pPr>
      <w:r>
        <w:rPr>
          <w:color w:val="000000"/>
        </w:rPr>
        <w:t>“</w:t>
      </w:r>
      <w:r>
        <w:rPr>
          <w:rFonts w:ascii="Times New Roman" w:hAnsi="Times New Roman"/>
          <w:color w:val="000000"/>
          <w:sz w:val="20"/>
          <w:u w:val="single"/>
        </w:rPr>
        <w:t>Securities</w:t>
      </w:r>
      <w:r>
        <w:rPr>
          <w:rFonts w:ascii="Times New Roman" w:hAnsi="Times New Roman"/>
          <w:color w:val="000000"/>
          <w:sz w:val="20"/>
        </w:rPr>
        <w:t>” includes stocks, bonds, notes, debentures, options, warrants, and other convertible securities, as well as derivative instruments.</w:t>
      </w:r>
    </w:p>
    <w:p>
      <w:pPr>
        <w:pStyle w:val="TextBody"/>
        <w:bidi w:val="0"/>
        <w:spacing w:before="1" w:after="283"/>
        <w:jc w:val="left"/>
        <w:rPr/>
      </w:pPr>
      <w:r>
        <w:rPr/>
        <w:t> </w:t>
      </w:r>
    </w:p>
    <w:p>
      <w:pPr>
        <w:pStyle w:val="TextBody"/>
        <w:bidi w:val="0"/>
        <w:ind w:left="160" w:right="154" w:firstLine="720"/>
        <w:jc w:val="both"/>
        <w:rPr/>
      </w:pPr>
      <w:r>
        <w:rPr>
          <w:color w:val="000000"/>
        </w:rPr>
        <w:t>“</w:t>
      </w:r>
      <w:r>
        <w:rPr>
          <w:rFonts w:ascii="Times New Roman" w:hAnsi="Times New Roman"/>
          <w:color w:val="000000"/>
          <w:sz w:val="20"/>
          <w:u w:val="single"/>
        </w:rPr>
        <w:t>Purchase</w:t>
      </w:r>
      <w:r>
        <w:rPr>
          <w:rFonts w:ascii="Times New Roman" w:hAnsi="Times New Roman"/>
          <w:color w:val="000000"/>
          <w:sz w:val="20"/>
        </w:rPr>
        <w:t>” and “</w:t>
      </w:r>
      <w:r>
        <w:rPr>
          <w:rFonts w:ascii="Times New Roman" w:hAnsi="Times New Roman"/>
          <w:color w:val="000000"/>
          <w:sz w:val="20"/>
          <w:u w:val="single"/>
        </w:rPr>
        <w:t>sale</w:t>
      </w:r>
      <w:r>
        <w:rPr>
          <w:rFonts w:ascii="Times New Roman" w:hAnsi="Times New Roman"/>
          <w:color w:val="000000"/>
          <w:sz w:val="20"/>
        </w:rPr>
        <w:t>”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pStyle w:val="TextBody"/>
        <w:bidi w:val="0"/>
        <w:spacing w:before="9"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What Facts Are Material?</w:t>
      </w:r>
    </w:p>
    <w:p>
      <w:pPr>
        <w:pStyle w:val="TextBody"/>
        <w:bidi w:val="0"/>
        <w:jc w:val="left"/>
        <w:rPr/>
      </w:pPr>
      <w:r>
        <w:rPr/>
        <w:t> </w:t>
      </w:r>
    </w:p>
    <w:p>
      <w:pPr>
        <w:pStyle w:val="TextBody"/>
        <w:bidi w:val="0"/>
        <w:ind w:left="160" w:right="155" w:firstLine="720"/>
        <w:jc w:val="both"/>
        <w:rPr>
          <w:rFonts w:ascii="Times New Roman" w:hAnsi="Times New Roman"/>
          <w:sz w:val="20"/>
        </w:rPr>
      </w:pPr>
      <w:r>
        <w:rPr>
          <w:rFonts w:ascii="Times New Roman" w:hAnsi="Times New Roman"/>
          <w:color w:val="000000"/>
          <w:sz w:val="20"/>
        </w:rPr>
        <w:t>The materiality of a fact depends upon the circumstances. A fact is considered “</w:t>
      </w:r>
      <w:r>
        <w:rPr>
          <w:rFonts w:ascii="Times New Roman" w:hAnsi="Times New Roman"/>
          <w:color w:val="000000"/>
          <w:sz w:val="20"/>
          <w:u w:val="single"/>
        </w:rPr>
        <w:t>material</w:t>
      </w:r>
      <w:r>
        <w:rPr>
          <w:rFonts w:ascii="Times New Roman" w:hAnsi="Times New Roman"/>
          <w:color w:val="000000"/>
          <w:sz w:val="20"/>
        </w:rPr>
        <w:t>”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 could be deemed material.</w:t>
      </w:r>
    </w:p>
    <w:p>
      <w:pPr>
        <w:pStyle w:val="TextBody"/>
        <w:bidi w:val="0"/>
        <w:spacing w:before="11" w:after="283"/>
        <w:jc w:val="left"/>
        <w:rPr/>
      </w:pPr>
      <w:r>
        <w:rPr/>
        <w:t> </w:t>
      </w:r>
    </w:p>
    <w:p>
      <w:pPr>
        <w:pStyle w:val="TextBody"/>
        <w:bidi w:val="0"/>
        <w:ind w:left="160" w:right="153" w:firstLine="720"/>
        <w:jc w:val="both"/>
        <w:rPr>
          <w:rFonts w:ascii="Times New Roman" w:hAnsi="Times New Roman"/>
          <w:color w:val="000000"/>
          <w:sz w:val="20"/>
        </w:rPr>
      </w:pPr>
      <w:r>
        <w:rPr>
          <w:rFonts w:ascii="Times New Roman" w:hAnsi="Times New Roman"/>
          <w:color w:val="000000"/>
          <w:sz w:val="20"/>
        </w:rPr>
        <w:t>Examples of material information include (but are not limited to) information about dividends; corporate earnings or earnings forecasts; possible mergers, acquisitions, tender offers, or dispositions; major new products or product developments; important business developments such as major contract awards or cancellations, or developments regarding strategic partners; management or control changes; significant borrowing or financing developments, including pending public sales or offerings of debt or equity securities; defaults on borrowings; bankruptcies; cybersecurity or data security incidents; and significant litigation or regulatory actions. Moreover, material information does not have to be related to a company’s business. For example, the</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0" w:hanging="0"/>
        <w:jc w:val="left"/>
        <w:rPr>
          <w:rFonts w:ascii="Times New Roman" w:hAnsi="Times New Roman"/>
          <w:color w:val="000000"/>
          <w:sz w:val="20"/>
        </w:rPr>
      </w:pPr>
      <w:r>
        <w:rPr>
          <w:rFonts w:ascii="Times New Roman" w:hAnsi="Times New Roman"/>
          <w:color w:val="000000"/>
          <w:sz w:val="20"/>
        </w:rPr>
        <w:t>contents of a forthcoming news article that is expected to affect the market price of a security can be material.</w:t>
      </w:r>
    </w:p>
    <w:p>
      <w:pPr>
        <w:pStyle w:val="TextBody"/>
        <w:bidi w:val="0"/>
        <w:spacing w:before="8" w:after="283"/>
        <w:jc w:val="left"/>
        <w:rPr/>
      </w:pPr>
      <w:r>
        <w:rPr/>
        <w:t> </w:t>
      </w:r>
    </w:p>
    <w:p>
      <w:pPr>
        <w:pStyle w:val="TextBody"/>
        <w:bidi w:val="0"/>
        <w:ind w:left="160" w:right="159" w:firstLine="720"/>
        <w:jc w:val="both"/>
        <w:rPr>
          <w:rFonts w:ascii="Times New Roman" w:hAnsi="Times New Roman"/>
          <w:color w:val="000000"/>
          <w:sz w:val="20"/>
        </w:rPr>
      </w:pPr>
      <w:r>
        <w:rPr>
          <w:rFonts w:ascii="Times New Roman" w:hAnsi="Times New Roman"/>
          <w:color w:val="000000"/>
          <w:sz w:val="20"/>
        </w:rPr>
        <w:t>Questions regarding material information should be directed to the Company’s Compliance Officer. A good rule of thumb: When in doubt, do not trade.</w:t>
      </w:r>
    </w:p>
    <w:p>
      <w:pPr>
        <w:pStyle w:val="TextBody"/>
        <w:bidi w:val="0"/>
        <w:spacing w:before="1"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B.</w:t>
      </w:r>
    </w:p>
    <w:p>
      <w:pPr>
        <w:pStyle w:val="TextBody"/>
        <w:bidi w:val="0"/>
        <w:jc w:val="left"/>
        <w:rPr>
          <w:rFonts w:ascii="Times New Roman" w:hAnsi="Times New Roman"/>
          <w:b/>
          <w:color w:val="000000"/>
          <w:sz w:val="20"/>
        </w:rPr>
      </w:pPr>
      <w:r>
        <w:rPr>
          <w:rFonts w:ascii="Times New Roman" w:hAnsi="Times New Roman"/>
          <w:b/>
          <w:color w:val="000000"/>
          <w:sz w:val="20"/>
        </w:rPr>
        <w:t>What Is Nonpublic?</w:t>
      </w:r>
    </w:p>
    <w:p>
      <w:pPr>
        <w:pStyle w:val="TextBody"/>
        <w:bidi w:val="0"/>
        <w:spacing w:before="7" w:after="283"/>
        <w:jc w:val="left"/>
        <w:rPr/>
      </w:pPr>
      <w:r>
        <w:rPr/>
        <w:t> </w:t>
      </w:r>
    </w:p>
    <w:p>
      <w:pPr>
        <w:pStyle w:val="TextBody"/>
        <w:bidi w:val="0"/>
        <w:ind w:left="160" w:right="152" w:firstLine="720"/>
        <w:jc w:val="both"/>
        <w:rPr>
          <w:rFonts w:ascii="Times New Roman" w:hAnsi="Times New Roman"/>
          <w:sz w:val="20"/>
        </w:rPr>
      </w:pPr>
      <w:r>
        <w:rPr>
          <w:rFonts w:ascii="Times New Roman" w:hAnsi="Times New Roman"/>
          <w:color w:val="000000"/>
          <w:sz w:val="20"/>
        </w:rPr>
        <w:t>Information is “</w:t>
      </w:r>
      <w:r>
        <w:rPr>
          <w:rFonts w:ascii="Times New Roman" w:hAnsi="Times New Roman"/>
          <w:color w:val="000000"/>
          <w:sz w:val="20"/>
          <w:u w:val="single"/>
        </w:rPr>
        <w:t>nonpublic</w:t>
      </w:r>
      <w:r>
        <w:rPr>
          <w:rFonts w:ascii="Times New Roman" w:hAnsi="Times New Roman"/>
          <w:color w:val="000000"/>
          <w:sz w:val="20"/>
        </w:rPr>
        <w:t>” if it is not available to the general public. In order for information to be considered public, it must be widely disseminated in a manner making it generally available to investors through newswire services such as Dow Jones, Reuters, Bloomberg, Business Wire, The Wall Street Journal, Associated Press, or United Press International; a broadcast on widely available radio or television programs; publication in a widely available newspaper, magazine, or news website; a Regulation FD-compliant conference call; or public disclosure documents filed with the U.S. Securities and Exchange Commission (the “</w:t>
      </w:r>
      <w:r>
        <w:rPr>
          <w:rFonts w:ascii="Times New Roman" w:hAnsi="Times New Roman"/>
          <w:color w:val="000000"/>
          <w:sz w:val="20"/>
          <w:u w:val="single"/>
        </w:rPr>
        <w:t>SEC</w:t>
      </w:r>
      <w:r>
        <w:rPr>
          <w:rFonts w:ascii="Times New Roman" w:hAnsi="Times New Roman"/>
          <w:color w:val="000000"/>
          <w:sz w:val="20"/>
        </w:rPr>
        <w:t>”) that are available on the SEC’s website.</w:t>
      </w:r>
    </w:p>
    <w:p>
      <w:pPr>
        <w:pStyle w:val="TextBody"/>
        <w:bidi w:val="0"/>
        <w:jc w:val="left"/>
        <w:rPr/>
      </w:pPr>
      <w:r>
        <w:rPr/>
        <w:t> </w:t>
      </w:r>
    </w:p>
    <w:p>
      <w:pPr>
        <w:pStyle w:val="TextBody"/>
        <w:bidi w:val="0"/>
        <w:ind w:left="160" w:right="154" w:firstLine="720"/>
        <w:jc w:val="both"/>
        <w:rPr>
          <w:rFonts w:ascii="Times New Roman" w:hAnsi="Times New Roman"/>
          <w:color w:val="000000"/>
          <w:sz w:val="20"/>
        </w:rPr>
      </w:pPr>
      <w:r>
        <w:rPr>
          <w:rFonts w:ascii="Times New Roman" w:hAnsi="Times New Roman"/>
          <w:color w:val="000000"/>
          <w:sz w:val="20"/>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one full trading day following publication as a reasonable waiting period before such information is deemed to be public.</w:t>
      </w:r>
    </w:p>
    <w:p>
      <w:pPr>
        <w:pStyle w:val="TextBody"/>
        <w:bidi w:val="0"/>
        <w:spacing w:before="1"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color w:val="000000"/>
          <w:sz w:val="20"/>
        </w:rPr>
      </w:pPr>
      <w:r>
        <w:rPr>
          <w:rFonts w:ascii="Times New Roman" w:hAnsi="Times New Roman"/>
          <w:b/>
          <w:color w:val="000000"/>
          <w:sz w:val="20"/>
        </w:rPr>
        <w:t>Who Is an Insider?</w:t>
      </w:r>
    </w:p>
    <w:p>
      <w:pPr>
        <w:pStyle w:val="TextBody"/>
        <w:bidi w:val="0"/>
        <w:spacing w:before="6" w:after="283"/>
        <w:jc w:val="left"/>
        <w:rPr/>
      </w:pPr>
      <w:r>
        <w:rPr/>
        <w:t> </w:t>
      </w:r>
    </w:p>
    <w:p>
      <w:pPr>
        <w:pStyle w:val="TextBody"/>
        <w:bidi w:val="0"/>
        <w:spacing w:before="1" w:after="283"/>
        <w:ind w:left="160" w:right="155" w:firstLine="720"/>
        <w:jc w:val="both"/>
        <w:rPr/>
      </w:pPr>
      <w:r>
        <w:rPr>
          <w:color w:val="000000"/>
        </w:rPr>
        <w:t>“</w:t>
      </w:r>
      <w:r>
        <w:rPr>
          <w:rFonts w:ascii="Times New Roman" w:hAnsi="Times New Roman"/>
          <w:color w:val="000000"/>
          <w:sz w:val="20"/>
          <w:u w:val="single"/>
        </w:rPr>
        <w:t>Insiders</w:t>
      </w:r>
      <w:r>
        <w:rPr>
          <w:rFonts w:ascii="Times New Roman" w:hAnsi="Times New Roman"/>
          <w:color w:val="000000"/>
          <w:sz w:val="20"/>
        </w:rPr>
        <w:t>” include officers, directors and employees of a company, or anyone else who has material nonpublic information about a company. Insiders have independent fiduciary duties to their company and its stockholders not to trade on material nonpublic information relating to the company’s securities. Insiders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w:t>
      </w:r>
    </w:p>
    <w:p>
      <w:pPr>
        <w:pStyle w:val="TextBody"/>
        <w:bidi w:val="0"/>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As someone subject to this Policy, you are responsible for ensuring that members of your household also comply with this Policy. This includes family members residing with you, anyone else living in your household, and any family members not living with you whose transactions in the Company’s securities are directed by you, or subject to your influence and control. This Policy also applies to any entities you control, including any corporations, partnerships, or trusts, and transactions by these entities should be treated for the purposes of this Policy and applicable securities laws as if they were for your own account.</w:t>
      </w:r>
    </w:p>
    <w:p>
      <w:pPr>
        <w:pStyle w:val="TextBody"/>
        <w:bidi w:val="0"/>
        <w:spacing w:before="10"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D.</w:t>
      </w:r>
    </w:p>
    <w:p>
      <w:pPr>
        <w:pStyle w:val="TextBody"/>
        <w:bidi w:val="0"/>
        <w:jc w:val="left"/>
        <w:rPr>
          <w:rFonts w:ascii="Times New Roman" w:hAnsi="Times New Roman"/>
          <w:b/>
          <w:color w:val="000000"/>
          <w:sz w:val="20"/>
        </w:rPr>
      </w:pPr>
      <w:r>
        <w:rPr>
          <w:rFonts w:ascii="Times New Roman" w:hAnsi="Times New Roman"/>
          <w:b/>
          <w:color w:val="000000"/>
          <w:sz w:val="20"/>
        </w:rPr>
        <w:t>Trading by Persons Other Than Insiders</w:t>
      </w:r>
    </w:p>
    <w:p>
      <w:pPr>
        <w:pStyle w:val="TextBody"/>
        <w:bidi w:val="0"/>
        <w:spacing w:before="7" w:after="283"/>
        <w:jc w:val="left"/>
        <w:rPr/>
      </w:pPr>
      <w:r>
        <w:rPr/>
        <w:t> </w:t>
      </w:r>
    </w:p>
    <w:p>
      <w:pPr>
        <w:pStyle w:val="TextBody"/>
        <w:bidi w:val="0"/>
        <w:ind w:left="160" w:right="152" w:firstLine="720"/>
        <w:jc w:val="both"/>
        <w:rPr>
          <w:rFonts w:ascii="Times New Roman" w:hAnsi="Times New Roman"/>
          <w:sz w:val="20"/>
        </w:rPr>
      </w:pPr>
      <w:r>
        <w:rPr>
          <w:rFonts w:ascii="Times New Roman" w:hAnsi="Times New Roman"/>
          <w:color w:val="000000"/>
          <w:sz w:val="20"/>
        </w:rPr>
        <w:t>Insiders may be liable for communicating or tipping material nonpublic information to a third party (“</w:t>
      </w:r>
      <w:r>
        <w:rPr>
          <w:rFonts w:ascii="Times New Roman" w:hAnsi="Times New Roman"/>
          <w:color w:val="000000"/>
          <w:sz w:val="20"/>
          <w:u w:val="single"/>
        </w:rPr>
        <w:t>tippee</w:t>
      </w:r>
      <w:r>
        <w:rPr>
          <w:rFonts w:ascii="Times New Roman" w:hAnsi="Times New Roman"/>
          <w:color w:val="000000"/>
          <w:sz w:val="20"/>
        </w:rPr>
        <w:t>”), and insider trading violations are not limited to trading or tipping by insiders. Persons other than insiders can also be liable for insider trading, including tippees who trade on material nonpublic information tipped to them or individuals who trade on material nonpublic information that has been misappropriated. Insiders may be held liable for tipping even if they receive no personal benefit from tipping and even if no close personal relationship exists between them and the tippee.</w:t>
      </w:r>
    </w:p>
    <w:p>
      <w:pPr>
        <w:pStyle w:val="TextBody"/>
        <w:bidi w:val="0"/>
        <w:ind w:left="160" w:right="152" w:firstLine="720"/>
        <w:jc w:val="both"/>
        <w:rPr/>
      </w:pPr>
      <w:r>
        <w:rPr/>
        <w:t> </w:t>
      </w:r>
    </w:p>
    <w:p>
      <w:pPr>
        <w:pStyle w:val="TextBody"/>
        <w:bidi w:val="0"/>
        <w:spacing w:before="80" w:after="283"/>
        <w:ind w:left="160" w:right="155" w:firstLine="720"/>
        <w:jc w:val="both"/>
        <w:rPr>
          <w:rFonts w:ascii="Times New Roman" w:hAnsi="Times New Roman"/>
          <w:color w:val="000000"/>
          <w:sz w:val="20"/>
        </w:rPr>
      </w:pPr>
      <w:r>
        <w:rPr>
          <w:rFonts w:ascii="Times New Roman" w:hAnsi="Times New Roman"/>
          <w:color w:val="000000"/>
          <w:sz w:val="20"/>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1"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E.</w:t>
      </w:r>
    </w:p>
    <w:p>
      <w:pPr>
        <w:pStyle w:val="TextBody"/>
        <w:bidi w:val="0"/>
        <w:jc w:val="left"/>
        <w:rPr>
          <w:rFonts w:ascii="Times New Roman" w:hAnsi="Times New Roman"/>
          <w:b/>
          <w:color w:val="000000"/>
          <w:sz w:val="20"/>
        </w:rPr>
      </w:pPr>
      <w:r>
        <w:rPr>
          <w:rFonts w:ascii="Times New Roman" w:hAnsi="Times New Roman"/>
          <w:b/>
          <w:color w:val="000000"/>
          <w:sz w:val="20"/>
        </w:rPr>
        <w:t>Size of Transaction and Reason for Transaction Do Not Matter</w:t>
      </w:r>
    </w:p>
    <w:p>
      <w:pPr>
        <w:pStyle w:val="TextBody"/>
        <w:bidi w:val="0"/>
        <w:spacing w:before="11" w:after="283"/>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 xml:space="preserve">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160" w:right="152" w:hanging="0"/>
        <w:jc w:val="both"/>
        <w:rPr>
          <w:rFonts w:ascii="Times New Roman" w:hAnsi="Times New Roman"/>
          <w:color w:val="000000"/>
          <w:sz w:val="20"/>
        </w:rPr>
      </w:pPr>
      <w:r>
        <w:rPr>
          <w:rFonts w:ascii="Times New Roman" w:hAnsi="Times New Roman"/>
          <w:color w:val="000000"/>
          <w:sz w:val="20"/>
        </w:rPr>
        <w:t>have material nonpublic information. The SEC aggressively investigates even small insider trading violations.</w:t>
      </w:r>
    </w:p>
    <w:p>
      <w:pPr>
        <w:pStyle w:val="TextBody"/>
        <w:bidi w:val="0"/>
        <w:ind w:left="160" w:right="152" w:firstLine="720"/>
        <w:jc w:val="both"/>
        <w:rPr/>
      </w:pPr>
      <w:r>
        <w:rPr/>
        <w:t> </w:t>
      </w:r>
    </w:p>
    <w:p>
      <w:pPr>
        <w:pStyle w:val="TextBody"/>
        <w:bidi w:val="0"/>
        <w:spacing w:before="80" w:after="283"/>
        <w:ind w:left="878" w:right="0" w:hanging="0"/>
        <w:jc w:val="left"/>
        <w:rPr>
          <w:rFonts w:ascii="Times New Roman" w:hAnsi="Times New Roman"/>
          <w:b/>
          <w:color w:val="000000"/>
          <w:sz w:val="20"/>
        </w:rPr>
      </w:pPr>
      <w:r>
        <w:rPr>
          <w:rFonts w:ascii="Times New Roman" w:hAnsi="Times New Roman"/>
          <w:b/>
          <w:color w:val="000000"/>
          <w:sz w:val="20"/>
        </w:rPr>
        <w:t>F.</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Examples of Insider Trading</w:t>
      </w:r>
    </w:p>
    <w:p>
      <w:pPr>
        <w:pStyle w:val="TextBody"/>
        <w:bidi w:val="0"/>
        <w:spacing w:before="6" w:after="283"/>
        <w:jc w:val="left"/>
        <w:rPr/>
      </w:pPr>
      <w:r>
        <w:rPr/>
        <w:t> </w:t>
      </w:r>
    </w:p>
    <w:p>
      <w:pPr>
        <w:pStyle w:val="TextBody"/>
        <w:bidi w:val="0"/>
        <w:ind w:left="160" w:right="153" w:firstLine="720"/>
        <w:jc w:val="both"/>
        <w:rPr>
          <w:rFonts w:ascii="Times New Roman" w:hAnsi="Times New Roman"/>
          <w:color w:val="000000"/>
          <w:sz w:val="20"/>
        </w:rPr>
      </w:pPr>
      <w:r>
        <w:rPr>
          <w:rFonts w:ascii="Times New Roman" w:hAnsi="Times New Roman"/>
          <w:color w:val="000000"/>
          <w:sz w:val="20"/>
        </w:rPr>
        <w:t>Examples of insider trading cases include actions brought against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pStyle w:val="TextBody"/>
        <w:bidi w:val="0"/>
        <w:spacing w:before="2" w:after="283"/>
        <w:jc w:val="left"/>
        <w:rPr/>
      </w:pPr>
      <w:r>
        <w:rPr/>
        <w:t> </w:t>
      </w:r>
    </w:p>
    <w:p>
      <w:pPr>
        <w:pStyle w:val="TextBody"/>
        <w:bidi w:val="0"/>
        <w:spacing w:before="1" w:after="283"/>
        <w:ind w:left="160" w:right="154" w:firstLine="720"/>
        <w:jc w:val="both"/>
        <w:rPr>
          <w:rFonts w:ascii="Times New Roman" w:hAnsi="Times New Roman"/>
          <w:color w:val="000000"/>
          <w:sz w:val="20"/>
        </w:rPr>
      </w:pPr>
      <w:r>
        <w:rPr>
          <w:rFonts w:ascii="Times New Roman" w:hAnsi="Times New Roman"/>
          <w:color w:val="000000"/>
          <w:sz w:val="20"/>
        </w:rPr>
        <w:t>The following are illustrations of insider trading violations. These illustrations are hypothetical and, consequently, not intended to reflect on the actual activities or business of the Company or any other entity.</w:t>
      </w:r>
    </w:p>
    <w:p>
      <w:pPr>
        <w:pStyle w:val="TextBody"/>
        <w:bidi w:val="0"/>
        <w:spacing w:before="9" w:after="283"/>
        <w:jc w:val="left"/>
        <w:rPr/>
      </w:pPr>
      <w:r>
        <w:rPr/>
        <w:t> </w:t>
      </w:r>
    </w:p>
    <w:p>
      <w:pPr>
        <w:pStyle w:val="TextBody"/>
        <w:bidi w:val="0"/>
        <w:ind w:left="1600" w:right="0" w:hanging="0"/>
        <w:jc w:val="both"/>
        <w:rPr>
          <w:rFonts w:ascii="Times New Roman" w:hAnsi="Times New Roman"/>
          <w:color w:val="000000"/>
          <w:sz w:val="20"/>
          <w:u w:val="single"/>
        </w:rPr>
      </w:pPr>
      <w:r>
        <w:rPr>
          <w:rFonts w:ascii="Times New Roman" w:hAnsi="Times New Roman"/>
          <w:color w:val="000000"/>
          <w:sz w:val="20"/>
          <w:u w:val="single"/>
        </w:rPr>
        <w:t>Trading by Insider</w:t>
      </w:r>
    </w:p>
    <w:p>
      <w:pPr>
        <w:pStyle w:val="TextBody"/>
        <w:bidi w:val="0"/>
        <w:spacing w:before="7" w:after="283"/>
        <w:jc w:val="left"/>
        <w:rPr/>
      </w:pPr>
      <w:r>
        <w:rPr/>
        <w:t> </w:t>
      </w:r>
    </w:p>
    <w:p>
      <w:pPr>
        <w:pStyle w:val="TextBody"/>
        <w:bidi w:val="0"/>
        <w:ind w:left="1600" w:right="153" w:hanging="0"/>
        <w:jc w:val="both"/>
        <w:rPr>
          <w:rFonts w:ascii="Times New Roman" w:hAnsi="Times New Roman"/>
          <w:color w:val="000000"/>
          <w:sz w:val="20"/>
        </w:rPr>
      </w:pPr>
      <w:r>
        <w:rPr>
          <w:rFonts w:ascii="Times New Roman" w:hAnsi="Times New Roman"/>
          <w:color w:val="000000"/>
          <w:sz w:val="20"/>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is also subject to, among other things, criminal prosecution, including up to $5 million in additional fines and 20 years in jail. Depending upon the circumstances, X Corporation and the individual to whom the officer reports could also be liable as controlling persons.</w:t>
      </w:r>
    </w:p>
    <w:p>
      <w:pPr>
        <w:pStyle w:val="TextBody"/>
        <w:bidi w:val="0"/>
        <w:jc w:val="left"/>
        <w:rPr/>
      </w:pPr>
      <w:r>
        <w:rPr/>
        <w:t> </w:t>
      </w:r>
    </w:p>
    <w:p>
      <w:pPr>
        <w:pStyle w:val="TextBody"/>
        <w:bidi w:val="0"/>
        <w:ind w:left="1600" w:right="0" w:hanging="0"/>
        <w:jc w:val="both"/>
        <w:rPr>
          <w:rFonts w:ascii="Times New Roman" w:hAnsi="Times New Roman"/>
          <w:color w:val="000000"/>
          <w:sz w:val="20"/>
          <w:u w:val="single"/>
        </w:rPr>
      </w:pPr>
      <w:r>
        <w:rPr>
          <w:rFonts w:ascii="Times New Roman" w:hAnsi="Times New Roman"/>
          <w:color w:val="000000"/>
          <w:sz w:val="20"/>
          <w:u w:val="single"/>
        </w:rPr>
        <w:t>Trading by Tippee</w:t>
      </w:r>
    </w:p>
    <w:p>
      <w:pPr>
        <w:pStyle w:val="TextBody"/>
        <w:bidi w:val="0"/>
        <w:spacing w:before="10" w:after="283"/>
        <w:jc w:val="left"/>
        <w:rPr/>
      </w:pPr>
      <w:r>
        <w:rPr/>
        <w:t> </w:t>
      </w:r>
    </w:p>
    <w:p>
      <w:pPr>
        <w:pStyle w:val="TextBody"/>
        <w:bidi w:val="0"/>
        <w:spacing w:before="93" w:after="283"/>
        <w:ind w:left="1600" w:right="156" w:hanging="0"/>
        <w:jc w:val="both"/>
        <w:rPr>
          <w:rFonts w:ascii="Times New Roman" w:hAnsi="Times New Roman"/>
          <w:color w:val="000000"/>
          <w:sz w:val="20"/>
        </w:rPr>
      </w:pPr>
      <w:r>
        <w:rPr>
          <w:rFonts w:ascii="Times New Roman" w:hAnsi="Times New Roman"/>
          <w:color w:val="000000"/>
          <w:sz w:val="20"/>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pStyle w:val="TextBody"/>
        <w:bidi w:val="0"/>
        <w:spacing w:before="11"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G.</w:t>
      </w:r>
    </w:p>
    <w:p>
      <w:pPr>
        <w:pStyle w:val="TextBody"/>
        <w:bidi w:val="0"/>
        <w:jc w:val="left"/>
        <w:rPr>
          <w:rFonts w:ascii="Times New Roman" w:hAnsi="Times New Roman"/>
          <w:b/>
          <w:color w:val="000000"/>
          <w:sz w:val="20"/>
        </w:rPr>
      </w:pPr>
      <w:r>
        <w:rPr>
          <w:rFonts w:ascii="Times New Roman" w:hAnsi="Times New Roman"/>
          <w:b/>
          <w:color w:val="000000"/>
          <w:sz w:val="20"/>
        </w:rPr>
        <w:t>Prohibition of Records Falsification and False Statements</w:t>
      </w:r>
    </w:p>
    <w:p>
      <w:pPr>
        <w:pStyle w:val="TextBody"/>
        <w:bidi w:val="0"/>
        <w:spacing w:before="6" w:after="283"/>
        <w:jc w:val="left"/>
        <w:rPr/>
      </w:pPr>
      <w:r>
        <w:rPr/>
        <w:t> </w:t>
      </w:r>
    </w:p>
    <w:p>
      <w:pPr>
        <w:pStyle w:val="TextBody"/>
        <w:bidi w:val="0"/>
        <w:ind w:left="160" w:right="153" w:firstLine="720"/>
        <w:jc w:val="both"/>
        <w:rPr>
          <w:rFonts w:ascii="Times New Roman" w:hAnsi="Times New Roman"/>
          <w:color w:val="000000"/>
          <w:sz w:val="20"/>
        </w:rPr>
      </w:pPr>
      <w:r>
        <w:rPr>
          <w:rFonts w:ascii="Times New Roman" w:hAnsi="Times New Roman"/>
          <w:color w:val="000000"/>
          <w:sz w:val="20"/>
        </w:rPr>
        <w:t>Section 13(b)(2) of the 1934 Act requires companies subject to the 1934 Act to maintain proper internal books and records and to devise and maintain an adequate system of internal accounting controls. The SEC has supplemented the statutory requirements by adopting rules that prohibit (i) any person from falsifying records or accounts subject to the above requirements, and (ii)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 Falsifying records or accounts or making materially false, misleading, or incomplete statements in connection with an audit or filing with the SEC could also result in criminal penalties for obstruction of justice.</w:t>
      </w:r>
    </w:p>
    <w:p>
      <w:pPr>
        <w:pStyle w:val="TextBody"/>
        <w:bidi w:val="0"/>
        <w:jc w:val="left"/>
        <w:rPr/>
      </w:pPr>
      <w:r>
        <w:rPr/>
        <w:t> </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58" w:right="0" w:hanging="0"/>
        <w:jc w:val="left"/>
        <w:rPr>
          <w:color w:val="000000"/>
        </w:rPr>
      </w:pPr>
      <w:r>
        <w:rPr>
          <w:color w:val="000000"/>
        </w:rPr>
        <w:t>•</w:t>
      </w:r>
    </w:p>
    <w:p>
      <w:pPr>
        <w:pStyle w:val="TextBody"/>
        <w:bidi w:val="0"/>
        <w:spacing w:before="80" w:after="283"/>
        <w:jc w:val="left"/>
        <w:rPr>
          <w:rFonts w:ascii="Times New Roman" w:hAnsi="Times New Roman"/>
          <w:b/>
          <w:color w:val="000000"/>
          <w:sz w:val="20"/>
          <w:u w:val="single"/>
        </w:rPr>
      </w:pPr>
      <w:r>
        <w:rPr>
          <w:rFonts w:ascii="Times New Roman" w:hAnsi="Times New Roman"/>
          <w:b/>
          <w:color w:val="000000"/>
          <w:sz w:val="20"/>
          <w:u w:val="single"/>
        </w:rPr>
        <w:t>Statement of Procedures to Prevent Insider Trading</w:t>
      </w:r>
    </w:p>
    <w:p>
      <w:pPr>
        <w:pStyle w:val="TextBody"/>
        <w:bidi w:val="0"/>
        <w:spacing w:before="6" w:after="283"/>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The following procedures have been established, and will be maintained and enforced, by the Company to prevent insider trading.</w:t>
      </w:r>
    </w:p>
    <w:p>
      <w:pPr>
        <w:pStyle w:val="TextBody"/>
        <w:bidi w:val="0"/>
        <w:spacing w:before="2"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Closed Trading Periods</w:t>
      </w:r>
    </w:p>
    <w:p>
      <w:pPr>
        <w:pStyle w:val="TextBody"/>
        <w:bidi w:val="0"/>
        <w:spacing w:before="11" w:after="283"/>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The period during which the Company prepares quarterly financials is a sensitive time for insider trading purposes, as Company personnel may be more likely to possess, or be presumed to possess, material nonpublic information. To avoid the appearance of impropriety and assist Company personnel in planning transactions in the Company’s securities for appropriate times, no officer, director or employee shall purchase, sell, gift, or otherwise transfer any security of the Company during the period beginning on the 15th calendar day of the last month of any fiscal quarter of the Company and ending upon completion of the first full trading day after the public release of earnings data for such fiscal quarter or during any other trading suspension period declared by the Company, except for:</w:t>
      </w:r>
    </w:p>
    <w:p>
      <w:pPr>
        <w:pStyle w:val="TextBody"/>
        <w:bidi w:val="0"/>
        <w:spacing w:before="8" w:after="283"/>
        <w:jc w:val="left"/>
        <w:rPr/>
      </w:pPr>
      <w:r>
        <w:rPr/>
        <w:t> </w:t>
      </w:r>
    </w:p>
    <w:p>
      <w:pPr>
        <w:pStyle w:val="TextBody"/>
        <w:bidi w:val="0"/>
        <w:spacing w:before="1" w:after="283"/>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purchases of the Company’s securities from the Company or sales of the Company’s securities to the Company;</w:t>
      </w:r>
    </w:p>
    <w:p>
      <w:pPr>
        <w:pStyle w:val="TextBody"/>
        <w:bidi w:val="0"/>
        <w:spacing w:before="7"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color w:val="000000"/>
          <w:sz w:val="20"/>
        </w:rPr>
        <w:t xml:space="preserve">exercises of stock options or other equity awards, the surrender of shares to the Company in payment of the exercise price or in satisfaction of any tax withholding obligations in a manner permitted by the applicable equity award agreement, or the vesting of equity-based awards that do not involve a market sale of the Company’s securities (the cashless exercise of a Company stock option through a broker </w:t>
      </w:r>
      <w:r>
        <w:rPr>
          <w:rFonts w:ascii="Times New Roman" w:hAnsi="Times New Roman"/>
          <w:color w:val="000000"/>
          <w:sz w:val="20"/>
          <w:u w:val="single"/>
        </w:rPr>
        <w:t>does</w:t>
      </w:r>
      <w:r>
        <w:rPr>
          <w:color w:val="000000"/>
        </w:rPr>
        <w:t xml:space="preserve"> </w:t>
      </w:r>
      <w:r>
        <w:rPr>
          <w:rFonts w:ascii="Times New Roman" w:hAnsi="Times New Roman"/>
          <w:color w:val="000000"/>
          <w:sz w:val="20"/>
        </w:rPr>
        <w:t>involve a market sale of the Company’s securities, and therefore would not qualify under this exception);</w:t>
      </w:r>
    </w:p>
    <w:p>
      <w:pPr>
        <w:pStyle w:val="TextBody"/>
        <w:bidi w:val="0"/>
        <w:spacing w:before="9"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i/>
          <w:color w:val="000000"/>
          <w:sz w:val="20"/>
        </w:rPr>
        <w:t xml:space="preserve">bona fide </w:t>
      </w:r>
      <w:r>
        <w:rPr>
          <w:rFonts w:ascii="Times New Roman" w:hAnsi="Times New Roman"/>
          <w:color w:val="000000"/>
          <w:sz w:val="20"/>
        </w:rPr>
        <w:t>gifts of the Company’s securities, unless the individual making the gift knows that the recipient intends to sell the securities; and</w:t>
      </w:r>
    </w:p>
    <w:p>
      <w:pPr>
        <w:pStyle w:val="TextBody"/>
        <w:bidi w:val="0"/>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 preclearance without such amendment or modification being precleared in advance pursuant to this Policy.</w:t>
      </w:r>
    </w:p>
    <w:p>
      <w:pPr>
        <w:pStyle w:val="TextBody"/>
        <w:bidi w:val="0"/>
        <w:spacing w:before="6" w:after="283"/>
        <w:jc w:val="left"/>
        <w:rPr/>
      </w:pPr>
      <w:r>
        <w:rPr/>
        <w:t> </w:t>
      </w:r>
    </w:p>
    <w:p>
      <w:pPr>
        <w:pStyle w:val="TextBody"/>
        <w:bidi w:val="0"/>
        <w:spacing w:before="1" w:after="283"/>
        <w:ind w:left="160" w:right="151" w:firstLine="720"/>
        <w:jc w:val="both"/>
        <w:rPr>
          <w:rFonts w:ascii="Times New Roman" w:hAnsi="Times New Roman"/>
          <w:color w:val="000000"/>
          <w:sz w:val="20"/>
        </w:rPr>
      </w:pPr>
      <w:r>
        <w:rPr>
          <w:rFonts w:ascii="Times New Roman" w:hAnsi="Times New Roman"/>
          <w:color w:val="000000"/>
          <w:sz w:val="20"/>
        </w:rPr>
        <w:t>Exceptions to the closed trading period policy may be approved only by the Board of Directors, the Audit Committee of the Board of Directors, the Company’s Compliance Officer or Chief Financial Officer or, in the case of exceptions for directors, the Board of Directors or Audit Committee of the Board of Directors.</w:t>
      </w:r>
    </w:p>
    <w:p>
      <w:pPr>
        <w:pStyle w:val="TextBody"/>
        <w:bidi w:val="0"/>
        <w:spacing w:before="10" w:after="283"/>
        <w:jc w:val="left"/>
        <w:rPr/>
      </w:pPr>
      <w:r>
        <w:rPr/>
        <w:t> </w:t>
      </w:r>
    </w:p>
    <w:p>
      <w:pPr>
        <w:pStyle w:val="TextBody"/>
        <w:bidi w:val="0"/>
        <w:ind w:left="160" w:right="156" w:firstLine="720"/>
        <w:jc w:val="both"/>
        <w:rPr>
          <w:rFonts w:ascii="Times New Roman" w:hAnsi="Times New Roman"/>
          <w:color w:val="000000"/>
          <w:sz w:val="20"/>
        </w:rPr>
      </w:pPr>
      <w:r>
        <w:rPr>
          <w:rFonts w:ascii="Times New Roman" w:hAnsi="Times New Roman"/>
          <w:color w:val="000000"/>
          <w:sz w:val="20"/>
        </w:rPr>
        <w:t>From time to time, the Company, through the Board of Directors, the Company’s disclosure committee or the Compliance Officer or Chief Financial Officer, may recommend that officers, directors, employees or others suspend trading in the Company’s securities because of developments that have not yet been disclosed to the public. Subject to the exceptions noted above, all those affected should not trade in the Company’s securities while the suspension is in effect, and should not disclose to others that the Company has suspended trading.</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878" w:right="1339" w:hanging="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Preclearance of All Trades by All Officers, Directors, and Certain Employees</w:t>
      </w:r>
    </w:p>
    <w:p>
      <w:pPr>
        <w:pStyle w:val="TextBody"/>
        <w:bidi w:val="0"/>
        <w:spacing w:before="8" w:after="283"/>
        <w:jc w:val="left"/>
        <w:rPr/>
      </w:pPr>
      <w:r>
        <w:rPr/>
        <w:t> </w:t>
      </w:r>
    </w:p>
    <w:p>
      <w:pPr>
        <w:pStyle w:val="TextBody"/>
        <w:bidi w:val="0"/>
        <w:ind w:left="160" w:right="153" w:firstLine="720"/>
        <w:jc w:val="both"/>
        <w:rPr>
          <w:rFonts w:ascii="Times New Roman" w:hAnsi="Times New Roman"/>
          <w:sz w:val="20"/>
        </w:rPr>
      </w:pPr>
      <w:r>
        <w:rPr>
          <w:rFonts w:ascii="Times New Roman" w:hAnsi="Times New Roman"/>
          <w:color w:val="000000"/>
          <w:sz w:val="20"/>
        </w:rPr>
        <w:t xml:space="preserve">To provide assistance in preventing inadvertent violations of applicable securities laws and to avoid the appearance of impropriety in connection with the purchase and sale or gifts of the Company’s securities, all transactions in the Company’s securities (including, without limitation, acquisitions and dispositions (including gifts) of Company stock, the exercise of stock options, elective transactions under 401(k)/ESPP/deferred compensation plans, and the sale of Company stock issued upon exercise of stock options) by officers, directors and certain employees listed on </w:t>
      </w:r>
      <w:r>
        <w:rPr>
          <w:rFonts w:ascii="Times New Roman" w:hAnsi="Times New Roman"/>
          <w:color w:val="000000"/>
          <w:sz w:val="20"/>
          <w:u w:val="single"/>
        </w:rPr>
        <w:t>Schedule I</w:t>
      </w:r>
      <w:r>
        <w:rPr>
          <w:rFonts w:ascii="Times New Roman" w:hAnsi="Times New Roman"/>
          <w:color w:val="000000"/>
          <w:sz w:val="20"/>
        </w:rPr>
        <w:t xml:space="preserve"> (as amended from time to time) (each, a “</w:t>
      </w:r>
      <w:r>
        <w:rPr>
          <w:rFonts w:ascii="Times New Roman" w:hAnsi="Times New Roman"/>
          <w:color w:val="000000"/>
          <w:sz w:val="20"/>
          <w:u w:val="single"/>
        </w:rPr>
        <w:t>Preclearance Person</w:t>
      </w:r>
      <w:r>
        <w:rPr>
          <w:rFonts w:ascii="Times New Roman" w:hAnsi="Times New Roman"/>
          <w:color w:val="000000"/>
          <w:sz w:val="20"/>
        </w:rPr>
        <w:t>”) must be precleared by the Company’s Compliance Officer or Chief Financial Officer, except for certain exempt transactions as explained in Section VI of this Policy. Preclearance does not relieve you of your responsibility under SEC rules.</w:t>
      </w:r>
    </w:p>
    <w:p>
      <w:pPr>
        <w:pStyle w:val="TextBody"/>
        <w:bidi w:val="0"/>
        <w:spacing w:before="9" w:after="283"/>
        <w:jc w:val="left"/>
        <w:rPr/>
      </w:pPr>
      <w:r>
        <w:rPr/>
        <w:t> </w:t>
      </w:r>
    </w:p>
    <w:p>
      <w:pPr>
        <w:pStyle w:val="TextBody"/>
        <w:bidi w:val="0"/>
        <w:spacing w:before="1" w:after="283"/>
        <w:ind w:left="160" w:right="155" w:firstLine="720"/>
        <w:jc w:val="both"/>
        <w:rPr>
          <w:rFonts w:ascii="Times New Roman" w:hAnsi="Times New Roman"/>
          <w:color w:val="000000"/>
          <w:sz w:val="20"/>
        </w:rPr>
      </w:pPr>
      <w:r>
        <w:rPr>
          <w:rFonts w:ascii="Times New Roman" w:hAnsi="Times New Roman"/>
          <w:color w:val="000000"/>
          <w:sz w:val="20"/>
        </w:rPr>
        <w:t>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In addition, in connection with any market transaction the Preclearance Person must execute a certification that the Preclearance Person is not aware of material nonpublic information about the Company. The Compliance Officer or Chief Financial Officer shall have sole discretion to decide whether to clear any contemplated transaction (other than his or her own contemplated transaction). All trades or gifts that are precleared must be effected within five business days of receipt of the preclearance, unless a specific exception has been granted by the Compliance Officer or Chief Financial Officer. A precleared trade or gift (or any portion of a precleared trade or gift) that has not been effected during the five-business day period must be precleared again prior to execution. Notwithstanding receipt of preclearance, if the Preclearance Person becomes aware of material nonpublic information or becomes subject to a closed trading period before the transaction is effected, the transaction may not be completed.</w:t>
      </w:r>
    </w:p>
    <w:p>
      <w:pPr>
        <w:pStyle w:val="TextBody"/>
        <w:bidi w:val="0"/>
        <w:spacing w:before="8" w:after="283"/>
        <w:jc w:val="left"/>
        <w:rPr/>
      </w:pPr>
      <w:r>
        <w:rPr/>
        <w:t> </w:t>
      </w:r>
    </w:p>
    <w:p>
      <w:pPr>
        <w:pStyle w:val="TextBody"/>
        <w:bidi w:val="0"/>
        <w:ind w:left="160" w:right="156" w:firstLine="720"/>
        <w:jc w:val="both"/>
        <w:rPr>
          <w:rFonts w:ascii="Times New Roman" w:hAnsi="Times New Roman"/>
          <w:color w:val="000000"/>
          <w:sz w:val="20"/>
        </w:rPr>
      </w:pPr>
      <w:r>
        <w:rPr>
          <w:rFonts w:ascii="Times New Roman" w:hAnsi="Times New Roman"/>
          <w:color w:val="000000"/>
          <w:sz w:val="20"/>
        </w:rPr>
        <w:t>None of the Company, the Compliance Officer or Chief Financial Officer, or the Company’s other employees will have any liability for any delay in reviewing, or refusal of, a request for preclearance submitted pursuant to this Section IV.B. Notwithstanding any preclearance of a transaction pursuant to this Section IV.B, none of the Company, the Compliance Officer or Chief Financial Officer, or the Company’s other employees assumes any liability for the legality or consequences of such transaction to the person engaging in such transaction.</w:t>
      </w:r>
    </w:p>
    <w:p>
      <w:pPr>
        <w:pStyle w:val="TextBody"/>
        <w:bidi w:val="0"/>
        <w:spacing w:before="2" w:after="283"/>
        <w:jc w:val="left"/>
        <w:rPr/>
      </w:pPr>
      <w:r>
        <w:rPr/>
        <w:t> </w:t>
      </w:r>
    </w:p>
    <w:p>
      <w:pPr>
        <w:pStyle w:val="TextBody"/>
        <w:bidi w:val="0"/>
        <w:spacing w:before="1" w:after="283"/>
        <w:ind w:left="878" w:right="0" w:hanging="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Post-Termination Transactions</w:t>
      </w:r>
    </w:p>
    <w:p>
      <w:pPr>
        <w:pStyle w:val="TextBody"/>
        <w:bidi w:val="0"/>
        <w:spacing w:before="6" w:after="283"/>
        <w:jc w:val="left"/>
        <w:rPr/>
      </w:pPr>
      <w:r>
        <w:rPr/>
        <w:t> </w:t>
      </w:r>
    </w:p>
    <w:p>
      <w:pPr>
        <w:pStyle w:val="TextBody"/>
        <w:bidi w:val="0"/>
        <w:ind w:left="160" w:right="155" w:firstLine="720"/>
        <w:jc w:val="both"/>
        <w:rPr>
          <w:rFonts w:ascii="Times New Roman" w:hAnsi="Times New Roman"/>
          <w:color w:val="000000"/>
          <w:sz w:val="20"/>
        </w:rPr>
      </w:pPr>
      <w:r>
        <w:rPr>
          <w:rFonts w:ascii="Times New Roman" w:hAnsi="Times New Roman"/>
          <w:color w:val="000000"/>
          <w:sz w:val="20"/>
        </w:rPr>
        <w:t>With the exception of the preclearance requirement, this Policy continues to apply to transactions in the Company’s securities even after termination of service to the Company. If you are in possession of material nonpublic information when your service terminates, you may not trade in the Company’s securities until that information has become public or is no longer material.</w:t>
      </w:r>
    </w:p>
    <w:p>
      <w:pPr>
        <w:pStyle w:val="TextBody"/>
        <w:bidi w:val="0"/>
        <w:spacing w:before="11"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D.</w:t>
      </w:r>
    </w:p>
    <w:p>
      <w:pPr>
        <w:pStyle w:val="TextBody"/>
        <w:bidi w:val="0"/>
        <w:jc w:val="left"/>
        <w:rPr>
          <w:rFonts w:ascii="Times New Roman" w:hAnsi="Times New Roman"/>
          <w:b/>
          <w:color w:val="000000"/>
          <w:sz w:val="20"/>
        </w:rPr>
      </w:pPr>
      <w:r>
        <w:rPr>
          <w:rFonts w:ascii="Times New Roman" w:hAnsi="Times New Roman"/>
          <w:b/>
          <w:color w:val="000000"/>
          <w:sz w:val="20"/>
        </w:rPr>
        <w:t>Information Relating to the Company</w:t>
      </w:r>
    </w:p>
    <w:p>
      <w:pPr>
        <w:pStyle w:val="TextBody"/>
        <w:bidi w:val="0"/>
        <w:jc w:val="left"/>
        <w:rPr/>
      </w:pPr>
      <w:r>
        <w:rPr/>
        <w:t> </w:t>
      </w:r>
    </w:p>
    <w:p>
      <w:pPr>
        <w:pStyle w:val="TextBody"/>
        <w:bidi w:val="0"/>
        <w:spacing w:before="0" w:after="0"/>
        <w:ind w:left="1598" w:right="0" w:hanging="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rFonts w:ascii="Times New Roman" w:hAnsi="Times New Roman"/>
          <w:i/>
          <w:color w:val="000000"/>
          <w:sz w:val="20"/>
        </w:rPr>
      </w:pPr>
      <w:r>
        <w:rPr>
          <w:rFonts w:ascii="Times New Roman" w:hAnsi="Times New Roman"/>
          <w:i/>
          <w:color w:val="000000"/>
          <w:sz w:val="20"/>
        </w:rPr>
        <w:t>Access to Information</w:t>
      </w:r>
    </w:p>
    <w:p>
      <w:pPr>
        <w:pStyle w:val="TextBody"/>
        <w:bidi w:val="0"/>
        <w:spacing w:before="2" w:after="283"/>
        <w:jc w:val="left"/>
        <w:rPr/>
      </w:pPr>
      <w:r>
        <w:rPr/>
        <w:t> </w:t>
      </w:r>
    </w:p>
    <w:p>
      <w:pPr>
        <w:pStyle w:val="TextBody"/>
        <w:bidi w:val="0"/>
        <w:ind w:left="160" w:right="153" w:firstLine="720"/>
        <w:jc w:val="both"/>
        <w:rPr>
          <w:rFonts w:ascii="Times New Roman" w:hAnsi="Times New Roman"/>
          <w:color w:val="000000"/>
          <w:sz w:val="20"/>
        </w:rPr>
      </w:pPr>
      <w:r>
        <w:rPr>
          <w:rFonts w:ascii="Times New Roman" w:hAnsi="Times New Roman"/>
          <w:color w:val="000000"/>
          <w:sz w:val="20"/>
        </w:rPr>
        <w:t>Access to material nonpublic information about the Company, including the Company’s business, earnings, or prospects, should be limited to officers, directors and employees of the</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157" w:hanging="0"/>
        <w:jc w:val="both"/>
        <w:rPr>
          <w:rFonts w:ascii="Times New Roman" w:hAnsi="Times New Roman"/>
          <w:color w:val="000000"/>
          <w:sz w:val="20"/>
        </w:rPr>
      </w:pPr>
      <w:r>
        <w:rPr>
          <w:rFonts w:ascii="Times New Roman" w:hAnsi="Times New Roman"/>
          <w:color w:val="000000"/>
          <w:sz w:val="20"/>
        </w:rPr>
        <w:t>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pStyle w:val="TextBody"/>
        <w:bidi w:val="0"/>
        <w:spacing w:before="10" w:after="283"/>
        <w:jc w:val="left"/>
        <w:rPr/>
      </w:pPr>
      <w:r>
        <w:rPr/>
        <w:t> </w:t>
      </w:r>
    </w:p>
    <w:p>
      <w:pPr>
        <w:pStyle w:val="TextBody"/>
        <w:bidi w:val="0"/>
        <w:spacing w:before="1" w:after="283"/>
        <w:ind w:left="160" w:right="157" w:firstLine="720"/>
        <w:jc w:val="both"/>
        <w:rPr>
          <w:rFonts w:ascii="Times New Roman" w:hAnsi="Times New Roman"/>
          <w:color w:val="000000"/>
          <w:sz w:val="20"/>
        </w:rPr>
      </w:pPr>
      <w:r>
        <w:rPr>
          <w:rFonts w:ascii="Times New Roman" w:hAnsi="Times New Roman"/>
          <w:color w:val="000000"/>
          <w:sz w:val="20"/>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pStyle w:val="TextBody"/>
        <w:bidi w:val="0"/>
        <w:spacing w:before="10" w:after="283"/>
        <w:jc w:val="left"/>
        <w:rPr/>
      </w:pPr>
      <w:r>
        <w:rPr/>
        <w:t> </w:t>
      </w:r>
    </w:p>
    <w:p>
      <w:pPr>
        <w:pStyle w:val="TextBody"/>
        <w:bidi w:val="0"/>
        <w:spacing w:before="1" w:after="283"/>
        <w:ind w:left="1598" w:right="0" w:hanging="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 w:after="283"/>
        <w:jc w:val="left"/>
        <w:rPr>
          <w:rFonts w:ascii="Times New Roman" w:hAnsi="Times New Roman"/>
          <w:i/>
          <w:color w:val="000000"/>
          <w:sz w:val="20"/>
        </w:rPr>
      </w:pPr>
      <w:r>
        <w:rPr>
          <w:rFonts w:ascii="Times New Roman" w:hAnsi="Times New Roman"/>
          <w:i/>
          <w:color w:val="000000"/>
          <w:sz w:val="20"/>
        </w:rPr>
        <w:t>Inquiries From Third Parties</w:t>
      </w:r>
    </w:p>
    <w:p>
      <w:pPr>
        <w:pStyle w:val="TextBody"/>
        <w:bidi w:val="0"/>
        <w:spacing w:before="6" w:after="283"/>
        <w:jc w:val="left"/>
        <w:rPr/>
      </w:pPr>
      <w:r>
        <w:rPr/>
        <w:t> </w:t>
      </w:r>
    </w:p>
    <w:p>
      <w:pPr>
        <w:pStyle w:val="TextBody"/>
        <w:bidi w:val="0"/>
        <w:ind w:left="160" w:right="0" w:firstLine="720"/>
        <w:jc w:val="left"/>
        <w:rPr>
          <w:rFonts w:ascii="Times New Roman" w:hAnsi="Times New Roman"/>
          <w:color w:val="000000"/>
          <w:sz w:val="20"/>
        </w:rPr>
      </w:pPr>
      <w:r>
        <w:rPr>
          <w:rFonts w:ascii="Times New Roman" w:hAnsi="Times New Roman"/>
          <w:color w:val="000000"/>
          <w:sz w:val="20"/>
        </w:rPr>
        <w:t>Inquiries from third parties, such as industry analysts or members of the media, about the Company should be directed to the Company’s Compliance Officer or Chief Financial Officer.</w:t>
      </w:r>
    </w:p>
    <w:p>
      <w:pPr>
        <w:pStyle w:val="TextBody"/>
        <w:bidi w:val="0"/>
        <w:spacing w:before="1" w:after="283"/>
        <w:jc w:val="left"/>
        <w:rPr/>
      </w:pPr>
      <w:r>
        <w:rPr/>
        <w:t> </w:t>
      </w:r>
    </w:p>
    <w:p>
      <w:pPr>
        <w:pStyle w:val="TextBody"/>
        <w:bidi w:val="0"/>
        <w:spacing w:before="1" w:after="283"/>
        <w:ind w:left="878" w:right="0" w:hanging="0"/>
        <w:jc w:val="left"/>
        <w:rPr>
          <w:rFonts w:ascii="Times New Roman" w:hAnsi="Times New Roman"/>
          <w:b/>
          <w:color w:val="000000"/>
          <w:sz w:val="20"/>
        </w:rPr>
      </w:pPr>
      <w:r>
        <w:rPr>
          <w:rFonts w:ascii="Times New Roman" w:hAnsi="Times New Roman"/>
          <w:b/>
          <w:color w:val="000000"/>
          <w:sz w:val="20"/>
        </w:rPr>
        <w:t>E.</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Limitations on Access to Company Information</w:t>
      </w:r>
    </w:p>
    <w:p>
      <w:pPr>
        <w:pStyle w:val="TextBody"/>
        <w:bidi w:val="0"/>
        <w:spacing w:before="6" w:after="283"/>
        <w:jc w:val="left"/>
        <w:rPr/>
      </w:pPr>
      <w:r>
        <w:rPr/>
        <w:t> </w:t>
      </w:r>
    </w:p>
    <w:p>
      <w:pPr>
        <w:pStyle w:val="TextBody"/>
        <w:bidi w:val="0"/>
        <w:ind w:left="160" w:right="0" w:firstLine="720"/>
        <w:jc w:val="left"/>
        <w:rPr>
          <w:rFonts w:ascii="Times New Roman" w:hAnsi="Times New Roman"/>
          <w:color w:val="000000"/>
          <w:sz w:val="20"/>
        </w:rPr>
      </w:pPr>
      <w:r>
        <w:rPr>
          <w:rFonts w:ascii="Times New Roman" w:hAnsi="Times New Roman"/>
          <w:color w:val="000000"/>
          <w:sz w:val="20"/>
        </w:rPr>
        <w:t>The following procedures are designed to maintain confidentiality with respect to the Company’s business operations and activities.</w:t>
      </w:r>
    </w:p>
    <w:p>
      <w:pPr>
        <w:pStyle w:val="TextBody"/>
        <w:bidi w:val="0"/>
        <w:spacing w:before="1" w:after="283"/>
        <w:jc w:val="left"/>
        <w:rPr/>
      </w:pPr>
      <w:r>
        <w:rPr/>
        <w:t> </w:t>
      </w:r>
    </w:p>
    <w:p>
      <w:pPr>
        <w:pStyle w:val="TextBody"/>
        <w:bidi w:val="0"/>
        <w:spacing w:before="1" w:after="283"/>
        <w:ind w:left="160" w:right="0" w:firstLine="720"/>
        <w:jc w:val="left"/>
        <w:rPr>
          <w:rFonts w:ascii="Times New Roman" w:hAnsi="Times New Roman"/>
          <w:color w:val="000000"/>
          <w:sz w:val="20"/>
        </w:rPr>
      </w:pPr>
      <w:r>
        <w:rPr>
          <w:rFonts w:ascii="Times New Roman" w:hAnsi="Times New Roman"/>
          <w:color w:val="000000"/>
          <w:sz w:val="20"/>
        </w:rPr>
        <w:t>All officers, directors and employees should take all steps and precautions necessary to restrict access to, and secure, material nonpublic information by, among other things:</w:t>
      </w:r>
    </w:p>
    <w:p>
      <w:pPr>
        <w:pStyle w:val="TextBody"/>
        <w:bidi w:val="0"/>
        <w:spacing w:before="7" w:after="283"/>
        <w:jc w:val="left"/>
        <w:rPr/>
      </w:pPr>
      <w:r>
        <w:rPr/>
        <w:t> </w:t>
      </w:r>
    </w:p>
    <w:p>
      <w:pPr>
        <w:pStyle w:val="TextBody"/>
        <w:bidi w:val="0"/>
        <w:spacing w:before="1" w:after="283"/>
        <w:ind w:left="87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maintaining the confidentiality of Company-related transactions;</w:t>
      </w:r>
    </w:p>
    <w:p>
      <w:pPr>
        <w:pStyle w:val="TextBody"/>
        <w:bidi w:val="0"/>
        <w:jc w:val="left"/>
        <w:rPr/>
      </w:pPr>
      <w:r>
        <w:rPr/>
        <w:t> </w:t>
      </w:r>
    </w:p>
    <w:p>
      <w:pPr>
        <w:pStyle w:val="TextBody"/>
        <w:bidi w:val="0"/>
        <w:spacing w:before="1" w:after="283"/>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conducting their business and social activities so as not to risk inadvertent disclosure of confidential information. Review of confidential documents in public places should be conducted so as to prevent access by unauthorized persons;</w:t>
      </w:r>
    </w:p>
    <w:p>
      <w:pPr>
        <w:pStyle w:val="TextBody"/>
        <w:bidi w:val="0"/>
        <w:spacing w:before="4"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restricting access to documents and files (including computer files) containing material nonpublic information to individuals on a “need-to-know” basis (including maintaining control over the distribution of documents and drafts of documents);</w:t>
      </w:r>
    </w:p>
    <w:p>
      <w:pPr>
        <w:pStyle w:val="TextBody"/>
        <w:bidi w:val="0"/>
        <w:spacing w:before="3"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promptly removing and cleaning up all confidential documents and other materials from conference rooms following the conclusion of any meetings;</w:t>
      </w:r>
    </w:p>
    <w:p>
      <w:pPr>
        <w:pStyle w:val="TextBody"/>
        <w:bidi w:val="0"/>
        <w:spacing w:before="7"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disposing of all confidential documents and other papers once there is no longer any business or other legally required need — through shredders when appropriate;</w:t>
      </w:r>
    </w:p>
    <w:p>
      <w:pPr>
        <w:pStyle w:val="TextBody"/>
        <w:bidi w:val="0"/>
        <w:spacing w:before="8"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restricting access to areas likely to contain confidential documents or material nonpublic information;</w:t>
      </w:r>
    </w:p>
    <w:p>
      <w:pPr>
        <w:pStyle w:val="TextBody"/>
        <w:bidi w:val="0"/>
        <w:spacing w:before="1"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safeguarding laptop computers, smartphones, tablets, memory sticks, CDs, and other items that contain confidential information; and</w:t>
      </w:r>
    </w:p>
    <w:p>
      <w:pPr>
        <w:pStyle w:val="TextBody"/>
        <w:bidi w:val="0"/>
        <w:spacing w:before="7"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avoiding the discussion of material nonpublic information in places where the information could be overheard by others, such as in elevators, restrooms, hallways, restaurants, airplanes, or taxicabs/Lyfts/Ubers.</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0" w:firstLine="720"/>
        <w:jc w:val="left"/>
        <w:rPr>
          <w:rFonts w:ascii="Times New Roman" w:hAnsi="Times New Roman"/>
          <w:color w:val="000000"/>
          <w:sz w:val="20"/>
        </w:rPr>
      </w:pPr>
      <w:r>
        <w:rPr>
          <w:rFonts w:ascii="Times New Roman" w:hAnsi="Times New Roman"/>
          <w:color w:val="000000"/>
          <w:sz w:val="20"/>
        </w:rPr>
        <w:t>Personnel involved with material nonpublic information, to the extent feasible, should conduct their business and activities in areas separate from other Company activities.</w:t>
      </w:r>
    </w:p>
    <w:p>
      <w:pPr>
        <w:pStyle w:val="TextBody"/>
        <w:bidi w:val="0"/>
        <w:spacing w:before="8" w:after="283"/>
        <w:jc w:val="left"/>
        <w:rPr/>
      </w:pPr>
      <w:r>
        <w:rPr/>
        <w:t> </w:t>
      </w:r>
    </w:p>
    <w:p>
      <w:pPr>
        <w:pStyle w:val="TextBody"/>
        <w:bidi w:val="0"/>
        <w:spacing w:before="0" w:after="0"/>
        <w:ind w:left="158" w:right="0" w:hanging="0"/>
        <w:jc w:val="left"/>
        <w:rPr>
          <w:rFonts w:ascii="Times New Roman" w:hAnsi="Times New Roman"/>
          <w:b/>
          <w:color w:val="000000"/>
          <w:sz w:val="20"/>
        </w:rPr>
      </w:pPr>
      <w:r>
        <w:rPr>
          <w:rFonts w:ascii="Times New Roman" w:hAnsi="Times New Roman"/>
          <w:b/>
          <w:color w:val="000000"/>
          <w:sz w:val="20"/>
        </w:rPr>
        <w:t>V.</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Additional Prohibited Transactions</w:t>
      </w:r>
    </w:p>
    <w:p>
      <w:pPr>
        <w:pStyle w:val="TextBody"/>
        <w:bidi w:val="0"/>
        <w:spacing w:before="10" w:after="283"/>
        <w:jc w:val="left"/>
        <w:rPr/>
      </w:pPr>
      <w:r>
        <w:rPr/>
        <w:t> </w:t>
      </w:r>
    </w:p>
    <w:p>
      <w:pPr>
        <w:pStyle w:val="TextBody"/>
        <w:bidi w:val="0"/>
        <w:spacing w:before="93" w:after="283"/>
        <w:ind w:left="160" w:right="157" w:firstLine="720"/>
        <w:jc w:val="both"/>
        <w:rPr>
          <w:rFonts w:ascii="Times New Roman" w:hAnsi="Times New Roman"/>
          <w:color w:val="000000"/>
          <w:sz w:val="20"/>
        </w:rPr>
      </w:pPr>
      <w:r>
        <w:rPr>
          <w:rFonts w:ascii="Times New Roman" w:hAnsi="Times New Roman"/>
          <w:color w:val="000000"/>
          <w:sz w:val="20"/>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pStyle w:val="TextBody"/>
        <w:bidi w:val="0"/>
        <w:spacing w:before="11"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Short Sales</w:t>
      </w:r>
    </w:p>
    <w:p>
      <w:pPr>
        <w:pStyle w:val="TextBody"/>
        <w:bidi w:val="0"/>
        <w:spacing w:before="7" w:after="283"/>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i.e., sales of shares that the insider does not own at the time of sale, or sales of shares against which the insider does not deliver the shares within 20 days after the sale.</w:t>
      </w:r>
    </w:p>
    <w:p>
      <w:pPr>
        <w:pStyle w:val="TextBody"/>
        <w:bidi w:val="0"/>
        <w:spacing w:before="1"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B.</w:t>
      </w:r>
    </w:p>
    <w:p>
      <w:pPr>
        <w:pStyle w:val="TextBody"/>
        <w:bidi w:val="0"/>
        <w:jc w:val="left"/>
        <w:rPr>
          <w:rFonts w:ascii="Times New Roman" w:hAnsi="Times New Roman"/>
          <w:b/>
          <w:color w:val="000000"/>
          <w:sz w:val="20"/>
        </w:rPr>
      </w:pPr>
      <w:r>
        <w:rPr>
          <w:rFonts w:ascii="Times New Roman" w:hAnsi="Times New Roman"/>
          <w:b/>
          <w:color w:val="000000"/>
          <w:sz w:val="20"/>
        </w:rPr>
        <w:t>Publicly Traded Options</w:t>
      </w:r>
    </w:p>
    <w:p>
      <w:pPr>
        <w:pStyle w:val="TextBody"/>
        <w:bidi w:val="0"/>
        <w:spacing w:before="7" w:after="283"/>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A transaction in options is, in effect, a bet on the short-term movement of the Company’s stock and therefore creates the appearance that an officer, director or employee is trading based on material nonpublic information. Transactions in options may also focus an officer’s, director’s, or employee’s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pStyle w:val="TextBody"/>
        <w:bidi w:val="0"/>
        <w:spacing w:before="4"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color w:val="000000"/>
          <w:sz w:val="20"/>
        </w:rPr>
      </w:pPr>
      <w:r>
        <w:rPr>
          <w:rFonts w:ascii="Times New Roman" w:hAnsi="Times New Roman"/>
          <w:b/>
          <w:color w:val="000000"/>
          <w:sz w:val="20"/>
        </w:rPr>
        <w:t>Hedging Transactions</w:t>
      </w:r>
    </w:p>
    <w:p>
      <w:pPr>
        <w:pStyle w:val="TextBody"/>
        <w:bidi w:val="0"/>
        <w:spacing w:before="6" w:after="283"/>
        <w:jc w:val="left"/>
        <w:rPr/>
      </w:pPr>
      <w:r>
        <w:rPr/>
        <w:t> </w:t>
      </w:r>
    </w:p>
    <w:p>
      <w:pPr>
        <w:pStyle w:val="TextBody"/>
        <w:bidi w:val="0"/>
        <w:ind w:left="160" w:right="153" w:firstLine="720"/>
        <w:jc w:val="both"/>
        <w:rPr>
          <w:rFonts w:ascii="Times New Roman" w:hAnsi="Times New Roman"/>
          <w:color w:val="000000"/>
          <w:sz w:val="20"/>
        </w:rPr>
      </w:pPr>
      <w:r>
        <w:rPr>
          <w:rFonts w:ascii="Times New Roman" w:hAnsi="Times New Roman"/>
          <w:color w:val="000000"/>
          <w:sz w:val="20"/>
        </w:rPr>
        <w:t>Certain forms of hedging or monetization transactions, such as zero-cost collars and forward sale contracts, allow an officer, director or employee to lock in much of the value of his or her stock holdings, often in exchange for all or part of the potential for upside appreciation in the stock. Such transactions allow the officer, director or employee to continue to own the covered securities, but without the full risks and rewards of ownership. When that occurs, the officer, director or employee may no longer have the same objectives as the Company’s other stockholders. Therefore, such transactions involving the Company’s equity securities are prohibited by this Policy.</w:t>
      </w:r>
    </w:p>
    <w:p>
      <w:pPr>
        <w:pStyle w:val="TextBody"/>
        <w:bidi w:val="0"/>
        <w:spacing w:before="1" w:after="283"/>
        <w:jc w:val="left"/>
        <w:rPr/>
      </w:pPr>
      <w:r>
        <w:rPr/>
        <w:t> </w:t>
      </w:r>
    </w:p>
    <w:p>
      <w:pPr>
        <w:pStyle w:val="TextBody"/>
        <w:bidi w:val="0"/>
        <w:spacing w:before="0" w:after="0"/>
        <w:ind w:left="878" w:right="1382" w:hanging="0"/>
        <w:jc w:val="left"/>
        <w:rPr>
          <w:rFonts w:ascii="Times New Roman" w:hAnsi="Times New Roman"/>
          <w:b/>
          <w:color w:val="000000"/>
          <w:sz w:val="20"/>
        </w:rPr>
      </w:pPr>
      <w:r>
        <w:rPr>
          <w:rFonts w:ascii="Times New Roman" w:hAnsi="Times New Roman"/>
          <w:b/>
          <w:color w:val="000000"/>
          <w:sz w:val="20"/>
        </w:rPr>
        <w:t>D.</w:t>
      </w:r>
    </w:p>
    <w:p>
      <w:pPr>
        <w:pStyle w:val="TextBody"/>
        <w:bidi w:val="0"/>
        <w:jc w:val="left"/>
        <w:rPr>
          <w:rFonts w:ascii="Times New Roman" w:hAnsi="Times New Roman"/>
          <w:b/>
          <w:color w:val="000000"/>
          <w:sz w:val="20"/>
        </w:rPr>
      </w:pPr>
      <w:r>
        <w:rPr>
          <w:rFonts w:ascii="Times New Roman" w:hAnsi="Times New Roman"/>
          <w:b/>
          <w:color w:val="000000"/>
          <w:sz w:val="20"/>
        </w:rPr>
        <w:t>Purchases of the Company’s Securities on Margin; Pledging the Company’s Securities to Secure Margin or Other Loans</w:t>
      </w:r>
    </w:p>
    <w:p>
      <w:pPr>
        <w:pStyle w:val="TextBody"/>
        <w:bidi w:val="0"/>
        <w:spacing w:before="8" w:after="283"/>
        <w:jc w:val="left"/>
        <w:rPr/>
      </w:pPr>
      <w:r>
        <w:rPr/>
        <w:t> </w:t>
      </w:r>
    </w:p>
    <w:p>
      <w:pPr>
        <w:pStyle w:val="TextBody"/>
        <w:bidi w:val="0"/>
        <w:ind w:left="160" w:right="154" w:firstLine="720"/>
        <w:jc w:val="both"/>
        <w:rPr>
          <w:rFonts w:ascii="Times New Roman" w:hAnsi="Times New Roman"/>
          <w:sz w:val="20"/>
        </w:rPr>
      </w:pPr>
      <w:r>
        <w:rPr>
          <w:rFonts w:ascii="Times New Roman" w:hAnsi="Times New Roman"/>
          <w:color w:val="000000"/>
          <w:sz w:val="20"/>
        </w:rPr>
        <w:t xml:space="preserve">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Pledging the Company’s securities as collateral to secure loans is also prohibited unless otherwise approved by the Compliance Officer;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155" w:hanging="0"/>
        <w:jc w:val="both"/>
        <w:rPr>
          <w:rFonts w:ascii="Times New Roman" w:hAnsi="Times New Roman"/>
          <w:color w:val="000000"/>
          <w:sz w:val="20"/>
        </w:rPr>
      </w:pPr>
      <w:r>
        <w:rPr>
          <w:rFonts w:ascii="Times New Roman" w:hAnsi="Times New Roman"/>
          <w:color w:val="000000"/>
          <w:sz w:val="20"/>
        </w:rPr>
        <w:t>foregoing shall not apply to existing pledges as of the date of initial adoption of this Policy. This prohibition means, among other things, that you cannot hold the Company’s securities in a “margin account” (which would allow you to borrow against your holdings to buy securities).</w:t>
      </w:r>
    </w:p>
    <w:p>
      <w:pPr>
        <w:pStyle w:val="TextBody"/>
        <w:bidi w:val="0"/>
        <w:spacing w:before="9" w:after="283"/>
        <w:jc w:val="left"/>
        <w:rPr/>
      </w:pPr>
      <w:r>
        <w:rPr/>
        <w:t> </w:t>
      </w:r>
    </w:p>
    <w:p>
      <w:pPr>
        <w:pStyle w:val="TextBody"/>
        <w:bidi w:val="0"/>
        <w:spacing w:before="0" w:after="0"/>
        <w:ind w:left="158" w:right="0" w:hanging="0"/>
        <w:jc w:val="left"/>
        <w:rPr>
          <w:color w:val="000000"/>
        </w:rPr>
      </w:pPr>
      <w:r>
        <w:rPr>
          <w:color w:val="000000"/>
        </w:rPr>
        <w:t>•</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Rule 10b5-1 Trading Plans, Section 16, and Rule 144</w:t>
      </w:r>
    </w:p>
    <w:p>
      <w:pPr>
        <w:pStyle w:val="TextBody"/>
        <w:bidi w:val="0"/>
        <w:spacing w:before="10" w:after="283"/>
        <w:jc w:val="left"/>
        <w:rPr/>
      </w:pPr>
      <w:r>
        <w:rPr/>
        <w:t> </w:t>
      </w:r>
    </w:p>
    <w:p>
      <w:pPr>
        <w:pStyle w:val="TextBody"/>
        <w:bidi w:val="0"/>
        <w:spacing w:before="94" w:after="283"/>
        <w:ind w:left="878" w:right="0" w:hanging="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94"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6" w:after="283"/>
        <w:jc w:val="left"/>
        <w:rPr/>
      </w:pPr>
      <w:r>
        <w:rPr/>
        <w:t> </w:t>
      </w:r>
    </w:p>
    <w:p>
      <w:pPr>
        <w:pStyle w:val="TextBody"/>
        <w:bidi w:val="0"/>
        <w:ind w:left="160" w:right="152" w:firstLine="720"/>
        <w:jc w:val="both"/>
        <w:rPr>
          <w:rFonts w:ascii="Times New Roman" w:hAnsi="Times New Roman"/>
          <w:sz w:val="20"/>
        </w:rPr>
      </w:pPr>
      <w:r>
        <w:rPr>
          <w:rFonts w:ascii="Times New Roman" w:hAnsi="Times New Roman"/>
          <w:color w:val="000000"/>
          <w:sz w:val="20"/>
        </w:rPr>
        <w:t>The trading restrictions set forth do not apply to transactions under a previously established contract, plan, or instruction to trade in the Company’s stock in accordance with the terms of Rule 10b5-1 and all applicable state laws (a “</w:t>
      </w:r>
      <w:r>
        <w:rPr>
          <w:rFonts w:ascii="Times New Roman" w:hAnsi="Times New Roman"/>
          <w:color w:val="000000"/>
          <w:sz w:val="20"/>
          <w:u w:val="single"/>
        </w:rPr>
        <w:t>Trading Plan</w:t>
      </w:r>
      <w:r>
        <w:rPr>
          <w:rFonts w:ascii="Times New Roman" w:hAnsi="Times New Roman"/>
          <w:color w:val="000000"/>
          <w:sz w:val="20"/>
        </w:rPr>
        <w:t>”) that:</w:t>
      </w:r>
    </w:p>
    <w:p>
      <w:pPr>
        <w:pStyle w:val="TextBody"/>
        <w:bidi w:val="0"/>
        <w:spacing w:before="10"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color w:val="000000"/>
          <w:sz w:val="20"/>
        </w:rPr>
        <w:t>has been submitted to and preapproved by the Company’s Compliance Officer, or such other person as the Board of Directors may designate from time to time (the “</w:t>
      </w:r>
      <w:r>
        <w:rPr>
          <w:rFonts w:ascii="Times New Roman" w:hAnsi="Times New Roman"/>
          <w:color w:val="000000"/>
          <w:sz w:val="20"/>
          <w:u w:val="single"/>
        </w:rPr>
        <w:t>Authorizing Officer</w:t>
      </w:r>
      <w:r>
        <w:rPr>
          <w:color w:val="000000"/>
        </w:rPr>
        <w:t>”</w:t>
      </w:r>
      <w:r>
        <w:rPr>
          <w:rFonts w:ascii="Times New Roman" w:hAnsi="Times New Roman"/>
          <w:color w:val="000000"/>
          <w:sz w:val="20"/>
        </w:rPr>
        <w:t>);</w:t>
      </w:r>
    </w:p>
    <w:p>
      <w:pPr>
        <w:pStyle w:val="TextBody"/>
        <w:bidi w:val="0"/>
        <w:spacing w:before="8"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you entered into in good faith at a time when you were not in possession of material nonpublic information about the Company and during an open trading window, and you have acted in good faith with respect to the Trading Plan;</w:t>
      </w:r>
    </w:p>
    <w:p>
      <w:pPr>
        <w:pStyle w:val="TextBody"/>
        <w:bidi w:val="0"/>
        <w:spacing w:before="2"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either (i) specifies the amounts, prices, and dates of all security transactions under the Trading Plan or (ii) provides a written formula, algorithm, or computer program for determining the amount, price, and date of the transactions, and (iii) prohibits you from exercising any subsequent influence over the transactions;</w:t>
      </w:r>
    </w:p>
    <w:p>
      <w:pPr>
        <w:pStyle w:val="TextBody"/>
        <w:bidi w:val="0"/>
        <w:spacing w:before="10" w:after="283"/>
        <w:jc w:val="left"/>
        <w:rPr/>
      </w:pPr>
      <w:r>
        <w:rPr/>
        <w:t> </w:t>
      </w:r>
    </w:p>
    <w:p>
      <w:pPr>
        <w:pStyle w:val="TextBody"/>
        <w:bidi w:val="0"/>
        <w:spacing w:before="0" w:after="0"/>
        <w:ind w:left="878" w:right="0" w:hanging="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Times New Roman" w:hAnsi="Times New Roman"/>
          <w:color w:val="000000"/>
          <w:sz w:val="20"/>
        </w:rPr>
      </w:pPr>
      <w:r>
        <w:rPr>
          <w:rFonts w:ascii="Times New Roman" w:hAnsi="Times New Roman"/>
          <w:color w:val="000000"/>
          <w:sz w:val="20"/>
        </w:rPr>
        <w:t>includes a “Cooling Off Period” under which no purchases or sales may occur for</w:t>
      </w:r>
    </w:p>
    <w:p>
      <w:pPr>
        <w:pStyle w:val="TextBody"/>
        <w:bidi w:val="0"/>
        <w:spacing w:before="7" w:after="283"/>
        <w:jc w:val="left"/>
        <w:rPr/>
      </w:pPr>
      <w:r>
        <w:rPr/>
        <w:t> </w:t>
      </w:r>
    </w:p>
    <w:p>
      <w:pPr>
        <w:pStyle w:val="TextBody"/>
        <w:bidi w:val="0"/>
        <w:spacing w:before="1" w:after="283"/>
        <w:ind w:left="1958" w:right="158" w:hanging="0"/>
        <w:jc w:val="both"/>
        <w:rPr>
          <w:color w:val="000000"/>
        </w:rPr>
      </w:pPr>
      <w:r>
        <w:rPr>
          <w:color w:val="000000"/>
        </w:rPr>
        <w:t>▪</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directors and officers designated as officers under Section 16 of the 1934 Act, as designated by the Board of Directors (the “Section 16 Officers”), that extends to the later of 90 days after adoption or modification of a Trading Plan or two business days after filing of the Form 10-K or Form 10- Q covering the fiscal quarter in which the Trading Plan was adopted, up to a maximum of 120 days; and</w:t>
      </w:r>
    </w:p>
    <w:p>
      <w:pPr>
        <w:pStyle w:val="TextBody"/>
        <w:bidi w:val="0"/>
        <w:spacing w:before="4" w:after="283"/>
        <w:jc w:val="left"/>
        <w:rPr/>
      </w:pPr>
      <w:r>
        <w:rPr/>
        <w:t> </w:t>
      </w:r>
    </w:p>
    <w:p>
      <w:pPr>
        <w:pStyle w:val="TextBody"/>
        <w:bidi w:val="0"/>
        <w:spacing w:before="0" w:after="0"/>
        <w:ind w:left="1958" w:right="158" w:hanging="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employees and any other persons, other than the Company, that extends 30 days after adoption or modification of a Trading Plan;</w:t>
      </w:r>
    </w:p>
    <w:p>
      <w:pPr>
        <w:pStyle w:val="TextBody"/>
        <w:bidi w:val="0"/>
        <w:spacing w:before="4"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for directors and Section 16 Officers, includes a representation in the Trading Plan that the director or Section 16 Officer is (i) not aware of any material nonpublic information about the Company or its securities and (ii) adopting the Trading Plan in good faith and not as part of a plan or scheme to evade Rule 10b-5; and</w:t>
      </w:r>
    </w:p>
    <w:p>
      <w:pPr>
        <w:pStyle w:val="TextBody"/>
        <w:bidi w:val="0"/>
        <w:spacing w:before="10" w:after="283"/>
        <w:jc w:val="left"/>
        <w:rPr/>
      </w:pPr>
      <w:r>
        <w:rPr/>
        <w:t> </w:t>
      </w:r>
    </w:p>
    <w:p>
      <w:pPr>
        <w:pStyle w:val="TextBody"/>
        <w:bidi w:val="0"/>
        <w:spacing w:before="0" w:after="0"/>
        <w:ind w:left="878" w:right="0" w:hanging="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Times New Roman" w:hAnsi="Times New Roman"/>
          <w:color w:val="000000"/>
          <w:sz w:val="20"/>
        </w:rPr>
      </w:pPr>
      <w:r>
        <w:rPr>
          <w:rFonts w:ascii="Times New Roman" w:hAnsi="Times New Roman"/>
          <w:color w:val="000000"/>
          <w:sz w:val="20"/>
        </w:rPr>
        <w:t>complies with all other applicable requirements of Rule 10b5-1.</w:t>
      </w:r>
    </w:p>
    <w:p>
      <w:pPr>
        <w:pStyle w:val="TextBody"/>
        <w:bidi w:val="0"/>
        <w:spacing w:before="6" w:after="283"/>
        <w:jc w:val="left"/>
        <w:rPr/>
      </w:pPr>
      <w:r>
        <w:rPr/>
        <w:t> </w:t>
      </w:r>
    </w:p>
    <w:p>
      <w:pPr>
        <w:pStyle w:val="TextBody"/>
        <w:bidi w:val="0"/>
        <w:ind w:left="160" w:right="156" w:firstLine="720"/>
        <w:jc w:val="both"/>
        <w:rPr>
          <w:rFonts w:ascii="Times New Roman" w:hAnsi="Times New Roman"/>
          <w:color w:val="000000"/>
          <w:sz w:val="20"/>
        </w:rPr>
      </w:pPr>
      <w:r>
        <w:rPr>
          <w:rFonts w:ascii="Times New Roman" w:hAnsi="Times New Roman"/>
          <w:color w:val="000000"/>
          <w:sz w:val="20"/>
        </w:rPr>
        <w:t>The Authorizing Officer may impose such other conditions on the implementation and operation of the Trading Plan as the Authorizing Officer deems necessary or advisable. You may not adopt more than one Trading Plan at a time except under the limited circumstances permitted by Rule 10b5-1 (i.e., all transactions under the later adopted Trading Plan may only begin after all transactions under the earlier adopted Trading Plan have been completed or expired and after the observance of the applicable Cooling-Off Period) and subject to preapproval by the Authorizing Officer. Trading Plans that authorize sell-to-cover transactions to satisfy tax</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156" w:hanging="0"/>
        <w:jc w:val="both"/>
        <w:rPr>
          <w:rFonts w:ascii="Times New Roman" w:hAnsi="Times New Roman"/>
          <w:color w:val="000000"/>
          <w:sz w:val="20"/>
        </w:rPr>
      </w:pPr>
      <w:r>
        <w:rPr>
          <w:rFonts w:ascii="Times New Roman" w:hAnsi="Times New Roman"/>
          <w:color w:val="000000"/>
          <w:sz w:val="20"/>
        </w:rPr>
        <w:t>withholding obligations incident to the vesting of equity awards are permitted even if you have another trading plan in place, as long as the sell-to-cover plan authorizes an agent to sell only the securities necessary to satisfy the tax withholding obligations, and you do not otherwise control the timing of the sales.</w:t>
      </w:r>
    </w:p>
    <w:p>
      <w:pPr>
        <w:pStyle w:val="TextBody"/>
        <w:bidi w:val="0"/>
        <w:spacing w:before="10" w:after="283"/>
        <w:jc w:val="left"/>
        <w:rPr/>
      </w:pPr>
      <w:r>
        <w:rPr/>
        <w:t> </w:t>
      </w:r>
    </w:p>
    <w:p>
      <w:pPr>
        <w:pStyle w:val="TextBody"/>
        <w:bidi w:val="0"/>
        <w:spacing w:before="1" w:after="283"/>
        <w:ind w:left="160" w:right="155" w:firstLine="720"/>
        <w:jc w:val="both"/>
        <w:rPr>
          <w:rFonts w:ascii="Times New Roman" w:hAnsi="Times New Roman"/>
          <w:color w:val="000000"/>
          <w:sz w:val="20"/>
        </w:rPr>
      </w:pPr>
      <w:r>
        <w:rPr>
          <w:rFonts w:ascii="Times New Roman" w:hAnsi="Times New Roman"/>
          <w:color w:val="000000"/>
          <w:sz w:val="20"/>
        </w:rPr>
        <w:t>You may only modify a Trading Plan during an open trading window and, in any event, when you do not possess material nonpublic information. Modifications to and terminations of a Trading Plan are subject to preapproval by the Authorizing Officer. Modifications of a Trading Plan that change the amount, price, or timing of the purchase or sale of the securities underlying a Trading Plan will trigger a new Cooling-Off Period.</w:t>
      </w:r>
    </w:p>
    <w:p>
      <w:pPr>
        <w:pStyle w:val="TextBody"/>
        <w:bidi w:val="0"/>
        <w:spacing w:before="7" w:after="283"/>
        <w:jc w:val="left"/>
        <w:rPr/>
      </w:pPr>
      <w:r>
        <w:rPr/>
        <w:t> </w:t>
      </w:r>
    </w:p>
    <w:p>
      <w:pPr>
        <w:pStyle w:val="TextBody"/>
        <w:bidi w:val="0"/>
        <w:ind w:left="160" w:right="155" w:firstLine="720"/>
        <w:jc w:val="both"/>
        <w:rPr>
          <w:rFonts w:ascii="Times New Roman" w:hAnsi="Times New Roman"/>
          <w:color w:val="000000"/>
          <w:sz w:val="20"/>
        </w:rPr>
      </w:pPr>
      <w:r>
        <w:rPr>
          <w:rFonts w:ascii="Times New Roman" w:hAnsi="Times New Roman"/>
          <w:color w:val="000000"/>
          <w:sz w:val="20"/>
        </w:rPr>
        <w:t>The Company reserves the right to publicly disclose, announce, or respond to inquiries from the media regarding, the adoption, modification, or termination of Trading Plans and non- Rule 10b5-1 trading arrangements or the execution of transactions made under a Trading Plan. The Company also reserves the right from time to time to suspend, discontinue, or otherwise prohibit transactions under a Trading Plan if the Authorizing Officer or the Board of Directors, in its discretion, determines that such suspension, discontinuation, or other prohibition is in the best interests of the Company.</w:t>
      </w:r>
    </w:p>
    <w:p>
      <w:pPr>
        <w:pStyle w:val="TextBody"/>
        <w:bidi w:val="0"/>
        <w:spacing w:before="10" w:after="283"/>
        <w:jc w:val="left"/>
        <w:rPr/>
      </w:pPr>
      <w:r>
        <w:rPr/>
        <w:t> </w:t>
      </w:r>
    </w:p>
    <w:p>
      <w:pPr>
        <w:pStyle w:val="TextBody"/>
        <w:bidi w:val="0"/>
        <w:spacing w:before="1" w:after="283"/>
        <w:ind w:left="160" w:right="157" w:firstLine="720"/>
        <w:jc w:val="both"/>
        <w:rPr>
          <w:rFonts w:ascii="Times New Roman" w:hAnsi="Times New Roman"/>
          <w:sz w:val="20"/>
        </w:rPr>
      </w:pPr>
      <w:r>
        <w:rPr>
          <w:rFonts w:ascii="Times New Roman" w:hAnsi="Times New Roman"/>
          <w:color w:val="000000"/>
          <w:sz w:val="20"/>
        </w:rPr>
        <w:t>The cashless exercise of options under Trading Plans is permitted only through “</w:t>
      </w:r>
      <w:r>
        <w:rPr>
          <w:rFonts w:ascii="Times New Roman" w:hAnsi="Times New Roman"/>
          <w:color w:val="000000"/>
          <w:sz w:val="20"/>
          <w:u w:val="single"/>
        </w:rPr>
        <w:t>same-</w:t>
      </w:r>
      <w:r>
        <w:rPr>
          <w:rFonts w:ascii="Times New Roman" w:hAnsi="Times New Roman"/>
          <w:color w:val="000000"/>
          <w:sz w:val="20"/>
        </w:rPr>
        <w:t xml:space="preserve"> </w:t>
      </w:r>
      <w:r>
        <w:rPr>
          <w:rFonts w:ascii="Times New Roman" w:hAnsi="Times New Roman"/>
          <w:color w:val="000000"/>
          <w:sz w:val="20"/>
          <w:u w:val="single"/>
        </w:rPr>
        <w:t>day sales</w:t>
      </w:r>
      <w:r>
        <w:rPr>
          <w:rFonts w:ascii="Times New Roman" w:hAnsi="Times New Roman"/>
          <w:color w:val="000000"/>
          <w:sz w:val="20"/>
        </w:rPr>
        <w:t>,” in which the option holder does not pay for the stock up front, but rather receives cash equal to the difference between the stock value and option exercise price. Transactions prohibited under Section V of this Policy, including short sales and hedging transactions, may not be carried out through a Trading Plan.</w:t>
      </w:r>
    </w:p>
    <w:p>
      <w:pPr>
        <w:pStyle w:val="TextBody"/>
        <w:bidi w:val="0"/>
        <w:spacing w:before="7" w:after="283"/>
        <w:jc w:val="left"/>
        <w:rPr/>
      </w:pPr>
      <w:r>
        <w:rPr/>
        <w:t> </w:t>
      </w:r>
    </w:p>
    <w:p>
      <w:pPr>
        <w:pStyle w:val="TextBody"/>
        <w:bidi w:val="0"/>
        <w:ind w:left="160" w:right="153" w:firstLine="720"/>
        <w:jc w:val="both"/>
        <w:rPr>
          <w:rFonts w:ascii="Times New Roman" w:hAnsi="Times New Roman"/>
          <w:color w:val="000000"/>
          <w:sz w:val="20"/>
        </w:rPr>
      </w:pPr>
      <w:r>
        <w:rPr>
          <w:rFonts w:ascii="Times New Roman" w:hAnsi="Times New Roman"/>
          <w:color w:val="000000"/>
          <w:sz w:val="20"/>
        </w:rPr>
        <w:t>Compliance of a Trading Plan with the terms of Rule 10b5-1 and the execution of transactions pursuant to the Trading Plan are the sole responsibility of the person initiating the Trading Plan, and none of the Company, the Authorizing Officer, or the Company’s other employees assume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before="2" w:after="283"/>
        <w:jc w:val="left"/>
        <w:rPr/>
      </w:pPr>
      <w:r>
        <w:rPr/>
        <w:t> </w:t>
      </w:r>
    </w:p>
    <w:p>
      <w:pPr>
        <w:pStyle w:val="TextBody"/>
        <w:bidi w:val="0"/>
        <w:ind w:left="160" w:right="158" w:firstLine="720"/>
        <w:jc w:val="both"/>
        <w:rPr>
          <w:rFonts w:ascii="Times New Roman" w:hAnsi="Times New Roman"/>
          <w:color w:val="000000"/>
          <w:sz w:val="20"/>
        </w:rPr>
      </w:pPr>
      <w:r>
        <w:rPr>
          <w:rFonts w:ascii="Times New Roman" w:hAnsi="Times New Roman"/>
          <w:color w:val="000000"/>
          <w:sz w:val="20"/>
        </w:rPr>
        <w:t>Trading Plans do not exempt you from complying with Section 16 short-swing profit rules or liability.</w:t>
      </w:r>
    </w:p>
    <w:p>
      <w:pPr>
        <w:pStyle w:val="TextBody"/>
        <w:bidi w:val="0"/>
        <w:spacing w:before="8" w:after="283"/>
        <w:jc w:val="left"/>
        <w:rPr/>
      </w:pPr>
      <w:r>
        <w:rPr/>
        <w:t> </w:t>
      </w:r>
    </w:p>
    <w:p>
      <w:pPr>
        <w:pStyle w:val="TextBody"/>
        <w:bidi w:val="0"/>
        <w:ind w:left="160" w:right="154" w:firstLine="720"/>
        <w:jc w:val="both"/>
        <w:rPr>
          <w:rFonts w:ascii="Times New Roman" w:hAnsi="Times New Roman"/>
          <w:color w:val="000000"/>
          <w:sz w:val="20"/>
        </w:rPr>
      </w:pPr>
      <w:r>
        <w:rPr>
          <w:rFonts w:ascii="Times New Roman" w:hAnsi="Times New Roman"/>
          <w:color w:val="000000"/>
          <w:sz w:val="20"/>
        </w:rPr>
        <w:t>During an open trading window, trades differing from Trading Plan instructions that are already in place are allowed as long as the Trading Plan continues to be followed.</w:t>
      </w:r>
    </w:p>
    <w:p>
      <w:pPr>
        <w:pStyle w:val="TextBody"/>
        <w:bidi w:val="0"/>
        <w:spacing w:before="2" w:after="283"/>
        <w:jc w:val="left"/>
        <w:rPr/>
      </w:pPr>
      <w:r>
        <w:rPr/>
        <w:t> </w:t>
      </w:r>
    </w:p>
    <w:p>
      <w:pPr>
        <w:pStyle w:val="TextBody"/>
        <w:bidi w:val="0"/>
        <w:spacing w:before="0" w:after="0"/>
        <w:ind w:left="878" w:right="173" w:hanging="0"/>
        <w:jc w:val="left"/>
        <w:rPr>
          <w:rFonts w:ascii="Times New Roman" w:hAnsi="Times New Roman"/>
          <w:b/>
          <w:color w:val="000000"/>
          <w:sz w:val="20"/>
        </w:rPr>
      </w:pPr>
      <w:r>
        <w:rPr>
          <w:rFonts w:ascii="Times New Roman" w:hAnsi="Times New Roman"/>
          <w:b/>
          <w:color w:val="000000"/>
          <w:sz w:val="20"/>
        </w:rPr>
        <w:t>B.</w:t>
      </w:r>
    </w:p>
    <w:p>
      <w:pPr>
        <w:pStyle w:val="TextBody"/>
        <w:bidi w:val="0"/>
        <w:jc w:val="left"/>
        <w:rPr>
          <w:rFonts w:ascii="Times New Roman" w:hAnsi="Times New Roman"/>
          <w:b/>
          <w:color w:val="000000"/>
          <w:sz w:val="20"/>
        </w:rPr>
      </w:pPr>
      <w:r>
        <w:rPr>
          <w:rFonts w:ascii="Times New Roman" w:hAnsi="Times New Roman"/>
          <w:b/>
          <w:color w:val="000000"/>
          <w:sz w:val="20"/>
        </w:rPr>
        <w:t>Section 16: Insider Reporting Requirements, Short-Swing Profits and Short Sales (Applicable to Executive Officers, Directors and Greater Than 10% Stockholders)</w:t>
      </w:r>
    </w:p>
    <w:p>
      <w:pPr>
        <w:pStyle w:val="TextBody"/>
        <w:bidi w:val="0"/>
        <w:spacing w:before="9" w:after="283"/>
        <w:jc w:val="left"/>
        <w:rPr/>
      </w:pPr>
      <w:r>
        <w:rPr/>
        <w:t> </w:t>
      </w:r>
    </w:p>
    <w:p>
      <w:pPr>
        <w:pStyle w:val="TextBody"/>
        <w:bidi w:val="0"/>
        <w:spacing w:before="0" w:after="0"/>
        <w:ind w:left="1598" w:right="0" w:hanging="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rFonts w:ascii="Times New Roman" w:hAnsi="Times New Roman"/>
          <w:i/>
          <w:color w:val="000000"/>
          <w:sz w:val="20"/>
        </w:rPr>
      </w:pPr>
      <w:r>
        <w:rPr>
          <w:rFonts w:ascii="Times New Roman" w:hAnsi="Times New Roman"/>
          <w:i/>
          <w:color w:val="000000"/>
          <w:sz w:val="20"/>
        </w:rPr>
        <w:t>Reporting Obligations Under Section 16(a): SEC Forms 3, 4, and 5</w:t>
      </w:r>
    </w:p>
    <w:p>
      <w:pPr>
        <w:pStyle w:val="TextBody"/>
        <w:bidi w:val="0"/>
        <w:spacing w:before="7" w:after="283"/>
        <w:jc w:val="left"/>
        <w:rPr/>
      </w:pPr>
      <w:r>
        <w:rPr/>
        <w:t> </w:t>
      </w:r>
    </w:p>
    <w:p>
      <w:pPr>
        <w:pStyle w:val="TextBody"/>
        <w:bidi w:val="0"/>
        <w:ind w:left="160" w:right="156" w:firstLine="720"/>
        <w:jc w:val="both"/>
        <w:rPr>
          <w:rFonts w:ascii="Times New Roman" w:hAnsi="Times New Roman"/>
          <w:sz w:val="20"/>
        </w:rPr>
      </w:pPr>
      <w:r>
        <w:rPr>
          <w:rFonts w:ascii="Times New Roman" w:hAnsi="Times New Roman"/>
          <w:color w:val="000000"/>
          <w:sz w:val="20"/>
        </w:rPr>
        <w:t>Section 16(a) of the 1934 Act generally requires all Section 16 Officers, directors and greater than 10% stockholders (“</w:t>
      </w:r>
      <w:r>
        <w:rPr>
          <w:rFonts w:ascii="Times New Roman" w:hAnsi="Times New Roman"/>
          <w:color w:val="000000"/>
          <w:sz w:val="20"/>
          <w:u w:val="single"/>
        </w:rPr>
        <w:t>Section 16 Insiders</w:t>
      </w:r>
      <w:r>
        <w:rPr>
          <w:rFonts w:ascii="Times New Roman" w:hAnsi="Times New Roman"/>
          <w:color w:val="000000"/>
          <w:sz w:val="20"/>
        </w:rPr>
        <w:t>”), within 10 days after becoming a Section 16 Insider, to file with the SEC an “Initial Statement of Beneficial Ownership of Securities” on SEC Form 3, listing the amount of the Company’s stock, options, and warrants that the Section 16 Insider beneficially owns. Following the initial filing on SEC Form 3, changes in beneficial ownership of the Company’s stock, options, and warrants, including as a result of a disposition of equity securities by gift, must be reported on SEC Form 4, generally within two days after the date</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157" w:hanging="0"/>
        <w:jc w:val="both"/>
        <w:rPr>
          <w:rFonts w:ascii="Times New Roman" w:hAnsi="Times New Roman"/>
          <w:sz w:val="20"/>
        </w:rPr>
      </w:pPr>
      <w:r>
        <w:rPr>
          <w:rFonts w:ascii="Times New Roman" w:hAnsi="Times New Roman"/>
          <w:color w:val="000000"/>
          <w:sz w:val="20"/>
        </w:rPr>
        <w:t xml:space="preserve">on which such change occurs, or in certain cases on Form 5, within 45 days after fiscal year-end. The two-day Form 4 deadline begins to run from the trade date rather than the settlement date (or for gifts, the date of the gift). A Form 4 must be filed even if, as a result of balancing transactions, there has been no net change in holdings. In certain situations, purchases or sales of Company stock made within six months </w:t>
      </w:r>
      <w:r>
        <w:rPr>
          <w:rFonts w:ascii="Times New Roman" w:hAnsi="Times New Roman"/>
          <w:i/>
          <w:color w:val="000000"/>
          <w:sz w:val="20"/>
        </w:rPr>
        <w:t xml:space="preserve">prior </w:t>
      </w:r>
      <w:r>
        <w:rPr>
          <w:rFonts w:ascii="Times New Roman" w:hAnsi="Times New Roman"/>
          <w:color w:val="000000"/>
          <w:sz w:val="20"/>
        </w:rPr>
        <w:t>to the filing of a Form 3 must be reported on Form</w:t>
      </w:r>
    </w:p>
    <w:p>
      <w:pPr>
        <w:pStyle w:val="TextBody"/>
        <w:bidi w:val="0"/>
        <w:ind w:left="160" w:right="158" w:hanging="0"/>
        <w:jc w:val="both"/>
        <w:rPr>
          <w:rFonts w:ascii="Times New Roman" w:hAnsi="Times New Roman"/>
          <w:sz w:val="20"/>
        </w:rPr>
      </w:pPr>
      <w:r>
        <w:rPr>
          <w:rFonts w:ascii="Times New Roman" w:hAnsi="Times New Roman"/>
          <w:color w:val="000000"/>
          <w:sz w:val="20"/>
        </w:rPr>
        <w:t xml:space="preserve">4. Similarly, certain purchases or sales of Company stock made within six months </w:t>
      </w:r>
      <w:r>
        <w:rPr>
          <w:rFonts w:ascii="Times New Roman" w:hAnsi="Times New Roman"/>
          <w:i/>
          <w:color w:val="000000"/>
          <w:sz w:val="20"/>
        </w:rPr>
        <w:t xml:space="preserve">after </w:t>
      </w:r>
      <w:r>
        <w:rPr>
          <w:rFonts w:ascii="Times New Roman" w:hAnsi="Times New Roman"/>
          <w:color w:val="000000"/>
          <w:sz w:val="20"/>
        </w:rPr>
        <w:t>an officer or director ceases to be a Section 16 Insider must be reported on Form 4.</w:t>
      </w:r>
    </w:p>
    <w:p>
      <w:pPr>
        <w:pStyle w:val="TextBody"/>
        <w:bidi w:val="0"/>
        <w:spacing w:before="5" w:after="283"/>
        <w:jc w:val="left"/>
        <w:rPr/>
      </w:pPr>
      <w:r>
        <w:rPr/>
        <w:t> </w:t>
      </w:r>
    </w:p>
    <w:p>
      <w:pPr>
        <w:pStyle w:val="TextBody"/>
        <w:bidi w:val="0"/>
        <w:spacing w:before="0" w:after="0"/>
        <w:ind w:left="1598" w:right="0" w:hanging="0"/>
        <w:jc w:val="left"/>
        <w:rPr>
          <w:rFonts w:ascii="Times New Roman" w:hAnsi="Times New Roman"/>
          <w:i/>
          <w:color w:val="000000"/>
          <w:sz w:val="20"/>
        </w:rPr>
      </w:pPr>
      <w:r>
        <w:rPr>
          <w:rFonts w:ascii="Times New Roman" w:hAnsi="Times New Roman"/>
          <w:i/>
          <w:color w:val="000000"/>
          <w:sz w:val="20"/>
        </w:rPr>
        <w:t>2.</w:t>
      </w:r>
    </w:p>
    <w:p>
      <w:pPr>
        <w:pStyle w:val="TextBody"/>
        <w:bidi w:val="0"/>
        <w:jc w:val="left"/>
        <w:rPr>
          <w:rFonts w:ascii="Times New Roman" w:hAnsi="Times New Roman"/>
          <w:i/>
          <w:color w:val="000000"/>
          <w:sz w:val="20"/>
        </w:rPr>
      </w:pPr>
      <w:r>
        <w:rPr>
          <w:rFonts w:ascii="Times New Roman" w:hAnsi="Times New Roman"/>
          <w:i/>
          <w:color w:val="000000"/>
          <w:sz w:val="20"/>
        </w:rPr>
        <w:t>Recovery of Profits Under Section 16(b)</w:t>
      </w:r>
    </w:p>
    <w:p>
      <w:pPr>
        <w:pStyle w:val="TextBody"/>
        <w:bidi w:val="0"/>
        <w:spacing w:before="7" w:after="283"/>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For the purpose of preventing the unfair use of information that may have been obtained by a Section 16 Insider, any profits realized by a Section 16 Insider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material nonpublic information.</w:t>
      </w:r>
    </w:p>
    <w:p>
      <w:pPr>
        <w:pStyle w:val="TextBody"/>
        <w:bidi w:val="0"/>
        <w:spacing w:before="2" w:after="283"/>
        <w:jc w:val="left"/>
        <w:rPr/>
      </w:pPr>
      <w:r>
        <w:rPr/>
        <w:t> </w:t>
      </w:r>
    </w:p>
    <w:p>
      <w:pPr>
        <w:pStyle w:val="TextBody"/>
        <w:bidi w:val="0"/>
        <w:ind w:left="160" w:right="153" w:firstLine="720"/>
        <w:jc w:val="both"/>
        <w:rPr>
          <w:rFonts w:ascii="Times New Roman" w:hAnsi="Times New Roman"/>
          <w:color w:val="000000"/>
          <w:sz w:val="20"/>
        </w:rPr>
      </w:pPr>
      <w:r>
        <w:rPr>
          <w:rFonts w:ascii="Times New Roman" w:hAnsi="Times New Roman"/>
          <w:color w:val="000000"/>
          <w:sz w:val="20"/>
        </w:rPr>
        <w:t>The Section 16 Insider’s liability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Section 16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pStyle w:val="TextBody"/>
        <w:bidi w:val="0"/>
        <w:spacing w:before="8" w:after="283"/>
        <w:jc w:val="left"/>
        <w:rPr/>
      </w:pPr>
      <w:r>
        <w:rPr/>
        <w:t> </w:t>
      </w:r>
    </w:p>
    <w:p>
      <w:pPr>
        <w:pStyle w:val="TextBody"/>
        <w:bidi w:val="0"/>
        <w:ind w:left="160" w:right="156" w:firstLine="720"/>
        <w:jc w:val="both"/>
        <w:rPr>
          <w:rFonts w:ascii="Times New Roman" w:hAnsi="Times New Roman"/>
          <w:color w:val="000000"/>
          <w:sz w:val="20"/>
        </w:rPr>
      </w:pPr>
      <w:r>
        <w:rPr>
          <w:rFonts w:ascii="Times New Roman" w:hAnsi="Times New Roman"/>
          <w:color w:val="000000"/>
          <w:sz w:val="20"/>
        </w:rPr>
        <w:t>Executive officers and directors should consult the “Short-Swing Profit Rule Section 16(b) Checklist” attached hereto as “Attachment A” in addition to consulting the Compliance Officer prior to engaging in any transactions involving the Company’s securities, including, without limitation, the Company’s stock, options, or warrants.</w:t>
      </w:r>
    </w:p>
    <w:p>
      <w:pPr>
        <w:pStyle w:val="TextBody"/>
        <w:bidi w:val="0"/>
        <w:spacing w:before="11" w:after="283"/>
        <w:jc w:val="left"/>
        <w:rPr/>
      </w:pPr>
      <w:r>
        <w:rPr/>
        <w:t> </w:t>
      </w:r>
    </w:p>
    <w:p>
      <w:pPr>
        <w:pStyle w:val="TextBody"/>
        <w:bidi w:val="0"/>
        <w:spacing w:before="0" w:after="0"/>
        <w:ind w:left="1598" w:right="0" w:hanging="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rFonts w:ascii="Times New Roman" w:hAnsi="Times New Roman"/>
          <w:i/>
          <w:color w:val="000000"/>
          <w:sz w:val="20"/>
        </w:rPr>
      </w:pPr>
      <w:r>
        <w:rPr>
          <w:rFonts w:ascii="Times New Roman" w:hAnsi="Times New Roman"/>
          <w:i/>
          <w:color w:val="000000"/>
          <w:sz w:val="20"/>
        </w:rPr>
        <w:t>Short Sales Prohibited Under Section 16(c)</w:t>
      </w:r>
    </w:p>
    <w:p>
      <w:pPr>
        <w:pStyle w:val="TextBody"/>
        <w:bidi w:val="0"/>
        <w:spacing w:before="11" w:after="283"/>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Section 16(c) of the 1934 Act absolutely prohibits Section 16 Insiders from making short sales of the Company’s equity securities. Short sales include sales of stock that the Section 16 Insider does not own at the time of sale, or sales of stock against which the Section 16 Insider does not deliver the shares within 20 days after the sale. Under certain circumstances, the purchase or sale of put or call options, or the writing of such options, can result in a violation of Section 16(c). Section 16 Insiders violating Section 16(c) face criminal liability.</w:t>
      </w:r>
    </w:p>
    <w:p>
      <w:pPr>
        <w:pStyle w:val="TextBody"/>
        <w:bidi w:val="0"/>
        <w:spacing w:before="9" w:after="283"/>
        <w:jc w:val="left"/>
        <w:rPr/>
      </w:pPr>
      <w:r>
        <w:rPr/>
        <w:t> </w:t>
      </w:r>
    </w:p>
    <w:p>
      <w:pPr>
        <w:pStyle w:val="TextBody"/>
        <w:bidi w:val="0"/>
        <w:ind w:left="160" w:right="157" w:firstLine="720"/>
        <w:jc w:val="both"/>
        <w:rPr>
          <w:rFonts w:ascii="Times New Roman" w:hAnsi="Times New Roman"/>
          <w:color w:val="000000"/>
          <w:sz w:val="20"/>
        </w:rPr>
      </w:pPr>
      <w:r>
        <w:rPr>
          <w:rFonts w:ascii="Times New Roman" w:hAnsi="Times New Roman"/>
          <w:color w:val="000000"/>
          <w:sz w:val="20"/>
        </w:rPr>
        <w:t>You should consult the Compliance Officer if you have any questions regarding reporting obligations, short-swing profits or short sales under Section 16.</w:t>
      </w:r>
    </w:p>
    <w:p>
      <w:pPr>
        <w:pStyle w:val="TextBody"/>
        <w:bidi w:val="0"/>
        <w:spacing w:before="8" w:after="283"/>
        <w:jc w:val="left"/>
        <w:rPr/>
      </w:pPr>
      <w:r>
        <w:rPr/>
        <w:t> </w:t>
      </w:r>
    </w:p>
    <w:p>
      <w:pPr>
        <w:pStyle w:val="TextBody"/>
        <w:bidi w:val="0"/>
        <w:spacing w:before="0" w:after="0"/>
        <w:ind w:left="878" w:right="0" w:hanging="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color w:val="000000"/>
          <w:sz w:val="20"/>
        </w:rPr>
      </w:pPr>
      <w:r>
        <w:rPr>
          <w:rFonts w:ascii="Times New Roman" w:hAnsi="Times New Roman"/>
          <w:b/>
          <w:color w:val="000000"/>
          <w:sz w:val="20"/>
        </w:rPr>
        <w:t>Rule 144 (Applicable to Section 16 Insiders)</w:t>
      </w:r>
    </w:p>
    <w:p>
      <w:pPr>
        <w:pStyle w:val="TextBody"/>
        <w:bidi w:val="0"/>
        <w:jc w:val="left"/>
        <w:rPr/>
      </w:pPr>
      <w:r>
        <w:rPr/>
        <w:t> </w:t>
      </w:r>
    </w:p>
    <w:p>
      <w:pPr>
        <w:pStyle w:val="TextBody"/>
        <w:bidi w:val="0"/>
        <w:ind w:left="160" w:right="152" w:firstLine="720"/>
        <w:jc w:val="both"/>
        <w:rPr>
          <w:rFonts w:ascii="Times New Roman" w:hAnsi="Times New Roman"/>
          <w:color w:val="000000"/>
          <w:sz w:val="20"/>
        </w:rPr>
      </w:pPr>
      <w:r>
        <w:rPr>
          <w:rFonts w:ascii="Times New Roman" w:hAnsi="Times New Roman"/>
          <w:color w:val="000000"/>
          <w:sz w:val="20"/>
        </w:rPr>
        <w:t>Rule 144 provides a safe harbor exemption to the registration requirements of the Securities Act of 1933, as amended, for certain resales of “restricted securities” and “control</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155" w:hanging="0"/>
        <w:jc w:val="both"/>
        <w:rPr>
          <w:rFonts w:ascii="Times New Roman" w:hAnsi="Times New Roman"/>
          <w:sz w:val="20"/>
        </w:rPr>
      </w:pPr>
      <w:r>
        <w:rPr>
          <w:rFonts w:ascii="Times New Roman" w:hAnsi="Times New Roman"/>
          <w:color w:val="000000"/>
          <w:sz w:val="20"/>
        </w:rPr>
        <w:t>securities.” “</w:t>
      </w:r>
      <w:r>
        <w:rPr>
          <w:rFonts w:ascii="Times New Roman" w:hAnsi="Times New Roman"/>
          <w:color w:val="000000"/>
          <w:sz w:val="20"/>
          <w:u w:val="single"/>
        </w:rPr>
        <w:t>Restricted securities</w:t>
      </w:r>
      <w:r>
        <w:rPr>
          <w:rFonts w:ascii="Times New Roman" w:hAnsi="Times New Roman"/>
          <w:color w:val="000000"/>
          <w:sz w:val="20"/>
        </w:rPr>
        <w:t>” are securities acquired from an issuer, or an affiliate of an issuer, in a transaction, or chain of transactions, not involving a public offering. “</w:t>
      </w:r>
      <w:r>
        <w:rPr>
          <w:rFonts w:ascii="Times New Roman" w:hAnsi="Times New Roman"/>
          <w:color w:val="000000"/>
          <w:sz w:val="20"/>
          <w:u w:val="single"/>
        </w:rPr>
        <w:t>Control securities</w:t>
      </w:r>
      <w:r>
        <w:rPr>
          <w:rFonts w:ascii="Times New Roman" w:hAnsi="Times New Roman"/>
          <w:color w:val="000000"/>
          <w:sz w:val="20"/>
        </w:rPr>
        <w:t xml:space="preserve">” are </w:t>
      </w:r>
      <w:r>
        <w:rPr>
          <w:rFonts w:ascii="Times New Roman" w:hAnsi="Times New Roman"/>
          <w:i/>
          <w:color w:val="000000"/>
          <w:sz w:val="20"/>
        </w:rPr>
        <w:t xml:space="preserve">any </w:t>
      </w:r>
      <w:r>
        <w:rPr>
          <w:rFonts w:ascii="Times New Roman" w:hAnsi="Times New Roman"/>
          <w:color w:val="000000"/>
          <w:sz w:val="20"/>
        </w:rPr>
        <w:t>securities owned by directors, executive officers or other “</w:t>
      </w:r>
      <w:r>
        <w:rPr>
          <w:rFonts w:ascii="Times New Roman" w:hAnsi="Times New Roman"/>
          <w:color w:val="000000"/>
          <w:sz w:val="20"/>
          <w:u w:val="single"/>
        </w:rPr>
        <w:t>affiliates</w:t>
      </w:r>
      <w:r>
        <w:rPr>
          <w:rFonts w:ascii="Times New Roman" w:hAnsi="Times New Roman"/>
          <w:color w:val="000000"/>
          <w:sz w:val="20"/>
        </w:rPr>
        <w:t>” of the issuer, including stock purchased in the open market and stock received upon exercise of stock options or settlement of restricted stock units (“</w:t>
      </w:r>
      <w:r>
        <w:rPr>
          <w:rFonts w:ascii="Times New Roman" w:hAnsi="Times New Roman"/>
          <w:color w:val="000000"/>
          <w:sz w:val="20"/>
          <w:u w:val="single"/>
        </w:rPr>
        <w:t>RSUs</w:t>
      </w:r>
      <w:r>
        <w:rPr>
          <w:rFonts w:ascii="Times New Roman" w:hAnsi="Times New Roman"/>
          <w:color w:val="000000"/>
          <w:sz w:val="20"/>
        </w:rPr>
        <w:t>”). Sales of Company securities by affiliates (generally, Section 16 Insiders of the Company) must comply with the requirements of Rule 144, which are summarized below:</w:t>
      </w:r>
    </w:p>
    <w:p>
      <w:pPr>
        <w:pStyle w:val="TextBody"/>
        <w:bidi w:val="0"/>
        <w:spacing w:before="10"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b/>
          <w:i/>
          <w:color w:val="000000"/>
          <w:sz w:val="20"/>
        </w:rPr>
        <w:t xml:space="preserve">Current Public Information. </w:t>
      </w:r>
      <w:r>
        <w:rPr>
          <w:rFonts w:ascii="Times New Roman" w:hAnsi="Times New Roman"/>
          <w:color w:val="000000"/>
          <w:sz w:val="20"/>
        </w:rPr>
        <w:t>The Company must have filed all SEC-required reports during the last 12 months.</w:t>
      </w:r>
    </w:p>
    <w:p>
      <w:pPr>
        <w:pStyle w:val="TextBody"/>
        <w:bidi w:val="0"/>
        <w:spacing w:before="7"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b/>
          <w:i/>
          <w:color w:val="000000"/>
          <w:sz w:val="20"/>
        </w:rPr>
        <w:t xml:space="preserve">Volume Limitations. </w:t>
      </w:r>
      <w:r>
        <w:rPr>
          <w:rFonts w:ascii="Times New Roman" w:hAnsi="Times New Roman"/>
          <w:color w:val="000000"/>
          <w:sz w:val="20"/>
        </w:rPr>
        <w:t xml:space="preserve">Total sales of Company common stock by a covered individual for any three-month period may not exceed the </w:t>
      </w:r>
      <w:r>
        <w:rPr>
          <w:rFonts w:ascii="Times New Roman" w:hAnsi="Times New Roman"/>
          <w:i/>
          <w:color w:val="000000"/>
          <w:sz w:val="20"/>
        </w:rPr>
        <w:t xml:space="preserve">greater </w:t>
      </w:r>
      <w:r>
        <w:rPr>
          <w:rFonts w:ascii="Times New Roman" w:hAnsi="Times New Roman"/>
          <w:color w:val="000000"/>
          <w:sz w:val="20"/>
        </w:rPr>
        <w:t>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pStyle w:val="TextBody"/>
        <w:bidi w:val="0"/>
        <w:spacing w:before="8"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b/>
          <w:i/>
          <w:color w:val="000000"/>
          <w:sz w:val="20"/>
        </w:rPr>
        <w:t xml:space="preserve">Method of Sale. </w:t>
      </w:r>
      <w:r>
        <w:rPr>
          <w:rFonts w:ascii="Times New Roman" w:hAnsi="Times New Roman"/>
          <w:color w:val="000000"/>
          <w:sz w:val="20"/>
        </w:rPr>
        <w:t>The shares must be sold either in a “broker’s transaction” or in a transaction directly with a “market maker.” A “</w:t>
      </w:r>
      <w:r>
        <w:rPr>
          <w:rFonts w:ascii="Times New Roman" w:hAnsi="Times New Roman"/>
          <w:color w:val="000000"/>
          <w:sz w:val="20"/>
          <w:u w:val="single"/>
        </w:rPr>
        <w:t>broker’s transaction</w:t>
      </w:r>
      <w:r>
        <w:rPr>
          <w:color w:val="000000"/>
        </w:rPr>
        <w:t xml:space="preserve">” </w:t>
      </w:r>
      <w:r>
        <w:rPr>
          <w:rFonts w:ascii="Times New Roman" w:hAnsi="Times New Roman"/>
          <w:color w:val="000000"/>
          <w:sz w:val="20"/>
        </w:rPr>
        <w:t>is one in which the broker does no more than execute the sale order and receive the usual and customary commission. Neither the broker nor the selling person can solicit or arrange for the sale order. In addition, the selling person or member of the Board of Directors must not pay any fee or commission other than to the broker. A “</w:t>
      </w:r>
      <w:r>
        <w:rPr>
          <w:rFonts w:ascii="Times New Roman" w:hAnsi="Times New Roman"/>
          <w:color w:val="000000"/>
          <w:sz w:val="20"/>
          <w:u w:val="single"/>
        </w:rPr>
        <w:t>market maker</w:t>
      </w:r>
      <w:r>
        <w:rPr>
          <w:color w:val="000000"/>
        </w:rPr>
        <w:t xml:space="preserve">” </w:t>
      </w:r>
      <w:r>
        <w:rPr>
          <w:rFonts w:ascii="Times New Roman" w:hAnsi="Times New Roman"/>
          <w:color w:val="000000"/>
          <w:sz w:val="20"/>
        </w:rPr>
        <w:t>includes a specialist permitted to act as a dealer, a dealer acting in the position of a block positioner, and a dealer who holds himself out as being willing to buy and sell Company common stock or other Company securities for his own account on a regular and continuous basis.</w:t>
      </w:r>
    </w:p>
    <w:p>
      <w:pPr>
        <w:pStyle w:val="TextBody"/>
        <w:bidi w:val="0"/>
        <w:spacing w:before="9" w:after="283"/>
        <w:jc w:val="left"/>
        <w:rPr/>
      </w:pPr>
      <w:r>
        <w:rPr/>
        <w:t> </w:t>
      </w:r>
    </w:p>
    <w:p>
      <w:pPr>
        <w:pStyle w:val="TextBody"/>
        <w:bidi w:val="0"/>
        <w:spacing w:before="0" w:after="0"/>
        <w:ind w:left="878" w:right="158" w:hanging="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b/>
          <w:i/>
          <w:color w:val="000000"/>
          <w:sz w:val="20"/>
        </w:rPr>
        <w:t xml:space="preserve">Notice of Proposed Sale. </w:t>
      </w:r>
      <w:r>
        <w:rPr>
          <w:rFonts w:ascii="Times New Roman" w:hAnsi="Times New Roman"/>
          <w:color w:val="000000"/>
          <w:sz w:val="20"/>
        </w:rPr>
        <w:t>A notice of the sale (a Form 144) must be filed with the SEC at the time of the sale. Brokers generally have internal procedures for executing sales under Rule 144, and will assist you in completing the Form 144 and in complying with the other requirements of Rule 144.</w:t>
      </w:r>
    </w:p>
    <w:p>
      <w:pPr>
        <w:pStyle w:val="TextBody"/>
        <w:bidi w:val="0"/>
        <w:spacing w:before="10" w:after="283"/>
        <w:jc w:val="left"/>
        <w:rPr/>
      </w:pPr>
      <w:r>
        <w:rPr/>
        <w:t> </w:t>
      </w:r>
    </w:p>
    <w:p>
      <w:pPr>
        <w:pStyle w:val="TextBody"/>
        <w:bidi w:val="0"/>
        <w:ind w:left="160" w:right="158" w:firstLine="720"/>
        <w:jc w:val="both"/>
        <w:rPr>
          <w:rFonts w:ascii="Times New Roman" w:hAnsi="Times New Roman"/>
          <w:color w:val="000000"/>
          <w:sz w:val="20"/>
        </w:rPr>
      </w:pPr>
      <w:r>
        <w:rPr>
          <w:rFonts w:ascii="Times New Roman" w:hAnsi="Times New Roman"/>
          <w:color w:val="000000"/>
          <w:sz w:val="20"/>
        </w:rPr>
        <w:t>If you are subject to Rule 144, you must instruct your broker who handles trades in Company securities to follow the brokerage firm’s Rule 144 compliance procedures in connection with all trades.</w:t>
      </w:r>
    </w:p>
    <w:p>
      <w:pPr>
        <w:pStyle w:val="TextBody"/>
        <w:bidi w:val="0"/>
        <w:spacing w:before="3" w:after="283"/>
        <w:jc w:val="left"/>
        <w:rPr/>
      </w:pPr>
      <w:r>
        <w:rPr/>
        <w:t> </w:t>
      </w:r>
    </w:p>
    <w:p>
      <w:pPr>
        <w:pStyle w:val="TextBody"/>
        <w:bidi w:val="0"/>
        <w:spacing w:before="0" w:after="0"/>
        <w:ind w:left="158" w:right="0" w:hanging="0"/>
        <w:jc w:val="left"/>
        <w:rPr>
          <w:color w:val="000000"/>
        </w:rPr>
      </w:pPr>
      <w:r>
        <w:rPr>
          <w:color w:val="000000"/>
        </w:rPr>
        <w:t>•</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Certification of Compliance</w:t>
      </w:r>
    </w:p>
    <w:p>
      <w:pPr>
        <w:pStyle w:val="TextBody"/>
        <w:bidi w:val="0"/>
        <w:spacing w:before="6" w:after="283"/>
        <w:jc w:val="left"/>
        <w:rPr/>
      </w:pPr>
      <w:r>
        <w:rPr/>
        <w:t> </w:t>
      </w:r>
    </w:p>
    <w:p>
      <w:pPr>
        <w:pStyle w:val="TextBody"/>
        <w:bidi w:val="0"/>
        <w:ind w:left="160" w:right="153" w:firstLine="720"/>
        <w:jc w:val="both"/>
        <w:rPr>
          <w:rFonts w:ascii="Times New Roman" w:hAnsi="Times New Roman"/>
          <w:color w:val="000000"/>
          <w:sz w:val="20"/>
        </w:rPr>
      </w:pPr>
      <w:r>
        <w:rPr>
          <w:rFonts w:ascii="Times New Roman" w:hAnsi="Times New Roman"/>
          <w:color w:val="000000"/>
          <w:sz w:val="20"/>
        </w:rPr>
        <w:t>All officers, directors and employees may be asked to certify their compliance with the terms and provisions of this Policy on an ongoing basis.</w:t>
      </w:r>
    </w:p>
    <w:p>
      <w:pPr>
        <w:pStyle w:val="TextBody"/>
        <w:bidi w:val="0"/>
        <w:jc w:val="left"/>
        <w:rPr/>
      </w:pPr>
      <w:r>
        <w:rPr/>
        <w:t> </w:t>
      </w:r>
    </w:p>
    <w:p>
      <w:pPr>
        <w:pStyle w:val="TextBody"/>
        <w:bidi w:val="0"/>
        <w:spacing w:before="24" w:after="283"/>
        <w:ind w:left="6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160" w:right="0" w:hanging="0"/>
        <w:jc w:val="left"/>
        <w:rPr>
          <w:rFonts w:ascii="Times New Roman" w:hAnsi="Times New Roman"/>
          <w:color w:val="000000"/>
          <w:sz w:val="20"/>
          <w:u w:val="single"/>
        </w:rPr>
      </w:pPr>
      <w:r>
        <w:rPr>
          <w:rFonts w:ascii="Times New Roman" w:hAnsi="Times New Roman"/>
          <w:color w:val="000000"/>
          <w:sz w:val="20"/>
          <w:u w:val="single"/>
        </w:rPr>
        <w:t>Schedule I</w:t>
      </w:r>
    </w:p>
    <w:p>
      <w:pPr>
        <w:pStyle w:val="TextBody"/>
        <w:bidi w:val="0"/>
        <w:jc w:val="left"/>
        <w:rPr/>
      </w:pPr>
      <w:r>
        <w:rPr/>
        <w:t> </w:t>
      </w:r>
    </w:p>
    <w:p>
      <w:pPr>
        <w:pStyle w:val="Heading1"/>
        <w:bidi w:val="0"/>
        <w:spacing w:before="214" w:after="283"/>
        <w:ind w:left="2273" w:right="2309" w:hanging="0"/>
        <w:jc w:val="center"/>
        <w:rPr>
          <w:rFonts w:ascii="Times New Roman" w:hAnsi="Times New Roman"/>
          <w:color w:val="000000"/>
          <w:sz w:val="20"/>
        </w:rPr>
      </w:pPr>
      <w:r>
        <w:rPr>
          <w:rFonts w:ascii="Times New Roman" w:hAnsi="Times New Roman"/>
          <w:color w:val="000000"/>
          <w:sz w:val="20"/>
        </w:rPr>
        <w:t>Individuals Subject to Preclearance Requirement</w:t>
      </w:r>
    </w:p>
    <w:p>
      <w:pPr>
        <w:pStyle w:val="TextBody"/>
        <w:bidi w:val="0"/>
        <w:jc w:val="left"/>
        <w:rPr/>
      </w:pPr>
      <w:r>
        <w:rPr/>
        <w:t> </w:t>
      </w:r>
    </w:p>
    <w:p>
      <w:pPr>
        <w:pStyle w:val="TextBody"/>
        <w:bidi w:val="0"/>
        <w:ind w:left="160" w:right="0" w:hanging="0"/>
        <w:jc w:val="left"/>
        <w:rPr>
          <w:rFonts w:ascii="Times New Roman" w:hAnsi="Times New Roman"/>
          <w:color w:val="000000"/>
          <w:sz w:val="20"/>
        </w:rPr>
      </w:pPr>
      <w:r>
        <w:rPr>
          <w:rFonts w:ascii="Times New Roman" w:hAnsi="Times New Roman"/>
          <w:color w:val="000000"/>
          <w:sz w:val="20"/>
        </w:rPr>
        <w:t>All Directors</w:t>
      </w:r>
    </w:p>
    <w:p>
      <w:pPr>
        <w:pStyle w:val="TextBody"/>
        <w:bidi w:val="0"/>
        <w:spacing w:before="6" w:after="283"/>
        <w:jc w:val="left"/>
        <w:rPr/>
      </w:pPr>
      <w:r>
        <w:rPr/>
        <w:t> </w:t>
      </w:r>
    </w:p>
    <w:p>
      <w:pPr>
        <w:pStyle w:val="TextBody"/>
        <w:bidi w:val="0"/>
        <w:ind w:left="160" w:right="1147" w:hanging="0"/>
        <w:jc w:val="left"/>
        <w:rPr>
          <w:rFonts w:ascii="Times New Roman" w:hAnsi="Times New Roman"/>
          <w:color w:val="000000"/>
          <w:sz w:val="20"/>
        </w:rPr>
      </w:pPr>
      <w:r>
        <w:rPr>
          <w:rFonts w:ascii="Times New Roman" w:hAnsi="Times New Roman"/>
          <w:color w:val="000000"/>
          <w:sz w:val="20"/>
        </w:rPr>
        <w:t>All Executive Officers, including the Company’s Principal Accounting Officer Individuals designated in writing from time to time by the Compliance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ind w:left="2222" w:right="2309" w:hanging="0"/>
        <w:jc w:val="center"/>
        <w:rPr>
          <w:rFonts w:ascii="Times New Roman" w:hAnsi="Times New Roman"/>
          <w:color w:val="000000"/>
          <w:sz w:val="20"/>
        </w:rPr>
      </w:pPr>
      <w:r>
        <w:rPr>
          <w:rFonts w:ascii="Times New Roman" w:hAnsi="Times New Roman"/>
          <w:color w:val="000000"/>
          <w:sz w:val="20"/>
        </w:rPr>
        <w:t>Short-Swing Profit Rule Section 16(b) Checklist</w:t>
      </w:r>
    </w:p>
    <w:p>
      <w:pPr>
        <w:pStyle w:val="TextBody"/>
        <w:bidi w:val="0"/>
        <w:spacing w:before="6" w:after="283"/>
        <w:jc w:val="left"/>
        <w:rPr/>
      </w:pPr>
      <w:r>
        <w:rPr/>
        <w:t> </w:t>
      </w:r>
    </w:p>
    <w:p>
      <w:pPr>
        <w:pStyle w:val="TextBody"/>
        <w:bidi w:val="0"/>
        <w:ind w:left="160" w:right="156" w:firstLine="720"/>
        <w:jc w:val="both"/>
        <w:rPr>
          <w:rFonts w:ascii="Times New Roman" w:hAnsi="Times New Roman"/>
          <w:sz w:val="20"/>
        </w:rPr>
      </w:pPr>
      <w:r>
        <w:rPr>
          <w:rFonts w:ascii="Times New Roman" w:hAnsi="Times New Roman"/>
          <w:color w:val="000000"/>
          <w:sz w:val="20"/>
        </w:rPr>
        <w:t>Note: ANY combination of PURCHASE AND SALE or SALE AND PURCHASE within six months of each other by an officer, director or greater than 10% stockholder (or any family member living in the same household or certain affiliated entities) results in a violation of Section 16(b), and the “profit” must be recovered by Amplitude, Inc. (the “</w:t>
      </w:r>
      <w:r>
        <w:rPr>
          <w:rFonts w:ascii="Times New Roman" w:hAnsi="Times New Roman"/>
          <w:color w:val="000000"/>
          <w:sz w:val="20"/>
          <w:u w:val="single"/>
        </w:rPr>
        <w:t>Company</w:t>
      </w:r>
      <w:r>
        <w:rPr>
          <w:rFonts w:ascii="Times New Roman" w:hAnsi="Times New Roman"/>
          <w:color w:val="000000"/>
          <w:sz w:val="20"/>
        </w:rPr>
        <w:t>”). It makes no difference how long the shares being sold have been held or, for executive officers and directors, that you were an insider for only one of the two matching transactions. The highest priced sale will be matched with the lowest priced purchase within the six-month period.</w:t>
      </w:r>
    </w:p>
    <w:p>
      <w:pPr>
        <w:pStyle w:val="TextBody"/>
        <w:bidi w:val="0"/>
        <w:spacing w:before="2" w:after="283"/>
        <w:jc w:val="left"/>
        <w:rPr/>
      </w:pPr>
      <w:r>
        <w:rPr/>
        <w:t> </w:t>
      </w:r>
    </w:p>
    <w:p>
      <w:pPr>
        <w:pStyle w:val="Heading1"/>
        <w:bidi w:val="0"/>
        <w:spacing w:before="94" w:after="283"/>
        <w:ind w:left="160" w:right="0" w:hanging="0"/>
        <w:jc w:val="left"/>
        <w:rPr>
          <w:rFonts w:ascii="Times New Roman" w:hAnsi="Times New Roman"/>
          <w:color w:val="000000"/>
          <w:sz w:val="20"/>
        </w:rPr>
      </w:pPr>
      <w:r>
        <w:rPr>
          <w:rFonts w:ascii="Times New Roman" w:hAnsi="Times New Roman"/>
          <w:color w:val="000000"/>
          <w:sz w:val="20"/>
        </w:rPr>
        <w:t>Sales</w:t>
      </w:r>
    </w:p>
    <w:p>
      <w:pPr>
        <w:pStyle w:val="TextBody"/>
        <w:bidi w:val="0"/>
        <w:spacing w:before="117" w:after="283"/>
        <w:ind w:left="880" w:right="0" w:hanging="0"/>
        <w:jc w:val="left"/>
        <w:rPr>
          <w:rFonts w:ascii="Times New Roman" w:hAnsi="Times New Roman"/>
          <w:color w:val="000000"/>
          <w:sz w:val="20"/>
        </w:rPr>
      </w:pPr>
      <w:r>
        <w:rPr>
          <w:rFonts w:ascii="Times New Roman" w:hAnsi="Times New Roman"/>
          <w:color w:val="000000"/>
          <w:sz w:val="20"/>
        </w:rPr>
        <w:t>If a sale is to be made by an officer, director or greater than 10% stockholder (or any family</w:t>
      </w:r>
    </w:p>
    <w:p>
      <w:pPr>
        <w:pStyle w:val="TextBody"/>
        <w:bidi w:val="0"/>
        <w:spacing w:before="1" w:after="283"/>
        <w:ind w:left="160" w:right="0" w:hanging="0"/>
        <w:jc w:val="left"/>
        <w:rPr>
          <w:rFonts w:ascii="Times New Roman" w:hAnsi="Times New Roman"/>
          <w:color w:val="000000"/>
          <w:sz w:val="20"/>
        </w:rPr>
      </w:pPr>
      <w:r>
        <w:rPr>
          <w:rFonts w:ascii="Times New Roman" w:hAnsi="Times New Roman"/>
          <w:color w:val="000000"/>
          <w:sz w:val="20"/>
        </w:rPr>
        <w:t>member living in the same household or certain affiliated entities):</w:t>
      </w:r>
    </w:p>
    <w:p>
      <w:pPr>
        <w:pStyle w:val="TextBody"/>
        <w:bidi w:val="0"/>
        <w:spacing w:before="7" w:after="283"/>
        <w:jc w:val="left"/>
        <w:rPr/>
      </w:pPr>
      <w:r>
        <w:rPr/>
        <w:t> </w:t>
      </w:r>
    </w:p>
    <w:p>
      <w:pPr>
        <w:pStyle w:val="TextBody"/>
        <w:bidi w:val="0"/>
        <w:spacing w:before="0" w:after="0"/>
        <w:ind w:left="518" w:right="158" w:hanging="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Have there been any purchases by the insider (or family members living in the same household or certain affiliated entities) within the past six months?</w:t>
      </w:r>
    </w:p>
    <w:p>
      <w:pPr>
        <w:pStyle w:val="TextBody"/>
        <w:bidi w:val="0"/>
        <w:spacing w:before="1" w:after="283"/>
        <w:ind w:left="358" w:right="0" w:hanging="0"/>
        <w:jc w:val="left"/>
        <w:rPr/>
      </w:pPr>
      <w:r>
        <w:rPr/>
        <w:t> </w:t>
      </w:r>
    </w:p>
    <w:p>
      <w:pPr>
        <w:pStyle w:val="TextBody"/>
        <w:bidi w:val="0"/>
        <w:spacing w:before="0" w:after="0"/>
        <w:ind w:left="518" w:right="158" w:hanging="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 xml:space="preserve">Have there been any option grants or exercises, RSU grants or settlements or other equity awards not exempt under Rule 16b-3 within the past six months? </w:t>
      </w:r>
      <w:r>
        <w:rPr>
          <w:rFonts w:ascii="Times New Roman" w:hAnsi="Times New Roman"/>
          <w:i/>
          <w:color w:val="000000"/>
          <w:sz w:val="20"/>
        </w:rPr>
        <w:t>(Please refer to the Company’s Section 16 Compliance Program for additional information regarding the availability of an exemption under Rule 16b-3.)</w:t>
      </w:r>
    </w:p>
    <w:p>
      <w:pPr>
        <w:pStyle w:val="TextBody"/>
        <w:bidi w:val="0"/>
        <w:spacing w:before="11" w:after="283"/>
        <w:ind w:left="358" w:right="0" w:hanging="0"/>
        <w:jc w:val="left"/>
        <w:rPr/>
      </w:pPr>
      <w:r>
        <w:rPr/>
        <w:t> </w:t>
      </w:r>
    </w:p>
    <w:p>
      <w:pPr>
        <w:pStyle w:val="TextBody"/>
        <w:bidi w:val="0"/>
        <w:spacing w:before="0" w:after="0"/>
        <w:ind w:left="518" w:right="158" w:hanging="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Are any purchases (or nonexempt option exercises or nonexempt settlements of RSUs or other equity awards) anticipated or required within the next six months?</w:t>
      </w:r>
    </w:p>
    <w:p>
      <w:pPr>
        <w:pStyle w:val="TextBody"/>
        <w:bidi w:val="0"/>
        <w:spacing w:before="8" w:after="283"/>
        <w:ind w:left="358" w:right="0" w:hanging="0"/>
        <w:jc w:val="left"/>
        <w:rPr/>
      </w:pPr>
      <w:r>
        <w:rPr/>
        <w:t> </w:t>
      </w:r>
    </w:p>
    <w:p>
      <w:pPr>
        <w:pStyle w:val="TextBody"/>
        <w:bidi w:val="0"/>
        <w:spacing w:before="0" w:after="0"/>
        <w:ind w:left="518" w:right="0" w:hanging="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Has a Form 4 been prepared?</w:t>
      </w:r>
    </w:p>
    <w:p>
      <w:pPr>
        <w:pStyle w:val="TextBody"/>
        <w:bidi w:val="0"/>
        <w:jc w:val="left"/>
        <w:rPr/>
      </w:pPr>
      <w:r>
        <w:rPr/>
        <w:t> </w:t>
      </w:r>
    </w:p>
    <w:p>
      <w:pPr>
        <w:pStyle w:val="TextBody"/>
        <w:bidi w:val="0"/>
        <w:ind w:left="160" w:right="0" w:firstLine="720"/>
        <w:jc w:val="left"/>
        <w:rPr>
          <w:rFonts w:ascii="Times New Roman" w:hAnsi="Times New Roman"/>
          <w:color w:val="000000"/>
          <w:sz w:val="20"/>
        </w:rPr>
      </w:pPr>
      <w:r>
        <w:rPr>
          <w:rFonts w:ascii="Times New Roman" w:hAnsi="Times New Roman"/>
          <w:color w:val="000000"/>
          <w:sz w:val="20"/>
        </w:rPr>
        <w:t>Note: If a sale is to be made by an affiliate of the Company, has a Form 144 been prepared and has the broker been reminded to sell pursuant to Rule 144?</w:t>
      </w:r>
    </w:p>
    <w:p>
      <w:pPr>
        <w:pStyle w:val="TextBody"/>
        <w:bidi w:val="0"/>
        <w:spacing w:before="8" w:after="283"/>
        <w:jc w:val="left"/>
        <w:rPr/>
      </w:pPr>
      <w:r>
        <w:rPr/>
        <w:t> </w:t>
      </w:r>
    </w:p>
    <w:p>
      <w:pPr>
        <w:pStyle w:val="Heading1"/>
        <w:bidi w:val="0"/>
        <w:ind w:left="160" w:right="0" w:hanging="0"/>
        <w:jc w:val="left"/>
        <w:rPr>
          <w:rFonts w:ascii="Times New Roman" w:hAnsi="Times New Roman"/>
          <w:color w:val="000000"/>
          <w:sz w:val="20"/>
        </w:rPr>
      </w:pPr>
      <w:r>
        <w:rPr>
          <w:rFonts w:ascii="Times New Roman" w:hAnsi="Times New Roman"/>
          <w:color w:val="000000"/>
          <w:sz w:val="20"/>
        </w:rPr>
        <w:t>Purchases, Option Exercises and RSU and Equity Award Settlements</w:t>
      </w:r>
    </w:p>
    <w:p>
      <w:pPr>
        <w:pStyle w:val="TextBody"/>
        <w:bidi w:val="0"/>
        <w:spacing w:before="121" w:after="283"/>
        <w:ind w:left="160" w:right="158" w:firstLine="720"/>
        <w:jc w:val="left"/>
        <w:rPr>
          <w:rFonts w:ascii="Times New Roman" w:hAnsi="Times New Roman"/>
          <w:color w:val="000000"/>
          <w:sz w:val="20"/>
        </w:rPr>
      </w:pPr>
      <w:r>
        <w:rPr>
          <w:rFonts w:ascii="Times New Roman" w:hAnsi="Times New Roman"/>
          <w:color w:val="000000"/>
          <w:sz w:val="20"/>
        </w:rPr>
        <w:t>If a purchase or option exercise for, or other non-exempt RSU or equity award settlement in shares of, Company stock is to be made:</w:t>
      </w:r>
    </w:p>
    <w:p>
      <w:pPr>
        <w:pStyle w:val="TextBody"/>
        <w:bidi w:val="0"/>
        <w:spacing w:before="8" w:after="283"/>
        <w:jc w:val="left"/>
        <w:rPr/>
      </w:pPr>
      <w:r>
        <w:rPr/>
        <w:t> </w:t>
      </w:r>
    </w:p>
    <w:p>
      <w:pPr>
        <w:pStyle w:val="TextBody"/>
        <w:bidi w:val="0"/>
        <w:spacing w:before="1" w:after="283"/>
        <w:ind w:left="518" w:right="144"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Have there been any sales by the insider (or family members living in the same household or certain affiliated entities) within the past six months?</w:t>
      </w:r>
    </w:p>
    <w:p>
      <w:pPr>
        <w:pStyle w:val="TextBody"/>
        <w:bidi w:val="0"/>
        <w:spacing w:before="1" w:after="283"/>
        <w:jc w:val="left"/>
        <w:rPr/>
      </w:pPr>
      <w:r>
        <w:rPr/>
        <w:t> </w:t>
      </w:r>
    </w:p>
    <w:p>
      <w:pPr>
        <w:pStyle w:val="TextBody"/>
        <w:bidi w:val="0"/>
        <w:spacing w:before="0" w:after="0"/>
        <w:ind w:left="518" w:right="158"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Are any sales anticipated or required within the next six months (such as tax-related or year-end transactions)?</w:t>
      </w:r>
    </w:p>
    <w:p>
      <w:pPr>
        <w:pStyle w:val="TextBody"/>
        <w:bidi w:val="0"/>
        <w:spacing w:before="8" w:after="283"/>
        <w:jc w:val="left"/>
        <w:rPr/>
      </w:pPr>
      <w:r>
        <w:rPr/>
        <w:t> </w:t>
      </w:r>
    </w:p>
    <w:p>
      <w:pPr>
        <w:pStyle w:val="TextBody"/>
        <w:bidi w:val="0"/>
        <w:spacing w:before="0" w:after="0"/>
        <w:ind w:left="518" w:right="0" w:hanging="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Has a Form 4 been prepared?</w:t>
      </w:r>
    </w:p>
    <w:p>
      <w:pPr>
        <w:pStyle w:val="TextBody"/>
        <w:bidi w:val="0"/>
        <w:jc w:val="left"/>
        <w:rPr/>
      </w:pPr>
      <w:r>
        <w:rPr/>
        <w:t> </w:t>
      </w:r>
    </w:p>
    <w:p>
      <w:pPr>
        <w:pStyle w:val="TextBody"/>
        <w:bidi w:val="0"/>
        <w:ind w:left="160" w:right="158" w:hanging="0"/>
        <w:jc w:val="left"/>
        <w:rPr>
          <w:rFonts w:ascii="Times New Roman" w:hAnsi="Times New Roman"/>
          <w:sz w:val="20"/>
        </w:rPr>
      </w:pPr>
      <w:r>
        <w:rPr>
          <w:rFonts w:ascii="Times New Roman" w:hAnsi="Times New Roman"/>
          <w:color w:val="000000"/>
          <w:sz w:val="20"/>
        </w:rPr>
        <w:t xml:space="preserve">Before proceeding with a purchase or sale, consider whether you are aware of material nonpublic information that could affect the price of the Company stock. All transactions in the Company’s securities by executive officers and directors must be </w:t>
      </w:r>
      <w:r>
        <w:rPr>
          <w:rFonts w:ascii="Times New Roman" w:hAnsi="Times New Roman"/>
          <w:color w:val="000000"/>
          <w:sz w:val="20"/>
          <w:u w:val="single"/>
        </w:rPr>
        <w:t>precleared</w:t>
      </w:r>
      <w:r>
        <w:rPr>
          <w:rFonts w:ascii="Times New Roman" w:hAnsi="Times New Roman"/>
          <w:color w:val="000000"/>
          <w:sz w:val="20"/>
        </w:rPr>
        <w:t xml:space="preserve"> by contacting the Company’s Compliance Officer or 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ampl-ex23_1.htm"/>
      <w:bookmarkStart w:id="43" w:name="ksamplex23_1"/>
      <w:bookmarkEnd w:id="42"/>
      <w:bookmarkEnd w:id="43"/>
      <w:r>
        <w:rPr/>
        <w:t> </w:t>
      </w:r>
      <w:r>
        <w:br w:type="page"/>
      </w:r>
    </w:p>
    <w:p>
      <w:pPr>
        <w:pStyle w:val="TextBody"/>
        <w:bidi w:val="0"/>
        <w:jc w:val="right"/>
        <w:rPr>
          <w:rFonts w:ascii="Arial" w:hAnsi="Arial"/>
          <w:b/>
          <w:color w:val="000000"/>
          <w:sz w:val="20"/>
        </w:rPr>
      </w:pPr>
      <w:r>
        <w:rPr>
          <w:rFonts w:ascii="Arial" w:hAnsi="Arial"/>
          <w:b/>
          <w:color w:val="000000"/>
          <w:sz w:val="20"/>
        </w:rPr>
        <w:t>Exhibit 23.1</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consent to the incorporation by reference in the registration statements (333-259698, 333-262813, 333-269834, 333-277194, and 333-285093) on Form S-8 of our report dated February 18, 2026, with respect to the consolidated financial statements of Amplitude, Inc. and the effectiveness of internal control over financial reporting.</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 KPMG LLP</w:t>
      </w:r>
    </w:p>
    <w:p>
      <w:pPr>
        <w:pStyle w:val="TextBody"/>
        <w:bidi w:val="0"/>
        <w:jc w:val="left"/>
        <w:rPr>
          <w:rFonts w:ascii="Arial" w:hAnsi="Arial"/>
          <w:color w:val="000000"/>
          <w:sz w:val="20"/>
        </w:rPr>
      </w:pPr>
      <w:r>
        <w:rPr>
          <w:rFonts w:ascii="Arial" w:hAnsi="Arial"/>
          <w:color w:val="000000"/>
          <w:sz w:val="20"/>
        </w:rPr>
        <w:t>Santa Clara, California</w:t>
      </w:r>
    </w:p>
    <w:p>
      <w:pPr>
        <w:pStyle w:val="TextBody"/>
        <w:bidi w:val="0"/>
        <w:jc w:val="left"/>
        <w:rPr>
          <w:rFonts w:ascii="Arial" w:hAnsi="Arial"/>
          <w:color w:val="000000"/>
          <w:sz w:val="20"/>
        </w:rPr>
      </w:pPr>
      <w:r>
        <w:rPr>
          <w:rFonts w:ascii="Arial" w:hAnsi="Arial"/>
          <w:color w:val="000000"/>
          <w:sz w:val="20"/>
        </w:rPr>
        <w:t>February 18,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ampl-ex31_1.htm"/>
      <w:bookmarkStart w:id="45" w:name="ksamplex31_1"/>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Spenser Skates,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5107" w:type="dxa"/>
        <w:jc w:val="left"/>
        <w:tblInd w:w="0" w:type="dxa"/>
        <w:tblLayout w:type="fixed"/>
        <w:tblCellMar>
          <w:top w:w="28" w:type="dxa"/>
          <w:left w:w="28" w:type="dxa"/>
          <w:bottom w:w="28" w:type="dxa"/>
          <w:right w:w="28" w:type="dxa"/>
        </w:tblCellMar>
      </w:tblPr>
      <w:tblGrid>
        <w:gridCol w:w="2086"/>
        <w:gridCol w:w="109"/>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ampl-ex31_2.htm"/>
      <w:bookmarkStart w:id="47" w:name="ksamplex31_2"/>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Casey,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6472" w:type="dxa"/>
        <w:jc w:val="left"/>
        <w:tblInd w:w="0" w:type="dxa"/>
        <w:tblLayout w:type="fixed"/>
        <w:tblCellMar>
          <w:top w:w="28" w:type="dxa"/>
          <w:left w:w="28" w:type="dxa"/>
          <w:bottom w:w="28" w:type="dxa"/>
          <w:right w:w="28" w:type="dxa"/>
        </w:tblCellMar>
      </w:tblPr>
      <w:tblGrid>
        <w:gridCol w:w="2086"/>
        <w:gridCol w:w="109"/>
        <w:gridCol w:w="406"/>
        <w:gridCol w:w="387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ampl-ex32_1.htm"/>
      <w:bookmarkStart w:id="49" w:name="ksamplex32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Annual Report on Form 10-K of Amplitude, Inc. (the “Company”) on Form 10-K for the period ended December 31, 2025, as filed with the Securities and Exchange Commission on the date hereof (the “Report”), I certify, pursuant to 18 U.S.C. § 1350, as adopted pursuant to § 906 of the Sarbanes-Oxley Act of 2002, as amended,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5107" w:type="dxa"/>
        <w:jc w:val="left"/>
        <w:tblInd w:w="0" w:type="dxa"/>
        <w:tblLayout w:type="fixed"/>
        <w:tblCellMar>
          <w:top w:w="28" w:type="dxa"/>
          <w:left w:w="28" w:type="dxa"/>
          <w:bottom w:w="28" w:type="dxa"/>
          <w:right w:w="28" w:type="dxa"/>
        </w:tblCellMar>
      </w:tblPr>
      <w:tblGrid>
        <w:gridCol w:w="2086"/>
        <w:gridCol w:w="109"/>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ampl-ex32_2.htm"/>
      <w:bookmarkStart w:id="51" w:name="ksamplex32_2"/>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Annual Report on Form 10-K of Amplitude, Inc. (the “Company”) on Form 10-K for the period ended December 31, 2025 as filed with the Securities and Exchange Commission on the date hereof (the “Report”), I certify, pursuant to 18 U.S.C. § 1350, as adopted pursuant to § 906 of the Sarbanes-Oxley Act of 2002, as amended,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6472" w:type="dxa"/>
        <w:jc w:val="left"/>
        <w:tblInd w:w="0" w:type="dxa"/>
        <w:tblLayout w:type="fixed"/>
        <w:tblCellMar>
          <w:top w:w="28" w:type="dxa"/>
          <w:left w:w="28" w:type="dxa"/>
          <w:bottom w:w="28" w:type="dxa"/>
          <w:right w:w="28" w:type="dxa"/>
        </w:tblCellMar>
      </w:tblPr>
      <w:tblGrid>
        <w:gridCol w:w="2086"/>
        <w:gridCol w:w="109"/>
        <w:gridCol w:w="406"/>
        <w:gridCol w:w="387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66692/000119312521278308/d93786dex31.htm" TargetMode="External"/><Relationship Id="rId6" Type="http://schemas.openxmlformats.org/officeDocument/2006/relationships/hyperlink" Target="https://www.sec.gov/Archives/edgar/data/1866692/000119312521278308/d93786dex32.htm" TargetMode="External"/><Relationship Id="rId7" Type="http://schemas.openxmlformats.org/officeDocument/2006/relationships/hyperlink" Target="https://www.sec.gov/Archives/edgar/data/1866692/000119312521260696/d143868dex42.htm" TargetMode="External"/><Relationship Id="rId8" Type="http://schemas.openxmlformats.org/officeDocument/2006/relationships/hyperlink" Target="https://www.sec.gov/Archives/edgar/data/1866692/000119312521278407/d114916dex44.htm" TargetMode="External"/><Relationship Id="rId9" Type="http://schemas.openxmlformats.org/officeDocument/2006/relationships/hyperlink" Target="https://www.sec.gov/Archives/edgar/data/1866692/000119312521260696/d143868dex43.htm" TargetMode="External"/><Relationship Id="rId10" Type="http://schemas.openxmlformats.org/officeDocument/2006/relationships/hyperlink" Target="https://www.sec.gov/Archives/edgar/data/1866692/000119312521260696/d143868dex44.htm" TargetMode="External"/><Relationship Id="rId11" Type="http://schemas.openxmlformats.org/officeDocument/2006/relationships/hyperlink" Target="https://www.sec.gov/Archives/edgar/data/1866692/000119312521260696/d143868dex101.htm" TargetMode="External"/><Relationship Id="rId12" Type="http://schemas.openxmlformats.org/officeDocument/2006/relationships/hyperlink" Target="https://www.sec.gov/Archives/edgar/data/1866692/000095017025065639/ampl-ex10_1.htm" TargetMode="External"/><Relationship Id="rId13" Type="http://schemas.openxmlformats.org/officeDocument/2006/relationships/hyperlink" Target="https://www.sec.gov/Archives/edgar/data/1866692/000119312525267492/ampl-ex10_1.htm" TargetMode="External"/><Relationship Id="rId14" Type="http://schemas.openxmlformats.org/officeDocument/2006/relationships/hyperlink" Target="https://www.sec.gov/Archives/edgar/data/1866692/000119312521260696/d143868dex102a.htm" TargetMode="External"/><Relationship Id="rId15" Type="http://schemas.openxmlformats.org/officeDocument/2006/relationships/hyperlink" Target="https://www.sec.gov/Archives/edgar/data/1866692/000119312521260696/d143868dex102b.htm" TargetMode="External"/><Relationship Id="rId16" Type="http://schemas.openxmlformats.org/officeDocument/2006/relationships/hyperlink" Target="https://www.sec.gov/Archives/edgar/data/1866692/000119312521260696/d143868dex103a.htm" TargetMode="External"/><Relationship Id="rId17" Type="http://schemas.openxmlformats.org/officeDocument/2006/relationships/hyperlink" Target="https://www.sec.gov/Archives/edgar/data/1866692/000119312521260696/d143868dex103b.htm" TargetMode="External"/><Relationship Id="rId18" Type="http://schemas.openxmlformats.org/officeDocument/2006/relationships/hyperlink" Target="https://www.sec.gov/Archives/edgar/data/1866692/000119312521260696/d143868dex104.htm" TargetMode="External"/><Relationship Id="rId19" Type="http://schemas.openxmlformats.org/officeDocument/2006/relationships/hyperlink" Target="https://www.sec.gov/Archives/edgar/data/1866692/000119312521260696/d143868dex105.htm" TargetMode="External"/><Relationship Id="rId20" Type="http://schemas.openxmlformats.org/officeDocument/2006/relationships/hyperlink" Target="https://www.sec.gov/Archives/edgar/data/1866692/000095017023039800/ampl-ex10_1.htm" TargetMode="External"/><Relationship Id="rId21" Type="http://schemas.openxmlformats.org/officeDocument/2006/relationships/hyperlink" Target="https://www.sec.gov/Archives/edgar/data/1866692/000095017024123339/ampl-ex10_1.htm" TargetMode="External"/><Relationship Id="rId22" Type="http://schemas.openxmlformats.org/officeDocument/2006/relationships/hyperlink" Target="https://www.sec.gov/Archives/edgar/data/1866692/000095017024123339/ampl-ex10_2.htm" TargetMode="External"/><Relationship Id="rId23" Type="http://schemas.openxmlformats.org/officeDocument/2006/relationships/hyperlink" Target="https://www.sec.gov/Archives/edgar/data/1866692/000095017024123339/ampl-ex10_3.htm" TargetMode="External"/><Relationship Id="rId24" Type="http://schemas.openxmlformats.org/officeDocument/2006/relationships/hyperlink" Target="https://www.sec.gov/Archives/edgar/data/1866692/000095017024017102/ampl-ex21_1.htm" TargetMode="External"/><Relationship Id="rId25" Type="http://schemas.openxmlformats.org/officeDocument/2006/relationships/hyperlink" Target="https://www.sec.gov/Archives/edgar/data/1866692/000095017024017102/ampl-ex97_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78096</Words>
  <Characters>433970</Characters>
  <CharactersWithSpaces>512989</CharactersWithSpaces>
  <Paragraphs>9206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