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mpl-20260630.htm"/>
      <w:bookmarkStart w:id="1" w:name="ksampl202606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ind w:left="4320" w:right="4320" w:hanging="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ind w:left="4320" w:right="4320" w:hanging="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001-40817</w:t>
      </w:r>
    </w:p>
    <w:p>
      <w:pPr>
        <w:pStyle w:val="TextBody"/>
        <w:pBdr>
          <w:bottom w:val="single" w:sz="4" w:space="1" w:color="000000"/>
        </w:pBdr>
        <w:bidi w:val="0"/>
        <w:ind w:left="4320" w:right="4320" w:hanging="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AMPLITUDE,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ind w:left="4320" w:right="4320" w:hanging="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45-3937349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201 Third Street, Suite 200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94103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(415)</w:t>
      </w:r>
      <w:r>
        <w:rPr>
          <w:rFonts w:ascii="Times New Roman" w:hAnsi="Times New Roman"/>
          <w:color w:val="000000"/>
          <w:sz w:val="20"/>
        </w:rPr>
        <w:t xml:space="preserve"> </w:t>
      </w:r>
      <w:r>
        <w:rPr>
          <w:rFonts w:ascii="Times New Roman" w:hAnsi="Times New Roman"/>
          <w:b/>
          <w:color w:val="000000"/>
          <w:sz w:val="20"/>
        </w:rPr>
        <w:t>231-2353</w:t>
      </w:r>
    </w:p>
    <w:p>
      <w:pPr>
        <w:pStyle w:val="TextBody"/>
        <w:bidi w:val="0"/>
        <w:spacing w:before="80" w:after="283"/>
        <w:jc w:val="center"/>
        <w:rPr>
          <w:rFonts w:ascii="Times New Roman" w:hAnsi="Times New Roman"/>
          <w:sz w:val="20"/>
        </w:rPr>
      </w:pPr>
      <w:r>
        <w:rPr>
          <w:rFonts w:ascii="Times New Roman" w:hAnsi="Times New Roman"/>
          <w:b/>
          <w:color w:val="000000"/>
          <w:sz w:val="18"/>
        </w:rPr>
        <w:t>N/A</w:t>
      </w:r>
      <w:r>
        <w:rPr>
          <w:rFonts w:ascii="Times New Roman" w:hAnsi="Times New Roman"/>
          <w:b/>
          <w:color w:val="000000"/>
          <w:sz w:val="20"/>
        </w:rPr>
        <w:br/>
      </w:r>
      <w:r>
        <w:rPr>
          <w:rFonts w:ascii="Times New Roman" w:hAnsi="Times New Roman"/>
          <w:b/>
          <w:color w:val="000000"/>
          <w:sz w:val="14"/>
        </w:rPr>
        <w:t>(Former name, former address and former fiscal year, if changed since last report)</w:t>
      </w:r>
      <w:r>
        <w:rPr>
          <w:rFonts w:ascii="Times New Roman" w:hAnsi="Times New Roman"/>
          <w:b/>
          <w:color w:val="000000"/>
          <w:sz w:val="20"/>
        </w:rPr>
        <w:br/>
      </w:r>
      <w:r>
        <w:rPr>
          <w:rFonts w:ascii="Times New Roman" w:hAnsi="Times New Roman"/>
          <w:color w:val="000000"/>
          <w:sz w:val="20"/>
        </w:rPr>
        <w:t> </w:t>
      </w:r>
    </w:p>
    <w:p>
      <w:pPr>
        <w:pStyle w:val="TextBody"/>
        <w:pBdr>
          <w:bottom w:val="single" w:sz="4" w:space="1" w:color="000000"/>
        </w:pBdr>
        <w:bidi w:val="0"/>
        <w:ind w:left="4320" w:right="4320" w:hanging="0"/>
        <w:jc w:val="center"/>
        <w:rPr/>
      </w:pPr>
      <w:r>
        <w:rPr/>
        <w:t>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425" w:type="dxa"/>
        <w:jc w:val="left"/>
        <w:tblInd w:w="0" w:type="dxa"/>
        <w:tblLayout w:type="fixed"/>
        <w:tblCellMar>
          <w:top w:w="28" w:type="dxa"/>
          <w:left w:w="28" w:type="dxa"/>
          <w:bottom w:w="28" w:type="dxa"/>
          <w:right w:w="28" w:type="dxa"/>
        </w:tblCellMar>
      </w:tblPr>
      <w:tblGrid>
        <w:gridCol w:w="3991"/>
        <w:gridCol w:w="146"/>
        <w:gridCol w:w="826"/>
        <w:gridCol w:w="146"/>
        <w:gridCol w:w="3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AMPL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ind w:left="0" w:right="0" w:firstLine="576"/>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576"/>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ind w:left="0" w:right="0" w:firstLine="576"/>
        <w:jc w:val="left"/>
        <w:rPr>
          <w:rFonts w:ascii="Times New Roman" w:hAnsi="Times New Roman"/>
          <w:sz w:val="20"/>
        </w:rPr>
      </w:pPr>
      <w:r>
        <w:rPr>
          <w:rFonts w:ascii="Times New Roman" w:hAnsi="Times New Roman"/>
          <w:color w:val="000000"/>
          <w:sz w:val="18"/>
        </w:rPr>
        <w:t>As of August 3, 2026, there were 101,261,624</w:t>
      </w:r>
      <w:r>
        <w:rPr>
          <w:rFonts w:ascii="Times New Roman" w:hAnsi="Times New Roman"/>
          <w:color w:val="000000"/>
          <w:sz w:val="20"/>
        </w:rPr>
        <w:t xml:space="preserve"> </w:t>
      </w:r>
      <w:r>
        <w:rPr>
          <w:rFonts w:ascii="Times New Roman" w:hAnsi="Times New Roman"/>
          <w:color w:val="000000"/>
          <w:sz w:val="18"/>
        </w:rPr>
        <w:t>shares of the registrant's Class A common stock and 23,654,442</w:t>
      </w:r>
      <w:r>
        <w:rPr>
          <w:rFonts w:ascii="Times New Roman" w:hAnsi="Times New Roman"/>
          <w:color w:val="000000"/>
          <w:sz w:val="20"/>
        </w:rPr>
        <w:t xml:space="preserve"> </w:t>
      </w:r>
      <w:r>
        <w:rPr>
          <w:rFonts w:ascii="Times New Roman" w:hAnsi="Times New Roman"/>
          <w:color w:val="000000"/>
          <w:sz w:val="18"/>
        </w:rPr>
        <w:t>shares of the registrant's Class B common stock, each with a $0.00001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Consolidated Statements of Operations and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stockholders_equity">
              <w:r>
                <w:rPr>
                  <w:rStyle w:val="InternetLink"/>
                  <w:rFonts w:ascii="Times New Roman" w:hAnsi="Times New Roman"/>
                  <w:color w:val="0000FF"/>
                  <w:sz w:val="20"/>
                  <w:u w:val="single"/>
                </w:rPr>
                <w:t>Condensed Consolidated Statements of Stockholders’ Equity</w:t>
              </w:r>
            </w:hyperlink>
            <w:hyperlink w:anchor="statements_of_stockholders_equity">
              <w:r>
                <w:rPr>
                  <w:rStyle w:val="InternetLink"/>
                  <w:rFonts w:ascii="Times New Roman" w:hAnsi="Times New Roman"/>
                  <w:color w:val="0000FF"/>
                  <w:sz w:val="20"/>
                </w:rPr>
                <w:t xml:space="preserve"> </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s">
              <w:r>
                <w:rPr>
                  <w:rStyle w:val="InternetLink"/>
                  <w:rFonts w:ascii="Times New Roman" w:hAnsi="Times New Roman"/>
                  <w:color w:val="0000FF"/>
                  <w:sz w:val="20"/>
                  <w:u w:val="single"/>
                </w:rPr>
                <w:t>Notes to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revenue, expenses, and other operating results;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acquire new customers;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usage of our AI Analytics Platform and upsell and cross-sell additional products;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or sustain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investments in our business, our anticipated capital expenditures, and our estimates regarding our capital requirements;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success of our sales and marketing efforts, including our ability to grow and maintain our channel partners, and our ability to promote our brand;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public health crises and other global events, such as the war in Ukraine and the conflicts in the Middle East, on our business and the global economy generally;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key personnel and our ability to identify, recruit, and retain skilled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drive growth by incorporating artificial intelligence and machine learning solutions into our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manage our growth, including any international expansion;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 and any costs associated therewith;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effectively with existing competitors and new market entrants;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associated with being a public company.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Quarterly Report on Form 10-Q.</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have been growing rapidly over the last several years, which makes it difficult to forecast our future results of operations and increases the risk of your investment.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As our costs increase, we may not be able to generate sufficient revenue to achieve and sustain profitability.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focus on sales to larger enterprise organizations and may become more dependent on those relationships, which may increase the variability of our sales cycle and our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over the term of our customer contracts. Consequently, downturns or upturns in new sales may not be immediately reflected in our results of operations and may be difficult to discern.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our industry or the global economy, or reductions in software spending, could limit our ability to grow our business and materially adversely affect our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for SaaS applications develops more slowly than we expect or declines, our business would be materially adversely affected.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in which we operate is highly competitive, and our ability to compete depends on developments in our technology, including the successful deployment of AI in our products. If we do not compete effectively, our business, financial condition, and results of operations could be materially adversely affected.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rights may not protect our business or provide us with a competitive advantage, which could have a material adverse effect on our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and use of machine learning and generative artificial intelligence technologies (collectively, “AI Technologies”) within our AI Analytics Platform may not achieve their intended benefits and may expose us to technical, legal, and regulatory risks, which could have a material adverse effect on our business, financial condition, and results of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 regulations, including import and export control, economic sanctions, and trade sanctions, and anti-corruption laws and regulations, which may expose us to liability and increase our costs.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Class A common stock has been, and in the future, may be, volatile, and could decline significantly and rapidly.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stockholders have the ability to influence the outcome of director elections and other matters requiring stockholder approval.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18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8"/>
        <w:gridCol w:w="146"/>
        <w:gridCol w:w="238"/>
        <w:gridCol w:w="915"/>
        <w:gridCol w:w="166"/>
        <w:gridCol w:w="146"/>
        <w:gridCol w:w="318"/>
        <w:gridCol w:w="1224"/>
        <w:gridCol w:w="614"/>
      </w:tblGrid>
      <w:tr>
        <w:trPr/>
        <w:tc>
          <w:tcPr>
            <w:tcW w:w="6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b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81,119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110,882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Accounts receivable, net of allowance for doubtful accounts of $1,458</w:t>
              <w:br/>
              <w:t>   and $1,046</w:t>
            </w:r>
            <w:r>
              <w:rPr>
                <w:rFonts w:ascii="Times New Roman" w:hAnsi="Times New Roman"/>
                <w:color w:val="000000"/>
                <w:sz w:val="20"/>
              </w:rPr>
              <w:t> </w:t>
            </w:r>
            <w:r>
              <w:rPr>
                <w:rFonts w:ascii="Times New Roman" w:hAnsi="Times New Roman"/>
                <w:color w:val="000000"/>
                <w:sz w:val="18"/>
              </w:rPr>
              <w:t>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23,423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22,859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commissions,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256,663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Restricted cash,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commissions,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35,135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9,045</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420,684</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121,888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164,746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175,338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 $0.00001</w:t>
            </w:r>
            <w:r>
              <w:rPr>
                <w:rFonts w:ascii="Times New Roman" w:hAnsi="Times New Roman"/>
                <w:color w:val="000000"/>
                <w:sz w:val="20"/>
              </w:rPr>
              <w:t> </w:t>
            </w:r>
            <w:r>
              <w:rPr>
                <w:rFonts w:ascii="Times New Roman" w:hAnsi="Times New Roman"/>
                <w:color w:val="000000"/>
                <w:sz w:val="18"/>
              </w:rPr>
              <w:t>par value per share; 20,000</w:t>
            </w:r>
            <w:r>
              <w:rPr>
                <w:rFonts w:ascii="Times New Roman" w:hAnsi="Times New Roman"/>
                <w:color w:val="000000"/>
                <w:sz w:val="20"/>
              </w:rPr>
              <w:t> </w:t>
            </w:r>
            <w:r>
              <w:rPr>
                <w:rFonts w:ascii="Times New Roman" w:hAnsi="Times New Roman"/>
                <w:color w:val="000000"/>
                <w:sz w:val="18"/>
              </w:rPr>
              <w:t>shares authorized as of</w:t>
              <w:br/>
              <w:t>   June 30, 2026 and December 31, 2025; zero</w:t>
            </w:r>
            <w:r>
              <w:rPr>
                <w:rFonts w:ascii="Times New Roman" w:hAnsi="Times New Roman"/>
                <w:color w:val="000000"/>
                <w:sz w:val="20"/>
              </w:rPr>
              <w:t> </w:t>
            </w:r>
            <w:r>
              <w:rPr>
                <w:rFonts w:ascii="Times New Roman" w:hAnsi="Times New Roman"/>
                <w:color w:val="000000"/>
                <w:sz w:val="18"/>
              </w:rPr>
              <w:t>shares issued and outstanding as of</w:t>
              <w:br/>
              <w: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Class A common stock, $0.00001</w:t>
            </w:r>
            <w:r>
              <w:rPr>
                <w:rFonts w:ascii="Times New Roman" w:hAnsi="Times New Roman"/>
                <w:color w:val="000000"/>
                <w:sz w:val="20"/>
              </w:rPr>
              <w:t> </w:t>
            </w:r>
            <w:r>
              <w:rPr>
                <w:rFonts w:ascii="Times New Roman" w:hAnsi="Times New Roman"/>
                <w:color w:val="000000"/>
                <w:sz w:val="18"/>
              </w:rPr>
              <w:t>par value per share; 600,000</w:t>
            </w:r>
            <w:r>
              <w:rPr>
                <w:rFonts w:ascii="Times New Roman" w:hAnsi="Times New Roman"/>
                <w:color w:val="000000"/>
                <w:sz w:val="20"/>
              </w:rPr>
              <w:t> </w:t>
            </w:r>
            <w:r>
              <w:rPr>
                <w:rFonts w:ascii="Times New Roman" w:hAnsi="Times New Roman"/>
                <w:color w:val="000000"/>
                <w:sz w:val="18"/>
              </w:rPr>
              <w:t>shares authorized as of</w:t>
              <w:br/>
              <w:t>   June 30, 2026 and December 31, 2025; 101,157</w:t>
            </w:r>
            <w:r>
              <w:rPr>
                <w:rFonts w:ascii="Times New Roman" w:hAnsi="Times New Roman"/>
                <w:color w:val="000000"/>
                <w:sz w:val="20"/>
              </w:rPr>
              <w:t> </w:t>
            </w:r>
            <w:r>
              <w:rPr>
                <w:rFonts w:ascii="Times New Roman" w:hAnsi="Times New Roman"/>
                <w:color w:val="000000"/>
                <w:sz w:val="18"/>
              </w:rPr>
              <w:t>and 104,400</w:t>
            </w:r>
            <w:r>
              <w:rPr>
                <w:rFonts w:ascii="Times New Roman" w:hAnsi="Times New Roman"/>
                <w:color w:val="000000"/>
                <w:sz w:val="20"/>
              </w:rPr>
              <w:t> </w:t>
            </w:r>
            <w:r>
              <w:rPr>
                <w:rFonts w:ascii="Times New Roman" w:hAnsi="Times New Roman"/>
                <w:color w:val="000000"/>
                <w:sz w:val="18"/>
              </w:rPr>
              <w:t>shares issued and</w:t>
              <w:br/>
              <w:t>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Class B common stock, $0.00001</w:t>
            </w:r>
            <w:r>
              <w:rPr>
                <w:rFonts w:ascii="Times New Roman" w:hAnsi="Times New Roman"/>
                <w:color w:val="000000"/>
                <w:sz w:val="20"/>
              </w:rPr>
              <w:t> </w:t>
            </w:r>
            <w:r>
              <w:rPr>
                <w:rFonts w:ascii="Times New Roman" w:hAnsi="Times New Roman"/>
                <w:color w:val="000000"/>
                <w:sz w:val="18"/>
              </w:rPr>
              <w:t>par value per share; 600,000</w:t>
            </w:r>
            <w:r>
              <w:rPr>
                <w:rFonts w:ascii="Times New Roman" w:hAnsi="Times New Roman"/>
                <w:color w:val="000000"/>
                <w:sz w:val="20"/>
              </w:rPr>
              <w:t> </w:t>
            </w:r>
            <w:r>
              <w:rPr>
                <w:rFonts w:ascii="Times New Roman" w:hAnsi="Times New Roman"/>
                <w:color w:val="000000"/>
                <w:sz w:val="18"/>
              </w:rPr>
              <w:t>shares authorized as of</w:t>
              <w:br/>
              <w:t>   June 30, 2026 and December 31, 2025; 23,654</w:t>
            </w:r>
            <w:r>
              <w:rPr>
                <w:rFonts w:ascii="Times New Roman" w:hAnsi="Times New Roman"/>
                <w:color w:val="000000"/>
                <w:sz w:val="20"/>
              </w:rPr>
              <w:t> </w:t>
            </w:r>
            <w:r>
              <w:rPr>
                <w:rFonts w:ascii="Times New Roman" w:hAnsi="Times New Roman"/>
                <w:color w:val="000000"/>
                <w:sz w:val="18"/>
              </w:rPr>
              <w:t>and 29,633</w:t>
            </w:r>
            <w:r>
              <w:rPr>
                <w:rFonts w:ascii="Times New Roman" w:hAnsi="Times New Roman"/>
                <w:color w:val="000000"/>
                <w:sz w:val="20"/>
              </w:rPr>
              <w:t> </w:t>
            </w:r>
            <w:r>
              <w:rPr>
                <w:rFonts w:ascii="Times New Roman" w:hAnsi="Times New Roman"/>
                <w:color w:val="000000"/>
                <w:sz w:val="18"/>
              </w:rPr>
              <w:t>shares issued and</w:t>
              <w:br/>
              <w:t>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791,146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(546,390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38"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245,346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8"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420,684</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Class A and Class B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unrealized gains (losses)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statements_of_stockholders_equity"/>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22"/>
        <w:gridCol w:w="146"/>
        <w:gridCol w:w="155"/>
        <w:gridCol w:w="738"/>
        <w:gridCol w:w="177"/>
        <w:gridCol w:w="155"/>
        <w:gridCol w:w="273"/>
        <w:gridCol w:w="155"/>
        <w:gridCol w:w="369"/>
        <w:gridCol w:w="146"/>
        <w:gridCol w:w="146"/>
        <w:gridCol w:w="256"/>
        <w:gridCol w:w="146"/>
        <w:gridCol w:w="691"/>
        <w:gridCol w:w="166"/>
        <w:gridCol w:w="146"/>
        <w:gridCol w:w="360"/>
        <w:gridCol w:w="267"/>
        <w:gridCol w:w="803"/>
        <w:gridCol w:w="166"/>
        <w:gridCol w:w="146"/>
        <w:gridCol w:w="256"/>
        <w:gridCol w:w="146"/>
        <w:gridCol w:w="751"/>
        <w:gridCol w:w="166"/>
        <w:gridCol w:w="146"/>
        <w:gridCol w:w="256"/>
        <w:gridCol w:w="146"/>
        <w:gridCol w:w="691"/>
        <w:gridCol w:w="218"/>
      </w:tblGrid>
      <w:tr>
        <w:trPr/>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134,033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245,346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Forfeiture of unvested shares issued in connection with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on 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132,584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217,305</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on net share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on share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(68,733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(34,617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124,812</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136,198</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21"/>
        <w:gridCol w:w="146"/>
        <w:gridCol w:w="156"/>
        <w:gridCol w:w="741"/>
        <w:gridCol w:w="177"/>
        <w:gridCol w:w="156"/>
        <w:gridCol w:w="274"/>
        <w:gridCol w:w="156"/>
        <w:gridCol w:w="371"/>
        <w:gridCol w:w="146"/>
        <w:gridCol w:w="146"/>
        <w:gridCol w:w="256"/>
        <w:gridCol w:w="146"/>
        <w:gridCol w:w="691"/>
        <w:gridCol w:w="166"/>
        <w:gridCol w:w="146"/>
        <w:gridCol w:w="393"/>
        <w:gridCol w:w="293"/>
        <w:gridCol w:w="758"/>
        <w:gridCol w:w="146"/>
        <w:gridCol w:w="146"/>
        <w:gridCol w:w="256"/>
        <w:gridCol w:w="146"/>
        <w:gridCol w:w="751"/>
        <w:gridCol w:w="166"/>
        <w:gridCol w:w="146"/>
        <w:gridCol w:w="256"/>
        <w:gridCol w:w="146"/>
        <w:gridCol w:w="691"/>
        <w:gridCol w:w="216"/>
      </w:tblGrid>
      <w:tr>
        <w:trPr/>
        <w:tc>
          <w:tcPr>
            <w:tcW w:w="1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and Class B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129,188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296,556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on net share settlement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130,857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289,460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on net share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(10,677</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(24,668</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132,478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783,905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279,504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statements_of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46"/>
        <w:gridCol w:w="146"/>
        <w:gridCol w:w="211"/>
        <w:gridCol w:w="841"/>
        <w:gridCol w:w="166"/>
        <w:gridCol w:w="146"/>
        <w:gridCol w:w="211"/>
        <w:gridCol w:w="781"/>
        <w:gridCol w:w="166"/>
        <w:gridCol w:w="991"/>
      </w:tblGrid>
      <w:tr>
        <w:trPr/>
        <w:tc>
          <w:tcPr>
            <w:tcW w:w="6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from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Issuance of bridge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for tax withholding obligations on equity award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tax withholding obligations on equity award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acquisition holdback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 included in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capitalized as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 retirement obligations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AMPLITUDE,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densed_consolidated_f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Business and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Amplitude, Inc. (the “Company”) was incorporated in the state of Delaware in 2011 and is headquartered in San Francisco, California. The Company provides an AI Analytics Platform that helps businesses understand how people are using their digital products so they can improve the digital experience provided by those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a single operating and reportable segment. The software segment provides an AI Analytics Platform to customers using a SaaS model. The Company derives revenue primarily in the United States and manages the business activities on a consolidated basis. The accounting policies of the software segment are the same as those described in the summary of significant accounting policies.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chief operating decision maker, who, in the Company’s case, is the Chief Executive Officer (“CEO”), assesses performance for the software segment and decides how to allocate resources based on functional expenses exclusive of stock-based compensation, amortization of acquired intangible assets, acquisition-related costs, restructuring and other related charges, and related tax impacts of these items. The CEO uses these functional expense captions and consolidated net loss to evaluate income generated or losses incurred from the software segment, and utilizes the metric in deciding operating decisions, including, but not limited to, investing in research and development, product developments, personnel, and other expenses. The measure of segment assets is reported on the balance sheet as total consolidated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tables set forth operating segment information (in thousands):</w:t>
      </w:r>
    </w:p>
    <w:p>
      <w:pPr>
        <w:pStyle w:val="TextBody"/>
        <w:bidi w:val="0"/>
        <w:ind w:left="0" w:right="0" w:firstLine="490"/>
        <w:jc w:val="left"/>
        <w:rPr/>
      </w:pPr>
      <w:r>
        <w:rPr/>
        <w:t> </w:t>
      </w:r>
    </w:p>
    <w:tbl>
      <w:tblPr>
        <w:tblW w:w="7692" w:type="dxa"/>
        <w:jc w:val="left"/>
        <w:tblInd w:w="0" w:type="dxa"/>
        <w:tblLayout w:type="fixed"/>
        <w:tblCellMar>
          <w:top w:w="28" w:type="dxa"/>
          <w:left w:w="28" w:type="dxa"/>
          <w:bottom w:w="28" w:type="dxa"/>
          <w:right w:w="28" w:type="dxa"/>
        </w:tblCellMar>
      </w:tblPr>
      <w:tblGrid>
        <w:gridCol w:w="2476"/>
        <w:gridCol w:w="146"/>
        <w:gridCol w:w="211"/>
        <w:gridCol w:w="781"/>
        <w:gridCol w:w="166"/>
        <w:gridCol w:w="146"/>
        <w:gridCol w:w="211"/>
        <w:gridCol w:w="736"/>
        <w:gridCol w:w="166"/>
        <w:gridCol w:w="146"/>
        <w:gridCol w:w="211"/>
        <w:gridCol w:w="781"/>
        <w:gridCol w:w="166"/>
        <w:gridCol w:w="146"/>
        <w:gridCol w:w="211"/>
        <w:gridCol w:w="781"/>
        <w:gridCol w:w="21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 xml:space="preserve">Amounts exclude other segment expenses as follows: </w:t>
      </w:r>
    </w:p>
    <w:tbl>
      <w:tblPr>
        <w:tblW w:w="10205" w:type="dxa"/>
        <w:jc w:val="left"/>
        <w:tblInd w:w="0" w:type="dxa"/>
        <w:tblLayout w:type="fixed"/>
        <w:tblCellMar>
          <w:top w:w="28" w:type="dxa"/>
          <w:left w:w="28" w:type="dxa"/>
          <w:bottom w:w="28" w:type="dxa"/>
          <w:right w:w="28" w:type="dxa"/>
        </w:tblCellMar>
      </w:tblPr>
      <w:tblGrid>
        <w:gridCol w:w="5444"/>
        <w:gridCol w:w="146"/>
        <w:gridCol w:w="211"/>
        <w:gridCol w:w="676"/>
        <w:gridCol w:w="146"/>
        <w:gridCol w:w="146"/>
        <w:gridCol w:w="211"/>
        <w:gridCol w:w="676"/>
        <w:gridCol w:w="146"/>
        <w:gridCol w:w="146"/>
        <w:gridCol w:w="211"/>
        <w:gridCol w:w="676"/>
        <w:gridCol w:w="146"/>
        <w:gridCol w:w="146"/>
        <w:gridCol w:w="211"/>
        <w:gridCol w:w="676"/>
        <w:gridCol w:w="191"/>
      </w:tblGrid>
      <w:tr>
        <w:trPr/>
        <w:tc>
          <w:tcPr>
            <w:tcW w:w="5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related employer payroll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balance sheet as of June 30, 2026, included herein, was derived from the unaudited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These condensed consolidated financial statements should be read in conjunction with the audited consolidated financial statements and notes included in the Company’s Annual Report on Form 10-K for the year ended December 31, 2025 (the “2025 Form 10-K”).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Certain prior period reported amounts have been reclassified to conform to the 2026 presentation. For the three months ended March 31, 2026, the Company reclassified $0.8 million of restructuring expenses from Sales &amp; marketing and General &amp; administrative to Restructuring and other related charges. This reclassification had no impact on previously reported total operating expenses or net loss for the prior periods.</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period of benefit for deferred commissions;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useful lives of long-lived assets;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valuation of goodwill and intangible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recognition, measurement, and valuation of deferred tax assets and income tax uncertainties;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incremental borrowing rates used for operating leases. </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Risk and Significant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 customer accounted for 10% or more of total revenue for the three and six months ended June 30, 2026 and 2025. As of June 30, 2026 and December 31, 2025, no customer represented 10% or more of accounts receivable.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significant accounting policies are described in the 2025 Form 10-K. There have been no significant changes to these policies that have had a material impact on the Company’s condensed consolidated financial statements and related notes for the three and six months ended June 30, 2026.</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requiring public entities to disclose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that the adoption of ASU 2024-03 will have on its condensed consolidated financial statements and related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2025, the FASB issued ASU 2025-11, Interim Reporting (Topic 270): Narrow-Scope Improvements. The amendments improve the consistency and usability of interim disclosure requirements, clarify the scope and applicability of Topic 270, and establish a disclosure principle requiring entities to disclose material events and changes occurring since the end of the most recent annual reporting period that have a material impact on the entity. The amendments are effective for interim reporting periods within annual reporting periods beginning after December 15, 2027. The amendments may be applied either prospectively or retrospectively, with early adoption permitted. The Company is currently evaluating the impact that the adoption of ASU 2025-11 will have on its condensed consolidated financial statements and related disclosures.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2025, the FASB also issued ASU 2025-12, Codification Improvements, which includes amendments intended to clarify, correct, and improve various topics within the FASB Accounting Standards Codification to enhance its usability and consistency. The amendments are effective for fiscal years beginning after December 15, 2026, including interim periods within those fiscal years, with prospective application permitted. Early adoption is permitted. The Company is currently evaluating the impact that the adoption of ASU 2025-12 will have on its condensed consolidated financial statements and related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from Contracts with Customers</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Revenue and Remaining Performance Obligations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amount of revenue recognized in the six months ended June 30, 2026 that was included in deferred revenue as of December 31, 2025 was $95.2 million.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and December 31, 2025, unrecognized transaction price related to remaining performance obligations was $483.0 million and $417.7 million, respectively. The Company’s remaining performance obligations as of June 30, 2026 and December 31, 2025 are expected to be recognized as follows (in thousands): </w:t>
      </w:r>
    </w:p>
    <w:p>
      <w:pPr>
        <w:pStyle w:val="TextBody"/>
        <w:bidi w:val="0"/>
        <w:ind w:left="0" w:right="0" w:firstLine="490"/>
        <w:jc w:val="left"/>
        <w:rPr/>
      </w:pPr>
      <w:r>
        <w:rPr/>
        <w:t> </w:t>
      </w:r>
    </w:p>
    <w:tbl>
      <w:tblPr>
        <w:tblW w:w="7080" w:type="dxa"/>
        <w:jc w:val="left"/>
        <w:tblInd w:w="0" w:type="dxa"/>
        <w:tblLayout w:type="fixed"/>
        <w:tblCellMar>
          <w:top w:w="28" w:type="dxa"/>
          <w:left w:w="28" w:type="dxa"/>
          <w:bottom w:w="28" w:type="dxa"/>
          <w:right w:w="28" w:type="dxa"/>
        </w:tblCellMar>
      </w:tblPr>
      <w:tblGrid>
        <w:gridCol w:w="3451"/>
        <w:gridCol w:w="146"/>
        <w:gridCol w:w="271"/>
        <w:gridCol w:w="1004"/>
        <w:gridCol w:w="146"/>
        <w:gridCol w:w="146"/>
        <w:gridCol w:w="367"/>
        <w:gridCol w:w="1358"/>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Disaggregation of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the Company’s disaggregation of revenue by geographic areas, as determined based on the address of the Company's customers for the three and six months ended June 30, 2026 and 2025 (in thousands): </w:t>
      </w:r>
    </w:p>
    <w:p>
      <w:pPr>
        <w:pStyle w:val="TextBody"/>
        <w:bidi w:val="0"/>
        <w:jc w:val="left"/>
        <w:rPr/>
      </w:pPr>
      <w:r>
        <w:rPr/>
        <w:t> </w:t>
      </w:r>
    </w:p>
    <w:tbl>
      <w:tblPr>
        <w:tblW w:w="6322" w:type="dxa"/>
        <w:jc w:val="left"/>
        <w:tblInd w:w="0" w:type="dxa"/>
        <w:tblLayout w:type="fixed"/>
        <w:tblCellMar>
          <w:top w:w="28" w:type="dxa"/>
          <w:left w:w="28" w:type="dxa"/>
          <w:bottom w:w="28" w:type="dxa"/>
          <w:right w:w="28" w:type="dxa"/>
        </w:tblCellMar>
      </w:tblPr>
      <w:tblGrid>
        <w:gridCol w:w="1246"/>
        <w:gridCol w:w="146"/>
        <w:gridCol w:w="211"/>
        <w:gridCol w:w="781"/>
        <w:gridCol w:w="146"/>
        <w:gridCol w:w="146"/>
        <w:gridCol w:w="211"/>
        <w:gridCol w:w="676"/>
        <w:gridCol w:w="146"/>
        <w:gridCol w:w="146"/>
        <w:gridCol w:w="211"/>
        <w:gridCol w:w="781"/>
        <w:gridCol w:w="146"/>
        <w:gridCol w:w="146"/>
        <w:gridCol w:w="211"/>
        <w:gridCol w:w="78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Commissions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Commissions paid upon the initial acquisition of a contract are deferred and then amortized on a straight-line basis over a period of benefit, determined to be five years. Commissions paid for subsequent renewals are amortized over the renewal term. The following table represents a roll forward of the Company’s deferred commissions for the three and six months ended June 30, 2026 and 2025 (in thousands): </w:t>
      </w:r>
    </w:p>
    <w:p>
      <w:pPr>
        <w:pStyle w:val="TextBody"/>
        <w:bidi w:val="0"/>
        <w:jc w:val="left"/>
        <w:rPr/>
      </w:pPr>
      <w:r>
        <w:rPr/>
        <w:t> </w:t>
      </w:r>
    </w:p>
    <w:tbl>
      <w:tblPr>
        <w:tblW w:w="8112" w:type="dxa"/>
        <w:jc w:val="left"/>
        <w:tblInd w:w="0" w:type="dxa"/>
        <w:tblLayout w:type="fixed"/>
        <w:tblCellMar>
          <w:top w:w="28" w:type="dxa"/>
          <w:left w:w="28" w:type="dxa"/>
          <w:bottom w:w="28" w:type="dxa"/>
          <w:right w:w="28" w:type="dxa"/>
        </w:tblCellMar>
      </w:tblPr>
      <w:tblGrid>
        <w:gridCol w:w="3211"/>
        <w:gridCol w:w="146"/>
        <w:gridCol w:w="211"/>
        <w:gridCol w:w="676"/>
        <w:gridCol w:w="166"/>
        <w:gridCol w:w="146"/>
        <w:gridCol w:w="211"/>
        <w:gridCol w:w="676"/>
        <w:gridCol w:w="166"/>
        <w:gridCol w:w="146"/>
        <w:gridCol w:w="211"/>
        <w:gridCol w:w="736"/>
        <w:gridCol w:w="166"/>
        <w:gridCol w:w="146"/>
        <w:gridCol w:w="211"/>
        <w:gridCol w:w="676"/>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tables show the Company’s financial statement details as of June 30, 2026 and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Cash, cash equivalents, and restricted cash consisted of the following (in thousands): </w:t>
      </w:r>
    </w:p>
    <w:p>
      <w:pPr>
        <w:pStyle w:val="TextBody"/>
        <w:bidi w:val="0"/>
        <w:jc w:val="left"/>
        <w:rPr/>
      </w:pPr>
      <w:r>
        <w:rPr/>
        <w:t> </w:t>
      </w:r>
    </w:p>
    <w:tbl>
      <w:tblPr>
        <w:tblW w:w="7620" w:type="dxa"/>
        <w:jc w:val="left"/>
        <w:tblInd w:w="0" w:type="dxa"/>
        <w:tblLayout w:type="fixed"/>
        <w:tblCellMar>
          <w:top w:w="28" w:type="dxa"/>
          <w:left w:w="28" w:type="dxa"/>
          <w:bottom w:w="28" w:type="dxa"/>
          <w:right w:w="28" w:type="dxa"/>
        </w:tblCellMar>
      </w:tblPr>
      <w:tblGrid>
        <w:gridCol w:w="3991"/>
        <w:gridCol w:w="146"/>
        <w:gridCol w:w="303"/>
        <w:gridCol w:w="972"/>
        <w:gridCol w:w="146"/>
        <w:gridCol w:w="146"/>
        <w:gridCol w:w="409"/>
        <w:gridCol w:w="1316"/>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Prepaid Expenses and Other Current Assets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7560" w:type="dxa"/>
        <w:jc w:val="left"/>
        <w:tblInd w:w="0" w:type="dxa"/>
        <w:tblLayout w:type="fixed"/>
        <w:tblCellMar>
          <w:top w:w="28" w:type="dxa"/>
          <w:left w:w="28" w:type="dxa"/>
          <w:bottom w:w="28" w:type="dxa"/>
          <w:right w:w="28" w:type="dxa"/>
        </w:tblCellMar>
      </w:tblPr>
      <w:tblGrid>
        <w:gridCol w:w="3931"/>
        <w:gridCol w:w="146"/>
        <w:gridCol w:w="303"/>
        <w:gridCol w:w="972"/>
        <w:gridCol w:w="146"/>
        <w:gridCol w:w="146"/>
        <w:gridCol w:w="409"/>
        <w:gridCol w:w="131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Accrued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Accrued expenses consisted of the following (in thousands): </w:t>
      </w:r>
    </w:p>
    <w:p>
      <w:pPr>
        <w:pStyle w:val="TextBody"/>
        <w:bidi w:val="0"/>
        <w:ind w:left="0" w:right="0" w:firstLine="490"/>
        <w:jc w:val="left"/>
        <w:rPr/>
      </w:pPr>
      <w:r>
        <w:rPr/>
        <w:t> </w:t>
      </w:r>
    </w:p>
    <w:tbl>
      <w:tblPr>
        <w:tblW w:w="7770" w:type="dxa"/>
        <w:jc w:val="left"/>
        <w:tblInd w:w="0" w:type="dxa"/>
        <w:tblLayout w:type="fixed"/>
        <w:tblCellMar>
          <w:top w:w="28" w:type="dxa"/>
          <w:left w:w="28" w:type="dxa"/>
          <w:bottom w:w="28" w:type="dxa"/>
          <w:right w:w="28" w:type="dxa"/>
        </w:tblCellMar>
      </w:tblPr>
      <w:tblGrid>
        <w:gridCol w:w="4141"/>
        <w:gridCol w:w="146"/>
        <w:gridCol w:w="303"/>
        <w:gridCol w:w="972"/>
        <w:gridCol w:w="146"/>
        <w:gridCol w:w="146"/>
        <w:gridCol w:w="409"/>
        <w:gridCol w:w="131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hosting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 and bonus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employee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refunds and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Non-income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for financial assets measured at fair value, the respective fair value and classification by level of input within the fair value hierarchy (in thousands):</w:t>
      </w:r>
    </w:p>
    <w:p>
      <w:pPr>
        <w:pStyle w:val="TextBody"/>
        <w:bidi w:val="0"/>
        <w:ind w:left="0" w:right="0" w:firstLine="490"/>
        <w:jc w:val="left"/>
        <w:rPr/>
      </w:pPr>
      <w:r>
        <w:rPr/>
        <w:t> </w:t>
      </w:r>
    </w:p>
    <w:tbl>
      <w:tblPr>
        <w:tblW w:w="9187" w:type="dxa"/>
        <w:jc w:val="left"/>
        <w:tblInd w:w="0" w:type="dxa"/>
        <w:tblLayout w:type="fixed"/>
        <w:tblCellMar>
          <w:top w:w="28" w:type="dxa"/>
          <w:left w:w="28" w:type="dxa"/>
          <w:bottom w:w="28" w:type="dxa"/>
          <w:right w:w="28" w:type="dxa"/>
        </w:tblCellMar>
      </w:tblPr>
      <w:tblGrid>
        <w:gridCol w:w="3506"/>
        <w:gridCol w:w="146"/>
        <w:gridCol w:w="211"/>
        <w:gridCol w:w="146"/>
        <w:gridCol w:w="781"/>
        <w:gridCol w:w="146"/>
        <w:gridCol w:w="146"/>
        <w:gridCol w:w="310"/>
        <w:gridCol w:w="215"/>
        <w:gridCol w:w="511"/>
        <w:gridCol w:w="146"/>
        <w:gridCol w:w="146"/>
        <w:gridCol w:w="260"/>
        <w:gridCol w:w="180"/>
        <w:gridCol w:w="596"/>
        <w:gridCol w:w="166"/>
        <w:gridCol w:w="146"/>
        <w:gridCol w:w="211"/>
        <w:gridCol w:w="146"/>
        <w:gridCol w:w="781"/>
        <w:gridCol w:w="29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tbl>
      <w:tblPr>
        <w:tblW w:w="9167" w:type="dxa"/>
        <w:jc w:val="left"/>
        <w:tblInd w:w="0" w:type="dxa"/>
        <w:tblLayout w:type="fixed"/>
        <w:tblCellMar>
          <w:top w:w="28" w:type="dxa"/>
          <w:left w:w="28" w:type="dxa"/>
          <w:bottom w:w="28" w:type="dxa"/>
          <w:right w:w="28" w:type="dxa"/>
        </w:tblCellMar>
      </w:tblPr>
      <w:tblGrid>
        <w:gridCol w:w="3506"/>
        <w:gridCol w:w="146"/>
        <w:gridCol w:w="211"/>
        <w:gridCol w:w="146"/>
        <w:gridCol w:w="781"/>
        <w:gridCol w:w="146"/>
        <w:gridCol w:w="146"/>
        <w:gridCol w:w="280"/>
        <w:gridCol w:w="194"/>
        <w:gridCol w:w="562"/>
        <w:gridCol w:w="146"/>
        <w:gridCol w:w="146"/>
        <w:gridCol w:w="310"/>
        <w:gridCol w:w="215"/>
        <w:gridCol w:w="511"/>
        <w:gridCol w:w="146"/>
        <w:gridCol w:w="146"/>
        <w:gridCol w:w="211"/>
        <w:gridCol w:w="146"/>
        <w:gridCol w:w="781"/>
        <w:gridCol w:w="291"/>
      </w:tblGrid>
      <w:tr>
        <w:trPr/>
        <w:tc>
          <w:tcPr>
            <w:tcW w:w="3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b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governmental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215,773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sz w:val="20"/>
        </w:rPr>
      </w:pPr>
      <w:r>
        <w:rPr>
          <w:rFonts w:ascii="Times New Roman" w:hAnsi="Times New Roman"/>
          <w:color w:val="000000"/>
          <w:sz w:val="16"/>
        </w:rPr>
        <w:t>Included as “Cash and cash equivalents” on the Company’s condensed consolidated balance sheets as of June 30, 2026 and December 31, 2025, in addition to cash of $45.6</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$36.8</w:t>
      </w:r>
      <w:r>
        <w:rPr>
          <w:rFonts w:ascii="Times New Roman" w:hAnsi="Times New Roman"/>
          <w:color w:val="000000"/>
          <w:sz w:val="20"/>
        </w:rPr>
        <w:t xml:space="preserve"> </w:t>
      </w:r>
      <w:r>
        <w:rPr>
          <w:rFonts w:ascii="Times New Roman" w:hAnsi="Times New Roman"/>
          <w:color w:val="000000"/>
          <w:sz w:val="16"/>
        </w:rPr>
        <w:t xml:space="preserve">million,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the Company's available-for-sale securities as of June 30, 2026, by remaining contractual maturities, was as follows (in thousands):</w:t>
      </w:r>
    </w:p>
    <w:p>
      <w:pPr>
        <w:pStyle w:val="TextBody"/>
        <w:bidi w:val="0"/>
        <w:ind w:left="0" w:right="0" w:firstLine="490"/>
        <w:jc w:val="left"/>
        <w:rPr/>
      </w:pPr>
      <w:r>
        <w:rPr/>
        <w:t> </w:t>
      </w:r>
    </w:p>
    <w:tbl>
      <w:tblPr>
        <w:tblW w:w="4013" w:type="dxa"/>
        <w:jc w:val="left"/>
        <w:tblInd w:w="0" w:type="dxa"/>
        <w:tblLayout w:type="fixed"/>
        <w:tblCellMar>
          <w:top w:w="28" w:type="dxa"/>
          <w:left w:w="28" w:type="dxa"/>
          <w:bottom w:w="28" w:type="dxa"/>
          <w:right w:w="28" w:type="dxa"/>
        </w:tblCellMar>
      </w:tblPr>
      <w:tblGrid>
        <w:gridCol w:w="2401"/>
        <w:gridCol w:w="146"/>
        <w:gridCol w:w="260"/>
        <w:gridCol w:w="180"/>
        <w:gridCol w:w="835"/>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greater than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Acquisitions and Intangible Assets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January 14, 2026 (the "Acquisition Date"), the Company completed the acquisition of InfiniGrow Ltd. ("InfiniGrow"), a privately-held AI marketing analytics company, by acquiring all of its outstanding capital stock for total consideration of $0.2 million in cash. Prior to the acquisition, the Company had provided InfiniGrow with short-term financing through two bridge loan agreements executed in December 2025 and January 2026, with an aggregate outstanding balance (including accrued interest) of $0.4 million at the time of closing. Upon completion of the acquisition, the outstanding bridge loan balances were settled as a preexisting relationship. In connection with the acquisition, which was accounted for as a business combination, the Company recognized $2.0 million of developed technology intangible assets that will be amortized over an estimated useful life of three years. Additionally, the Company agreed to grant equity awards to key employees of InfiniGrow under its equity incentive plan, with an aggregate target value of $6.5 million to be recognized as compensation expense over the requisite service period.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InfiniGrow is an AI marketing analytics company that helps organizations measure, forecast, and optimize the impact of marketing on revenue. The acquisition reinforces the Company's focus on making analytics actionable and helping marketers move faster, make smarter decisions, and drive business outcomes from a single platform.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May 1, 2026, the Company entered into an agreement with Statsig, LLC ("Statsig"), pursuant to which the Company acquired certain assets related to Statsig's customer contracts, including customer relationships, order backlog, the Statsig trade name, and a perpetual non-exclusive license to use certain proprietary technology. In connection with the transaction, the Company assumed the remaining performance obligations associated with the acquired customer contracts and acquired related accounts receivable.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transaction was accounted for as an asset acquisition in accordance with ASC 805-50, Business Combinations, as the acquired set of assets did not meet the definition of a business under ASC 805. Accordingly, no goodwill was recognized.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aggregate fair values of the identifiable intangible assets acquired which exceeded the liabilities assumed were allocated to the individual assets on a relative fair value basis. The allocation of the acquisition date fair values was as follows (in thousands):</w:t>
      </w:r>
    </w:p>
    <w:p>
      <w:pPr>
        <w:pStyle w:val="TextBody"/>
        <w:bidi w:val="0"/>
        <w:ind w:left="0" w:right="0" w:firstLine="490"/>
        <w:jc w:val="left"/>
        <w:rPr/>
      </w:pPr>
      <w:r>
        <w:rPr/>
        <w:t> </w:t>
      </w:r>
    </w:p>
    <w:tbl>
      <w:tblPr>
        <w:tblW w:w="4318" w:type="dxa"/>
        <w:jc w:val="left"/>
        <w:tblInd w:w="0" w:type="dxa"/>
        <w:tblLayout w:type="fixed"/>
        <w:tblCellMar>
          <w:top w:w="28" w:type="dxa"/>
          <w:left w:w="28" w:type="dxa"/>
          <w:bottom w:w="28" w:type="dxa"/>
          <w:right w:w="28" w:type="dxa"/>
        </w:tblCellMar>
      </w:tblPr>
      <w:tblGrid>
        <w:gridCol w:w="2761"/>
        <w:gridCol w:w="146"/>
        <w:gridCol w:w="227"/>
        <w:gridCol w:w="793"/>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and Liabilities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recognized $8.7 million of identifiable intangible assets consisting of customer relationships, order backlog, developed technology, and trade name. These intangible assets are amortized on a straight-line basis over their estimated useful lives ranging from one to five years. The fair values of the acquired intangible assets were determined using income-based valuation methodologies and represent Level 3 fair value measurements under ASC 820.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Statsig is a software-as-a-service ("SaaS") platform that provides experimentation, feature management, and product analytics capabilities. The transaction provides the Company with technology rights and intangible assets that complement its existing product analytics offerings and expand its experimentation and feature management capabilities.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 Other Than Goodwill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Intangible assets, net consisted of the following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4"/>
        <w:gridCol w:w="146"/>
        <w:gridCol w:w="196"/>
        <w:gridCol w:w="164"/>
        <w:gridCol w:w="682"/>
        <w:gridCol w:w="146"/>
        <w:gridCol w:w="146"/>
        <w:gridCol w:w="196"/>
        <w:gridCol w:w="229"/>
        <w:gridCol w:w="897"/>
        <w:gridCol w:w="166"/>
        <w:gridCol w:w="146"/>
        <w:gridCol w:w="196"/>
        <w:gridCol w:w="164"/>
        <w:gridCol w:w="682"/>
        <w:gridCol w:w="146"/>
        <w:gridCol w:w="146"/>
        <w:gridCol w:w="196"/>
        <w:gridCol w:w="164"/>
        <w:gridCol w:w="682"/>
        <w:gridCol w:w="146"/>
        <w:gridCol w:w="146"/>
        <w:gridCol w:w="196"/>
        <w:gridCol w:w="229"/>
        <w:gridCol w:w="897"/>
        <w:gridCol w:w="166"/>
        <w:gridCol w:w="146"/>
        <w:gridCol w:w="196"/>
        <w:gridCol w:w="187"/>
        <w:gridCol w:w="659"/>
        <w:gridCol w:w="193"/>
      </w:tblGrid>
      <w:tr>
        <w:trPr/>
        <w:tc>
          <w:tcPr>
            <w:tcW w:w="1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4"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4"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 xml:space="preserve">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 xml:space="preserve">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 xml:space="preserve">Carrying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 xml:space="preserve">Carrying </w:t>
              <w:br/>
              <w:t>Amount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Order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Amortization expense of intangible assets was $1.0 million and $1.5 million for the three and six months ended June 30, 2026, respectively, and $0.3 million and $0.6 million for the three and six months ended June 30, 2025,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future amortization expense is expected to be as follows (in thousands): </w:t>
      </w:r>
    </w:p>
    <w:p>
      <w:pPr>
        <w:pStyle w:val="TextBody"/>
        <w:bidi w:val="0"/>
        <w:jc w:val="left"/>
        <w:rPr/>
      </w:pPr>
      <w:r>
        <w:rPr/>
        <w:t> </w:t>
      </w:r>
    </w:p>
    <w:tbl>
      <w:tblPr>
        <w:tblW w:w="2905" w:type="dxa"/>
        <w:jc w:val="left"/>
        <w:tblInd w:w="0" w:type="dxa"/>
        <w:tblLayout w:type="fixed"/>
        <w:tblCellMar>
          <w:top w:w="28" w:type="dxa"/>
          <w:left w:w="28" w:type="dxa"/>
          <w:bottom w:w="28" w:type="dxa"/>
          <w:right w:w="28" w:type="dxa"/>
        </w:tblCellMar>
      </w:tblPr>
      <w:tblGrid>
        <w:gridCol w:w="1681"/>
        <w:gridCol w:w="146"/>
        <w:gridCol w:w="211"/>
        <w:gridCol w:w="67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Stockholders’ Equity and Equity Incentive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Preferred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two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such shares of Class B common stock to Class A common stock. Once converted into Class A common stock, the Class B common stock may not be reissued.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reserved shares of its common stock as follows: </w:t>
      </w:r>
    </w:p>
    <w:p>
      <w:pPr>
        <w:pStyle w:val="TextBody"/>
        <w:bidi w:val="0"/>
        <w:ind w:left="0" w:right="0" w:firstLine="490"/>
        <w:jc w:val="left"/>
        <w:rPr/>
      </w:pPr>
      <w:r>
        <w:rPr/>
        <w:t> </w:t>
      </w:r>
    </w:p>
    <w:tbl>
      <w:tblPr>
        <w:tblW w:w="9395" w:type="dxa"/>
        <w:jc w:val="left"/>
        <w:tblInd w:w="0" w:type="dxa"/>
        <w:tblLayout w:type="fixed"/>
        <w:tblCellMar>
          <w:top w:w="28" w:type="dxa"/>
          <w:left w:w="28" w:type="dxa"/>
          <w:bottom w:w="28" w:type="dxa"/>
          <w:right w:w="28" w:type="dxa"/>
        </w:tblCellMar>
      </w:tblPr>
      <w:tblGrid>
        <w:gridCol w:w="5566"/>
        <w:gridCol w:w="146"/>
        <w:gridCol w:w="157"/>
        <w:gridCol w:w="1118"/>
        <w:gridCol w:w="146"/>
        <w:gridCol w:w="146"/>
        <w:gridCol w:w="213"/>
        <w:gridCol w:w="1512"/>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Stock Option and Grant Plan and 2021 Incentive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9,364,213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9,855,901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20,823,544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14,049,044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15,921,842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19,038,398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Shares available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5,649,309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reserved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52,654,421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48,592,652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2014 Stock Option and Grant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2021 Incentive Award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June 30, 2026, a total of 15,921,842 shares of the Company's Class A common stock were available for future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pStyle w:val="TextBody"/>
        <w:bidi w:val="0"/>
        <w:spacing w:before="360" w:after="283"/>
        <w:jc w:val="left"/>
        <w:rPr>
          <w:rFonts w:ascii="Times New Roman" w:hAnsi="Times New Roman"/>
          <w:sz w:val="20"/>
        </w:rPr>
      </w:pPr>
      <w:r>
        <w:rPr>
          <w:rFonts w:ascii="Times New Roman" w:hAnsi="Times New Roman"/>
          <w:i/>
          <w:color w:val="000000"/>
          <w:sz w:val="20"/>
        </w:rPr>
        <w:t>Stock Option Awards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Stock options granted under the 2014 Plan and the 2021 Plan (collectively, the “combined stock plans”) generally vest based on continued service over four years.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Option activity under the combined stock plans for the six months ended June 30, 2026 is set forth below:</w:t>
      </w:r>
    </w:p>
    <w:p>
      <w:pPr>
        <w:pStyle w:val="TextBody"/>
        <w:bidi w:val="0"/>
        <w:ind w:left="0" w:right="0" w:firstLine="49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97" w:type="dxa"/>
        <w:jc w:val="left"/>
        <w:tblInd w:w="0" w:type="dxa"/>
        <w:tblLayout w:type="fixed"/>
        <w:tblCellMar>
          <w:top w:w="28" w:type="dxa"/>
          <w:left w:w="28" w:type="dxa"/>
          <w:bottom w:w="28" w:type="dxa"/>
          <w:right w:w="28" w:type="dxa"/>
        </w:tblCellMar>
      </w:tblPr>
      <w:tblGrid>
        <w:gridCol w:w="2821"/>
        <w:gridCol w:w="146"/>
        <w:gridCol w:w="154"/>
        <w:gridCol w:w="987"/>
        <w:gridCol w:w="166"/>
        <w:gridCol w:w="146"/>
        <w:gridCol w:w="285"/>
        <w:gridCol w:w="631"/>
        <w:gridCol w:w="146"/>
        <w:gridCol w:w="146"/>
        <w:gridCol w:w="256"/>
        <w:gridCol w:w="825"/>
        <w:gridCol w:w="146"/>
        <w:gridCol w:w="146"/>
        <w:gridCol w:w="238"/>
        <w:gridCol w:w="767"/>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intrinsic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value (in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Balance as of June 30, 2026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9,364,213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9,217,963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As no forfeitures are estimated due to the Company’s adoption of ASU No. 2016-09, all options are vested or expected to vest. As of June 30, 2026, no options were outstanding that were subject to a future performance condition.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aggregate intrinsic values of options are calculated as the difference between the exercise price of the options and the market price for shares of the Company’s Class A common stock as of each period-end. The total intrinsic value of options exercised for the six months ended June 30, 2026 and 2025 was $2.9 million and $6.4 million,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No stock options were granted in the six months ended June 30, 2026 and 2025. No tax benefits were realized from options during the periods.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total unrecognized stock-based compensation expense related to options outstanding under the combined stock plans was $1.1 million. This unrecognized expense as of June 30, 2026 is expected to be recognized over the weighted average remaining vesting period of 1.00 years. As of June 30, 2026, the Company had 90,905 shares of non-employee stock options outstanding under the combined stock plans.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each option granted to employees under the 2021 Plan is estimated on the grant date using the Black-Scholes pricing model.</w:t>
      </w:r>
    </w:p>
    <w:p>
      <w:pPr>
        <w:pStyle w:val="TextBody"/>
        <w:bidi w:val="0"/>
        <w:spacing w:before="360" w:after="283"/>
        <w:jc w:val="left"/>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RSUs granted under the 2021 Plan generally vest based on continued service. During the three and six months ended June 30, 2026, the Company recorded $25.9 million and $45.8 million in stock-based compensation related to RSUs,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total fair value of RSUs vested during the six months ended June 30, 2026 and 2025 was $30.4 million and $50.2 million, respectively. As of June 30, 2026, total unrecognized stock-based compensation expense related to RSUs was $165.1 million. This unrecognized expense as of June 30, 2026 is expected to be recognized over the weighted average remaining vesting period of 2.08 years. As of June 30, 2026, the Company had 219,897 shares of non-employee RSUs outstanding under the combined stock plans.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RSU activity during the six months ended June 30, 2026 was as follows: </w:t>
      </w:r>
    </w:p>
    <w:p>
      <w:pPr>
        <w:pStyle w:val="TextBody"/>
        <w:bidi w:val="0"/>
        <w:ind w:left="0" w:right="0" w:firstLine="490"/>
        <w:jc w:val="left"/>
        <w:rPr/>
      </w:pPr>
      <w:r>
        <w:rPr/>
        <w:t> </w:t>
      </w:r>
    </w:p>
    <w:tbl>
      <w:tblPr>
        <w:tblW w:w="6062" w:type="dxa"/>
        <w:jc w:val="left"/>
        <w:tblInd w:w="0" w:type="dxa"/>
        <w:tblLayout w:type="fixed"/>
        <w:tblCellMar>
          <w:top w:w="28" w:type="dxa"/>
          <w:left w:w="28" w:type="dxa"/>
          <w:bottom w:w="28" w:type="dxa"/>
          <w:right w:w="28" w:type="dxa"/>
        </w:tblCellMar>
      </w:tblPr>
      <w:tblGrid>
        <w:gridCol w:w="2821"/>
        <w:gridCol w:w="146"/>
        <w:gridCol w:w="146"/>
        <w:gridCol w:w="1036"/>
        <w:gridCol w:w="166"/>
        <w:gridCol w:w="146"/>
        <w:gridCol w:w="380"/>
        <w:gridCol w:w="1030"/>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 xml:space="preserve">grant date fair </w:t>
              <w:br/>
              <w:t>value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20,823,544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2021 Employee Stock Purchase Plan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June 30, 2026, a total of 6,544,822 shares of the Company’s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Class A common stock were available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commencing on May 15th and November 15th of each year.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June 30, 2026, 2.2 million shares have been purchased under the ESPP. During the three and six months ended June 30, 2026, the Company recognized $1.0 million and $1.6 million of stock-based compensation expense related to the ESPP, respectively. As of June 30, 2026, total unrecognized compensation cost related to the ESPP was $0.6 million, which will be amortized over a weighted average period of 0.87 years.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Stock-based compensation expense, net of actual forfeitures, is reflected in the condensed consolidated statements of operations and comprehensive loss (in thousands): </w:t>
      </w:r>
    </w:p>
    <w:p>
      <w:pPr>
        <w:pStyle w:val="TextBody"/>
        <w:bidi w:val="0"/>
        <w:ind w:left="0" w:right="0" w:firstLine="490"/>
        <w:jc w:val="left"/>
        <w:rPr/>
      </w:pPr>
      <w:r>
        <w:rPr/>
        <w:t> </w:t>
      </w:r>
    </w:p>
    <w:tbl>
      <w:tblPr>
        <w:tblW w:w="8212"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May 6, 2025, the Board approved a share repurchase program (the “Repurchase Program”), under which the Company is authorized to repurchase up to $50.0 million of the Company’s Class A common stock. On February 18, 2026, the Board approved an increase to the Repurchase Program, authorizing repurchases up to an additional $100.0 million of the Company's Class A common stock. Under the Repurchase Program, the Company may repurchase shares of the Company’s outstanding Class A common stock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Repurchase Program will be determined based on market conditions, share price and other factors. The Repurchase Program does not have an expiration date, does not require the Company to repurchase any specific number of shares of its Class A common stock, and may be modified, suspended or terminated at any time without notice.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the Company repurchased 12,940,579 shares of Class A common stock for an aggregate amount of $89.5 million, including broker commission fees. Shares repurchased by the Company are immediately retired and returned to the status of authorized and unissued. The cost paid to repurchase shares in excess of the par value is recorded to additional paid-in capital on the Company’s condensed consolidated balance sheet. As of June 30, 2026, a total of $36.6 million remains available for future repurchases under the Repurchase Program.</w:t>
      </w:r>
    </w:p>
    <w:p>
      <w:pPr>
        <w:pStyle w:val="TextBody"/>
        <w:bidi w:val="0"/>
        <w:spacing w:before="360" w:after="283"/>
        <w:jc w:val="left"/>
        <w:rPr>
          <w:rFonts w:ascii="Times New Roman" w:hAnsi="Times New Roman"/>
          <w:sz w:val="20"/>
        </w:rPr>
      </w:pPr>
      <w:r>
        <w:rPr>
          <w:rFonts w:ascii="Times New Roman" w:hAnsi="Times New Roman"/>
          <w:b/>
          <w:i/>
          <w:color w:val="000000"/>
          <w:sz w:val="20"/>
        </w:rPr>
        <w:t>Other Share Repurchases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2025, the Company repurchased and retired 599,655 shares of its Class A common stock for an aggregate purchase price of $6.8 million. The repurchase was conducted through a privately negotiated transaction under the Company’s contractual right of first refusal granted in connection with a prior acquisition and was not part of the Company’s authorized Repurchase Program. Shares repurchased by the Company are immediately retired and returned to the status of authorized and unissued. The cost paid to repurchase shares in excess of the par value is recorded to additional paid-in capital on the Company’s consolidated balance sheet.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 share repurchases (other than share repurchases under the Repurchase Program discussed above) were made during the six months ended June 30,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had an effective tax rate of (3.6)% and (4.1)% for the three and six months ended June 30, 2026, respectively, and (2.3)% and (2.9)% for the three and six months ended June 30, 2025, respectively. The Company continues to incur U.S. operating losses and has minimal profits in its foreign jurisdictions.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three and six months ended June 30, 2026 and 2025, the Company evaluated all available evidence, both positive and negative, including historical levels of income, along with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July 4, 2025, the One Big Beautiful Bill Act (“the OBBBA”) was signed into law. The OBBBA introduces multiple tax law and other legislative changes, which may be subject to further clarification and the issuance of interpretive guidance. The new legislation did not have a material impact on the Company’s consolidated financial statements. The Company will continue to monitor developments on additional guidance and legislative changes.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 (in thousands):</w:t>
      </w:r>
    </w:p>
    <w:p>
      <w:pPr>
        <w:pStyle w:val="TextBody"/>
        <w:bidi w:val="0"/>
        <w:ind w:left="0" w:right="0" w:firstLine="490"/>
        <w:jc w:val="left"/>
        <w:rPr/>
      </w:pPr>
      <w:r>
        <w:rPr/>
        <w:t> </w:t>
      </w:r>
    </w:p>
    <w:tbl>
      <w:tblPr>
        <w:tblW w:w="8168" w:type="dxa"/>
        <w:jc w:val="left"/>
        <w:tblInd w:w="0" w:type="dxa"/>
        <w:tblLayout w:type="fixed"/>
        <w:tblCellMar>
          <w:top w:w="28" w:type="dxa"/>
          <w:left w:w="28" w:type="dxa"/>
          <w:bottom w:w="28" w:type="dxa"/>
          <w:right w:w="28" w:type="dxa"/>
        </w:tblCellMar>
      </w:tblPr>
      <w:tblGrid>
        <w:gridCol w:w="6196"/>
        <w:gridCol w:w="146"/>
        <w:gridCol w:w="441"/>
        <w:gridCol w:w="1194"/>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Future minimum lease payments under non-cancellable operating leases with initial lease terms in excess of one year included in the Company’s lease liabilities as of June 30, 2026 were as follows (in thousands):</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3811"/>
        <w:gridCol w:w="146"/>
        <w:gridCol w:w="211"/>
        <w:gridCol w:w="676"/>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operating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Legal Matters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the calculation of basic and diluted net loss per share (in thousands, except per share data): </w:t>
      </w:r>
    </w:p>
    <w:p>
      <w:pPr>
        <w:pStyle w:val="TextBody"/>
        <w:bidi w:val="0"/>
        <w:ind w:left="0" w:right="0" w:firstLine="490"/>
        <w:jc w:val="left"/>
        <w:rPr/>
      </w:pPr>
      <w:r>
        <w:rPr/>
        <w:t> </w:t>
      </w:r>
    </w:p>
    <w:tbl>
      <w:tblPr>
        <w:tblW w:w="10205" w:type="dxa"/>
        <w:jc w:val="left"/>
        <w:tblInd w:w="0" w:type="dxa"/>
        <w:tblLayout w:type="fixed"/>
        <w:tblCellMar>
          <w:top w:w="28" w:type="dxa"/>
          <w:left w:w="28" w:type="dxa"/>
          <w:bottom w:w="28" w:type="dxa"/>
          <w:right w:w="28" w:type="dxa"/>
        </w:tblCellMar>
      </w:tblPr>
      <w:tblGrid>
        <w:gridCol w:w="4944"/>
        <w:gridCol w:w="146"/>
        <w:gridCol w:w="211"/>
        <w:gridCol w:w="781"/>
        <w:gridCol w:w="166"/>
        <w:gridCol w:w="146"/>
        <w:gridCol w:w="211"/>
        <w:gridCol w:w="781"/>
        <w:gridCol w:w="166"/>
        <w:gridCol w:w="146"/>
        <w:gridCol w:w="211"/>
        <w:gridCol w:w="781"/>
        <w:gridCol w:w="166"/>
        <w:gridCol w:w="146"/>
        <w:gridCol w:w="211"/>
        <w:gridCol w:w="781"/>
        <w:gridCol w:w="211"/>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Class A and Class B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net loss per share attributable to Class A and Class B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following potential shares of common stock were excluded from the calculation of diluted net loss per share because their effect would have been anti-dilutive for the periods presented (in thousands): </w:t>
      </w:r>
    </w:p>
    <w:p>
      <w:pPr>
        <w:pStyle w:val="TextBody"/>
        <w:bidi w:val="0"/>
        <w:jc w:val="left"/>
        <w:rPr/>
      </w:pPr>
      <w:r>
        <w:rPr/>
        <w:t> </w:t>
      </w:r>
    </w:p>
    <w:tbl>
      <w:tblPr>
        <w:tblW w:w="5514" w:type="dxa"/>
        <w:jc w:val="left"/>
        <w:tblInd w:w="0" w:type="dxa"/>
        <w:tblLayout w:type="fixed"/>
        <w:tblCellMar>
          <w:top w:w="28" w:type="dxa"/>
          <w:left w:w="28" w:type="dxa"/>
          <w:bottom w:w="28" w:type="dxa"/>
          <w:right w:w="28" w:type="dxa"/>
        </w:tblCellMar>
      </w:tblPr>
      <w:tblGrid>
        <w:gridCol w:w="3241"/>
        <w:gridCol w:w="146"/>
        <w:gridCol w:w="146"/>
        <w:gridCol w:w="676"/>
        <w:gridCol w:w="146"/>
        <w:gridCol w:w="146"/>
        <w:gridCol w:w="146"/>
        <w:gridCol w:w="676"/>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issuable pursuant to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implemented a restructuring program (“2026 Restructuring Program”) consisting of executive leadership changes and broader organizational changes intended to streamline operations, better align the Company's cost structure with its business priorities, and reduce operating costs. The 2026 Restructuring Program was carried out in two phases: an initial phase in the first quarter of 2026 and a broader organizational reorganization in the second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2026 Restructuring Program resulted in the reduction of approximately 5% of our workforce in the six months ended June 30, 2026. The Company incurred restructuring charges of $2.1 million and $2.9 million for the three and six months ended June 30, 2026, respectively, consisting primarily of employee severance and related benefits. As of June 30, 2026, $0.5 million of restructuring charges remained unpaid which was included in accrued expenses on the condensed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the Company issued RSUs representing 1,426,491 shares of its Class A common stock to its employees with service-based vesting conditions. The service-based vesting condition for these awards is satisfied over three years. The grant date fair value of the RSUs issued in July 2026 was approximately $13.8 million.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aps/>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2025 (the “2025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Unless the context otherwise requires, all references in this report to “Amplitude,” the “Company,” “we,” “our,” “us,” or similar terms refer to Amplitude, Inc. and its subsidiaries.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Amplitude is the leading AI Analytics Platform that helps businesses understand how people are using their products so they can build amazing digital experiences that increase acquisition, monetization and retention and drive revenue growth. We work with more than 5,200 paying customers of various sizes and stages of digital maturity, across many industries, including the teams behind some of the most beloved digital products in the world. We have experienced steady growth in recent years, with approximately 795 employees in ten global offices.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At the core of our AI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have also re-architected Amplitude to be AI-led from the ground up. This transformation integrates AI across our platform to deliver intelligent insights, automate complex workflows, and enable adaptive experiences for our customers. With built-in AI agents and infrastructure—not bolted-on features—Amplitude helps teams reduce guesswork and drive durable business growth. Consistently ranked #1 in multiple categories by G2, Amplitude offers a comprehensive and easy-to-use platform, which includes Product and Marketing Analytics, Session Replay, Feature and Web Experimentation, Activation, Guides and Surveys, AI Agents, Amplitude Model Context Protocol ("MCP"), AI Visibility, AI Feedback, Agent Analytics, Global Agent and Specialized Agents.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that our AI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June 30, 2026 and 2025, we had 824 and 634 customers, respectively, that each represented greater than $100,000 in ARR, representing a 30% increase year-over-year. We believe our relationship with some of the world’s most beloved product-led companies has resulted in increased brand credibility and access to many attractive growth opportunities. As of June 30, 2026 and 2025, our dollar-based net retention rate for the trailing 12 months ("TTM") was 105% and 99%, respectively, for paying customers. Additionally, our ending dollar-based net retention rate for paying customers as of June 30, 2026 and 2025, was 103% and 104%,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Platform</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our customers will demand additional features and capabilities beyond our current platform offerings to assist them in optimizing their digital products. We have a history of, and will continue to invest significantly in, developing and delivering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innovative products, features, and functionality targeted at our core customer base. In addition, we may choose to add new products and offerings or enhance our platform capabilities through acquisitions. In recent years, we have acquired companies to improve and expand our platform capabilities. In October 2024, we acquired CommandAI to provide intuitive AI-powered user assistance to make complex software easier to adopt and navigate. In June 2025, we completed an asset acquisition of Inari to accelerate our AI roadmap, leveraging their team’s deep expertise in applied AI. In July 2025, we completed a talent acquisition of June.io, a startup focused on empowering early</w:t>
        <w:noBreakHyphen/>
        <w:t>stage product teams, to contribute to our next generation of AI-driven analytics experiences. In July 2025, we completed the acquisition of Kraftful, integrating Kraftful's Voice of Customer Technology to unite quantitative user behavioral data and qualitative user feedback into Amplitude. In January 2026, we completed the acquisition of InfiniGrow Ltd., an AI marketing analytics company that helps organizations measure, forecast, and optimize the impact of marketing on revenue. In May 2026, we acquired the brand, perpetual non-exclusive license to use certain proprietary technology, and customers of Statsig to enhance our warehouse native experiment and feature flag initiatives. Going forward, we may pursue both strategic partnerships and acquisitions that we believe will be complementary to our business, accelerate customer acquisition, increase usage of our platform, and/or expand our platform offerings in our core markets.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for Growth</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investment for growth encompasses multiple critical areas, including product expansion, our sales force, sales support, partner ecosystem, and our international presence. We continue to evolve our technology and platform to ensure that we are best serving our customers’ needs. For example, in February 2025, following our acquisition of CommandAI, we rolled out Guides and Surveys to help organizations improve onboarding and user engagement. In May 2025, we rolled out a suite of new marketing capabilities that give visibility into the entire customer journey, enabling marketers to increase conversion, improve ROI, and target audiences more precisely. In June 2025, we introduced Amplitude AI Agents, which turned Amplitude into a team of specialized experts that works 24/7 to analyze user behavior, run experiments, and optimize digital experiences. In October 2025, we launched Amplitude MCP server that enables teams to analyze product data, experiments, and user behavior using conversational AI. In October 2025, we launched AI Visibility, a new capability that gives marketers unprecedented insight into how their brand shows up in AI search results, accompanied by recommendations on how to improve it based on a company’s actual data. In November 2025, we launched AI Feedback, a customer feedback engine with a proprietary LLM process that automatically turns raw input into prioritized, actionable insights. In December 2025, we launched Amplitude's Automated Insights that can replicate an expert's standard analysis process in a fraction of the time. In January 2026, we launched Global Agent, a fully automated AI Analyst. Global Agent is designed to do anything a human can do in Amplitude, from creating a cohort to deploying a guide in a few minutes. In the same month, we also launched Specialized Agents, including dashboard monitoring agent, feedback agent, website conversion agent, and session replay agent. In April 2026, we launched Amplitude AI Assistant, an embedded support agent that answers questions with behavioral data and user insights, guides users through tasks, and shows product teams whether problems are truly fixed. In May 2026, we launched the Amplitude AI plugin, which bundles the Amplitude MCP server with more than 25 reusable skills so external AI agents can analyze data, plan instrumentation, and monitor experiments directly. We also began a closed beta of Wave, our product agent that analyzes usage data and code to surface what to build next, orchestrate the work, and measure the impact. In June 2026, we launched Zoning Insights, which overlays conversion metrics directly on live pages so teams can see which elements drive engagement and revenue.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believe the evolution of our technology and platform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and AI talent will continue to be critical to our long-term success. As we continue to invest in our platform, we expect our research and development expenses, including those capitalized for internal-use software, to increase in dollar amounts over time. Over the longer term, we believe these expenses as a percentage of revenue will decrease, though these expenses as a percentage of revenue could increase in the short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increase in dollar amounts over time. Over the longer term, we believe these expenses as a percentage of revenue will decrease, though these expenses as a percentage of revenue could increase in the short term.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Finally, we see opportunities to expand offices and headcount internationally to better serve targeted international markets where we believe we have a significant opportunity to accelerate existing traction and success. For the three and six months ended June 30, 2026, 40% of our revenue was generated outside the United States. As we seek to expand our business globally, we may be adversely affected by global economic and political instability. For example, as a result of the Russia-Ukraine War and related sanctions, we have terminated certain relationships with customers in Russia. Some of the businesses of our customers in the impacted regions have also experienced disruptions that have affected their ability to pay for our services. See “Risk Factors–Risks Related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and Industry–Our operations are international in scope, and we plan further geographical expansion, creating a variety of operational challenges.” </w:t>
      </w:r>
    </w:p>
    <w:p>
      <w:pPr>
        <w:pStyle w:val="TextBody"/>
        <w:bidi w:val="0"/>
        <w:spacing w:before="36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pStyle w:val="TextBody"/>
        <w:bidi w:val="0"/>
        <w:jc w:val="left"/>
        <w:rPr/>
      </w:pPr>
      <w:r>
        <w:rPr/>
        <w:t> </w:t>
      </w:r>
    </w:p>
    <w:tbl>
      <w:tblPr>
        <w:tblW w:w="7883" w:type="dxa"/>
        <w:jc w:val="left"/>
        <w:tblInd w:w="0" w:type="dxa"/>
        <w:tblLayout w:type="fixed"/>
        <w:tblCellMar>
          <w:top w:w="28" w:type="dxa"/>
          <w:left w:w="28" w:type="dxa"/>
          <w:bottom w:w="28" w:type="dxa"/>
          <w:right w:w="28" w:type="dxa"/>
        </w:tblCellMar>
      </w:tblPr>
      <w:tblGrid>
        <w:gridCol w:w="4291"/>
        <w:gridCol w:w="146"/>
        <w:gridCol w:w="224"/>
        <w:gridCol w:w="448"/>
        <w:gridCol w:w="288"/>
        <w:gridCol w:w="155"/>
        <w:gridCol w:w="224"/>
        <w:gridCol w:w="448"/>
        <w:gridCol w:w="288"/>
        <w:gridCol w:w="155"/>
        <w:gridCol w:w="121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YoY Growth</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(dollar values in millions)</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Recurring Revenue (ARR)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Dollar-Based Net Retention Rate (TTM)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Paying Customers with ARR of $100,000 or greater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Annual Recurring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ARR is also not intended to be a forecast of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Dollar-Based Net Retention Rate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average of the trailing 12-month dollar-based net retention rates, to arrive at the dollar-based net retention rate (“NRR (TTM)”).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Paying Customers with ARR of $100,000 or greater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purposes of customer count, a customer is defined as an entity that has a unique Dun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define Paying Customers with ARR of $100,000 or greater as those Paying Customers on one or more paid subscriptions that have $100,000 or more in ARR.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ability to grow the number of paying customers on our platform, particularly those spending $100,000 or more a year,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 </w:t>
      </w:r>
    </w:p>
    <w:p>
      <w:pPr>
        <w:pStyle w:val="TextBody"/>
        <w:bidi w:val="0"/>
        <w:ind w:left="0" w:right="0" w:firstLine="490"/>
        <w:jc w:val="left"/>
        <w:rPr/>
      </w:pPr>
      <w:r>
        <w:rPr/>
        <w:t> </w:t>
      </w:r>
    </w:p>
    <w:tbl>
      <w:tblPr>
        <w:tblW w:w="10062" w:type="dxa"/>
        <w:jc w:val="left"/>
        <w:tblInd w:w="0" w:type="dxa"/>
        <w:tblLayout w:type="fixed"/>
        <w:tblCellMar>
          <w:top w:w="28" w:type="dxa"/>
          <w:left w:w="28" w:type="dxa"/>
          <w:bottom w:w="28" w:type="dxa"/>
          <w:right w:w="28" w:type="dxa"/>
        </w:tblCellMar>
      </w:tblPr>
      <w:tblGrid>
        <w:gridCol w:w="4231"/>
        <w:gridCol w:w="146"/>
        <w:gridCol w:w="211"/>
        <w:gridCol w:w="736"/>
        <w:gridCol w:w="331"/>
        <w:gridCol w:w="146"/>
        <w:gridCol w:w="211"/>
        <w:gridCol w:w="736"/>
        <w:gridCol w:w="331"/>
        <w:gridCol w:w="146"/>
        <w:gridCol w:w="211"/>
        <w:gridCol w:w="781"/>
        <w:gridCol w:w="331"/>
        <w:gridCol w:w="146"/>
        <w:gridCol w:w="211"/>
        <w:gridCol w:w="781"/>
        <w:gridCol w:w="37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Non-GAAP Gross Margin, Non-GAAP Income (Loss) from Operations, and Non-GAAP Income (Loss) from Operations Margin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define non-GAAP gross profit and non-GAAP gross margin as U.S. GAAP gross profit and U.S. GAAP gross margin, respectively, excluding stock-based compensation expense and related employer payroll taxes, amortization of acquired intangible assets, acquisition-related cost, and non-recurring costs such as restructuring and other related charges. Non-GAAP gross margin is calculated as non-GAAP gross profit divided by total revenue.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acquisition-related cost, and non-recurring costs such as restructuring and other related charges. Non-GAAP income (loss) from operations margin is calculated as non-GAAP income (loss) from operations divided by total revenue.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We exclude acquisition-related costs because they are directly attributable to the acquisition, are not reflective of our ongoing cost structure, and are inconsistent in amount and frequency with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use non-GAAP gross profit, non-GAAP gross margin and non-GAAP income (loss) from operations margin in conjunction with traditional U.S. GAAP measures to evaluate our financial performance. We believe that these measures provide our management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investors consistency and comparability with our past financial performance and facilitates period-to-period comparisons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with information about our ability to generate or use cash to enhance the strength of our balance sheet and further invest in our business and pursue potential strategic initiatives.</w:t>
      </w:r>
    </w:p>
    <w:p>
      <w:pPr>
        <w:pStyle w:val="TextBody"/>
        <w:bidi w:val="0"/>
        <w:spacing w:before="360" w:after="283"/>
        <w:jc w:val="left"/>
        <w:rPr>
          <w:rFonts w:ascii="Times New Roman" w:hAnsi="Times New Roman"/>
          <w:sz w:val="20"/>
        </w:rPr>
      </w:pPr>
      <w:r>
        <w:rPr>
          <w:rFonts w:ascii="Times New Roman" w:hAnsi="Times New Roman"/>
          <w:b/>
          <w:i/>
          <w:color w:val="000000"/>
          <w:sz w:val="20"/>
        </w:rPr>
        <w:t>Limitations and Reconciliations of Non-GAAP Financial Measures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tables reconcile the most directly comparable U.S. GAAP financial measure to each of these non-GAAP financial measures.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Gross Profit and Gross Margin</w:t>
      </w:r>
      <w:r>
        <w:rPr>
          <w:rFonts w:ascii="Times New Roman" w:hAnsi="Times New Roman"/>
          <w:color w:val="000000"/>
          <w:sz w:val="20"/>
        </w:rPr>
        <w:t xml:space="preserve"> </w:t>
      </w:r>
    </w:p>
    <w:p>
      <w:pPr>
        <w:pStyle w:val="TextBody"/>
        <w:bidi w:val="0"/>
        <w:ind w:left="130" w:right="9360" w:hanging="0"/>
        <w:jc w:val="left"/>
        <w:rPr/>
      </w:pPr>
      <w:r>
        <w:rPr/>
        <w:t> </w:t>
      </w:r>
    </w:p>
    <w:tbl>
      <w:tblPr>
        <w:tblW w:w="10205" w:type="dxa"/>
        <w:jc w:val="left"/>
        <w:tblInd w:w="0" w:type="dxa"/>
        <w:tblLayout w:type="fixed"/>
        <w:tblCellMar>
          <w:top w:w="28" w:type="dxa"/>
          <w:left w:w="28" w:type="dxa"/>
          <w:bottom w:w="28" w:type="dxa"/>
          <w:right w:w="28" w:type="dxa"/>
        </w:tblCellMar>
      </w:tblPr>
      <w:tblGrid>
        <w:gridCol w:w="3488"/>
        <w:gridCol w:w="146"/>
        <w:gridCol w:w="280"/>
        <w:gridCol w:w="900"/>
        <w:gridCol w:w="360"/>
        <w:gridCol w:w="193"/>
        <w:gridCol w:w="280"/>
        <w:gridCol w:w="900"/>
        <w:gridCol w:w="271"/>
        <w:gridCol w:w="146"/>
        <w:gridCol w:w="256"/>
        <w:gridCol w:w="950"/>
        <w:gridCol w:w="329"/>
        <w:gridCol w:w="177"/>
        <w:gridCol w:w="256"/>
        <w:gridCol w:w="950"/>
        <w:gridCol w:w="323"/>
      </w:tblGrid>
      <w:tr>
        <w:trPr/>
        <w:tc>
          <w:tcPr>
            <w:tcW w:w="34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69,102</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137,385</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120,207</w:t>
            </w:r>
          </w:p>
        </w:tc>
        <w:tc>
          <w:tcPr>
            <w:tcW w:w="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71,356</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141,306</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123,312</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Stock-based compensation expense-related charges include employer payroll tax-related expenses on employee stock transactions.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Non-GAAP Income (Loss) From Operations and Income (Loss) From Operations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3"/>
        <w:gridCol w:w="146"/>
        <w:gridCol w:w="249"/>
        <w:gridCol w:w="872"/>
        <w:gridCol w:w="378"/>
        <w:gridCol w:w="173"/>
        <w:gridCol w:w="249"/>
        <w:gridCol w:w="872"/>
        <w:gridCol w:w="317"/>
        <w:gridCol w:w="146"/>
        <w:gridCol w:w="249"/>
        <w:gridCol w:w="872"/>
        <w:gridCol w:w="378"/>
        <w:gridCol w:w="173"/>
        <w:gridCol w:w="249"/>
        <w:gridCol w:w="872"/>
        <w:gridCol w:w="367"/>
      </w:tblGrid>
      <w:tr>
        <w:trPr/>
        <w:tc>
          <w:tcPr>
            <w:tcW w:w="3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(35,174</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(59,314</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(51,292</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25,307</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47,877</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Income (Loss)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Stock-based compensation expense-related charges include employer payroll tax-related expenses on employee stock transactions.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Free Cash Flow and Free Cash Flow Margin</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7"/>
        <w:gridCol w:w="146"/>
        <w:gridCol w:w="257"/>
        <w:gridCol w:w="898"/>
        <w:gridCol w:w="330"/>
        <w:gridCol w:w="177"/>
        <w:gridCol w:w="257"/>
        <w:gridCol w:w="898"/>
        <w:gridCol w:w="271"/>
        <w:gridCol w:w="146"/>
        <w:gridCol w:w="247"/>
        <w:gridCol w:w="988"/>
        <w:gridCol w:w="318"/>
        <w:gridCol w:w="171"/>
        <w:gridCol w:w="247"/>
        <w:gridCol w:w="865"/>
        <w:gridCol w:w="322"/>
      </w:tblGrid>
      <w:tr>
        <w:trPr/>
        <w:tc>
          <w:tcPr>
            <w:tcW w:w="3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37,028</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79,169</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(44,995</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(75,425</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25,583</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of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23,739</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10,560</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amounts. </w:t>
      </w:r>
    </w:p>
    <w:p>
      <w:pPr>
        <w:pStyle w:val="TextBody"/>
        <w:bidi w:val="0"/>
        <w:spacing w:before="360" w:after="283"/>
        <w:jc w:val="left"/>
        <w:rPr>
          <w:rFonts w:ascii="Times New Roman" w:hAnsi="Times New Roman"/>
          <w:sz w:val="20"/>
        </w:rPr>
      </w:pPr>
      <w:r>
        <w:rPr>
          <w:rFonts w:ascii="Times New Roman" w:hAnsi="Times New Roman"/>
          <w:b/>
          <w:i/>
          <w:color w:val="000000"/>
          <w:sz w:val="20"/>
        </w:rPr>
        <w:t>Gross Profit and Gross Margin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operating expenses consist of research and development, sales and marketing, general and administrative expenses, and restructuring and other related charges.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consist primarily of personnel and related expenses. These expenses also include third-party services and consulting expenses, software subscriptions, hosting expenses for research and development activities, product design costs not qualifying for capitalization as internal-use software,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continue to make strategic investments in our sales and marketing organization, and we expect sales and marketing expenses to remain our largest operating expense in dollar amount. We expect our sales and marketing expenses to continue to increase in dollar amounts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other related charges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Restructuring and other related charges consists of charges related to employee transition, severance payments, employee benefits and stock-based compensation. Restructuring excludes allocated overhead costs. See Note 11 to our condensed consolidated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statements included in Part I, Item 1 of this Quarterly Report on Form 10-Q for further information on the 2026 Restructuring Program.</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Other income (expense), net consists primarily of interest income on our cash, cash equivalents, and marketable securities holdings and foreign currency transaction gains and losses.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 for (Benefit from) Income Taxes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Provision for (benefit from) income taxes consists primarily of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where the statutory tax rates are different from the federal statutory tax rate. We expect to maintain this full valuation allowance in U.S. jurisdictions for the foreseeable future as it is not more likely than not the deferred tax assets will be realized based on our history of losses.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tables set forth our results of operations for the periods presented. The period-to-period comparison of financial results is not necessarily indicative of financial results to be achieved in future periods. </w:t>
      </w:r>
    </w:p>
    <w:p>
      <w:pPr>
        <w:pStyle w:val="TextBody"/>
        <w:bidi w:val="0"/>
        <w:ind w:left="0" w:right="7200" w:hanging="0"/>
        <w:jc w:val="left"/>
        <w:rPr/>
      </w:pPr>
      <w:r>
        <w:rPr/>
        <w:t> </w:t>
      </w:r>
    </w:p>
    <w:tbl>
      <w:tblPr>
        <w:tblW w:w="9907" w:type="dxa"/>
        <w:jc w:val="left"/>
        <w:tblInd w:w="0" w:type="dxa"/>
        <w:tblLayout w:type="fixed"/>
        <w:tblCellMar>
          <w:top w:w="28" w:type="dxa"/>
          <w:left w:w="28" w:type="dxa"/>
          <w:bottom w:w="28" w:type="dxa"/>
          <w:right w:w="28" w:type="dxa"/>
        </w:tblCellMar>
      </w:tblPr>
      <w:tblGrid>
        <w:gridCol w:w="4411"/>
        <w:gridCol w:w="146"/>
        <w:gridCol w:w="211"/>
        <w:gridCol w:w="781"/>
        <w:gridCol w:w="166"/>
        <w:gridCol w:w="146"/>
        <w:gridCol w:w="211"/>
        <w:gridCol w:w="736"/>
        <w:gridCol w:w="166"/>
        <w:gridCol w:w="146"/>
        <w:gridCol w:w="211"/>
        <w:gridCol w:w="781"/>
        <w:gridCol w:w="166"/>
        <w:gridCol w:w="146"/>
        <w:gridCol w:w="211"/>
        <w:gridCol w:w="781"/>
        <w:gridCol w:w="4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120,207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Restructuring and other related charges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 xml:space="preserve">Amounts include stock-based compensation expense as follows: </w:t>
      </w:r>
    </w:p>
    <w:tbl>
      <w:tblPr>
        <w:tblW w:w="8212" w:type="dxa"/>
        <w:jc w:val="left"/>
        <w:tblInd w:w="0" w:type="dxa"/>
        <w:tblLayout w:type="fixed"/>
        <w:tblCellMar>
          <w:top w:w="28" w:type="dxa"/>
          <w:left w:w="28" w:type="dxa"/>
          <w:bottom w:w="28" w:type="dxa"/>
          <w:right w:w="28" w:type="dxa"/>
        </w:tblCellMar>
      </w:tblPr>
      <w:tblGrid>
        <w:gridCol w:w="3451"/>
        <w:gridCol w:w="146"/>
        <w:gridCol w:w="211"/>
        <w:gridCol w:w="676"/>
        <w:gridCol w:w="146"/>
        <w:gridCol w:w="146"/>
        <w:gridCol w:w="211"/>
        <w:gridCol w:w="676"/>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Six months ended June 30, 2026 amounts reflect a $0.8 million reclassification of restructuring expenses incurred in the first quarter of 2026 from Sales and Marketing and General and Administrative expenses to Restructuring and Other Related Charges.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the components of our condensed consolidated statements of operations and comprehensive loss data, for each of the periods presented, as a percentage of revenue. </w:t>
      </w:r>
    </w:p>
    <w:p>
      <w:pPr>
        <w:pStyle w:val="TextBody"/>
        <w:bidi w:val="0"/>
        <w:jc w:val="left"/>
        <w:rPr/>
      </w:pPr>
      <w:r>
        <w:rPr/>
        <w:t> </w:t>
      </w:r>
    </w:p>
    <w:tbl>
      <w:tblPr>
        <w:tblW w:w="9359" w:type="dxa"/>
        <w:jc w:val="left"/>
        <w:tblInd w:w="0" w:type="dxa"/>
        <w:tblLayout w:type="fixed"/>
        <w:tblCellMar>
          <w:top w:w="28" w:type="dxa"/>
          <w:left w:w="28" w:type="dxa"/>
          <w:bottom w:w="28" w:type="dxa"/>
          <w:right w:w="28" w:type="dxa"/>
        </w:tblCellMar>
      </w:tblPr>
      <w:tblGrid>
        <w:gridCol w:w="4611"/>
        <w:gridCol w:w="146"/>
        <w:gridCol w:w="170"/>
        <w:gridCol w:w="490"/>
        <w:gridCol w:w="385"/>
        <w:gridCol w:w="170"/>
        <w:gridCol w:w="170"/>
        <w:gridCol w:w="490"/>
        <w:gridCol w:w="331"/>
        <w:gridCol w:w="146"/>
        <w:gridCol w:w="148"/>
        <w:gridCol w:w="427"/>
        <w:gridCol w:w="336"/>
        <w:gridCol w:w="148"/>
        <w:gridCol w:w="148"/>
        <w:gridCol w:w="427"/>
        <w:gridCol w:w="616"/>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before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Note: Certain figures may not sum due to rounding.</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5950" w:type="dxa"/>
        <w:jc w:val="left"/>
        <w:tblInd w:w="0" w:type="dxa"/>
        <w:tblLayout w:type="fixed"/>
        <w:tblCellMar>
          <w:top w:w="28" w:type="dxa"/>
          <w:left w:w="28" w:type="dxa"/>
          <w:bottom w:w="28" w:type="dxa"/>
          <w:right w:w="28" w:type="dxa"/>
        </w:tblCellMar>
      </w:tblPr>
      <w:tblGrid>
        <w:gridCol w:w="841"/>
        <w:gridCol w:w="146"/>
        <w:gridCol w:w="211"/>
        <w:gridCol w:w="781"/>
        <w:gridCol w:w="146"/>
        <w:gridCol w:w="146"/>
        <w:gridCol w:w="211"/>
        <w:gridCol w:w="676"/>
        <w:gridCol w:w="146"/>
        <w:gridCol w:w="146"/>
        <w:gridCol w:w="214"/>
        <w:gridCol w:w="687"/>
        <w:gridCol w:w="146"/>
        <w:gridCol w:w="146"/>
        <w:gridCol w:w="313"/>
        <w:gridCol w:w="67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055" w:type="dxa"/>
        <w:jc w:val="left"/>
        <w:tblInd w:w="0" w:type="dxa"/>
        <w:tblLayout w:type="fixed"/>
        <w:tblCellMar>
          <w:top w:w="28" w:type="dxa"/>
          <w:left w:w="28" w:type="dxa"/>
          <w:bottom w:w="28" w:type="dxa"/>
          <w:right w:w="28" w:type="dxa"/>
        </w:tblCellMar>
      </w:tblPr>
      <w:tblGrid>
        <w:gridCol w:w="841"/>
        <w:gridCol w:w="146"/>
        <w:gridCol w:w="211"/>
        <w:gridCol w:w="781"/>
        <w:gridCol w:w="146"/>
        <w:gridCol w:w="146"/>
        <w:gridCol w:w="211"/>
        <w:gridCol w:w="781"/>
        <w:gridCol w:w="146"/>
        <w:gridCol w:w="146"/>
        <w:gridCol w:w="214"/>
        <w:gridCol w:w="687"/>
        <w:gridCol w:w="146"/>
        <w:gridCol w:w="146"/>
        <w:gridCol w:w="313"/>
        <w:gridCol w:w="678"/>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Revenue increased by $17.6 million, or 21%, and $31.2 million, or 19%, for the three and six months ended June 30, 2026 compared to the three and six months ended June 30, 2025, respectively. The increases were primarily driven by growth in our paying customer base, including approximately $6.5 million of revenue contributed by customers from the Statsig asset acquisition during the three months ended June 30, 2026, as well as expansion within our existing customer base, partially offset by partial and full churn among existing customers which was lower than our expansion of existing customers as reflected by our NRR (TTM) of 105% as of June 30, 2026.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 and Gross Margin</w:t>
      </w:r>
      <w:r>
        <w:rPr>
          <w:rFonts w:ascii="Times New Roman" w:hAnsi="Times New Roman"/>
          <w:color w:val="000000"/>
          <w:sz w:val="20"/>
        </w:rPr>
        <w:t xml:space="preserve"> </w:t>
      </w:r>
    </w:p>
    <w:p>
      <w:pPr>
        <w:pStyle w:val="TextBody"/>
        <w:bidi w:val="0"/>
        <w:jc w:val="left"/>
        <w:rPr/>
      </w:pPr>
      <w:r>
        <w:rPr/>
        <w:t> </w:t>
      </w:r>
    </w:p>
    <w:tbl>
      <w:tblPr>
        <w:tblW w:w="6650" w:type="dxa"/>
        <w:jc w:val="left"/>
        <w:tblInd w:w="0" w:type="dxa"/>
        <w:tblLayout w:type="fixed"/>
        <w:tblCellMar>
          <w:top w:w="28" w:type="dxa"/>
          <w:left w:w="28" w:type="dxa"/>
          <w:bottom w:w="28" w:type="dxa"/>
          <w:right w:w="28" w:type="dxa"/>
        </w:tblCellMar>
      </w:tblPr>
      <w:tblGrid>
        <w:gridCol w:w="1396"/>
        <w:gridCol w:w="146"/>
        <w:gridCol w:w="211"/>
        <w:gridCol w:w="676"/>
        <w:gridCol w:w="271"/>
        <w:gridCol w:w="146"/>
        <w:gridCol w:w="211"/>
        <w:gridCol w:w="676"/>
        <w:gridCol w:w="271"/>
        <w:gridCol w:w="146"/>
        <w:gridCol w:w="243"/>
        <w:gridCol w:w="658"/>
        <w:gridCol w:w="146"/>
        <w:gridCol w:w="146"/>
        <w:gridCol w:w="313"/>
        <w:gridCol w:w="678"/>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650" w:type="dxa"/>
        <w:jc w:val="left"/>
        <w:tblInd w:w="0" w:type="dxa"/>
        <w:tblLayout w:type="fixed"/>
        <w:tblCellMar>
          <w:top w:w="28" w:type="dxa"/>
          <w:left w:w="28" w:type="dxa"/>
          <w:bottom w:w="28" w:type="dxa"/>
          <w:right w:w="28" w:type="dxa"/>
        </w:tblCellMar>
      </w:tblPr>
      <w:tblGrid>
        <w:gridCol w:w="1396"/>
        <w:gridCol w:w="146"/>
        <w:gridCol w:w="211"/>
        <w:gridCol w:w="676"/>
        <w:gridCol w:w="271"/>
        <w:gridCol w:w="146"/>
        <w:gridCol w:w="211"/>
        <w:gridCol w:w="676"/>
        <w:gridCol w:w="271"/>
        <w:gridCol w:w="146"/>
        <w:gridCol w:w="214"/>
        <w:gridCol w:w="687"/>
        <w:gridCol w:w="146"/>
        <w:gridCol w:w="146"/>
        <w:gridCol w:w="313"/>
        <w:gridCol w:w="678"/>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Cost of revenue increased $9.0 million, or 39%, and $14.0 million, or 32%, for the three and six months ended June 30, 2026, respectively, compared to the three and six months ended June 30, 2025. The increases were primarily driven by a $4.9 million and $6.4 million increase, respectively, in third-party hosting costs, as we increased capacity to support paying customer usage and growth in our paying customer base, including the customers acquired from Statsig; a $2.7 million and $3.4 million increase, respectively, in subscription software costs; and a $0.8 million and $2.4 million increase, respectively, in personnel and services-related costs.</w:t>
      </w:r>
    </w:p>
    <w:p>
      <w:pPr>
        <w:pStyle w:val="TextBody"/>
        <w:bidi w:val="0"/>
        <w:spacing w:before="36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w:t>
      </w:r>
    </w:p>
    <w:p>
      <w:pPr>
        <w:pStyle w:val="TextBody"/>
        <w:bidi w:val="0"/>
        <w:jc w:val="left"/>
        <w:rPr/>
      </w:pPr>
      <w:r>
        <w:rPr/>
        <w:t> </w:t>
      </w:r>
    </w:p>
    <w:tbl>
      <w:tblPr>
        <w:tblW w:w="8410" w:type="dxa"/>
        <w:jc w:val="left"/>
        <w:tblInd w:w="0" w:type="dxa"/>
        <w:tblLayout w:type="fixed"/>
        <w:tblCellMar>
          <w:top w:w="28" w:type="dxa"/>
          <w:left w:w="28" w:type="dxa"/>
          <w:bottom w:w="28" w:type="dxa"/>
          <w:right w:w="28" w:type="dxa"/>
        </w:tblCellMar>
      </w:tblPr>
      <w:tblGrid>
        <w:gridCol w:w="3301"/>
        <w:gridCol w:w="146"/>
        <w:gridCol w:w="211"/>
        <w:gridCol w:w="781"/>
        <w:gridCol w:w="146"/>
        <w:gridCol w:w="146"/>
        <w:gridCol w:w="211"/>
        <w:gridCol w:w="676"/>
        <w:gridCol w:w="146"/>
        <w:gridCol w:w="146"/>
        <w:gridCol w:w="214"/>
        <w:gridCol w:w="687"/>
        <w:gridCol w:w="146"/>
        <w:gridCol w:w="146"/>
        <w:gridCol w:w="255"/>
        <w:gridCol w:w="736"/>
        <w:gridCol w:w="31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3301"/>
        <w:gridCol w:w="146"/>
        <w:gridCol w:w="211"/>
        <w:gridCol w:w="781"/>
        <w:gridCol w:w="146"/>
        <w:gridCol w:w="146"/>
        <w:gridCol w:w="211"/>
        <w:gridCol w:w="781"/>
        <w:gridCol w:w="146"/>
        <w:gridCol w:w="146"/>
        <w:gridCol w:w="214"/>
        <w:gridCol w:w="687"/>
        <w:gridCol w:w="146"/>
        <w:gridCol w:w="146"/>
        <w:gridCol w:w="255"/>
        <w:gridCol w:w="736"/>
        <w:gridCol w:w="31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other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Research and development expenses increased $9.6 million, or 40%, and $11.4 million, or 24%, for the three and six months ended June 30, 2026, respectively, compared to the three and six months ended June 30, 2025. The increases were primarily driven by a $3.8 million and $5.3 million increase, respectively, in personnel-related expenses; a $3.6 million and $3.8 million increase, respectively, in professional services costs relating to the transition costs for the Statsig asset acquisition; and a $1.6 million and $2.4 million increase, respectively, in software and IT costs.</w:t>
      </w:r>
    </w:p>
    <w:p>
      <w:pPr>
        <w:pStyle w:val="TextBody"/>
        <w:bidi w:val="0"/>
        <w:spacing w:before="36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and marketing expenses increased $2.9 million, or 6%, and $8.9 million, or 10%, for the three and six months ended June 30, 2026, respectively, compared to the three and six months ended June 30, 2025. The increases were primarily driven by a $1.3 million and $2.2 million increase, respectively, in commission expense; a $0.7 million and $4.6 million increase, respectively, in personnel-related expenses; a $0.4 million and $1.1 million increase, respectively, in travel costs; and a $0.6 million and $0.9 million increase, respectively, in stock-based compensation expense.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General and administrative expenses increased $2.1 million, or 13%, and $2.1 million, or 6%, for the three and six months ended June 30, 2026, respectively, compared to the three and six months ended June 30, 2025. The increases were primarily driven by a $1.0 million and $1.1 million increase, respectively, in subscription software costs; and a $0.9 million and $0.7 million increase, respectively, in stock-based compensation expense.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Restructuring and other related charges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three months ended June 30, 2026, we completed the second phase of our restructuring plan initiated in the first quarter of 2026, which was undertaken to reduce our workforce and streamline operations. We recognized restructuring and other related charges of $2.1 million and $2.9 million for the three and six months ended June 30, 2026, respectively, consisting primarily of employee severance and related benefits costs. We do not expect to incur material additional charges related to this restructuring plan.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4"/>
        </w:rPr>
        <w:br/>
      </w:r>
      <w:r>
        <w:rPr>
          <w:rFonts w:ascii="Times New Roman" w:hAnsi="Times New Roman"/>
          <w:i/>
          <w:color w:val="000000"/>
          <w:sz w:val="20"/>
        </w:rPr>
        <w:t>Other Income (Expense), Net</w:t>
      </w:r>
      <w:r>
        <w:rPr>
          <w:rFonts w:ascii="Times New Roman" w:hAnsi="Times New Roman"/>
          <w:color w:val="000000"/>
          <w:sz w:val="20"/>
        </w:rPr>
        <w:t xml:space="preserve"> </w:t>
      </w:r>
    </w:p>
    <w:p>
      <w:pPr>
        <w:pStyle w:val="TextBody"/>
        <w:bidi w:val="0"/>
        <w:jc w:val="left"/>
        <w:rPr/>
      </w:pPr>
      <w:r>
        <w:rPr/>
        <w:t> </w:t>
      </w:r>
    </w:p>
    <w:tbl>
      <w:tblPr>
        <w:tblW w:w="7278" w:type="dxa"/>
        <w:jc w:val="left"/>
        <w:tblInd w:w="0" w:type="dxa"/>
        <w:tblLayout w:type="fixed"/>
        <w:tblCellMar>
          <w:top w:w="28" w:type="dxa"/>
          <w:left w:w="28" w:type="dxa"/>
          <w:bottom w:w="28" w:type="dxa"/>
          <w:right w:w="28" w:type="dxa"/>
        </w:tblCellMar>
      </w:tblPr>
      <w:tblGrid>
        <w:gridCol w:w="2386"/>
        <w:gridCol w:w="146"/>
        <w:gridCol w:w="213"/>
        <w:gridCol w:w="577"/>
        <w:gridCol w:w="147"/>
        <w:gridCol w:w="147"/>
        <w:gridCol w:w="213"/>
        <w:gridCol w:w="577"/>
        <w:gridCol w:w="146"/>
        <w:gridCol w:w="146"/>
        <w:gridCol w:w="225"/>
        <w:gridCol w:w="676"/>
        <w:gridCol w:w="166"/>
        <w:gridCol w:w="146"/>
        <w:gridCol w:w="277"/>
        <w:gridCol w:w="714"/>
        <w:gridCol w:w="37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tbl>
      <w:tblPr>
        <w:tblW w:w="7260" w:type="dxa"/>
        <w:jc w:val="left"/>
        <w:tblInd w:w="0" w:type="dxa"/>
        <w:tblLayout w:type="fixed"/>
        <w:tblCellMar>
          <w:top w:w="28" w:type="dxa"/>
          <w:left w:w="28" w:type="dxa"/>
          <w:bottom w:w="28" w:type="dxa"/>
          <w:right w:w="28" w:type="dxa"/>
        </w:tblCellMar>
      </w:tblPr>
      <w:tblGrid>
        <w:gridCol w:w="2386"/>
        <w:gridCol w:w="146"/>
        <w:gridCol w:w="211"/>
        <w:gridCol w:w="571"/>
        <w:gridCol w:w="146"/>
        <w:gridCol w:w="146"/>
        <w:gridCol w:w="211"/>
        <w:gridCol w:w="571"/>
        <w:gridCol w:w="146"/>
        <w:gridCol w:w="146"/>
        <w:gridCol w:w="225"/>
        <w:gridCol w:w="676"/>
        <w:gridCol w:w="166"/>
        <w:gridCol w:w="146"/>
        <w:gridCol w:w="277"/>
        <w:gridCol w:w="714"/>
        <w:gridCol w:w="37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Other income (expense), net decreased $1.2 million, or 41%, and $2.0 million, or 35%, during the three and six months ended June 30, 2026, respectively, compared to the three and six months ended June 30, 2025. The decreases were primarily driven by $1.2 million and $2.0 million decrease, respectively, in interest income driven by a lower average invested balances following the sales and maturities of investments during the period.</w:t>
      </w:r>
    </w:p>
    <w:p>
      <w:pPr>
        <w:pStyle w:val="TextBody"/>
        <w:bidi w:val="0"/>
        <w:spacing w:before="360" w:after="283"/>
        <w:jc w:val="left"/>
        <w:rPr>
          <w:rFonts w:ascii="Times New Roman" w:hAnsi="Times New Roman"/>
          <w:sz w:val="20"/>
        </w:rPr>
      </w:pPr>
      <w:r>
        <w:rPr>
          <w:rFonts w:ascii="Times New Roman" w:hAnsi="Times New Roman"/>
          <w:i/>
          <w:color w:val="000000"/>
          <w:sz w:val="20"/>
        </w:rPr>
        <w:t>Provision for (Benefit from) Income Taxes</w:t>
      </w:r>
      <w:r>
        <w:rPr>
          <w:rFonts w:ascii="Times New Roman" w:hAnsi="Times New Roman"/>
          <w:color w:val="000000"/>
          <w:sz w:val="20"/>
        </w:rPr>
        <w:t xml:space="preserve"> </w:t>
      </w:r>
    </w:p>
    <w:p>
      <w:pPr>
        <w:pStyle w:val="TextBody"/>
        <w:bidi w:val="0"/>
        <w:jc w:val="left"/>
        <w:rPr/>
      </w:pPr>
      <w:r>
        <w:rPr/>
        <w:t> </w:t>
      </w:r>
    </w:p>
    <w:tbl>
      <w:tblPr>
        <w:tblW w:w="8247" w:type="dxa"/>
        <w:jc w:val="left"/>
        <w:tblInd w:w="0" w:type="dxa"/>
        <w:tblLayout w:type="fixed"/>
        <w:tblCellMar>
          <w:top w:w="28" w:type="dxa"/>
          <w:left w:w="28" w:type="dxa"/>
          <w:bottom w:w="28" w:type="dxa"/>
          <w:right w:w="28" w:type="dxa"/>
        </w:tblCellMar>
      </w:tblPr>
      <w:tblGrid>
        <w:gridCol w:w="3436"/>
        <w:gridCol w:w="146"/>
        <w:gridCol w:w="232"/>
        <w:gridCol w:w="627"/>
        <w:gridCol w:w="160"/>
        <w:gridCol w:w="160"/>
        <w:gridCol w:w="232"/>
        <w:gridCol w:w="462"/>
        <w:gridCol w:w="146"/>
        <w:gridCol w:w="146"/>
        <w:gridCol w:w="300"/>
        <w:gridCol w:w="601"/>
        <w:gridCol w:w="146"/>
        <w:gridCol w:w="146"/>
        <w:gridCol w:w="255"/>
        <w:gridCol w:w="736"/>
        <w:gridCol w:w="31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idi w:val="0"/>
        <w:ind w:left="0" w:right="0" w:hanging="360"/>
        <w:jc w:val="left"/>
        <w:rPr/>
      </w:pPr>
      <w:r>
        <w:rPr/>
        <w:t> </w:t>
      </w:r>
    </w:p>
    <w:tbl>
      <w:tblPr>
        <w:tblW w:w="8230" w:type="dxa"/>
        <w:jc w:val="left"/>
        <w:tblInd w:w="0" w:type="dxa"/>
        <w:tblLayout w:type="fixed"/>
        <w:tblCellMar>
          <w:top w:w="28" w:type="dxa"/>
          <w:left w:w="28" w:type="dxa"/>
          <w:bottom w:w="28" w:type="dxa"/>
          <w:right w:w="28" w:type="dxa"/>
        </w:tblCellMar>
      </w:tblPr>
      <w:tblGrid>
        <w:gridCol w:w="3436"/>
        <w:gridCol w:w="146"/>
        <w:gridCol w:w="211"/>
        <w:gridCol w:w="571"/>
        <w:gridCol w:w="146"/>
        <w:gridCol w:w="146"/>
        <w:gridCol w:w="211"/>
        <w:gridCol w:w="571"/>
        <w:gridCol w:w="146"/>
        <w:gridCol w:w="146"/>
        <w:gridCol w:w="300"/>
        <w:gridCol w:w="601"/>
        <w:gridCol w:w="146"/>
        <w:gridCol w:w="146"/>
        <w:gridCol w:w="313"/>
        <w:gridCol w:w="678"/>
        <w:gridCol w:w="31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Provision for (benefit from) income taxes increased $0.7 million, or 118%, and $1.0 million, or 73%, for the three and six months ended June 30, 2026, respectively, compared to the three and six months ended June 30, 2025. The increases were primarily driven by an increase in foreign taxes.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$604.3 million as of June 30, 2026. We generated positive cash flows from operating activities for the six months ended June 30, 2026, and during the years ended December 31, 2025 and 2024.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June 30, 2026, our principal sources of liquidity were cash and cash equivalents of $73.8 million and restricted cash of $0.9 million. We also had $87.6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June 30, 2026, we had $163.5 million of deferred revenue, all of which was recorded as a current liability. This deferred revenue will be recognized as revenue when or as the related performance obligations are met.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periods presented: </w:t>
      </w:r>
    </w:p>
    <w:p>
      <w:pPr>
        <w:pStyle w:val="TextBody"/>
        <w:bidi w:val="0"/>
        <w:jc w:val="left"/>
        <w:rPr/>
      </w:pPr>
      <w:r>
        <w:rPr/>
        <w:t> </w:t>
      </w:r>
    </w:p>
    <w:tbl>
      <w:tblPr>
        <w:tblW w:w="6884" w:type="dxa"/>
        <w:jc w:val="left"/>
        <w:tblInd w:w="0" w:type="dxa"/>
        <w:tblLayout w:type="fixed"/>
        <w:tblCellMar>
          <w:top w:w="28" w:type="dxa"/>
          <w:left w:w="28" w:type="dxa"/>
          <w:bottom w:w="28" w:type="dxa"/>
          <w:right w:w="28" w:type="dxa"/>
        </w:tblCellMar>
      </w:tblPr>
      <w:tblGrid>
        <w:gridCol w:w="4216"/>
        <w:gridCol w:w="146"/>
        <w:gridCol w:w="211"/>
        <w:gridCol w:w="841"/>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largest source of operating cash is cash collection from sales of subscriptions to our paying customers. Our primary uses of cash from operating activities are for personnel and related expenses, marketing expenses, and third-party hosting-related and software expenses.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provided by operating activities of $14.0 million for the six months ended June 30, 2026 reflects our net loss of $57.9 million, adjusted by non-cash items of $57.0 million, consisting primarily of stock-based compensation expense of $46.8 million, depreciation and amortization of $6.1 million, non-cash operating lease costs of $2.2 million, and other non-cash adjustments of $2.0 million. Net cash provided by changes in our operating assets and liabilities was $14.9 million. The primary sources of cash from changes in operating assets and liabilities were a $23.4 million increase in deferred revenue driven by the timing of billings in excess of revenue recognized and, a $8.4 million increase in accrued expenses due to the timing of accruals. These sources were partially offset by a $5.5 million decrease in accounts payable due to the timing of payments, a $5.2 million increase in accounts receivable due to the timing of billings and collections, a $4.7 million increase in deferred commissions corresponding with new and renewed customer contracts, a $1.2 million decrease in operating lease liabilities, and a $0.5 million increase in prepaid expenses and other current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provided by operating activities of $12.0 million for the six months ended June 30, 2025 reflects our net loss of $46.9 million, adjusted by non-cash items such as stock-based compensation expense of $45.1 million, depreciation and amortization of $4.7 million, and non-cash operating lease costs of $2.3 million as well as net cash provided by changes in our operating assets and liabilities of $6.2 million. The net cash provided by changes in operating assets and liabilities primarily consisted of collections outpacing revenue recognized as evidenced through the net increase in cash of $16.7 million from changes in accounts receivable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 and a net increase in accrued expenses and accounts payable of $2.7 million. These changes were primarily offset by an increase in prepaid expenses and other current and noncurrent assets of $5.5 million, a $4.7 million increase related to additional payments for deferred commissions during the period, and a $3.0 million decrease in operating lease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provided by investing activities of $79.2 million for the six months ended June 30, 2026 consisted of $56.8 million of cash received from sales of marketable securities and $36.2 million of cash received from the maturities of marketable securities. These proceeds were partially offset by $10.2 million of purchases of marketable securities, $1.7 million of capitalized internal-use software development costs, $1.7 million in purchases of property and equipment, and $0.2 million of bridge loan issuances.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investing activities of $45.0 million for the six months ended June 30, 2025 consisted of $64.5 million of purchases of marketable securities, $2.1 million of capitalized internal-use software development costs, $1.0 million in purchases of property and equipment, and $0.4 million in cash paid for an acquisition. These decreases were partially offset by $23.0 million of cash received from the maturities of marketable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financing activities of $100.4 million for the six months ended June 30, 2026, primarily consisted of $89.5 million of repurchases of common stock under our share repurchase program, $11.7 million in net tax remittance on equity awards related to the vesting of RSU awards under a withhold-to-cover method, and $0.1 million of cash paid for an acquisition holdback. These were partially offset by $0.9 million in proceeds from the exercise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Net cash used in financing activities of $19.1 million for the six months ended June 30, 2025 consisted of $18.6 million in net tax remittance on equity awards related to the vesting of RSU awards under a withhold-to-cover method and $2.5 million in repurchases of common stock. These decreases were partially offset by $2.1 million in proceeds from the exercise of stock options.</w:t>
      </w:r>
    </w:p>
    <w:p>
      <w:pPr>
        <w:pStyle w:val="TextBody"/>
        <w:bidi w:val="0"/>
        <w:spacing w:before="360" w:after="283"/>
        <w:jc w:val="left"/>
        <w:rPr>
          <w:rFonts w:ascii="Times New Roman" w:hAnsi="Times New Roman"/>
          <w:sz w:val="20"/>
        </w:rPr>
      </w:pPr>
      <w:r>
        <w:rPr>
          <w:rFonts w:ascii="Times New Roman" w:hAnsi="Times New Roman"/>
          <w:b/>
          <w:color w:val="000000"/>
          <w:sz w:val="20"/>
        </w:rPr>
        <w:t>Remaining Performance Obligations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Remaining performance obligations (“RPO”) as of June 30, 2026 and 2025, including the expected timing of recognition is as follows: </w:t>
      </w:r>
    </w:p>
    <w:p>
      <w:pPr>
        <w:pStyle w:val="TextBody"/>
        <w:bidi w:val="0"/>
        <w:jc w:val="left"/>
        <w:rPr/>
      </w:pPr>
      <w:r>
        <w:rPr/>
        <w:t> </w:t>
      </w:r>
    </w:p>
    <w:tbl>
      <w:tblPr>
        <w:tblW w:w="7201" w:type="dxa"/>
        <w:jc w:val="left"/>
        <w:tblInd w:w="0" w:type="dxa"/>
        <w:tblLayout w:type="fixed"/>
        <w:tblCellMar>
          <w:top w:w="28" w:type="dxa"/>
          <w:left w:w="28" w:type="dxa"/>
          <w:bottom w:w="28" w:type="dxa"/>
          <w:right w:w="28" w:type="dxa"/>
        </w:tblCellMar>
      </w:tblPr>
      <w:tblGrid>
        <w:gridCol w:w="3451"/>
        <w:gridCol w:w="146"/>
        <w:gridCol w:w="211"/>
        <w:gridCol w:w="781"/>
        <w:gridCol w:w="146"/>
        <w:gridCol w:w="146"/>
        <w:gridCol w:w="211"/>
        <w:gridCol w:w="781"/>
        <w:gridCol w:w="146"/>
        <w:gridCol w:w="146"/>
        <w:gridCol w:w="103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 except percentages)</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12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12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bl>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April 2025, the Company entered into a new private pricing addendum with Amazon Web Services (“AWS”) for cloud computing infrastructure, which replaced the Company's prior agreement with AWS and terminated the remaining commitments under the prior agreement. Under the terms of the agreement, the Company has a minimum purchase commitment of $326.3 million in AWS services through March 2031. As of June 30, 2026, the Company had utilized $59.1 million of this commitment.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there were no additional material changes in our contractual obligations and other commitments outside of those disclosed in the 2025 Form 10-K, other than an increase in our lease commitments. See Note 9 to our condensed consolidated financial statements included in Part I, Item 1 of this Quarterly Report on Form 10-Q for further information on our commitments and contingencies.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six months ended June 30, 2026 as compared to those disclosed in Part II, Item 7. Management’s Discussion and Analysis of Financial Condition and Results of Operations of the 2025 Form 10-K.</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See Note 1 to our condensed consolidated financial statements included in Part I, Item 1 of this Quarterly Report on Form 10-Q for more information regarding recent accounting pronouncements.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cash and cash equivalents and marketable securities primarily consist of cash on hand and highly liquid investments in money market funds and U.S. government securities. As of June 30, 2026, we had cash and cash equivalents of $73.8 million and marketable securities of $87.6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 </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Inherent Limitations on Effectiveness of Controls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See “Legal Matters” in Note 9 to our condensed consolidated financial statements included in Part I, Item 1 of this Quarterly Report on Form 10-Q.</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jc w:val="center"/>
        <w:rPr>
          <w:rFonts w:ascii="Times New Roman" w:hAnsi="Times New Roman"/>
          <w:sz w:val="20"/>
        </w:rPr>
      </w:pPr>
      <w:r>
        <w:rPr>
          <w:rFonts w:ascii="Times New Roman" w:hAnsi="Times New Roman"/>
          <w:b/>
          <w:caps/>
          <w:color w:val="000000"/>
          <w:sz w:val="20"/>
        </w:rPr>
        <w:t>Risk Factors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been growing rapidly over the last several years, which makes it difficult to forecast our future results of operations and increases the risk of your investment.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revenue was $343.2 million for the fiscal year ended December 31, 2025 and $194.4 million and $163.2 million for the six months ended June 30, 2026 and 2025, respectively. However, you should not rely on our historical revenue growth as an indication of our future performance.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revenue growth rate may decline over time. In future periods, our revenue growth could slow or our revenue could decline for a number of reasons, including slowing demand for our AI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history of losses. As our costs increase, we may not be able to generate sufficient revenue to achieve and sustain profitability.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experienced net losses in each period since inception. We generated net losses of $88.5 million for the fiscal year ended December 31, 2025 and $57.9 million and $46.9 million for the six months ended June 30, 2026 and 2025, respectively. As of June 30, 2026, we had an accumulated deficit of $604.3 million. We expect our costs and expenses to increase in future periods. In particular, we intend to continue to invest significant resources in: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our AI Analytics Platform, including investments in our research and development team, the development or acquisition of new products, features, and functionality, and improvements to the scalability, availability, and security of our platform;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technology infrastructure, including expansion of our activities in third-party data centers that we may lease, enhancements to our network operations and infrastructure, and hiring of additional employees;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international expansion, in an effort to increase our customer base and sales;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administration, including legal, accounting, and other expenses.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AI Analytics Platform and the successful implementation of our marketing strategy.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customer retention and expansion and the rate at which we attract new customers may decline or fluctuate as a result of a number of factors, including our customers’ satisfaction with our AI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demand for, or pricing of, our AI Analytics Platform, including as a result of our introduction of new products, features, and functionality;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usage of our AI Analytics Platform;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new customers;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existing customers;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expansion rates;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in new products, features, and functionality;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customers’ purchases;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speed with which customers are able to migrate data onto our platform after purchasing capacity;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awareness of our brand on a global basis;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or delays in purchasing decisions in anticipation of new products, features, or functionality developed or acquired by us or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customers’ budgets and in the timing of their budget cycles and purchasing decisions;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control costs, including our operating expenses;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our cloud computing infrastructure, particularly the cloud services provided by Amazon Web Services (“AWS”);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and sales and marketing expenses;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non-cash expenses, including stock-based compensation, goodwill impairments, and other non-cash charges;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and retaining and motivating existing employees;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identify and complete, and the effects of, mergers, acquisitions, or strategic partnerships, and the ensuing integration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the current inflationary economic environment, rising interest rates, tariffs, and a potential recession), both domestically and internationally, as well as economic conditions specifically affecting industries in which our customers participate, and related difficulties in collections;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adverse impact of climate change, natural disasters, health epidemics, political and social instability, including acts of war or other armed conflicts (including the war in Ukraine and the conflicts in the Middle East), and terrorist activities, on our business, operations, and the markets and communities in which we and our customers and partners operate and the disruption these events may cause to the global economy;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new accounting pronouncements;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changing laws, regulations, executive orders, and enforcement priorities;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overall tax rate for our business, which may be affected by the mix of income we earn in the United States and in jurisdictions with comparatively lower tax rates, the effects of stock-based compensation, and the effects of changes in our business;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changes in tax laws or judicial or regulatory interpretations of tax laws, which are recorded in the period such laws are enacted or interpretations are issued and may significantly affect the effective tax rate of that period;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 rates and changes in the proportion of our revenue and expenses denominated in foreign currencies;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competitive dynamics of our market, including consolidation among competitors or customers;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security breaches of, technical difficulties with, or interruptions to, the delivery and use of our platform.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Any of these and other factors, or the cumulative effect of some of these factors, may cause our results of operations to vary significantly. To the extent our results of operations fall below the expectations of investors and securities analysts who follow our stock, the trading price of our Class A common stock could decline substantially, and we could face costly lawsuits, including securities class action litigation. For example, we previously defended against a securities class action lawsuit and a shareholder derivative lawsuit, which were filed in the United States District Court for the Northern District of California. We are also currently defending against two privacy class actions and previously defended against a third privacy action. See “Legal Matters” in Note 9 to our condensed consolidated financial statements included in Part I, Item 1 of this Quarterly Report on Form 10-Q for additional information regarding the privacy actions. We have incurred and will continue to incur significant legal costs in connection with the defense of these lawsuits and management will be required to devote significant time in managing the defense of the 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expect to continue to focus on sales to larger enterprise organizations and may become more dependent on those relationships, which may increase the variability of our sales cycle and our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educate prospective customers about the uses and benefits of our AI Analytics Platform;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discretionary nature of purchasing and budget cycles and decisions;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competitive nature of evaluation and purchasing processes;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functionality demands;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planned introductions of new products, features, or functionality by us or our competitors;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lengthy purchasing approval processes.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recognize revenue over the term of our customer contracts. Consequently, downturns or upturns in new sales may not be immediately reflected in our results of operations and may be difficult to discern.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AI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conditions in our industry or the global economy, or reductions in software spending, could limit our ability to grow our business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the imposition of tariffs (and uncertainty related to the enforceability thereof) and any retaliatory trade protection measures or trade wars that ensue,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AI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for SaaS applications develops more slowly than we expect or declines, our business would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will depend to a substantial extent on the widespread adoption of SaaS applications in general, and of SaaS applications that look to solve aspects of AI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AI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AI Analytics Platform. If we or other SaaS providers experience data security incidents, loss of customer data, disruptions in delivery, or other problems, the market for SaaS applications, including our AI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in which we operate is highly competitive, and our ability to compete depends on developments in our technology, including the successful deployment of AI in our products. If we do not compete effectively, our business, financial condition, and results of operations could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market for applications that look to address AI analytics is fragmented, rapidly evolving, and highly competitive, with relatively low barriers to entry. As this market continues to mature and new technologies and competitors enter the market, we expect competition to intensify. We face competition from: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in-house software systems;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 integrated systems vendors;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smaller companies offering alternative SaaS applications;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or emerging entrants seeking to develop competing technologies.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competitors may be able to respond more quickly and effectively than we can to new or changing opportunities, technologies, standards, or customer requirements. With the introduction of new technologies, the evolution of our AI Analytics Platform, and new market entrants, we expect competition to intensify in the future. In particular, the market for AI solutions is evolving rapidly. We may not achieve the intended benefits of our AI initiatives, and our competitors may integrate AI into their products or market their AI solutions more effectively than we do, which could materially adversely affect our business, financial condition, and results of operations. In addition, pricing pressures and increased competition generally could result in reduced sales, reduced margins, financial losses, or the failure of our AI Analytics Platform to achieve or maintain more widespread market acceptance, any of which could harm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competitors vary in size and in the breadth and scope of the products and services they offer. Further, other established SaaS providers not currently focused on AI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2025 Form 10-K.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innovate in response to changing customer needs and technology developments and other market requirements,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attract new customers and retain and increase revenue from existing customers depends in large part on our ability to enhance and improve our AI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AI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AI Analytics Platform to meet customer requirements, or otherwise gain market acceptance, our business, financial condition, and results of operations could be materially adversely affected.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Because our AI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AI Analytics Platform may need to address additional requirements specific to those industries.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are unable to enhance our AI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properly develop, invest in, deploy, and manage AI Technologies used in our AI Analytics Platform, our business, financial condition, and results of operations could be materially adversely affected.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incorporated, and expect in the future we will continue to incorporate AI Technologies into our AI Analytics Platform, and are making significant investments in this area. Across our AI Analytics Platform, we offer our customers a suite of AI Technologies that are designed to help them surface, interpret, and achieve data insights faster, including capabilities that leverage large language models ("LLM") (i.e., AI models that can produce and output new data and information). For example, certain features use LLMs to enable natural language querying of product data, generate summaries of trends, and aid customers in analyzing their product data.</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expect that increased investment will be required in the future to continuously improve our use of AI Technologies. Our efforts to develop and improve proprietary AI models may increase our operating costs and could be limited by our access to processing infrastructure or training data. We may be dependent on third-party providers for such resources, and we cannot control the availability or pricing of such resources, particularly in a highly competitive environment where demand for processing capacity and high-quality training data continues to grow.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With respect to our products or services that incorporate AI Technologies, the market for such products and services is rapidly evolving and important assumptions about the characteristics of targeted markets, pricing, sales cycles, cost, performance, and perceived value associated with our products or services may be inaccurate. We cannot be sure that the market will continue to grow or that it will grow in ways we anticipate. In addition, market acceptance of products and services that incorporate AI Technologies is uncertain. Our failure to successfully develop and commercialize our products or services involving AI Technologies could depress the market price of our stock and impair our ability to: raise capital; expand our business; provide, improve and diversify our product offerings; continue our operations and efficiently manage our operating expenses; and respond effectively to competitive developments.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 For instance, the models underlying our AI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Technology can experience degradation (also known as "model drift") in which their performance and accuracy decrease over time without further human intervention to detect and correct such degradation. Any failure to identify and remediate such model drift in a timely manner could adversely affect the quality of our AI-powered products and services.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competitors or other third parties may incorporate AI Technologies into their products more quickly or more successfully than us, which could impair our ability to compete effectively.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incorporate LLMs into certain of our products and services as part of our AI Analytics Platform.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claims, increasing our risks of liability. For example, the output data produced by certain AI Technologies may include information subject to certain privacy laws or constitute an unauthorized derivative work of the copyrighted material used in training the underlying AI Technologies, any of which could also create a risk of liability for us, or adversely affect our customers and our business or operations. While some providers of AI Technologies offer to indemnify their end users for any copyright or other intellectual property infringement claims arising from the output of their AI Technologies, we may not be successful in adequately recovering our losses in connection with such claims under any such indemnification provisions.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to our proprietary AI Technologies, 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may also use AI Technologies, including tools provided by third parties, to assist in the development of our own software code. While use of such tools may make our development processes more efficient, AI Technologies have in some cases generated content that is "substantially similar" to proprietary or open-source code on which the AI tool was trained. If the AI Technologies we use in our development processes generate code that is substantially similar to other proprietary code, or to software processes that are protected by patent, we could be subject to intellectual property infringement claims. We may also not be able to anticipate and detect security vulnerabilities in such AI-generated software code. Additionally, to the extent we use third-party AI Technologies to develop software code, the terms of use of those tools may provide that the third-party provider retains certain rights in the generated code.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Issues relating to the responsible use of our technologies, including AI Technologies in our AI Analytics Platform, may result in reputational or financial harm and liability.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Concerns relating to the responsible use of new and evolving technologies, such as AI Technologies, in our AI Analytics Platform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applicable legal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requirements relating to the responsible use of AI Technologies by us or others could undermine public confidence and slow adoption of our products and services or cause reputational or financial harm.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incorporated, and expect to further integrate, AI Technologies into our internal processes and operations. The use of AI Technologies in our internal processes and operations present business, compliance and reputational risks.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efforts to leverage AI Technologies to improve internal functions and operations present further risks and challenges. The use of AI to support business operations and decision-making carries inherent risks related to data privacy and security, including the intended, unintended, or inadvertent transmission or exposure of proprietary, sensitive or personal information, as well as risks associated with the implementation, integration, and ongoing maintenance of AI tools. The misuse or misappropriation of data could have an adverse impact on our reputation and could subject us to legal and regulatory investigations and/or actions. In addition, AI systems may generate inaccurate, incomplete, biased, or misleading outputs, and reliance on such outputs could materially adversely affect our operations and decision</w:t>
        <w:noBreakHyphen/>
        <w:t>making. Our use of AI Technologies may also give rise to intellectual property or other legal risks, including potential claims related to the use of data, models, or outputs generated by such systems. In addition, there may be errors or failures in how we design, implement, monitor, document or govern our internal use of AI tools. If we are unable to effectively leverage AI Technology in our internal processes and operations, or if we fail to use AI Technology responsibly, our productivity, operational efficiency, or effectiveness may suffer. Any of the foregoing could have a material adverse effect on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effectively manage our growth and changes to our business over time,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we continue to grow and expand our business and operations, significant demands may be placed on our management and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AI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as we grow, we will need to appropriately scale our internal business systems and our services organization, including customer support, to serve our customer base, particularly as our customer demographics change over time. Managing these changes will require significant expenditures and allocation of valuable management resources. If we fail to successfully manage our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During the six months ended June 30, 2026, we implemented the 2026 Restructuring Program in two phases, consisting of executive leadership changes in the first phase and a broader organizational reorganization in the second phase, intended to streamline operations, better align our cost structure with our business priorities, and reduce operating costs, which resulted in a reduction of approximately 5% of our workforce during the six months ended June 30, 2026. The 2026 Restructuring Program may result in unintended consequences and costs, including costs associated with attrition beyond our intended reduction in force, a decrease in morale among employees, adverse impacts on our ability to recruit and hire qualified personnel in the future, and the loss of institutional knowledge and expertise, which could result in losses in future periods or otherwise prevent us from realizing, in full or in part, the anticipated benefits and savings from the 2026 Restructuring Program. Any failure to preserve our culture could harm our business, including our ability to retain and recruit personnel, innovate and operate effectively, and execute on our business strategy.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and certain third-party vendors of ours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We face numerous and evolving cybersecurity risks that threaten the confidentiality, integrity, and availability of our information technology systems and Confidential Information.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third-party that caused the breach. In addition, any failure by our vendors to comply with applicable law or regulations could result in proceedings against us by governmental entities or others.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a range of cybersecurity risks and threats, including cyberattacks, denial and degradation-of-service attacks, ransomware attacks, business email compromises, computer malware, malicious code, misconfigurations, "bugs,"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and tools – including AI Technology – may be used to sabotage, or to obtain unauthorized access to, our platform, information technology systems, networks, or physical facilities in which Confidential Information is stored or through which Confidential Information is transmitted change frequently, and we may be unable to anticipate or implement adequate preventative measures against all such techniques in every instance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(including class actions)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AI Analytics Platform is proprietary, and we rely on the expertise of members of our engineering, operations, product, and software development teams for its continued performance. It may become increasingly difficult and costly to maintain and improve the performance of our AI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AI Analytics Platform could be impaired until we are able to identify, obtain, and implement equivalent services, if we are able to do so at all. Any of these circumstances could materially adversely affect our business, financial condition,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Real or perceived errors, failures, vulnerabilities, or bugs in our platform could materially adversely affect our business and growth prospects.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Any failure to offer high-quality product support may adversely affect our relationships with our customers, our reputation, and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using our AI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AI Analytics Platform to our customers and prospective customers, and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Incorrect or improper implementation or use of our AI Analytics Platform could result in customer dissatisfaction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often assist our customers in implementing our AI Analytics Platform (whether through us directly or through a third-party implementation partner), and they may need training in the proper use of our AI Analytics Platform to maximize its potential and avoid inadequate performance. If we or our implementation partners fail to train customers on how to efficiently and effectively use our AI Analytics Platform or if we fail to provide adequate product support to our customers, we may lose opportunities for additional subscriptions, customers may choose not to renew or expand the use of our AI Analytics Platform, we may experience negative publicity or legal claims against us, and our reputation and brand may suffer. Any of these circumstances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customers and prospective customers expect our AI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AI Analytics Platform may become less marketable, less competitive, or obsolete, and our business, financial condition, results of operations, and growth prospects could be materially adversely affected.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have the history with our subscription or pricing models necessary to accurately predict optimal pricing necessary to attract new customers and retain existing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limited experience with respect to determining the optimal prices for our AI Analytics Platform and, as a result, we have in the past needed, and expect in the future that we will need, to change our pricing model from time to time. As the market for our AI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effectively develop and expand our sales and marketing capabilities, including our relationships with channel partners, could harm our ability to increase our customer base and achieve broader market acceptance of our products and platform.</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AI Analytics Platform by new and existing customers, especially enterprise customers, our business, financial condition, and results of operations may be materially adversely affected.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build and maintain successful relationships with our channel partners or such channel partners may fail to perform, which could materially adversely affect our business, financial condition, results of operations, and growth prospects.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AI Analytics Platform, but there can be no assurance that these steps will be effective. In addition, if our channel partners are unsuccessful in marketing and selling access to our AI Analytics Platform, it would limit our expansion into certain geographies, sectors, and industries. If we are unable to develop and maintain effective sales incentive programs for our channel partners, we may not be able to incentivize these partners to sell access to our AI Analytics Platform to customers.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AI Analytics Platform altogether. Our channel partners could subject us to lawsuits, potential liability, and reputational harm if, for example, any of our channel partners misrepresents the functionality of our AI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AI Analytics Platform. If our channel partners are unsuccessful in selling access to our AI Analytics Platform, or if we are unable to enter into arrangements with or retain a sufficient number of high-quality channel partners in each of the regions in which we sell access to our AI Analytics Platform and keep them motivated to sell access to our AI Analytics Platform, our business, financial condition, results of operations, and growth prospects could be materially adversely affected.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marketing strategies are not effective in attracting new customers and retaining existing customers, our business and ability to grow our revenues would be harmed.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pStyle w:val="TextBody"/>
        <w:bidi w:val="0"/>
        <w:spacing w:before="360" w:after="283"/>
        <w:jc w:val="left"/>
        <w:rPr>
          <w:rFonts w:ascii="Times New Roman" w:hAnsi="Times New Roman"/>
          <w:sz w:val="20"/>
        </w:rPr>
      </w:pPr>
      <w:r>
        <w:rPr>
          <w:rFonts w:ascii="Times New Roman" w:hAnsi="Times New Roman"/>
          <w:b/>
          <w:i/>
          <w:color w:val="000000"/>
          <w:sz w:val="20"/>
        </w:rPr>
        <w:t>Sales efforts to larger organizations involve risks that may not be present or that are present to a lesser extent with respect to sales to smaller organizations.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or $100 million in revenue, may require considerable time to evaluate and test our AI Analytics Platform prior to making a purchase decision and placing an order. A number of factors influence the length and variability of our sales cycle, including the need to educate potential customers about the uses and benefits of our AI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maintain and enhance our brand, our business, financial condition, and results of operations may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believe that maintaining and enhancing our reputation as a differentiated and category-defining company in AI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AI Analytics Platform from competitive products and services. In addition, independent industry analysts often provide reviews of our AI Analytics Platform, as well as products and services offered by our competitors, and the market perception of our AI Analytics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are international in scope, and we plan further geographic expansion, creating a variety of operational challenges.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the year ended December 31, 2025 and the six months ended June 30, 2026 and 2025, 39%, 40%,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current and future international business and operations involve a variety of risks,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slower than anticipated public cloud adoption by international businesses;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which may be unexpected, in a specific country’s or region’s political, economic, or legal and regulatory environment, including armed conflicts, pandemics, terrorist activities, tariffs (and uncertainty related to the enforceability thereof), trade wars, or long-term environmental risks;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adapt and localize our AI Analytics Platform for specific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payment cycles and greater difficulty enforcing contracts, collecting accounts receivable, or satisfying revenue recognition criteria, especially in emerging markets;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evolving, and more stringent regulations relating to privacy and data security and the unauthorized use of, or access to, commercial and personal information, particularly in Europe;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potentially more onerous labor regulations, especially in Europe, where labor laws are generally more advantageous to employees as compared to the United States, including deemed hourly wage and overtime regulations in these locations;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managing a business in new markets with diverse cultures, languages, customs, legal systems, alternative dispute systems, and regulatory systems;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travel, real estate, infrastructure, and legal compliance costs associated with international operations;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exchange rate fluctuations and the resulting effect on our revenue and expenses, and the cost and risk of entering into hedging transactions if we choose to do so in the future;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our ability to reinvest earnings from operations in one country to fund the capital needs of our operations in other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business practices favoring local competitors or general market preferences for local vendors;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limited or insufficient intellectual property protection or difficulties obtaining, maintaining, protecting, or enforcing our intellectual property rights, including our trademarks and patents;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political, social or macroeconomic events, including the war in Ukraine, the conflicts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or preferences for domestic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technical standards, existing or future regulatory and certification requirements, and required features and functionality;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privacy and data security, including the E.U. General Data Protection Regulation (“EU GDPR”) and similar laws and regulations in other jurisdictions;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burdens of complying with laws and regulations related to taxation, and regulations, adverse tax burdens, and foreign exchange controls that could make it difficult to repatriate earnings and cash.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invest substantial time and resources to further expand our international operations and are unable to do so successfully and in a timely manner, our business, financial condition, and results of operations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war in Ukraine could materially adversely affect our business, results of operations, and financial condition.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continuing to monitor the situation in Ukraine and assess its impact on our business, including our business partners and customers. Such circumstances, combined with sanctions, have resulted in disruptions to our customers' businesses in the impacted regions, including, at times, their ability to pay for our services.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derive, and expect to continue for some time to derive, substantially all of our revenue from our Amplitude Analytics product.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Although we have released our Amplitude Session Replay, Feature Experimentation, Web Experimentation, Audience Activation, Guides and Surveys, AI Agents, Amplitude MCP, AI Visibility, AI Feedback and Automated Insights products, we currently derive, and expect to continue for some time to derive, a significant portion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year ended December 31, 2025 and the six months ended June 30, 2026 and 2025, our research and development expenses were 28%, 30%, and 29%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agree to indemnify customers and other third parties, which exposes us to substantial potential liability.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require additional capital to support the growth of our business, and this capital might not be available on acceptable terms, if at all.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may not protect our business or provide us with a competitive advantage,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obtain patents and other intellectual property rights for important innovations or maintain appropriate confidentiality and other protective measures to establish and maintain our trade secrets;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and evolution of, legal standards relating to the validity, enforceability, and scope of protection of intellectual property rights;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invalidation of our intellectual property rights through administrative processes or litigation;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by us to detect infringement or other misappropriation of our intellectual property rights by third parties;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practical, resource, or business limitations on our ability to enforce our rights.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intellectual property disputes, which are expensive to support and, if resolved adversely, may subject us to significant liability and increased costs of doing business, which could have a material adverse effect on us.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intellectual property litigation to which we become a party may require us to do one or more of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selling, licensing, or using products or features that incorporate the intellectual property rights that we allegedly infringe, misappropriate, or violate;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substantial payments for legal fees, settlement payments, subscription fee refunds, or other costs or damages, including indemnification of third parties;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or enter into a royalty agreement, either of which may not be available on reasonable terms, or at all, in order to obtain the right to sell or use the relevant intellectual property; 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redesign the allegedly infringing products to avoid infringement, misappropriation, or violation, which could be costly, time-consuming, or impossible.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Our generative AI Technologies that are embedded in our AI Analytics Platform could generate output that is infringing, and we could be subject to claims or lawsuits, including for infringement of third-party intellectual property rights as a result of the output of such generative AI Technologies.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use of “open-source” software could negatively affect our ability to sell our platform and subject us to possible litigation.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use software in our AI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Compliance and 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subject to government regulation, including import, export control, economic sanctions, and trade sanctions, and anti-corruption laws and regulations, which may expose us to liability and increase our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affected by the evolving regulatory framework for AI Technologies.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regulatory framework for AI Technologies is rapidly evolving as many federal, state, and foreign government bodies and agencies have introduced or are currently considering additional laws, regulations, self-regulatory frameworks, guidelines and statutes.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guidelines, standards, or market perception of their requirements may have on our business and may not always be able to anticipate how to respond to these laws or regulations.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Already, certain existing legal regimes (e.g., relating to data privacy) regulate certain aspects of AI Technologies, and new laws regulating AI Technologies have either entered into force in the United States and the EU or are expected to enter into force in the future. In the United States,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In the absence of federal AI legislation, states have filled the void by enacting laws regulating different aspects of AI Technologies. For example, California has enacted laws and regulations related to AI safety protocols, reporting and transparency, among other AI-related topics. In addition, Utah’s Artificial Intelligence Policy Act establishes disclosure requirements and accountability measures for the use of generative AI in certain consumer interactions, and the Texas Responsible Artificial Intelligence Governance Act prohibits the development and deployment of AI systems for certain purposes while establishing a regulatory sandbox. Moreover, various state AI laws and comprehensive state privacy laws, including the California Consumer Privacy Act (“CCPA”), regulate the use of automated decision-making technology that results in legal or similarly significant effects on individuals, and provide rights to individuals with respect to that automated decision-making. Numerous other states have enacted, passed, or are considering AI-focused legislation, creating a patchwork of regulations and a complex compliance challenge. However, the durability of these laws and the potential of additional state-level legislative activity faces uncertainty following President Trump’s December 2025 Executive Order “Ensuring a National Policy Framework for Artificial Intelligence.” This Executive Order establishes a federal policy favoring a uniform national AI regulatory framework designed to promote innovation and U.S. global competitiveness. The order directs federal agencies to identify, challenge, and potentially pre-empt state and local AI laws that are viewed as inconsistent with or burdensome to this national approach. It remains to be seen how agencies will effectuate this directive, and how states will approach AI legislation moving forward. Additionally, the Trump administration may continue to rescind existing federal orders and/or administrative policies relating to AI Technologies or may implement new executive orders and/or other rule making relating to AI Technologies in the future. Accordingly, the scope and direction of orders, policies, rules and regulations related to AI Technologies at the federal level in the United States in the near future is uncertain. Any such changes at the federal level could require us to expend significant resources to modify our products, services, or operations to ensure compliance or remain competitive. Further, any failure or perceived failure by us to comply with existing or newly enacted laws, regulations and other requirements relating to AI Technologies could result in legal claims or proceedings (including class actions), regulatory investigations or enforcement actions.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Liability Directives will have a material impact on the way AI is regulated in the EU. Global "digital" regulations continue to develop and evolve, including the EU GDPR, ePrivacy Directive and the Data Act (the "Data Act"). Further, in Europe we are subject to the EU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EU GDPR’s requirements around automated decision making and introduced uncertainty in the interpretation of these rules. Specifically, the CJEU has expanded the scope for automated decision making under the EU GDPR by finding that automated decision making activities can fall within the EU GDPR’s restrictions on those activities even if the required legal or similarly significant effect for the individual is carried out by a third-party. The EU AI Act, and developing interpretation and application of the EU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Further, the Data Act came into force on September 12, 2025. The Data Act may apply to our provision of data processing services in the EU and introduces a general requirement to remove pre-commercial, commercial, technical, contractual and other barriers that inhibit our customers from terminating contracts, porting data or unbundling services. We are monitoring developments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area. The changes introduced by the Data Act may impact the duration of customer relationships and result in additional compliance and operational costs, which may affect our business. If any of our data processing activities are found to violate the requirements imposed by this law, we may incur substantial fines, have to change our business practices, and face reputational harm, any of which could have an adverse effect on our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affected by sanctions, export controls, and similar measures targeting Russia and other countries and territories, as well as other responses to Russia’s invasion of Ukraine.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result of Russia’s invasion of Ukraine, governmental authorities in the United States, the European Union, and the United Kingdom, among others, launched an expansion of coordinated sanctions and export control measures, including, for example: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on some of the largest state-owned and private Russian financial institutions (and their subsequent removal from the Society for Worldwide Interbank Financial Telecommunication payment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Russian and Belarusian individuals, including the Russian President, other politicians, and those with government connections or involvement in Russian military activities;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sanctions against certain Russian businessmen and their businesses, some of which have significant financial and trade ties to the European Union;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blocking of Russia’s foreign currency reserves and prohibition on secondary trading in Russian sovereign debt and certain transactions with the Russian Central Bank, National Wealth Fund, and the Ministry of Finance of the Russian Federation;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sectoral sanctions in various sectors of the Russian and Belarusian economies and the defense sector;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U.K. sanctions introducing restrictions on providing loans to, and dealing in securities issued by, persons connected with Russia;</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access to the financial and capital markets in the European Union, as well as prohibitions on aircraft leasing operations;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closure of airspace to Russian aircraft;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imports of Russian oil, liquefied natural gas, and coal to the United States and on “new investment” in Russia’s energy sector (often with similar bans being enacted in the United Kingdom and the European Union);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imports of Russian fish, seafood, and preparations thereof, alcoholic beverages, non-industrial diamonds, and gold to the United States;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ban on “new investment” in the Russian Federation by a U.S. person, which may be interpreted broadly (with a similar prohibition also enacted by the United Kingdom);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bans on the provision of certain professional services, including accounting, trust and corporate formation, auditing, and management consulting services, and information technology and software services, among others;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bans on the provision of services related to the worldwide maritime transportation of seaborne Russian oil, if purchased above a specific price cap.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may incur significant expenses to comply with the laws, regulations, and other obligations that apply to us. For example, in Europe, we are subject to the EU GDPR and to the United Kingdom General Data Protection Regulation and Data Protection Act 2018 (collectively, the “UK GDPR”) (the EU GDPR and UK GDPR together referred to as the “GDPR”). The GDPR went into effect in May 2018 and imposes stringent data protection requirements for processing the personal data of individuals within the EEA or UK in the context of our activities within the EEA or UK, including certain disclosure requirements, limitations on retention of personal data, mandatory data breach notification requirements, and additional obligations. Non-compliance with the GDPR can trigger fines of up to the greater of €20 million / £17.5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CJEU states that reliance on the standard contractual clauses—a standard form of contract approved by the European Commission as an adequate personal data transfer mechanism—alone may not necessarily be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may have to make certain operational changes and we will have to implement revised standard contractual clauses and other relevant documentation for existing data transfers within required time frames.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AI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reflecting a trend toward more stringent privacy legislation in the United States. The enactment of such laws may have potentially conflicting requirements that would make compliance challenging.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litigation (including class actions), whistleblower complaints, adverse media coverage, investigations, or criminal or civil sanctions, all of which may harm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Any future litigation against us could be costly and time-consuming to defend.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may become, and have in the past been,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For additional information regarding our current litigation matters, see "Legal Matters" in Note 9 to our condensed consolidated financial statements included in Part I, Item 1 of this Quarterly Report on Form 10-Q.</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Tax and Accounting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exposure to foreign currency exchange rate fluctuations.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conduct transactions, particularly intercompany transactions, in currencies other than the U.S. dollar. While we have primarily transacted with customers and vendors in U.S. dollars, we have transacted in foreign currencies for subscriptions to our AI Analytics Platform, and we expect to significantly expand the number of transactions with customers for our AI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Our global operations and structure subject us to potentially adverse tax consequences.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may be limited.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2025 and have determined that none of our NOLs generated through December 31, 2025 will expire solely due to Section 382 limitations caused by ownership changes prior to December 31, 2025. However, we may have experienced ownership changes after December 31, 2025,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our effective tax rate or tax liability may have a material adverse effect on our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effective tax rate could increase due to several factors, including: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relative amounts of income before taxes in the various jurisdictions in which we operate that have differing statutory tax rates;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tax treaties, and regulations or the interpretation of them, such as the Tax Cuts and Jobs Act, the CARES Act, the Inflation Reduction Act, and the One Big Beautiful Bill Act;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current and future tax audits, examinations, or administrative appeals;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acquisitions.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of these developments could materially adversely affect our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required to collect additional sales or indirect taxes or be subject to other tax liabilities that may increase the costs our customers would have to pay for our products and materially adversely affect our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An increasing number of states have considered or adopted laws that attempt to impose tax collection obligations on out-of-state companies. Additionally, the Supreme Court of the United States ruled in </w:t>
      </w:r>
      <w:r>
        <w:rPr>
          <w:rFonts w:ascii="Times New Roman" w:hAnsi="Times New Roman"/>
          <w:i/>
          <w:color w:val="000000"/>
          <w:sz w:val="20"/>
        </w:rPr>
        <w:t xml:space="preserve">South Dakota v. Wayfair, Inc. et al. </w:t>
      </w:r>
      <w:r>
        <w:rPr>
          <w:rFonts w:ascii="Times New Roman" w:hAnsi="Times New Roman"/>
          <w:color w:val="000000"/>
          <w:sz w:val="20"/>
        </w:rPr>
        <w:t>(“</w:t>
      </w:r>
      <w:r>
        <w:rPr>
          <w:rFonts w:ascii="Times New Roman" w:hAnsi="Times New Roman"/>
          <w:i/>
          <w:color w:val="000000"/>
          <w:sz w:val="20"/>
        </w:rPr>
        <w:t>Wayfair</w:t>
      </w:r>
      <w:r>
        <w:rPr>
          <w:rFonts w:ascii="Times New Roman" w:hAnsi="Times New Roman"/>
          <w:color w:val="000000"/>
          <w:sz w:val="20"/>
        </w:rPr>
        <w:t xml:space="preserve">”), that online sellers can be required to collect sales and use tax despite not having a physical presence in the buyer’s state. In response to </w:t>
      </w:r>
      <w:r>
        <w:rPr>
          <w:rFonts w:ascii="Times New Roman" w:hAnsi="Times New Roman"/>
          <w:i/>
          <w:color w:val="000000"/>
          <w:sz w:val="20"/>
        </w:rPr>
        <w:t>Wayfair</w:t>
      </w:r>
      <w:r>
        <w:rPr>
          <w:rFonts w:ascii="Times New Roman" w:hAnsi="Times New Roman"/>
          <w:color w:val="000000"/>
          <w:sz w:val="20"/>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reported financial results may be adversely affected by changes in accounting principles generally accepted in the United States.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prove to be incorrect, our results of operations could be materially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our 2025 Form 10-K, and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our goodwill or intangible assets become impaired, we may be required to record a significant charge to earnings.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trading price of our Class A common stock has been, and in the future, may be, volatile, and could decline significantly and rapidly.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price of our Class A common stock has fluctuated and may in the future fluctuate substantially in response to numerous factors in addition to the ones described in the preceding risk factors, many of which are beyond our control,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financial condition, results of operations, or operating metrics and those of our competitors;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projected operating and financial results or our failure to meet these projections;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financial estimates by any securities analysts who follow our company, or variance in our financial performance from expectations of securities analysts;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pricing of our AI Analytics Platform;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or growth rate of our addressable markets;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or regulations applicable to our AI Analytics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business developments, acquisitions, or new offerings;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data breaches, disruptions to, or other incidents involving, our platform;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litigation;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board of directors, senior management, or key personnel;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our Class A common stock made available for trading;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Class A common stock by us or our stockholders;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volume of our Class A common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anticipated future size and growth rate of our market;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market, and industry conditions, including economic slowdowns, recessions, inflationary pressures, rising interest rates, tariffs, trade wars, financial market fluctuations, and reduced credit availability;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resulting from war or armed conflicts (including those in Ukraine and the Middle East), incidents of terrorism, pandemics, elections, or responses to these events;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investors or securities analysts view our stock structure unfavorably, particularly our dual class structure and the concentrated voting control of our executive officers, directors, and their affiliates.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principal stockholders have the ability to influence the outcome of director elections and other matters requiring stockholder approval.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while we do not expect to issue any additional shares of Class B common stock, any future issuances of Class B common stock would be dilutive to holders of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cannot predict the impact our dual class structure may have on the trading price of our Class A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Although we are currently a constituent of the Russell 3000 Index, certain index providers have historically excluded companies with multiple classes of shares. While S&amp;P Dow Jones and FTSE Russell currently allow for multi-class eligibility, any future change in their methodology—or a failure on our part to meet the 5% minimum public voting power required by FTSE Russell—could result in our removal.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of substantial amounts of our Class A common stock in the public markets, or the perception that sales might occur, could cause the trading price of our Class A common stock to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have filed registration statements to register all shares subject to options and restricted stock units (“RSU”) outstanding or reserved for future issuance under our equity compensation plans. As of June 30, 2026, we had options outstanding that, if fully exercised, would result in the issuance of 9,364,213 shares of Class A common stock, as well as 20,823,544 shares of Class A common stock subject to RSUs.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Accordingly, these shares will be able to be freely sold in the public market upon issuance, subject to applicable vesting requirements and compliance by affiliates with Rule 144.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issuance of additional capital stock in connection with financings, acquisitions, investments, our equity incentive plans, or otherwise will dilute all other stockholders.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 or investment. Any such issuances of additional capital stock may cause stockholders to experience significant dilution of their ownership interests and the per share value of our Class A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intend to pay dividends for the foreseeable future and, as a result, your ability to achieve a return on your investment will depend on appreciation in the trading price of our Class A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our company more difficult, limit attempts by our stockholders to replace or remove our current management, and limit the trading price of our Class A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Class A common stock;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any action to be taken by our stockholders be effected at a duly called annual or special meeting and not by written consent;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cumulative voting in the election of directors;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only be removed for cause;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our board of directors or the holders of at least 66 2/3% of our outstanding shares of voting stock to amend our bylaws and certain provisions of our certificate of incorporation.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for indemnification by our directors</w:t>
      </w:r>
      <w:r>
        <w:rPr>
          <w:rFonts w:ascii="Times New Roman" w:hAnsi="Times New Roman"/>
          <w:color w:val="000000"/>
          <w:sz w:val="20"/>
        </w:rPr>
        <w:t xml:space="preserve"> </w:t>
      </w:r>
      <w:r>
        <w:rPr>
          <w:rFonts w:ascii="Times New Roman" w:hAnsi="Times New Roman"/>
          <w:b/>
          <w:i/>
          <w:color w:val="000000"/>
          <w:sz w:val="20"/>
        </w:rPr>
        <w:t>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restated certificate of incorporation and amended and restated bylaws provide that we will indemnify our directors and officers, in each case to the fullest extent permitted by Delaware law.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indemnification agreements that we have entered into with our directors and officers provide that: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our discretion, indemnify employees and agents in those circumstances where indemnification is permitted by applicable law;</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rights conferred in our amended and restated bylaws are not exclusive, and we are authorized to enter into indemnification agreements with our directors, officers, employees, and agents and to obtain insurance to indemnify such persons;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retroactively amend our amended and restated bylaws to reduce our indemnification obligations to directors, officers, employees, and agents.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restated bylaws to be inapplicable or unenforceable in an action, we may incur additional costs associated with resolving such action in other jurisdictions, which could materially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inability to attract and retain highly skilled employees could materially adversely affect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morale, which could, in turn, adversely affect our reputation as an employer and harm our ability to retain and recruit personnel. Our restructuring efforts, including the 2026 Restructuring Program described elsewhere in this Quarterly Report, could exacerbate these risks and further harm our ability to retain and recruit personnel. If we fail to attract new personnel or fail to retain and motivate our current personnel, our business and growth prospects could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executive officers and other key employees, and the loss of one or more of these employees could materially adversely affect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 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the business, regulatory, or political climate in the San Francisco Bay Area could adversely affect our operations.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laws and regulations related to the internet or changes in the internet infrastructure itself may diminish the demand for our AI Analytics Platform, and could harm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AI Analytics Platform or result in reductions in the demand for internet-based platforms such as ours. In addition, the use of the internet as a business tool could be harmed due to delays in the development or adoption of new standards and protocols to handle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AI Analytics Platform could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AI Analytics Platform or generate any particular level of revenue for us. Any expansion in our markets depends on a number of factors, including the cost, performance, and perceived value associated with our AI Analytics Platform and the products of our competitors. Even if the markets in which we compete achieve the forecasted growth, our business could fail to grow at similar rates, if at all. </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have in the past sought, and intend in the future to seek, to acquire or invest in businesses, joint ventures, strategic or preferred partnerships, and platform technologies that we believe could complement or expand our AI Analytics Platform, enhance our technology, or otherwise offer growth opportunities. Any such acquisitions, partnerships,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disrupted by catastrophic occurrences and similar events.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conflicts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publish unfavorable or inaccurate research about our business, the trading price and trading volume of our Class A common stock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price and trading volume of our Class A common stock will be heavily influenced by the way analysts interpret our financial information and other disclosures. We do not have control over these analysts. If few securities analysts commence coverage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needs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sz w:val="20"/>
        </w:rPr>
      </w:pPr>
      <w:r>
        <w:rPr>
          <w:rFonts w:ascii="Times New Roman" w:hAnsi="Times New Roman"/>
          <w:b/>
          <w:i/>
          <w:color w:val="000000"/>
          <w:sz w:val="20"/>
        </w:rPr>
        <w:t>Company Purchases of Equity Securities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Stock repurchases during the three months ended June 30, 2026 were as follows:</w:t>
      </w:r>
    </w:p>
    <w:p>
      <w:pPr>
        <w:pStyle w:val="TextBody"/>
        <w:bidi w:val="0"/>
        <w:ind w:left="0" w:right="0" w:firstLine="49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14" w:type="dxa"/>
        <w:jc w:val="left"/>
        <w:tblInd w:w="0" w:type="dxa"/>
        <w:tblLayout w:type="fixed"/>
        <w:tblCellMar>
          <w:top w:w="28" w:type="dxa"/>
          <w:left w:w="28" w:type="dxa"/>
          <w:bottom w:w="28" w:type="dxa"/>
          <w:right w:w="28" w:type="dxa"/>
        </w:tblCellMar>
      </w:tblPr>
      <w:tblGrid>
        <w:gridCol w:w="3121"/>
        <w:gridCol w:w="146"/>
        <w:gridCol w:w="161"/>
        <w:gridCol w:w="1144"/>
        <w:gridCol w:w="146"/>
        <w:gridCol w:w="146"/>
        <w:gridCol w:w="341"/>
        <w:gridCol w:w="754"/>
        <w:gridCol w:w="146"/>
        <w:gridCol w:w="146"/>
        <w:gridCol w:w="161"/>
        <w:gridCol w:w="1144"/>
        <w:gridCol w:w="146"/>
        <w:gridCol w:w="146"/>
        <w:gridCol w:w="270"/>
        <w:gridCol w:w="1005"/>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Average</w:t>
              <w:br/>
              <w:t>Price Paid</w:t>
              <w:br/>
              <w:t>per Share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Total Number</w:t>
              <w:br/>
              <w:t>of Shares</w:t>
              <w:br/>
              <w:t>Purchased</w:t>
              <w:br/>
              <w:t>as Part of</w:t>
              <w:br/>
              <w:t>Publicly</w:t>
              <w:br/>
              <w:t>Announced</w:t>
              <w:br/>
              <w:t>Plans or</w:t>
              <w:br/>
              <w:t>Program</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Approximate</w:t>
              <w:br/>
              <w:t>Dollar Value</w:t>
              <w:br/>
              <w:t>of Shares that</w:t>
              <w:br/>
              <w:t>May Yet Be</w:t>
              <w:br/>
              <w:t>Purchased</w:t>
              <w:br/>
              <w:t>Under the</w:t>
              <w:br/>
              <w:t>Plans or</w:t>
              <w:br/>
              <w:t>Program</w:t>
            </w:r>
            <w:r>
              <w:rPr>
                <w:rFonts w:ascii="Times New Roman" w:hAnsi="Times New Roman"/>
                <w:b/>
                <w:color w:val="000000"/>
                <w:sz w:val="13"/>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Average price paid per share for open market purchases includes broker commission fees.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On May 7, 2025, we announced that our board of directors authorized the repurchase of up to $50 million of our Class A common stock (the “Repurchase Program”). On February 18, 2026, we announced that our board of directors approved an increase to the Repurchase Program, under which the Company is authorized to repurchase up to an additional $100.0 million of our Class A common stock. The Repurchase Program has no expiration date.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8" w:name="item_5_othe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Trading Arrangements of Section 16 Reporting Persons</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On June 2, 2026, Nathaniel Crook, our Chief Commercial Officer, adopted a Rule 10b5-1 trading plan that is intended to satisfy the affirmative defense of Rule 10b5-1(c) for the sale of up to 300,000 shares of our Class A common stock until November 30, 2026.</w:t>
      </w:r>
    </w:p>
    <w:p>
      <w:pPr>
        <w:pStyle w:val="TextBody"/>
        <w:bidi w:val="0"/>
        <w:spacing w:before="120" w:after="283"/>
        <w:ind w:left="0" w:right="0" w:firstLine="720"/>
        <w:jc w:val="left"/>
        <w:rPr>
          <w:rFonts w:ascii="Times New Roman" w:hAnsi="Times New Roman"/>
          <w:color w:val="000000"/>
          <w:sz w:val="20"/>
        </w:rPr>
      </w:pPr>
      <w:r>
        <w:rPr>
          <w:rFonts w:ascii="Times New Roman" w:hAnsi="Times New Roman"/>
          <w:color w:val="000000"/>
          <w:sz w:val="20"/>
        </w:rPr>
        <w:t>On June 11, 2026, Anne Skates, spouse of our Chief Executive Officer, Spenser Skates, adopted a Rule 10b5-1 trading plan that is intended to satisfy the affirmative defense of Rule 10b5-1(c) for the sale of up to 535,000 shares of our Class A common stock until December 31, 2027.</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5751"/>
        <w:gridCol w:w="511"/>
        <w:gridCol w:w="844"/>
        <w:gridCol w:w="631"/>
        <w:gridCol w:w="652"/>
        <w:gridCol w:w="945"/>
      </w:tblGrid>
      <w:tr>
        <w:trPr/>
        <w:tc>
          <w:tcPr>
            <w:tcW w:w="871" w:type="dxa"/>
            <w:tcBorders/>
            <w:vAlign w:val="center"/>
          </w:tcPr>
          <w:p>
            <w:pPr>
              <w:pStyle w:val="TableContents"/>
              <w:bidi w:val="0"/>
              <w:spacing w:before="0" w:after="283"/>
              <w:jc w:val="left"/>
              <w:rPr>
                <w:sz w:val="4"/>
                <w:szCs w:val="4"/>
              </w:rPr>
            </w:pPr>
            <w:r>
              <w:rPr>
                <w:sz w:val="4"/>
                <w:szCs w:val="4"/>
              </w:rPr>
            </w:r>
          </w:p>
        </w:tc>
        <w:tc>
          <w:tcPr>
            <w:tcW w:w="5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001-40817</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6/12/2024</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Registrant.</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001-40817</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Stock Certificate evidencing the shares of Class A Common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333-259168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8/30/2021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Stock Certificate evidencing the shares of Class B Common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333-259698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9/21/2021</w:t>
            </w:r>
          </w:p>
        </w:tc>
        <w:tc>
          <w:tcPr>
            <w:tcW w:w="94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Investors’ Rights Agreement, dated as of May 28, 2021, as amended, by and among the Registrant and certain of its stockholders.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333-259168</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65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8/30/2021</w:t>
            </w:r>
          </w:p>
        </w:tc>
        <w:tc>
          <w:tcPr>
            <w:tcW w:w="94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5751" w:type="dxa"/>
            <w:tcBorders/>
            <w:tcMar>
              <w:top w:w="0" w:type="dxa"/>
              <w:left w:w="0" w:type="dxa"/>
              <w:bottom w:w="0" w:type="dxa"/>
              <w:right w:w="0" w:type="dxa"/>
            </w:tcMar>
            <w:vAlign w:val="center"/>
          </w:tcPr>
          <w:p>
            <w:pPr>
              <w:pStyle w:val="TableContents"/>
              <w:bidi w:val="0"/>
              <w:spacing w:before="0" w:after="283"/>
              <w:jc w:val="left"/>
              <w:rPr/>
            </w:pPr>
            <w:hyperlink w:anchor="amp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69" w:type="dxa"/>
        <w:jc w:val="left"/>
        <w:tblInd w:w="0" w:type="dxa"/>
        <w:tblLayout w:type="fixed"/>
        <w:tblCellMar>
          <w:top w:w="28" w:type="dxa"/>
          <w:left w:w="28" w:type="dxa"/>
          <w:bottom w:w="28" w:type="dxa"/>
          <w:right w:w="28" w:type="dxa"/>
        </w:tblCellMar>
      </w:tblPr>
      <w:tblGrid>
        <w:gridCol w:w="1846"/>
        <w:gridCol w:w="146"/>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Amplitude,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bookmarkStart w:id="21" w:name="ampl-ex31_1.htm"/>
      <w:bookmarkStart w:id="22" w:name="ksampl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Spenser Skates,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ampl-ex31_2.htm"/>
      <w:bookmarkStart w:id="24" w:name="ksampl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Casey,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Amplitude,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mpl-ex32_1.htm"/>
      <w:bookmarkStart w:id="26" w:name="ksampl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Amplitude, Inc. (the “Company”) on Form 10-Q for the quarter ended June 30, 2026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Spenser Skates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mpl-ex32_2.htm"/>
      <w:bookmarkStart w:id="28" w:name="ksampl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Amplitude, Inc. (the “Company”) on Form 10-Q for the quarter ended June 30, 2026 as filed with the Securities and Exchange Commission on the date hereof (the “Report”), I certify, pursuant to 18 U.S.C. § 1350, as adopted pursuant to § 906 of the Sarbanes-Oxley Act of 2002, as amended,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232" w:type="dxa"/>
        <w:jc w:val="left"/>
        <w:tblInd w:w="0" w:type="dxa"/>
        <w:tblLayout w:type="fixed"/>
        <w:tblCellMar>
          <w:top w:w="28" w:type="dxa"/>
          <w:left w:w="28" w:type="dxa"/>
          <w:bottom w:w="28" w:type="dxa"/>
          <w:right w:w="28" w:type="dxa"/>
        </w:tblCellMar>
      </w:tblPr>
      <w:tblGrid>
        <w:gridCol w:w="1846"/>
        <w:gridCol w:w="109"/>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Casey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6692/000119312524159934/d806887dex31.htm" TargetMode="External"/><Relationship Id="rId3" Type="http://schemas.openxmlformats.org/officeDocument/2006/relationships/hyperlink" Target="https://www.sec.gov/Archives/edgar/data/1866692/000119312521278308/d93786dex32.htm" TargetMode="External"/><Relationship Id="rId4" Type="http://schemas.openxmlformats.org/officeDocument/2006/relationships/hyperlink" Target="https://www.sec.gov/Archives/edgar/data/1866692/000119312521260696/d143868dex42.htm" TargetMode="External"/><Relationship Id="rId5" Type="http://schemas.openxmlformats.org/officeDocument/2006/relationships/hyperlink" Target="https://www.sec.gov/Archives/edgar/data/1866692/000119312521278407/d114916dex44.htm" TargetMode="External"/><Relationship Id="rId6" Type="http://schemas.openxmlformats.org/officeDocument/2006/relationships/hyperlink" Target="https://www.sec.gov/Archives/edgar/data/1866692/000119312521260696/d143868dex4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48185</Words>
  <Characters>267223</Characters>
  <CharactersWithSpaces>316950</CharactersWithSpaces>
  <Paragraphs>7999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