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spacing w:after="0"/>
        <w:rPr>
          <w:sz w:val="20"/>
          <w:szCs w:val="20"/>
          <w:color w:val="auto"/>
        </w:rPr>
      </w:pPr>
      <w:r>
        <w:rPr>
          <w:rFonts w:ascii="Arial" w:cs="Arial" w:eastAsia="Arial" w:hAnsi="Arial"/>
          <w:sz w:val="32"/>
          <w:szCs w:val="32"/>
          <w:b w:val="1"/>
          <w:bCs w:val="1"/>
          <w:color w:val="auto"/>
        </w:rPr>
        <w:drawing>
          <wp:anchor simplePos="0" relativeHeight="251657728" behindDoc="1" locked="0" layoutInCell="0" allowOverlap="1">
            <wp:simplePos x="0" y="0"/>
            <wp:positionH relativeFrom="page">
              <wp:posOffset>208280</wp:posOffset>
            </wp:positionH>
            <wp:positionV relativeFrom="page">
              <wp:posOffset>285750</wp:posOffset>
            </wp:positionV>
            <wp:extent cx="7132320" cy="82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32320" cy="8255"/>
                    </a:xfrm>
                    <a:prstGeom prst="rect">
                      <a:avLst/>
                    </a:prstGeom>
                    <a:noFill/>
                  </pic:spPr>
                </pic:pic>
              </a:graphicData>
            </a:graphic>
          </wp:anchor>
        </w:drawing>
        <w:drawing>
          <wp:anchor simplePos="0" relativeHeight="251657728" behindDoc="1" locked="0" layoutInCell="0" allowOverlap="1">
            <wp:simplePos x="0" y="0"/>
            <wp:positionH relativeFrom="page">
              <wp:posOffset>208280</wp:posOffset>
            </wp:positionH>
            <wp:positionV relativeFrom="page">
              <wp:posOffset>302895</wp:posOffset>
            </wp:positionV>
            <wp:extent cx="7132320"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32320" cy="8255"/>
                    </a:xfrm>
                    <a:prstGeom prst="rect">
                      <a:avLst/>
                    </a:prstGeom>
                    <a:noFill/>
                  </pic:spPr>
                </pic:pic>
              </a:graphicData>
            </a:graphic>
          </wp:anchor>
        </w:drawing>
        <w:t>UNITED STATES</w:t>
      </w:r>
    </w:p>
    <w:p>
      <w:pPr>
        <w:spacing w:after="0" w:line="43" w:lineRule="exact"/>
        <w:rPr>
          <w:sz w:val="24"/>
          <w:szCs w:val="24"/>
          <w:color w:val="auto"/>
        </w:rPr>
      </w:pPr>
    </w:p>
    <w:p>
      <w:pPr>
        <w:jc w:val="center"/>
        <w:spacing w:after="0"/>
        <w:rPr>
          <w:sz w:val="20"/>
          <w:szCs w:val="20"/>
          <w:color w:val="auto"/>
        </w:rPr>
      </w:pPr>
      <w:r>
        <w:rPr>
          <w:rFonts w:ascii="Arial" w:cs="Arial" w:eastAsia="Arial" w:hAnsi="Arial"/>
          <w:sz w:val="32"/>
          <w:szCs w:val="32"/>
          <w:b w:val="1"/>
          <w:bCs w:val="1"/>
          <w:color w:val="auto"/>
        </w:rPr>
        <w:t>SECURITIES AND EXCHANGE COMMISSION</w:t>
      </w:r>
    </w:p>
    <w:p>
      <w:pPr>
        <w:jc w:val="center"/>
        <w:spacing w:after="0"/>
        <w:rPr>
          <w:sz w:val="20"/>
          <w:szCs w:val="20"/>
          <w:color w:val="auto"/>
        </w:rPr>
      </w:pPr>
      <w:r>
        <w:rPr>
          <w:rFonts w:ascii="Arial" w:cs="Arial" w:eastAsia="Arial" w:hAnsi="Arial"/>
          <w:sz w:val="22"/>
          <w:szCs w:val="22"/>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2856230</wp:posOffset>
            </wp:positionH>
            <wp:positionV relativeFrom="paragraph">
              <wp:posOffset>175260</wp:posOffset>
            </wp:positionV>
            <wp:extent cx="1430020" cy="82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430020" cy="8255"/>
                    </a:xfrm>
                    <a:prstGeom prst="rect">
                      <a:avLst/>
                    </a:prstGeom>
                    <a:noFill/>
                  </pic:spPr>
                </pic:pic>
              </a:graphicData>
            </a:graphic>
          </wp:anchor>
        </w:drawing>
      </w:r>
    </w:p>
    <w:p>
      <w:pPr>
        <w:spacing w:after="0" w:line="337" w:lineRule="exact"/>
        <w:rPr>
          <w:sz w:val="24"/>
          <w:szCs w:val="24"/>
          <w:color w:val="auto"/>
        </w:rPr>
      </w:pPr>
    </w:p>
    <w:p>
      <w:pPr>
        <w:jc w:val="center"/>
        <w:spacing w:after="0"/>
        <w:rPr>
          <w:sz w:val="20"/>
          <w:szCs w:val="20"/>
          <w:color w:val="auto"/>
        </w:rPr>
      </w:pPr>
      <w:r>
        <w:rPr>
          <w:rFonts w:ascii="Arial" w:cs="Arial" w:eastAsia="Arial" w:hAnsi="Arial"/>
          <w:sz w:val="32"/>
          <w:szCs w:val="32"/>
          <w:b w:val="1"/>
          <w:bCs w:val="1"/>
          <w:color w:val="auto"/>
        </w:rPr>
        <w:t>FORM 10-Q</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2856230</wp:posOffset>
            </wp:positionH>
            <wp:positionV relativeFrom="paragraph">
              <wp:posOffset>203200</wp:posOffset>
            </wp:positionV>
            <wp:extent cx="1430020" cy="825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430020" cy="8255"/>
                    </a:xfrm>
                    <a:prstGeom prst="rect">
                      <a:avLst/>
                    </a:prstGeom>
                    <a:noFill/>
                  </pic:spPr>
                </pic:pic>
              </a:graphicData>
            </a:graphic>
          </wp:anchor>
        </w:drawing>
      </w:r>
    </w:p>
    <w:p>
      <w:pPr>
        <w:spacing w:after="0" w:line="399" w:lineRule="exact"/>
        <w:rPr>
          <w:sz w:val="24"/>
          <w:szCs w:val="24"/>
          <w:color w:val="auto"/>
        </w:rPr>
      </w:pPr>
    </w:p>
    <w:p>
      <w:pPr>
        <w:spacing w:after="0"/>
        <w:rPr>
          <w:sz w:val="20"/>
          <w:szCs w:val="20"/>
          <w:color w:val="auto"/>
        </w:rPr>
      </w:pPr>
      <w:r>
        <w:rPr>
          <w:rFonts w:ascii="Arial" w:cs="Arial" w:eastAsia="Arial" w:hAnsi="Arial"/>
          <w:sz w:val="14"/>
          <w:szCs w:val="14"/>
          <w:b w:val="1"/>
          <w:bCs w:val="1"/>
          <w:color w:val="auto"/>
        </w:rPr>
        <w:t>(Mark One)</w:t>
      </w:r>
    </w:p>
    <w:p>
      <w:pPr>
        <w:spacing w:after="0" w:line="25" w:lineRule="exact"/>
        <w:rPr>
          <w:sz w:val="24"/>
          <w:szCs w:val="24"/>
          <w:color w:val="auto"/>
        </w:rPr>
      </w:pPr>
    </w:p>
    <w:p>
      <w:pPr>
        <w:ind w:left="3660" w:right="1620" w:hanging="3639"/>
        <w:spacing w:after="0" w:line="363" w:lineRule="auto"/>
        <w:tabs>
          <w:tab w:leader="none" w:pos="482" w:val="left"/>
        </w:tabs>
        <w:numPr>
          <w:ilvl w:val="0"/>
          <w:numId w:val="1"/>
        </w:numPr>
        <w:rPr>
          <w:rFonts w:ascii="MS PGothic" w:cs="MS PGothic" w:eastAsia="MS PGothic" w:hAnsi="MS PGothic"/>
          <w:sz w:val="18"/>
          <w:szCs w:val="18"/>
          <w:color w:val="auto"/>
          <w:highlight w:val="black"/>
        </w:rPr>
      </w:pPr>
      <w:r>
        <w:rPr>
          <w:rFonts w:ascii="Arial" w:cs="Arial" w:eastAsia="Arial" w:hAnsi="Arial"/>
          <w:sz w:val="18"/>
          <w:szCs w:val="18"/>
          <w:b w:val="1"/>
          <w:bCs w:val="1"/>
          <w:color w:val="auto"/>
        </w:rPr>
        <w:t>QUARTERLY REPORT PURSUANT TO SECTION 13 OR 15(d) OF THE SECURITIES EXCHANGE ACT OF 1934 For the quarterly period ended September 30, 2022</w:t>
      </w:r>
    </w:p>
    <w:p>
      <w:pPr>
        <w:spacing w:after="0" w:line="1"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OR</w:t>
      </w:r>
    </w:p>
    <w:p>
      <w:pPr>
        <w:spacing w:after="0" w:line="103" w:lineRule="exact"/>
        <w:rPr>
          <w:sz w:val="24"/>
          <w:szCs w:val="24"/>
          <w:color w:val="auto"/>
        </w:rPr>
      </w:pPr>
    </w:p>
    <w:p>
      <w:pPr>
        <w:ind w:left="4340" w:right="1620" w:hanging="4319"/>
        <w:spacing w:after="0" w:line="375" w:lineRule="auto"/>
        <w:tabs>
          <w:tab w:leader="none" w:pos="476" w:val="left"/>
        </w:tabs>
        <w:numPr>
          <w:ilvl w:val="0"/>
          <w:numId w:val="2"/>
        </w:numPr>
        <w:rPr>
          <w:rFonts w:ascii="MS PGothic" w:cs="MS PGothic" w:eastAsia="MS PGothic" w:hAnsi="MS PGothic"/>
          <w:sz w:val="18"/>
          <w:szCs w:val="18"/>
          <w:color w:val="auto"/>
          <w:highlight w:val="black"/>
        </w:rPr>
      </w:pPr>
      <w:r>
        <w:rPr>
          <w:rFonts w:ascii="Arial" w:cs="Arial" w:eastAsia="Arial" w:hAnsi="Arial"/>
          <w:sz w:val="18"/>
          <w:szCs w:val="18"/>
          <w:b w:val="1"/>
          <w:bCs w:val="1"/>
          <w:color w:val="auto"/>
        </w:rPr>
        <w:t>TRANSITION REPORT PURSUANT TO SECTION 13 OR 15(d) OF THE SECURITIES EXCHANGE ACT OF 1934 For the transition period from to</w:t>
      </w:r>
    </w:p>
    <w:p>
      <w:pPr>
        <w:jc w:val="center"/>
        <w:spacing w:after="0"/>
        <w:rPr>
          <w:sz w:val="20"/>
          <w:szCs w:val="20"/>
          <w:color w:val="auto"/>
        </w:rPr>
      </w:pPr>
      <w:r>
        <w:rPr>
          <w:rFonts w:ascii="Arial" w:cs="Arial" w:eastAsia="Arial" w:hAnsi="Arial"/>
          <w:sz w:val="18"/>
          <w:szCs w:val="18"/>
          <w:b w:val="1"/>
          <w:bCs w:val="1"/>
          <w:color w:val="auto"/>
        </w:rPr>
        <w:t>Commission File Number: 001-40817</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2856230</wp:posOffset>
            </wp:positionH>
            <wp:positionV relativeFrom="paragraph">
              <wp:posOffset>188595</wp:posOffset>
            </wp:positionV>
            <wp:extent cx="1430020" cy="825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1430020" cy="8255"/>
                    </a:xfrm>
                    <a:prstGeom prst="rect">
                      <a:avLst/>
                    </a:prstGeom>
                    <a:noFill/>
                  </pic:spPr>
                </pic:pic>
              </a:graphicData>
            </a:graphic>
          </wp:anchor>
        </w:drawing>
      </w:r>
    </w:p>
    <w:p>
      <w:pPr>
        <w:spacing w:after="0" w:line="355" w:lineRule="exact"/>
        <w:rPr>
          <w:sz w:val="24"/>
          <w:szCs w:val="24"/>
          <w:color w:val="auto"/>
        </w:rPr>
      </w:pPr>
    </w:p>
    <w:p>
      <w:pPr>
        <w:jc w:val="center"/>
        <w:spacing w:after="0"/>
        <w:rPr>
          <w:sz w:val="20"/>
          <w:szCs w:val="20"/>
          <w:color w:val="auto"/>
        </w:rPr>
      </w:pPr>
      <w:r>
        <w:rPr>
          <w:rFonts w:ascii="Arial" w:cs="Arial" w:eastAsia="Arial" w:hAnsi="Arial"/>
          <w:sz w:val="43"/>
          <w:szCs w:val="43"/>
          <w:b w:val="1"/>
          <w:bCs w:val="1"/>
          <w:color w:val="auto"/>
        </w:rPr>
        <w:t>AMPLITUDE, INC.</w:t>
      </w:r>
    </w:p>
    <w:p>
      <w:pPr>
        <w:spacing w:after="0" w:line="36"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(Exact Name of Registrant as Specified in its Charter)</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2856230</wp:posOffset>
            </wp:positionH>
            <wp:positionV relativeFrom="paragraph">
              <wp:posOffset>175895</wp:posOffset>
            </wp:positionV>
            <wp:extent cx="1430020" cy="825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1430020" cy="8255"/>
                    </a:xfrm>
                    <a:prstGeom prst="rect">
                      <a:avLst/>
                    </a:prstGeom>
                    <a:noFill/>
                  </pic:spPr>
                </pic:pic>
              </a:graphicData>
            </a:graphic>
          </wp:anchor>
        </w:drawing>
      </w:r>
    </w:p>
    <w:p>
      <w:pPr>
        <w:sectPr>
          <w:pgSz w:w="11900" w:h="16838" w:orient="portrait"/>
          <w:cols w:equalWidth="0" w:num="1">
            <w:col w:w="11240"/>
          </w:cols>
          <w:pgMar w:left="320" w:top="678" w:right="339" w:bottom="1440" w:gutter="0" w:footer="0" w:header="0"/>
        </w:sectPr>
      </w:pPr>
    </w:p>
    <w:p>
      <w:pPr>
        <w:spacing w:after="0" w:line="200" w:lineRule="exact"/>
        <w:rPr>
          <w:sz w:val="24"/>
          <w:szCs w:val="24"/>
          <w:color w:val="auto"/>
        </w:rPr>
      </w:pPr>
    </w:p>
    <w:p>
      <w:pPr>
        <w:spacing w:after="0" w:line="288" w:lineRule="exact"/>
        <w:rPr>
          <w:sz w:val="24"/>
          <w:szCs w:val="24"/>
          <w:color w:val="auto"/>
        </w:rPr>
      </w:pPr>
    </w:p>
    <w:p>
      <w:pPr>
        <w:jc w:val="center"/>
        <w:ind w:right="1580"/>
        <w:spacing w:after="0"/>
        <w:rPr>
          <w:sz w:val="20"/>
          <w:szCs w:val="20"/>
          <w:color w:val="auto"/>
        </w:rPr>
      </w:pPr>
      <w:r>
        <w:rPr>
          <w:rFonts w:ascii="Arial" w:cs="Arial" w:eastAsia="Arial" w:hAnsi="Arial"/>
          <w:sz w:val="18"/>
          <w:szCs w:val="18"/>
          <w:b w:val="1"/>
          <w:bCs w:val="1"/>
          <w:color w:val="auto"/>
        </w:rPr>
        <w:t>Delaware</w:t>
      </w:r>
    </w:p>
    <w:p>
      <w:pPr>
        <w:spacing w:after="0" w:line="23" w:lineRule="exact"/>
        <w:rPr>
          <w:sz w:val="24"/>
          <w:szCs w:val="24"/>
          <w:color w:val="auto"/>
        </w:rPr>
      </w:pPr>
    </w:p>
    <w:p>
      <w:pPr>
        <w:ind w:left="2040"/>
        <w:spacing w:after="0"/>
        <w:rPr>
          <w:sz w:val="20"/>
          <w:szCs w:val="20"/>
          <w:color w:val="auto"/>
        </w:rPr>
      </w:pPr>
      <w:r>
        <w:rPr>
          <w:rFonts w:ascii="Arial" w:cs="Arial" w:eastAsia="Arial" w:hAnsi="Arial"/>
          <w:sz w:val="10"/>
          <w:szCs w:val="10"/>
          <w:b w:val="1"/>
          <w:bCs w:val="1"/>
          <w:color w:val="auto"/>
        </w:rPr>
        <w:t>(State or other jurisdiction of</w:t>
      </w:r>
    </w:p>
    <w:p>
      <w:pPr>
        <w:spacing w:after="0" w:line="6" w:lineRule="exact"/>
        <w:rPr>
          <w:sz w:val="24"/>
          <w:szCs w:val="24"/>
          <w:color w:val="auto"/>
        </w:rPr>
      </w:pPr>
    </w:p>
    <w:p>
      <w:pPr>
        <w:ind w:left="2000"/>
        <w:spacing w:after="0"/>
        <w:rPr>
          <w:sz w:val="20"/>
          <w:szCs w:val="20"/>
          <w:color w:val="auto"/>
        </w:rPr>
      </w:pPr>
      <w:r>
        <w:rPr>
          <w:rFonts w:ascii="Arial" w:cs="Arial" w:eastAsia="Arial" w:hAnsi="Arial"/>
          <w:sz w:val="10"/>
          <w:szCs w:val="10"/>
          <w:b w:val="1"/>
          <w:bCs w:val="1"/>
          <w:color w:val="auto"/>
        </w:rPr>
        <w:t>incorporation or organization)</w:t>
      </w:r>
    </w:p>
    <w:p>
      <w:pPr>
        <w:spacing w:after="0" w:line="20" w:lineRule="exact"/>
        <w:rPr>
          <w:sz w:val="24"/>
          <w:szCs w:val="24"/>
          <w:color w:val="auto"/>
        </w:rPr>
      </w:pPr>
      <w:r>
        <w:rPr>
          <w:sz w:val="24"/>
          <w:szCs w:val="24"/>
          <w:color w:val="auto"/>
        </w:rPr>
        <w:br w:type="column"/>
      </w:r>
    </w:p>
    <w:p>
      <w:pPr>
        <w:spacing w:after="0" w:line="200" w:lineRule="exact"/>
        <w:rPr>
          <w:sz w:val="24"/>
          <w:szCs w:val="24"/>
          <w:color w:val="auto"/>
        </w:rPr>
      </w:pPr>
    </w:p>
    <w:p>
      <w:pPr>
        <w:spacing w:after="0" w:line="268" w:lineRule="exact"/>
        <w:rPr>
          <w:sz w:val="24"/>
          <w:szCs w:val="24"/>
          <w:color w:val="auto"/>
        </w:rPr>
      </w:pPr>
    </w:p>
    <w:p>
      <w:pPr>
        <w:ind w:left="60"/>
        <w:spacing w:after="0"/>
        <w:rPr>
          <w:sz w:val="20"/>
          <w:szCs w:val="20"/>
          <w:color w:val="auto"/>
        </w:rPr>
      </w:pPr>
      <w:r>
        <w:rPr>
          <w:rFonts w:ascii="Arial" w:cs="Arial" w:eastAsia="Arial" w:hAnsi="Arial"/>
          <w:sz w:val="17"/>
          <w:szCs w:val="17"/>
          <w:b w:val="1"/>
          <w:bCs w:val="1"/>
          <w:color w:val="auto"/>
        </w:rPr>
        <w:t>45-3937349</w:t>
      </w:r>
    </w:p>
    <w:p>
      <w:pPr>
        <w:spacing w:after="0" w:line="31" w:lineRule="exact"/>
        <w:rPr>
          <w:sz w:val="24"/>
          <w:szCs w:val="24"/>
          <w:color w:val="auto"/>
        </w:rPr>
      </w:pPr>
    </w:p>
    <w:p>
      <w:pPr>
        <w:ind w:left="40"/>
        <w:spacing w:after="0"/>
        <w:rPr>
          <w:sz w:val="20"/>
          <w:szCs w:val="20"/>
          <w:color w:val="auto"/>
        </w:rPr>
      </w:pPr>
      <w:r>
        <w:rPr>
          <w:rFonts w:ascii="Arial" w:cs="Arial" w:eastAsia="Arial" w:hAnsi="Arial"/>
          <w:sz w:val="12"/>
          <w:szCs w:val="12"/>
          <w:b w:val="1"/>
          <w:bCs w:val="1"/>
          <w:color w:val="auto"/>
        </w:rPr>
        <w:t>(I.R.S. Employer</w:t>
      </w:r>
    </w:p>
    <w:p>
      <w:pPr>
        <w:spacing w:after="0"/>
        <w:rPr>
          <w:sz w:val="20"/>
          <w:szCs w:val="20"/>
          <w:color w:val="auto"/>
        </w:rPr>
      </w:pPr>
      <w:r>
        <w:rPr>
          <w:rFonts w:ascii="Arial" w:cs="Arial" w:eastAsia="Arial" w:hAnsi="Arial"/>
          <w:sz w:val="10"/>
          <w:szCs w:val="10"/>
          <w:b w:val="1"/>
          <w:bCs w:val="1"/>
          <w:color w:val="auto"/>
        </w:rPr>
        <w:t>Identification No.)</w:t>
      </w:r>
    </w:p>
    <w:p>
      <w:pPr>
        <w:spacing w:after="0" w:line="46" w:lineRule="exact"/>
        <w:rPr>
          <w:sz w:val="24"/>
          <w:szCs w:val="24"/>
          <w:color w:val="auto"/>
        </w:rPr>
      </w:pPr>
    </w:p>
    <w:p>
      <w:pPr>
        <w:sectPr>
          <w:pgSz w:w="11900" w:h="16838" w:orient="portrait"/>
          <w:cols w:equalWidth="0" w:num="2">
            <w:col w:w="7220" w:space="720"/>
            <w:col w:w="3300"/>
          </w:cols>
          <w:pgMar w:left="320" w:top="678" w:right="339" w:bottom="1440" w:gutter="0" w:footer="0" w:header="0"/>
          <w:type w:val="continuous"/>
        </w:sectPr>
      </w:pPr>
    </w:p>
    <w:p>
      <w:pPr>
        <w:ind w:left="1800"/>
        <w:spacing w:after="0"/>
        <w:rPr>
          <w:sz w:val="20"/>
          <w:szCs w:val="20"/>
          <w:color w:val="auto"/>
        </w:rPr>
      </w:pPr>
      <w:r>
        <w:rPr>
          <w:rFonts w:ascii="Arial" w:cs="Arial" w:eastAsia="Arial" w:hAnsi="Arial"/>
          <w:sz w:val="18"/>
          <w:szCs w:val="18"/>
          <w:b w:val="1"/>
          <w:bCs w:val="1"/>
          <w:color w:val="auto"/>
        </w:rPr>
        <w:t>201 Third Street, Suite 200</w:t>
      </w:r>
    </w:p>
    <w:p>
      <w:pPr>
        <w:spacing w:after="0" w:line="15" w:lineRule="exact"/>
        <w:rPr>
          <w:sz w:val="24"/>
          <w:szCs w:val="24"/>
          <w:color w:val="auto"/>
        </w:rPr>
      </w:pPr>
    </w:p>
    <w:p>
      <w:pPr>
        <w:ind w:left="1840"/>
        <w:spacing w:after="0"/>
        <w:tabs>
          <w:tab w:leader="none" w:pos="8200" w:val="left"/>
        </w:tabs>
        <w:rPr>
          <w:sz w:val="20"/>
          <w:szCs w:val="20"/>
          <w:color w:val="auto"/>
        </w:rPr>
      </w:pPr>
      <w:r>
        <w:rPr>
          <w:rFonts w:ascii="Arial" w:cs="Arial" w:eastAsia="Arial" w:hAnsi="Arial"/>
          <w:sz w:val="18"/>
          <w:szCs w:val="18"/>
          <w:b w:val="1"/>
          <w:bCs w:val="1"/>
          <w:color w:val="auto"/>
        </w:rPr>
        <w:t>San Francisco, California</w:t>
      </w:r>
      <w:r>
        <w:rPr>
          <w:sz w:val="20"/>
          <w:szCs w:val="20"/>
          <w:color w:val="auto"/>
        </w:rPr>
        <w:tab/>
      </w:r>
      <w:r>
        <w:rPr>
          <w:rFonts w:ascii="Arial" w:cs="Arial" w:eastAsia="Arial" w:hAnsi="Arial"/>
          <w:sz w:val="15"/>
          <w:szCs w:val="15"/>
          <w:b w:val="1"/>
          <w:bCs w:val="1"/>
          <w:color w:val="auto"/>
        </w:rPr>
        <w:t>94103</w:t>
      </w:r>
    </w:p>
    <w:p>
      <w:pPr>
        <w:spacing w:after="0" w:line="15" w:lineRule="exact"/>
        <w:rPr>
          <w:sz w:val="24"/>
          <w:szCs w:val="24"/>
          <w:color w:val="auto"/>
        </w:rPr>
      </w:pPr>
    </w:p>
    <w:p>
      <w:pPr>
        <w:ind w:left="1780"/>
        <w:spacing w:after="0"/>
        <w:tabs>
          <w:tab w:leader="none" w:pos="8120" w:val="left"/>
        </w:tabs>
        <w:rPr>
          <w:sz w:val="20"/>
          <w:szCs w:val="20"/>
          <w:color w:val="auto"/>
        </w:rPr>
      </w:pPr>
      <w:r>
        <w:rPr>
          <w:rFonts w:ascii="Arial" w:cs="Arial" w:eastAsia="Arial" w:hAnsi="Arial"/>
          <w:sz w:val="13"/>
          <w:szCs w:val="13"/>
          <w:b w:val="1"/>
          <w:bCs w:val="1"/>
          <w:color w:val="auto"/>
        </w:rPr>
        <w:t>(Address of principal executive offices)</w:t>
      </w:r>
      <w:r>
        <w:rPr>
          <w:sz w:val="20"/>
          <w:szCs w:val="20"/>
          <w:color w:val="auto"/>
        </w:rPr>
        <w:tab/>
      </w:r>
      <w:r>
        <w:rPr>
          <w:rFonts w:ascii="Arial" w:cs="Arial" w:eastAsia="Arial" w:hAnsi="Arial"/>
          <w:sz w:val="10"/>
          <w:szCs w:val="10"/>
          <w:b w:val="1"/>
          <w:bCs w:val="1"/>
          <w:color w:val="auto"/>
        </w:rPr>
        <w:t>(Zip Code)</w:t>
      </w:r>
    </w:p>
    <w:p>
      <w:pPr>
        <w:spacing w:after="0" w:line="67"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Registrant’s telephone number, including area code: (415) 231-2353</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2856230</wp:posOffset>
            </wp:positionH>
            <wp:positionV relativeFrom="paragraph">
              <wp:posOffset>188595</wp:posOffset>
            </wp:positionV>
            <wp:extent cx="1430020" cy="825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1430020" cy="8255"/>
                    </a:xfrm>
                    <a:prstGeom prst="rect">
                      <a:avLst/>
                    </a:prstGeom>
                    <a:noFill/>
                  </pic:spPr>
                </pic:pic>
              </a:graphicData>
            </a:graphic>
          </wp:anchor>
        </w:drawing>
      </w:r>
    </w:p>
    <w:p>
      <w:pPr>
        <w:spacing w:after="0" w:line="334" w:lineRule="exact"/>
        <w:rPr>
          <w:sz w:val="24"/>
          <w:szCs w:val="24"/>
          <w:color w:val="auto"/>
        </w:rPr>
      </w:pPr>
    </w:p>
    <w:p>
      <w:pPr>
        <w:ind w:left="600"/>
        <w:spacing w:after="0"/>
        <w:rPr>
          <w:sz w:val="20"/>
          <w:szCs w:val="20"/>
          <w:color w:val="auto"/>
        </w:rPr>
      </w:pPr>
      <w:r>
        <w:rPr>
          <w:rFonts w:ascii="Arial" w:cs="Arial" w:eastAsia="Arial" w:hAnsi="Arial"/>
          <w:sz w:val="16"/>
          <w:szCs w:val="16"/>
          <w:color w:val="auto"/>
        </w:rPr>
        <w:t>Securities registered pursuant to Section 12(b) of the Act:</w:t>
      </w:r>
    </w:p>
    <w:p>
      <w:pPr>
        <w:spacing w:after="0" w:line="221" w:lineRule="exact"/>
        <w:rPr>
          <w:sz w:val="24"/>
          <w:szCs w:val="24"/>
          <w:color w:val="auto"/>
        </w:rPr>
      </w:pPr>
    </w:p>
    <w:tbl>
      <w:tblPr>
        <w:tblLayout w:type="fixed"/>
        <w:tblInd w:w="0" w:type="dxa"/>
        <w:tblCellMar>
          <w:top w:w="0" w:type="dxa"/>
          <w:left w:w="0" w:type="dxa"/>
          <w:bottom w:w="0" w:type="dxa"/>
          <w:right w:w="0" w:type="dxa"/>
        </w:tblCellMar>
      </w:tblPr>
      <w:tr>
        <w:trPr>
          <w:trHeight w:val="162"/>
        </w:trPr>
        <w:tc>
          <w:tcPr>
            <w:tcW w:w="4280" w:type="dxa"/>
            <w:vAlign w:val="bottom"/>
            <w:vMerge w:val="restart"/>
          </w:tcPr>
          <w:p>
            <w:pPr>
              <w:jc w:val="center"/>
              <w:spacing w:after="0"/>
              <w:rPr>
                <w:sz w:val="20"/>
                <w:szCs w:val="20"/>
                <w:color w:val="auto"/>
              </w:rPr>
            </w:pPr>
            <w:r>
              <w:rPr>
                <w:rFonts w:ascii="Arial" w:cs="Arial" w:eastAsia="Arial" w:hAnsi="Arial"/>
                <w:sz w:val="14"/>
                <w:szCs w:val="14"/>
                <w:b w:val="1"/>
                <w:bCs w:val="1"/>
                <w:color w:val="auto"/>
                <w:w w:val="89"/>
              </w:rPr>
              <w:t>Title of each class</w:t>
            </w:r>
          </w:p>
        </w:tc>
        <w:tc>
          <w:tcPr>
            <w:tcW w:w="120" w:type="dxa"/>
            <w:vAlign w:val="bottom"/>
          </w:tcPr>
          <w:p>
            <w:pPr>
              <w:spacing w:after="0"/>
              <w:rPr>
                <w:sz w:val="14"/>
                <w:szCs w:val="14"/>
                <w:color w:val="auto"/>
              </w:rPr>
            </w:pPr>
          </w:p>
        </w:tc>
        <w:tc>
          <w:tcPr>
            <w:tcW w:w="1680" w:type="dxa"/>
            <w:vAlign w:val="bottom"/>
          </w:tcPr>
          <w:p>
            <w:pPr>
              <w:jc w:val="center"/>
              <w:spacing w:after="0"/>
              <w:rPr>
                <w:sz w:val="20"/>
                <w:szCs w:val="20"/>
                <w:color w:val="auto"/>
              </w:rPr>
            </w:pPr>
            <w:r>
              <w:rPr>
                <w:rFonts w:ascii="Arial" w:cs="Arial" w:eastAsia="Arial" w:hAnsi="Arial"/>
                <w:sz w:val="14"/>
                <w:szCs w:val="14"/>
                <w:b w:val="1"/>
                <w:bCs w:val="1"/>
                <w:color w:val="auto"/>
                <w:w w:val="97"/>
              </w:rPr>
              <w:t>Trading</w:t>
            </w:r>
          </w:p>
        </w:tc>
        <w:tc>
          <w:tcPr>
            <w:tcW w:w="120" w:type="dxa"/>
            <w:vAlign w:val="bottom"/>
          </w:tcPr>
          <w:p>
            <w:pPr>
              <w:spacing w:after="0"/>
              <w:rPr>
                <w:sz w:val="14"/>
                <w:szCs w:val="14"/>
                <w:color w:val="auto"/>
              </w:rPr>
            </w:pPr>
          </w:p>
        </w:tc>
        <w:tc>
          <w:tcPr>
            <w:tcW w:w="5040" w:type="dxa"/>
            <w:vAlign w:val="bottom"/>
            <w:vMerge w:val="restart"/>
          </w:tcPr>
          <w:p>
            <w:pPr>
              <w:jc w:val="center"/>
              <w:spacing w:after="0"/>
              <w:rPr>
                <w:sz w:val="20"/>
                <w:szCs w:val="20"/>
                <w:color w:val="auto"/>
              </w:rPr>
            </w:pPr>
            <w:r>
              <w:rPr>
                <w:rFonts w:ascii="Arial" w:cs="Arial" w:eastAsia="Arial" w:hAnsi="Arial"/>
                <w:sz w:val="14"/>
                <w:szCs w:val="14"/>
                <w:b w:val="1"/>
                <w:bCs w:val="1"/>
                <w:color w:val="auto"/>
                <w:w w:val="90"/>
              </w:rPr>
              <w:t>Name of each exchange on which registered</w:t>
            </w:r>
          </w:p>
        </w:tc>
        <w:tc>
          <w:tcPr>
            <w:tcW w:w="0" w:type="dxa"/>
            <w:vAlign w:val="bottom"/>
          </w:tcPr>
          <w:p>
            <w:pPr>
              <w:spacing w:after="0"/>
              <w:rPr>
                <w:sz w:val="1"/>
                <w:szCs w:val="1"/>
                <w:color w:val="auto"/>
              </w:rPr>
            </w:pPr>
          </w:p>
        </w:tc>
      </w:tr>
      <w:tr>
        <w:trPr>
          <w:trHeight w:val="171"/>
        </w:trPr>
        <w:tc>
          <w:tcPr>
            <w:tcW w:w="4280" w:type="dxa"/>
            <w:vAlign w:val="bottom"/>
            <w:tcBorders>
              <w:bottom w:val="single" w:sz="8" w:color="auto"/>
            </w:tcBorders>
            <w:vMerge w:val="continue"/>
          </w:tcPr>
          <w:p>
            <w:pPr>
              <w:spacing w:after="0"/>
              <w:rPr>
                <w:sz w:val="14"/>
                <w:szCs w:val="14"/>
                <w:color w:val="auto"/>
              </w:rPr>
            </w:pPr>
          </w:p>
        </w:tc>
        <w:tc>
          <w:tcPr>
            <w:tcW w:w="120" w:type="dxa"/>
            <w:vAlign w:val="bottom"/>
          </w:tcPr>
          <w:p>
            <w:pPr>
              <w:spacing w:after="0"/>
              <w:rPr>
                <w:sz w:val="14"/>
                <w:szCs w:val="14"/>
                <w:color w:val="auto"/>
              </w:rPr>
            </w:pPr>
          </w:p>
        </w:tc>
        <w:tc>
          <w:tcPr>
            <w:tcW w:w="168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1"/>
              </w:rPr>
              <w:t>Symbol(s)</w:t>
            </w:r>
          </w:p>
        </w:tc>
        <w:tc>
          <w:tcPr>
            <w:tcW w:w="120" w:type="dxa"/>
            <w:vAlign w:val="bottom"/>
          </w:tcPr>
          <w:p>
            <w:pPr>
              <w:spacing w:after="0"/>
              <w:rPr>
                <w:sz w:val="14"/>
                <w:szCs w:val="14"/>
                <w:color w:val="auto"/>
              </w:rPr>
            </w:pPr>
          </w:p>
        </w:tc>
        <w:tc>
          <w:tcPr>
            <w:tcW w:w="5040" w:type="dxa"/>
            <w:vAlign w:val="bottom"/>
            <w:tcBorders>
              <w:bottom w:val="single" w:sz="8" w:color="auto"/>
            </w:tcBorders>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200"/>
        </w:trPr>
        <w:tc>
          <w:tcPr>
            <w:tcW w:w="4280" w:type="dxa"/>
            <w:vAlign w:val="bottom"/>
          </w:tcPr>
          <w:p>
            <w:pPr>
              <w:jc w:val="center"/>
              <w:spacing w:after="0"/>
              <w:rPr>
                <w:sz w:val="20"/>
                <w:szCs w:val="20"/>
                <w:color w:val="auto"/>
              </w:rPr>
            </w:pPr>
            <w:r>
              <w:rPr>
                <w:rFonts w:ascii="Arial" w:cs="Arial" w:eastAsia="Arial" w:hAnsi="Arial"/>
                <w:sz w:val="16"/>
                <w:szCs w:val="16"/>
                <w:color w:val="auto"/>
                <w:w w:val="90"/>
              </w:rPr>
              <w:t>Class A Common Stock, $0.00001 par value per share</w:t>
            </w:r>
          </w:p>
        </w:tc>
        <w:tc>
          <w:tcPr>
            <w:tcW w:w="120" w:type="dxa"/>
            <w:vAlign w:val="bottom"/>
          </w:tcPr>
          <w:p>
            <w:pPr>
              <w:spacing w:after="0"/>
              <w:rPr>
                <w:sz w:val="17"/>
                <w:szCs w:val="17"/>
                <w:color w:val="auto"/>
              </w:rPr>
            </w:pPr>
          </w:p>
        </w:tc>
        <w:tc>
          <w:tcPr>
            <w:tcW w:w="1680" w:type="dxa"/>
            <w:vAlign w:val="bottom"/>
          </w:tcPr>
          <w:p>
            <w:pPr>
              <w:jc w:val="center"/>
              <w:spacing w:after="0"/>
              <w:rPr>
                <w:sz w:val="20"/>
                <w:szCs w:val="20"/>
                <w:color w:val="auto"/>
              </w:rPr>
            </w:pPr>
            <w:r>
              <w:rPr>
                <w:rFonts w:ascii="Arial" w:cs="Arial" w:eastAsia="Arial" w:hAnsi="Arial"/>
                <w:sz w:val="16"/>
                <w:szCs w:val="16"/>
                <w:color w:val="auto"/>
              </w:rPr>
              <w:t>AMPL</w:t>
            </w:r>
          </w:p>
        </w:tc>
        <w:tc>
          <w:tcPr>
            <w:tcW w:w="120" w:type="dxa"/>
            <w:vAlign w:val="bottom"/>
          </w:tcPr>
          <w:p>
            <w:pPr>
              <w:spacing w:after="0"/>
              <w:rPr>
                <w:sz w:val="17"/>
                <w:szCs w:val="17"/>
                <w:color w:val="auto"/>
              </w:rPr>
            </w:pPr>
          </w:p>
        </w:tc>
        <w:tc>
          <w:tcPr>
            <w:tcW w:w="5040" w:type="dxa"/>
            <w:vAlign w:val="bottom"/>
          </w:tcPr>
          <w:p>
            <w:pPr>
              <w:jc w:val="center"/>
              <w:spacing w:after="0"/>
              <w:rPr>
                <w:sz w:val="20"/>
                <w:szCs w:val="20"/>
                <w:color w:val="auto"/>
              </w:rPr>
            </w:pPr>
            <w:r>
              <w:rPr>
                <w:rFonts w:ascii="Arial" w:cs="Arial" w:eastAsia="Arial" w:hAnsi="Arial"/>
                <w:sz w:val="16"/>
                <w:szCs w:val="16"/>
                <w:color w:val="auto"/>
                <w:w w:val="93"/>
              </w:rPr>
              <w:t>The Nasdaq Stock Market LLC</w:t>
            </w:r>
          </w:p>
        </w:tc>
        <w:tc>
          <w:tcPr>
            <w:tcW w:w="0" w:type="dxa"/>
            <w:vAlign w:val="bottom"/>
          </w:tcPr>
          <w:p>
            <w:pPr>
              <w:spacing w:after="0"/>
              <w:rPr>
                <w:sz w:val="1"/>
                <w:szCs w:val="1"/>
                <w:color w:val="auto"/>
              </w:rPr>
            </w:pPr>
          </w:p>
        </w:tc>
      </w:tr>
    </w:tbl>
    <w:p>
      <w:pPr>
        <w:spacing w:after="0" w:line="81" w:lineRule="exact"/>
        <w:rPr>
          <w:sz w:val="24"/>
          <w:szCs w:val="24"/>
          <w:color w:val="auto"/>
        </w:rPr>
      </w:pPr>
    </w:p>
    <w:p>
      <w:pPr>
        <w:jc w:val="both"/>
        <w:ind w:right="20" w:firstLine="599"/>
        <w:spacing w:after="0" w:line="201" w:lineRule="exact"/>
        <w:rPr>
          <w:sz w:val="20"/>
          <w:szCs w:val="20"/>
          <w:color w:val="auto"/>
        </w:rPr>
      </w:pPr>
      <w:r>
        <w:rPr>
          <w:rFonts w:ascii="Arial" w:cs="Arial" w:eastAsia="Arial" w:hAnsi="Arial"/>
          <w:sz w:val="16"/>
          <w:szCs w:val="16"/>
          <w:color w:val="auto"/>
        </w:rPr>
        <w:t xml:space="preserve">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 Yes </w:t>
      </w:r>
      <w:r>
        <w:rPr>
          <w:rFonts w:ascii="MS PGothic" w:cs="MS PGothic" w:eastAsia="MS PGothic" w:hAnsi="MS PGothic"/>
          <w:sz w:val="16"/>
          <w:szCs w:val="16"/>
          <w:color w:val="auto"/>
        </w:rPr>
        <w:t>☒</w:t>
      </w:r>
      <w:r>
        <w:rPr>
          <w:rFonts w:ascii="Arial" w:cs="Arial" w:eastAsia="Arial" w:hAnsi="Arial"/>
          <w:sz w:val="16"/>
          <w:szCs w:val="16"/>
          <w:color w:val="auto"/>
        </w:rPr>
        <w:t xml:space="preserve"> No </w:t>
      </w:r>
      <w:r>
        <w:rPr>
          <w:rFonts w:ascii="MS PGothic" w:cs="MS PGothic" w:eastAsia="MS PGothic" w:hAnsi="MS PGothic"/>
          <w:sz w:val="16"/>
          <w:szCs w:val="16"/>
          <w:color w:val="auto"/>
        </w:rPr>
        <w:t>☐</w:t>
      </w:r>
    </w:p>
    <w:p>
      <w:pPr>
        <w:spacing w:after="0" w:line="33" w:lineRule="exact"/>
        <w:rPr>
          <w:sz w:val="24"/>
          <w:szCs w:val="24"/>
          <w:color w:val="auto"/>
        </w:rPr>
      </w:pPr>
    </w:p>
    <w:p>
      <w:pPr>
        <w:ind w:right="100" w:firstLine="599"/>
        <w:spacing w:after="0" w:line="207" w:lineRule="exact"/>
        <w:rPr>
          <w:sz w:val="20"/>
          <w:szCs w:val="20"/>
          <w:color w:val="auto"/>
        </w:rPr>
      </w:pPr>
      <w:r>
        <w:rPr>
          <w:rFonts w:ascii="Arial" w:cs="Arial" w:eastAsia="Arial" w:hAnsi="Arial"/>
          <w:sz w:val="15"/>
          <w:szCs w:val="15"/>
          <w:color w:val="auto"/>
        </w:rPr>
        <w:t xml:space="preserve">Indicate by check mark whether the registrant has submitted electronically every Interactive Data File required to be submitted pursuant to Rule 405 of Regulation S-T (§232.405 of this chapter) during the preceding 12 months (or for such shorter period that the registrant was required to submit such files). Yes </w:t>
      </w:r>
      <w:r>
        <w:rPr>
          <w:rFonts w:ascii="MS PGothic" w:cs="MS PGothic" w:eastAsia="MS PGothic" w:hAnsi="MS PGothic"/>
          <w:sz w:val="15"/>
          <w:szCs w:val="15"/>
          <w:color w:val="auto"/>
        </w:rPr>
        <w:t>☒</w:t>
      </w:r>
      <w:r>
        <w:rPr>
          <w:rFonts w:ascii="Arial" w:cs="Arial" w:eastAsia="Arial" w:hAnsi="Arial"/>
          <w:sz w:val="15"/>
          <w:szCs w:val="15"/>
          <w:color w:val="auto"/>
        </w:rPr>
        <w:t xml:space="preserve"> No </w:t>
      </w:r>
      <w:r>
        <w:rPr>
          <w:rFonts w:ascii="MS PGothic" w:cs="MS PGothic" w:eastAsia="MS PGothic" w:hAnsi="MS PGothic"/>
          <w:sz w:val="15"/>
          <w:szCs w:val="15"/>
          <w:color w:val="auto"/>
        </w:rPr>
        <w:t>☐</w:t>
      </w:r>
    </w:p>
    <w:p>
      <w:pPr>
        <w:spacing w:after="0" w:line="32" w:lineRule="exact"/>
        <w:rPr>
          <w:sz w:val="24"/>
          <w:szCs w:val="24"/>
          <w:color w:val="auto"/>
        </w:rPr>
      </w:pPr>
    </w:p>
    <w:p>
      <w:pPr>
        <w:jc w:val="both"/>
        <w:ind w:right="280" w:firstLine="599"/>
        <w:spacing w:after="0" w:line="260" w:lineRule="auto"/>
        <w:rPr>
          <w:sz w:val="20"/>
          <w:szCs w:val="20"/>
          <w:color w:val="auto"/>
        </w:rPr>
      </w:pPr>
      <w:r>
        <w:rPr>
          <w:rFonts w:ascii="Arial" w:cs="Arial" w:eastAsia="Arial" w:hAnsi="Arial"/>
          <w:sz w:val="16"/>
          <w:szCs w:val="16"/>
          <w:color w:val="auto"/>
        </w:rPr>
        <w:t>Indicate by check mark whether the registrant is a large accelerated filer, an accelerated filer, a non-accelerated filer, smaller reporting company, or an emerging growth company. See the definitions of “large accelerated filer,” “accelerated filer,” “smaller reporting company,” and “emerging growth company” in Rule 12b-2 of the Exchange Act.</w:t>
      </w:r>
    </w:p>
    <w:p>
      <w:pPr>
        <w:spacing w:after="0" w:line="141" w:lineRule="exact"/>
        <w:rPr>
          <w:sz w:val="24"/>
          <w:szCs w:val="24"/>
          <w:color w:val="auto"/>
        </w:rPr>
      </w:pPr>
    </w:p>
    <w:tbl>
      <w:tblPr>
        <w:tblLayout w:type="fixed"/>
        <w:tblInd w:w="20" w:type="dxa"/>
        <w:tblCellMar>
          <w:top w:w="0" w:type="dxa"/>
          <w:left w:w="0" w:type="dxa"/>
          <w:bottom w:w="0" w:type="dxa"/>
          <w:right w:w="0" w:type="dxa"/>
        </w:tblCellMar>
      </w:tblPr>
      <w:tr>
        <w:trPr>
          <w:trHeight w:val="254"/>
        </w:trPr>
        <w:tc>
          <w:tcPr>
            <w:tcW w:w="2020" w:type="dxa"/>
            <w:vAlign w:val="bottom"/>
          </w:tcPr>
          <w:p>
            <w:pPr>
              <w:spacing w:after="0"/>
              <w:rPr>
                <w:sz w:val="20"/>
                <w:szCs w:val="20"/>
                <w:color w:val="auto"/>
              </w:rPr>
            </w:pPr>
            <w:r>
              <w:rPr>
                <w:rFonts w:ascii="Arial" w:cs="Arial" w:eastAsia="Arial" w:hAnsi="Arial"/>
                <w:sz w:val="16"/>
                <w:szCs w:val="16"/>
                <w:color w:val="auto"/>
              </w:rPr>
              <w:t>Large accelerated filer</w:t>
            </w:r>
          </w:p>
        </w:tc>
        <w:tc>
          <w:tcPr>
            <w:tcW w:w="3500" w:type="dxa"/>
            <w:vAlign w:val="bottom"/>
          </w:tcPr>
          <w:p>
            <w:pPr>
              <w:ind w:left="240"/>
              <w:spacing w:after="0" w:line="161" w:lineRule="exact"/>
              <w:rPr>
                <w:sz w:val="20"/>
                <w:szCs w:val="20"/>
                <w:color w:val="auto"/>
              </w:rPr>
            </w:pPr>
            <w:r>
              <w:rPr>
                <w:rFonts w:ascii="MS PGothic" w:cs="MS PGothic" w:eastAsia="MS PGothic" w:hAnsi="MS PGothic"/>
                <w:sz w:val="16"/>
                <w:szCs w:val="16"/>
                <w:color w:val="auto"/>
              </w:rPr>
              <w:t>☐</w:t>
            </w:r>
          </w:p>
        </w:tc>
        <w:tc>
          <w:tcPr>
            <w:tcW w:w="5180" w:type="dxa"/>
            <w:vAlign w:val="bottom"/>
          </w:tcPr>
          <w:p>
            <w:pPr>
              <w:ind w:left="3120"/>
              <w:spacing w:after="0"/>
              <w:rPr>
                <w:sz w:val="20"/>
                <w:szCs w:val="20"/>
                <w:color w:val="auto"/>
              </w:rPr>
            </w:pPr>
            <w:r>
              <w:rPr>
                <w:rFonts w:ascii="Arial" w:cs="Arial" w:eastAsia="Arial" w:hAnsi="Arial"/>
                <w:sz w:val="16"/>
                <w:szCs w:val="16"/>
                <w:color w:val="auto"/>
              </w:rPr>
              <w:t>Accelerated filer</w:t>
            </w:r>
          </w:p>
        </w:tc>
        <w:tc>
          <w:tcPr>
            <w:tcW w:w="440" w:type="dxa"/>
            <w:vAlign w:val="bottom"/>
          </w:tcPr>
          <w:p>
            <w:pPr>
              <w:ind w:left="300"/>
              <w:spacing w:after="0" w:line="161" w:lineRule="exact"/>
              <w:rPr>
                <w:sz w:val="20"/>
                <w:szCs w:val="20"/>
                <w:color w:val="auto"/>
              </w:rPr>
            </w:pPr>
            <w:r>
              <w:rPr>
                <w:rFonts w:ascii="MS PGothic" w:cs="MS PGothic" w:eastAsia="MS PGothic" w:hAnsi="MS PGothic"/>
                <w:sz w:val="16"/>
                <w:szCs w:val="16"/>
                <w:color w:val="auto"/>
                <w:w w:val="74"/>
              </w:rPr>
              <w:t>☐</w:t>
            </w:r>
          </w:p>
        </w:tc>
      </w:tr>
      <w:tr>
        <w:trPr>
          <w:trHeight w:val="418"/>
        </w:trPr>
        <w:tc>
          <w:tcPr>
            <w:tcW w:w="2020" w:type="dxa"/>
            <w:vAlign w:val="bottom"/>
          </w:tcPr>
          <w:p>
            <w:pPr>
              <w:spacing w:after="0"/>
              <w:rPr>
                <w:sz w:val="20"/>
                <w:szCs w:val="20"/>
                <w:color w:val="auto"/>
              </w:rPr>
            </w:pPr>
            <w:r>
              <w:rPr>
                <w:rFonts w:ascii="Arial" w:cs="Arial" w:eastAsia="Arial" w:hAnsi="Arial"/>
                <w:sz w:val="16"/>
                <w:szCs w:val="16"/>
                <w:color w:val="auto"/>
              </w:rPr>
              <w:t>Non-accelerated filer</w:t>
            </w:r>
          </w:p>
        </w:tc>
        <w:tc>
          <w:tcPr>
            <w:tcW w:w="3500" w:type="dxa"/>
            <w:vAlign w:val="bottom"/>
          </w:tcPr>
          <w:p>
            <w:pPr>
              <w:ind w:left="240"/>
              <w:spacing w:after="0" w:line="161" w:lineRule="exact"/>
              <w:rPr>
                <w:sz w:val="20"/>
                <w:szCs w:val="20"/>
                <w:color w:val="auto"/>
              </w:rPr>
            </w:pPr>
            <w:r>
              <w:rPr>
                <w:rFonts w:ascii="MS PGothic" w:cs="MS PGothic" w:eastAsia="MS PGothic" w:hAnsi="MS PGothic"/>
                <w:sz w:val="16"/>
                <w:szCs w:val="16"/>
                <w:color w:val="auto"/>
              </w:rPr>
              <w:t>☒</w:t>
            </w:r>
          </w:p>
        </w:tc>
        <w:tc>
          <w:tcPr>
            <w:tcW w:w="5180" w:type="dxa"/>
            <w:vAlign w:val="bottom"/>
          </w:tcPr>
          <w:p>
            <w:pPr>
              <w:ind w:left="3120"/>
              <w:spacing w:after="0"/>
              <w:rPr>
                <w:sz w:val="20"/>
                <w:szCs w:val="20"/>
                <w:color w:val="auto"/>
              </w:rPr>
            </w:pPr>
            <w:r>
              <w:rPr>
                <w:rFonts w:ascii="Arial" w:cs="Arial" w:eastAsia="Arial" w:hAnsi="Arial"/>
                <w:sz w:val="16"/>
                <w:szCs w:val="16"/>
                <w:color w:val="auto"/>
              </w:rPr>
              <w:t>Smaller reporting company</w:t>
            </w:r>
          </w:p>
        </w:tc>
        <w:tc>
          <w:tcPr>
            <w:tcW w:w="440" w:type="dxa"/>
            <w:vAlign w:val="bottom"/>
          </w:tcPr>
          <w:p>
            <w:pPr>
              <w:ind w:left="300"/>
              <w:spacing w:after="0" w:line="161" w:lineRule="exact"/>
              <w:rPr>
                <w:sz w:val="20"/>
                <w:szCs w:val="20"/>
                <w:color w:val="auto"/>
              </w:rPr>
            </w:pPr>
            <w:r>
              <w:rPr>
                <w:rFonts w:ascii="MS PGothic" w:cs="MS PGothic" w:eastAsia="MS PGothic" w:hAnsi="MS PGothic"/>
                <w:sz w:val="16"/>
                <w:szCs w:val="16"/>
                <w:color w:val="auto"/>
                <w:w w:val="74"/>
              </w:rPr>
              <w:t>☐</w:t>
            </w:r>
          </w:p>
        </w:tc>
      </w:tr>
      <w:tr>
        <w:trPr>
          <w:trHeight w:val="405"/>
        </w:trPr>
        <w:tc>
          <w:tcPr>
            <w:tcW w:w="2020" w:type="dxa"/>
            <w:vAlign w:val="bottom"/>
          </w:tcPr>
          <w:p>
            <w:pPr>
              <w:spacing w:after="0"/>
              <w:rPr>
                <w:sz w:val="20"/>
                <w:szCs w:val="20"/>
                <w:color w:val="auto"/>
              </w:rPr>
            </w:pPr>
            <w:r>
              <w:rPr>
                <w:rFonts w:ascii="Arial" w:cs="Arial" w:eastAsia="Arial" w:hAnsi="Arial"/>
                <w:sz w:val="16"/>
                <w:szCs w:val="16"/>
                <w:color w:val="auto"/>
              </w:rPr>
              <w:t>Emerging growth company</w:t>
            </w:r>
          </w:p>
        </w:tc>
        <w:tc>
          <w:tcPr>
            <w:tcW w:w="3500" w:type="dxa"/>
            <w:vAlign w:val="bottom"/>
          </w:tcPr>
          <w:p>
            <w:pPr>
              <w:ind w:left="240"/>
              <w:spacing w:after="0" w:line="161" w:lineRule="exact"/>
              <w:rPr>
                <w:sz w:val="20"/>
                <w:szCs w:val="20"/>
                <w:color w:val="auto"/>
              </w:rPr>
            </w:pPr>
            <w:r>
              <w:rPr>
                <w:rFonts w:ascii="MS PGothic" w:cs="MS PGothic" w:eastAsia="MS PGothic" w:hAnsi="MS PGothic"/>
                <w:sz w:val="16"/>
                <w:szCs w:val="16"/>
                <w:color w:val="auto"/>
              </w:rPr>
              <w:t>☒</w:t>
            </w:r>
          </w:p>
        </w:tc>
        <w:tc>
          <w:tcPr>
            <w:tcW w:w="5180" w:type="dxa"/>
            <w:vAlign w:val="bottom"/>
          </w:tcPr>
          <w:p>
            <w:pPr>
              <w:spacing w:after="0"/>
              <w:rPr>
                <w:sz w:val="24"/>
                <w:szCs w:val="24"/>
                <w:color w:val="auto"/>
              </w:rPr>
            </w:pPr>
          </w:p>
        </w:tc>
        <w:tc>
          <w:tcPr>
            <w:tcW w:w="440" w:type="dxa"/>
            <w:vAlign w:val="bottom"/>
          </w:tcPr>
          <w:p>
            <w:pPr>
              <w:spacing w:after="0"/>
              <w:rPr>
                <w:sz w:val="24"/>
                <w:szCs w:val="24"/>
                <w:color w:val="auto"/>
              </w:rPr>
            </w:pPr>
          </w:p>
        </w:tc>
      </w:tr>
    </w:tbl>
    <w:p>
      <w:pPr>
        <w:spacing w:after="0" w:line="167" w:lineRule="exact"/>
        <w:rPr>
          <w:sz w:val="24"/>
          <w:szCs w:val="24"/>
          <w:color w:val="auto"/>
        </w:rPr>
      </w:pPr>
    </w:p>
    <w:p>
      <w:pPr>
        <w:ind w:right="500" w:firstLine="599"/>
        <w:spacing w:after="0" w:line="207" w:lineRule="exact"/>
        <w:rPr>
          <w:sz w:val="20"/>
          <w:szCs w:val="20"/>
          <w:color w:val="auto"/>
        </w:rPr>
      </w:pPr>
      <w:r>
        <w:rPr>
          <w:rFonts w:ascii="Arial" w:cs="Arial" w:eastAsia="Arial" w:hAnsi="Arial"/>
          <w:sz w:val="16"/>
          <w:szCs w:val="16"/>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6"/>
          <w:szCs w:val="16"/>
          <w:color w:val="auto"/>
        </w:rPr>
        <w:t>☐</w:t>
      </w:r>
    </w:p>
    <w:p>
      <w:pPr>
        <w:spacing w:after="0" w:line="3" w:lineRule="exact"/>
        <w:rPr>
          <w:sz w:val="24"/>
          <w:szCs w:val="24"/>
          <w:color w:val="auto"/>
        </w:rPr>
      </w:pPr>
    </w:p>
    <w:p>
      <w:pPr>
        <w:ind w:left="600"/>
        <w:spacing w:after="0" w:line="184" w:lineRule="exact"/>
        <w:tabs>
          <w:tab w:leader="none" w:pos="8140" w:val="left"/>
          <w:tab w:leader="none" w:pos="8760" w:val="left"/>
        </w:tabs>
        <w:rPr>
          <w:sz w:val="20"/>
          <w:szCs w:val="20"/>
          <w:color w:val="auto"/>
        </w:rPr>
      </w:pPr>
      <w:r>
        <w:rPr>
          <w:rFonts w:ascii="Arial" w:cs="Arial" w:eastAsia="Arial" w:hAnsi="Arial"/>
          <w:sz w:val="16"/>
          <w:szCs w:val="16"/>
          <w:color w:val="auto"/>
        </w:rPr>
        <w:t>Indicate by check mark whether the registrant is a shell company (as defined in Rule 12b-2 of the Exchange Act).</w:t>
        <w:tab/>
        <w:t xml:space="preserve">Yes </w:t>
      </w:r>
      <w:r>
        <w:rPr>
          <w:rFonts w:ascii="MS PGothic" w:cs="MS PGothic" w:eastAsia="MS PGothic" w:hAnsi="MS PGothic"/>
          <w:sz w:val="16"/>
          <w:szCs w:val="16"/>
          <w:color w:val="auto"/>
        </w:rPr>
        <w:t>☐</w:t>
      </w:r>
      <w:r>
        <w:rPr>
          <w:rFonts w:ascii="Arial" w:cs="Arial" w:eastAsia="Arial" w:hAnsi="Arial"/>
          <w:sz w:val="16"/>
          <w:szCs w:val="16"/>
          <w:color w:val="auto"/>
        </w:rPr>
        <w:tab/>
        <w:t xml:space="preserve">No </w:t>
      </w:r>
      <w:r>
        <w:rPr>
          <w:rFonts w:ascii="MS PGothic" w:cs="MS PGothic" w:eastAsia="MS PGothic" w:hAnsi="MS PGothic"/>
          <w:sz w:val="16"/>
          <w:szCs w:val="16"/>
          <w:color w:val="auto"/>
        </w:rPr>
        <w:t>☒</w:t>
      </w:r>
    </w:p>
    <w:p>
      <w:pPr>
        <w:spacing w:after="0" w:line="102" w:lineRule="exact"/>
        <w:rPr>
          <w:sz w:val="24"/>
          <w:szCs w:val="24"/>
          <w:color w:val="auto"/>
        </w:rPr>
      </w:pPr>
    </w:p>
    <w:p>
      <w:pPr>
        <w:ind w:right="220" w:firstLine="599"/>
        <w:spacing w:after="0" w:line="275" w:lineRule="auto"/>
        <w:rPr>
          <w:sz w:val="20"/>
          <w:szCs w:val="20"/>
          <w:color w:val="auto"/>
        </w:rPr>
      </w:pPr>
      <w:r>
        <w:rPr>
          <w:rFonts w:ascii="Arial" w:cs="Arial" w:eastAsia="Arial" w:hAnsi="Arial"/>
          <w:sz w:val="16"/>
          <w:szCs w:val="16"/>
          <w:color w:val="auto"/>
        </w:rPr>
        <w:t>As of October 27, 2022, there were 68,696,343 shares of the registrant's Class A common stock and 44,443,596 shares of the registrant's Class B common stock, each with a $0.00001 par value per share, outstanding.</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123825</wp:posOffset>
            </wp:positionV>
            <wp:extent cx="7132320" cy="825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132320" cy="825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140970</wp:posOffset>
            </wp:positionV>
            <wp:extent cx="7132320" cy="825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32320" cy="825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359410</wp:posOffset>
            </wp:positionV>
            <wp:extent cx="7157720" cy="4254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678" w:right="339" w:bottom="1440" w:gutter="0" w:footer="0" w:header="0"/>
          <w:type w:val="continuous"/>
        </w:sectPr>
      </w:pPr>
    </w:p>
    <w:bookmarkStart w:id="1" w:name="page2"/>
    <w:bookmarkEnd w:id="1"/>
    <w:p>
      <w:pPr>
        <w:jc w:val="center"/>
        <w:spacing w:after="0"/>
        <w:rPr>
          <w:sz w:val="20"/>
          <w:szCs w:val="20"/>
          <w:color w:val="auto"/>
        </w:rPr>
      </w:pPr>
      <w:r>
        <w:rPr>
          <w:rFonts w:ascii="Arial" w:cs="Arial" w:eastAsia="Arial" w:hAnsi="Arial"/>
          <w:sz w:val="18"/>
          <w:szCs w:val="18"/>
          <w:b w:val="1"/>
          <w:bCs w:val="1"/>
          <w:color w:val="auto"/>
        </w:rPr>
        <w:t>Table of Contents</w:t>
      </w:r>
    </w:p>
    <w:p>
      <w:pPr>
        <w:spacing w:after="0" w:line="207" w:lineRule="exact"/>
        <w:rPr>
          <w:sz w:val="20"/>
          <w:szCs w:val="20"/>
          <w:color w:val="auto"/>
        </w:rPr>
      </w:pPr>
    </w:p>
    <w:tbl>
      <w:tblPr>
        <w:tblLayout w:type="fixed"/>
        <w:tblInd w:w="0" w:type="dxa"/>
        <w:tblCellMar>
          <w:top w:w="0" w:type="dxa"/>
          <w:left w:w="0" w:type="dxa"/>
          <w:bottom w:w="0" w:type="dxa"/>
          <w:right w:w="0" w:type="dxa"/>
        </w:tblCellMar>
      </w:tblPr>
      <w:tr>
        <w:trPr>
          <w:trHeight w:val="185"/>
        </w:trPr>
        <w:tc>
          <w:tcPr>
            <w:tcW w:w="20" w:type="dxa"/>
            <w:vAlign w:val="bottom"/>
          </w:tcPr>
          <w:p>
            <w:pPr>
              <w:spacing w:after="0"/>
              <w:rPr>
                <w:sz w:val="16"/>
                <w:szCs w:val="16"/>
                <w:color w:val="auto"/>
              </w:rPr>
            </w:pPr>
          </w:p>
        </w:tc>
        <w:tc>
          <w:tcPr>
            <w:tcW w:w="1140" w:type="dxa"/>
            <w:vAlign w:val="bottom"/>
            <w:gridSpan w:val="2"/>
            <w:vMerge w:val="restart"/>
          </w:tcPr>
          <w:p>
            <w:pPr>
              <w:spacing w:after="0"/>
              <w:rPr>
                <w:sz w:val="20"/>
                <w:szCs w:val="20"/>
                <w:color w:val="auto"/>
              </w:rPr>
            </w:pPr>
            <w:r>
              <w:rPr>
                <w:rFonts w:ascii="Arial" w:cs="Arial" w:eastAsia="Arial" w:hAnsi="Arial"/>
                <w:sz w:val="18"/>
                <w:szCs w:val="18"/>
                <w:b w:val="1"/>
                <w:bCs w:val="1"/>
                <w:color w:val="auto"/>
              </w:rPr>
              <w:t>PART I.</w:t>
            </w:r>
          </w:p>
        </w:tc>
        <w:tc>
          <w:tcPr>
            <w:tcW w:w="9300" w:type="dxa"/>
            <w:vAlign w:val="bottom"/>
            <w:gridSpan w:val="21"/>
            <w:vMerge w:val="restart"/>
          </w:tcPr>
          <w:p>
            <w:pPr>
              <w:spacing w:after="0"/>
              <w:rPr>
                <w:sz w:val="20"/>
                <w:szCs w:val="20"/>
                <w:color w:val="auto"/>
              </w:rPr>
            </w:pPr>
            <w:r>
              <w:rPr>
                <w:rFonts w:ascii="Arial" w:cs="Arial" w:eastAsia="Arial" w:hAnsi="Arial"/>
                <w:sz w:val="18"/>
                <w:szCs w:val="18"/>
                <w:color w:val="0000FF"/>
              </w:rPr>
              <w:t>FINANCIAL INFORMATION</w:t>
            </w:r>
          </w:p>
        </w:tc>
        <w:tc>
          <w:tcPr>
            <w:tcW w:w="780" w:type="dxa"/>
            <w:vAlign w:val="bottom"/>
            <w:tcBorders>
              <w:bottom w:val="single" w:sz="8" w:color="auto"/>
            </w:tcBorders>
          </w:tcPr>
          <w:p>
            <w:pPr>
              <w:jc w:val="right"/>
              <w:ind w:right="271"/>
              <w:spacing w:after="0"/>
              <w:rPr>
                <w:sz w:val="20"/>
                <w:szCs w:val="20"/>
                <w:color w:val="auto"/>
              </w:rPr>
            </w:pPr>
            <w:r>
              <w:rPr>
                <w:rFonts w:ascii="Arial" w:cs="Arial" w:eastAsia="Arial" w:hAnsi="Arial"/>
                <w:sz w:val="14"/>
                <w:szCs w:val="14"/>
                <w:b w:val="1"/>
                <w:bCs w:val="1"/>
                <w:color w:val="auto"/>
              </w:rPr>
              <w:t>Page</w:t>
            </w:r>
          </w:p>
        </w:tc>
        <w:tc>
          <w:tcPr>
            <w:tcW w:w="0" w:type="dxa"/>
            <w:vAlign w:val="bottom"/>
          </w:tcPr>
          <w:p>
            <w:pPr>
              <w:spacing w:after="0"/>
              <w:rPr>
                <w:sz w:val="1"/>
                <w:szCs w:val="1"/>
                <w:color w:val="auto"/>
              </w:rPr>
            </w:pPr>
          </w:p>
        </w:tc>
      </w:tr>
      <w:tr>
        <w:trPr>
          <w:trHeight w:val="155"/>
        </w:trPr>
        <w:tc>
          <w:tcPr>
            <w:tcW w:w="20" w:type="dxa"/>
            <w:vAlign w:val="bottom"/>
          </w:tcPr>
          <w:p>
            <w:pPr>
              <w:spacing w:after="0"/>
              <w:rPr>
                <w:sz w:val="13"/>
                <w:szCs w:val="13"/>
                <w:color w:val="auto"/>
              </w:rPr>
            </w:pPr>
          </w:p>
        </w:tc>
        <w:tc>
          <w:tcPr>
            <w:tcW w:w="1140" w:type="dxa"/>
            <w:vAlign w:val="bottom"/>
            <w:gridSpan w:val="2"/>
            <w:vMerge w:val="continue"/>
          </w:tcPr>
          <w:p>
            <w:pPr>
              <w:spacing w:after="0"/>
              <w:rPr>
                <w:sz w:val="13"/>
                <w:szCs w:val="13"/>
                <w:color w:val="auto"/>
              </w:rPr>
            </w:pPr>
          </w:p>
        </w:tc>
        <w:tc>
          <w:tcPr>
            <w:tcW w:w="9300" w:type="dxa"/>
            <w:vAlign w:val="bottom"/>
            <w:gridSpan w:val="21"/>
            <w:vMerge w:val="continue"/>
          </w:tcPr>
          <w:p>
            <w:pPr>
              <w:spacing w:after="0"/>
              <w:rPr>
                <w:sz w:val="13"/>
                <w:szCs w:val="13"/>
                <w:color w:val="auto"/>
              </w:rPr>
            </w:pPr>
          </w:p>
        </w:tc>
        <w:tc>
          <w:tcPr>
            <w:tcW w:w="780" w:type="dxa"/>
            <w:vAlign w:val="bottom"/>
          </w:tcPr>
          <w:p>
            <w:pPr>
              <w:jc w:val="right"/>
              <w:spacing w:after="0" w:line="156" w:lineRule="exact"/>
              <w:rPr>
                <w:sz w:val="20"/>
                <w:szCs w:val="20"/>
                <w:color w:val="auto"/>
              </w:rPr>
            </w:pPr>
            <w:r>
              <w:rPr>
                <w:rFonts w:ascii="Arial" w:cs="Arial" w:eastAsia="Arial" w:hAnsi="Arial"/>
                <w:sz w:val="18"/>
                <w:szCs w:val="18"/>
                <w:color w:val="auto"/>
              </w:rPr>
              <w:t>6</w:t>
            </w:r>
          </w:p>
        </w:tc>
        <w:tc>
          <w:tcPr>
            <w:tcW w:w="0" w:type="dxa"/>
            <w:vAlign w:val="bottom"/>
          </w:tcPr>
          <w:p>
            <w:pPr>
              <w:spacing w:after="0"/>
              <w:rPr>
                <w:sz w:val="1"/>
                <w:szCs w:val="1"/>
                <w:color w:val="auto"/>
              </w:rPr>
            </w:pPr>
          </w:p>
        </w:tc>
      </w:tr>
      <w:tr>
        <w:trPr>
          <w:trHeight w:val="182"/>
        </w:trPr>
        <w:tc>
          <w:tcPr>
            <w:tcW w:w="20" w:type="dxa"/>
            <w:vAlign w:val="bottom"/>
          </w:tcPr>
          <w:p>
            <w:pPr>
              <w:spacing w:after="0"/>
              <w:rPr>
                <w:sz w:val="15"/>
                <w:szCs w:val="15"/>
                <w:color w:val="auto"/>
              </w:rPr>
            </w:pPr>
          </w:p>
        </w:tc>
        <w:tc>
          <w:tcPr>
            <w:tcW w:w="1140" w:type="dxa"/>
            <w:vAlign w:val="bottom"/>
            <w:gridSpan w:val="2"/>
          </w:tcPr>
          <w:p>
            <w:pPr>
              <w:spacing w:after="0" w:line="182" w:lineRule="exact"/>
              <w:rPr>
                <w:sz w:val="20"/>
                <w:szCs w:val="20"/>
                <w:color w:val="auto"/>
              </w:rPr>
            </w:pPr>
            <w:r>
              <w:rPr>
                <w:rFonts w:ascii="Arial" w:cs="Arial" w:eastAsia="Arial" w:hAnsi="Arial"/>
                <w:sz w:val="18"/>
                <w:szCs w:val="18"/>
                <w:color w:val="auto"/>
              </w:rPr>
              <w:t>Item 1.</w:t>
            </w:r>
          </w:p>
        </w:tc>
        <w:tc>
          <w:tcPr>
            <w:tcW w:w="2260" w:type="dxa"/>
            <w:vAlign w:val="bottom"/>
            <w:tcBorders>
              <w:top w:val="single" w:sz="8" w:color="0000FF"/>
              <w:bottom w:val="single" w:sz="8" w:color="0000FF"/>
            </w:tcBorders>
            <w:gridSpan w:val="9"/>
          </w:tcPr>
          <w:p>
            <w:pPr>
              <w:spacing w:after="0" w:line="182" w:lineRule="exact"/>
              <w:rPr>
                <w:sz w:val="20"/>
                <w:szCs w:val="20"/>
                <w:color w:val="auto"/>
              </w:rPr>
            </w:pPr>
            <w:r>
              <w:rPr>
                <w:rFonts w:ascii="Arial" w:cs="Arial" w:eastAsia="Arial" w:hAnsi="Arial"/>
                <w:sz w:val="18"/>
                <w:szCs w:val="18"/>
                <w:color w:val="0000FF"/>
                <w:w w:val="83"/>
              </w:rPr>
              <w:t>Financial Statements (Unaudited)</w:t>
            </w:r>
          </w:p>
        </w:tc>
        <w:tc>
          <w:tcPr>
            <w:tcW w:w="60" w:type="dxa"/>
            <w:vAlign w:val="bottom"/>
            <w:tcBorders>
              <w:bottom w:val="single" w:sz="8" w:color="0000FF"/>
            </w:tcBorders>
          </w:tcPr>
          <w:p>
            <w:pPr>
              <w:spacing w:after="0"/>
              <w:rPr>
                <w:sz w:val="15"/>
                <w:szCs w:val="15"/>
                <w:color w:val="auto"/>
              </w:rPr>
            </w:pPr>
          </w:p>
        </w:tc>
        <w:tc>
          <w:tcPr>
            <w:tcW w:w="100" w:type="dxa"/>
            <w:vAlign w:val="bottom"/>
            <w:tcBorders>
              <w:bottom w:val="single" w:sz="8" w:color="0000FF"/>
            </w:tcBorders>
          </w:tcPr>
          <w:p>
            <w:pPr>
              <w:spacing w:after="0"/>
              <w:rPr>
                <w:sz w:val="15"/>
                <w:szCs w:val="15"/>
                <w:color w:val="auto"/>
              </w:rPr>
            </w:pPr>
          </w:p>
        </w:tc>
        <w:tc>
          <w:tcPr>
            <w:tcW w:w="52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160" w:type="dxa"/>
            <w:vAlign w:val="bottom"/>
          </w:tcPr>
          <w:p>
            <w:pPr>
              <w:spacing w:after="0"/>
              <w:rPr>
                <w:sz w:val="15"/>
                <w:szCs w:val="15"/>
                <w:color w:val="auto"/>
              </w:rPr>
            </w:pPr>
          </w:p>
        </w:tc>
        <w:tc>
          <w:tcPr>
            <w:tcW w:w="940" w:type="dxa"/>
            <w:vAlign w:val="bottom"/>
          </w:tcPr>
          <w:p>
            <w:pPr>
              <w:spacing w:after="0"/>
              <w:rPr>
                <w:sz w:val="15"/>
                <w:szCs w:val="15"/>
                <w:color w:val="auto"/>
              </w:rPr>
            </w:pPr>
          </w:p>
        </w:tc>
        <w:tc>
          <w:tcPr>
            <w:tcW w:w="1940" w:type="dxa"/>
            <w:vAlign w:val="bottom"/>
          </w:tcPr>
          <w:p>
            <w:pPr>
              <w:spacing w:after="0"/>
              <w:rPr>
                <w:sz w:val="15"/>
                <w:szCs w:val="15"/>
                <w:color w:val="auto"/>
              </w:rPr>
            </w:pPr>
          </w:p>
        </w:tc>
        <w:tc>
          <w:tcPr>
            <w:tcW w:w="900" w:type="dxa"/>
            <w:vAlign w:val="bottom"/>
          </w:tcPr>
          <w:p>
            <w:pPr>
              <w:spacing w:after="0"/>
              <w:rPr>
                <w:sz w:val="15"/>
                <w:szCs w:val="15"/>
                <w:color w:val="auto"/>
              </w:rPr>
            </w:pPr>
          </w:p>
        </w:tc>
        <w:tc>
          <w:tcPr>
            <w:tcW w:w="780" w:type="dxa"/>
            <w:vAlign w:val="bottom"/>
          </w:tcPr>
          <w:p>
            <w:pPr>
              <w:jc w:val="right"/>
              <w:spacing w:after="0" w:line="182" w:lineRule="exact"/>
              <w:rPr>
                <w:sz w:val="20"/>
                <w:szCs w:val="20"/>
                <w:color w:val="auto"/>
              </w:rPr>
            </w:pPr>
            <w:r>
              <w:rPr>
                <w:rFonts w:ascii="Arial" w:cs="Arial" w:eastAsia="Arial" w:hAnsi="Arial"/>
                <w:sz w:val="18"/>
                <w:szCs w:val="18"/>
                <w:color w:val="auto"/>
              </w:rPr>
              <w:t>6</w:t>
            </w:r>
          </w:p>
        </w:tc>
        <w:tc>
          <w:tcPr>
            <w:tcW w:w="0" w:type="dxa"/>
            <w:vAlign w:val="bottom"/>
          </w:tcPr>
          <w:p>
            <w:pPr>
              <w:spacing w:after="0"/>
              <w:rPr>
                <w:sz w:val="1"/>
                <w:szCs w:val="1"/>
                <w:color w:val="auto"/>
              </w:rPr>
            </w:pPr>
          </w:p>
        </w:tc>
      </w:tr>
      <w:tr>
        <w:trPr>
          <w:trHeight w:val="182"/>
        </w:trPr>
        <w:tc>
          <w:tcPr>
            <w:tcW w:w="2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2420" w:type="dxa"/>
            <w:vAlign w:val="bottom"/>
            <w:gridSpan w:val="11"/>
          </w:tcPr>
          <w:p>
            <w:pPr>
              <w:spacing w:after="0" w:line="182" w:lineRule="exact"/>
              <w:rPr>
                <w:sz w:val="20"/>
                <w:szCs w:val="20"/>
                <w:color w:val="auto"/>
              </w:rPr>
            </w:pPr>
            <w:r>
              <w:rPr>
                <w:rFonts w:ascii="Arial" w:cs="Arial" w:eastAsia="Arial" w:hAnsi="Arial"/>
                <w:sz w:val="18"/>
                <w:szCs w:val="18"/>
                <w:color w:val="0000FF"/>
                <w:w w:val="88"/>
              </w:rPr>
              <w:t>Condensed Consolidated Balance</w:t>
            </w:r>
          </w:p>
        </w:tc>
        <w:tc>
          <w:tcPr>
            <w:tcW w:w="6880" w:type="dxa"/>
            <w:vAlign w:val="bottom"/>
            <w:gridSpan w:val="10"/>
          </w:tcPr>
          <w:p>
            <w:pPr>
              <w:ind w:left="40"/>
              <w:spacing w:after="0" w:line="182" w:lineRule="exact"/>
              <w:rPr>
                <w:sz w:val="20"/>
                <w:szCs w:val="20"/>
                <w:color w:val="auto"/>
              </w:rPr>
            </w:pPr>
            <w:r>
              <w:rPr>
                <w:rFonts w:ascii="Arial" w:cs="Arial" w:eastAsia="Arial" w:hAnsi="Arial"/>
                <w:sz w:val="18"/>
                <w:szCs w:val="18"/>
                <w:color w:val="0000FF"/>
              </w:rPr>
              <w:t>Sheets</w:t>
            </w:r>
          </w:p>
        </w:tc>
        <w:tc>
          <w:tcPr>
            <w:tcW w:w="780" w:type="dxa"/>
            <w:vAlign w:val="bottom"/>
          </w:tcPr>
          <w:p>
            <w:pPr>
              <w:jc w:val="right"/>
              <w:spacing w:after="0" w:line="182" w:lineRule="exact"/>
              <w:rPr>
                <w:sz w:val="20"/>
                <w:szCs w:val="20"/>
                <w:color w:val="auto"/>
              </w:rPr>
            </w:pPr>
            <w:r>
              <w:rPr>
                <w:rFonts w:ascii="Arial" w:cs="Arial" w:eastAsia="Arial" w:hAnsi="Arial"/>
                <w:sz w:val="18"/>
                <w:szCs w:val="18"/>
                <w:color w:val="auto"/>
              </w:rPr>
              <w:t>6</w:t>
            </w:r>
          </w:p>
        </w:tc>
        <w:tc>
          <w:tcPr>
            <w:tcW w:w="0" w:type="dxa"/>
            <w:vAlign w:val="bottom"/>
          </w:tcPr>
          <w:p>
            <w:pPr>
              <w:spacing w:after="0"/>
              <w:rPr>
                <w:sz w:val="1"/>
                <w:szCs w:val="1"/>
                <w:color w:val="auto"/>
              </w:rPr>
            </w:pPr>
          </w:p>
        </w:tc>
      </w:tr>
      <w:tr>
        <w:trPr>
          <w:trHeight w:val="182"/>
        </w:trPr>
        <w:tc>
          <w:tcPr>
            <w:tcW w:w="2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2940" w:type="dxa"/>
            <w:vAlign w:val="bottom"/>
            <w:tcBorders>
              <w:top w:val="single" w:sz="8" w:color="0000FF"/>
            </w:tcBorders>
            <w:gridSpan w:val="12"/>
          </w:tcPr>
          <w:p>
            <w:pPr>
              <w:spacing w:after="0" w:line="182" w:lineRule="exact"/>
              <w:rPr>
                <w:sz w:val="20"/>
                <w:szCs w:val="20"/>
                <w:color w:val="auto"/>
              </w:rPr>
            </w:pPr>
            <w:r>
              <w:rPr>
                <w:rFonts w:ascii="Arial" w:cs="Arial" w:eastAsia="Arial" w:hAnsi="Arial"/>
                <w:sz w:val="18"/>
                <w:szCs w:val="18"/>
                <w:color w:val="0000FF"/>
                <w:w w:val="91"/>
              </w:rPr>
              <w:t>Condensed Consolidated Statements of</w:t>
            </w:r>
          </w:p>
        </w:tc>
        <w:tc>
          <w:tcPr>
            <w:tcW w:w="6360" w:type="dxa"/>
            <w:vAlign w:val="bottom"/>
            <w:gridSpan w:val="9"/>
          </w:tcPr>
          <w:p>
            <w:pPr>
              <w:spacing w:after="0" w:line="182" w:lineRule="exact"/>
              <w:rPr>
                <w:sz w:val="20"/>
                <w:szCs w:val="20"/>
                <w:color w:val="auto"/>
              </w:rPr>
            </w:pPr>
            <w:r>
              <w:rPr>
                <w:rFonts w:ascii="Arial" w:cs="Arial" w:eastAsia="Arial" w:hAnsi="Arial"/>
                <w:sz w:val="18"/>
                <w:szCs w:val="18"/>
                <w:color w:val="0000FF"/>
              </w:rPr>
              <w:t>Operations and Comprehensive Loss</w:t>
            </w:r>
          </w:p>
        </w:tc>
        <w:tc>
          <w:tcPr>
            <w:tcW w:w="780" w:type="dxa"/>
            <w:vAlign w:val="bottom"/>
          </w:tcPr>
          <w:p>
            <w:pPr>
              <w:jc w:val="right"/>
              <w:spacing w:after="0" w:line="182" w:lineRule="exact"/>
              <w:rPr>
                <w:sz w:val="20"/>
                <w:szCs w:val="20"/>
                <w:color w:val="auto"/>
              </w:rPr>
            </w:pPr>
            <w:r>
              <w:rPr>
                <w:rFonts w:ascii="Arial" w:cs="Arial" w:eastAsia="Arial" w:hAnsi="Arial"/>
                <w:sz w:val="18"/>
                <w:szCs w:val="18"/>
                <w:color w:val="auto"/>
              </w:rPr>
              <w:t>7</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600" w:type="dxa"/>
            <w:vAlign w:val="bottom"/>
            <w:shd w:val="clear" w:color="auto" w:fill="0000FF"/>
          </w:tcPr>
          <w:p>
            <w:pPr>
              <w:spacing w:after="0" w:line="20" w:lineRule="exact"/>
              <w:rPr>
                <w:sz w:val="1"/>
                <w:szCs w:val="1"/>
                <w:color w:val="auto"/>
              </w:rPr>
            </w:pPr>
          </w:p>
        </w:tc>
        <w:tc>
          <w:tcPr>
            <w:tcW w:w="32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38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44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440" w:type="dxa"/>
            <w:vAlign w:val="bottom"/>
            <w:gridSpan w:val="2"/>
            <w:shd w:val="clear" w:color="auto" w:fill="0000FF"/>
          </w:tcPr>
          <w:p>
            <w:pPr>
              <w:spacing w:after="0" w:line="20" w:lineRule="exact"/>
              <w:rPr>
                <w:sz w:val="1"/>
                <w:szCs w:val="1"/>
                <w:color w:val="auto"/>
              </w:rPr>
            </w:pPr>
          </w:p>
        </w:tc>
        <w:tc>
          <w:tcPr>
            <w:tcW w:w="1400" w:type="dxa"/>
            <w:vAlign w:val="bottom"/>
            <w:gridSpan w:val="3"/>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260" w:type="dxa"/>
            <w:vAlign w:val="bottom"/>
            <w:shd w:val="clear" w:color="auto" w:fill="0000FF"/>
          </w:tcPr>
          <w:p>
            <w:pPr>
              <w:spacing w:after="0" w:line="20" w:lineRule="exact"/>
              <w:rPr>
                <w:sz w:val="1"/>
                <w:szCs w:val="1"/>
                <w:color w:val="auto"/>
              </w:rPr>
            </w:pPr>
          </w:p>
        </w:tc>
        <w:tc>
          <w:tcPr>
            <w:tcW w:w="34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1160" w:type="dxa"/>
            <w:vAlign w:val="bottom"/>
            <w:shd w:val="clear" w:color="auto" w:fill="0000FF"/>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194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780" w:type="dxa"/>
            <w:vAlign w:val="bottom"/>
            <w:vMerge w:val="restart"/>
          </w:tcPr>
          <w:p>
            <w:pPr>
              <w:jc w:val="right"/>
              <w:spacing w:after="0" w:line="202" w:lineRule="exact"/>
              <w:rPr>
                <w:sz w:val="20"/>
                <w:szCs w:val="20"/>
                <w:color w:val="auto"/>
              </w:rPr>
            </w:pPr>
            <w:r>
              <w:rPr>
                <w:rFonts w:ascii="Arial" w:cs="Arial" w:eastAsia="Arial" w:hAnsi="Arial"/>
                <w:sz w:val="18"/>
                <w:szCs w:val="18"/>
                <w:color w:val="auto"/>
              </w:rPr>
              <w:t>8</w:t>
            </w:r>
          </w:p>
        </w:tc>
        <w:tc>
          <w:tcPr>
            <w:tcW w:w="0" w:type="dxa"/>
            <w:vAlign w:val="bottom"/>
          </w:tcPr>
          <w:p>
            <w:pPr>
              <w:spacing w:after="0" w:line="20" w:lineRule="exact"/>
              <w:rPr>
                <w:sz w:val="1"/>
                <w:szCs w:val="1"/>
                <w:color w:val="auto"/>
              </w:rPr>
            </w:pPr>
          </w:p>
        </w:tc>
      </w:tr>
      <w:tr>
        <w:trPr>
          <w:trHeight w:val="182"/>
        </w:trPr>
        <w:tc>
          <w:tcPr>
            <w:tcW w:w="2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9300" w:type="dxa"/>
            <w:vAlign w:val="bottom"/>
            <w:gridSpan w:val="21"/>
          </w:tcPr>
          <w:p>
            <w:pPr>
              <w:spacing w:after="0" w:line="182" w:lineRule="exact"/>
              <w:rPr>
                <w:sz w:val="20"/>
                <w:szCs w:val="20"/>
                <w:color w:val="auto"/>
              </w:rPr>
            </w:pPr>
            <w:r>
              <w:rPr>
                <w:rFonts w:ascii="Arial" w:cs="Arial" w:eastAsia="Arial" w:hAnsi="Arial"/>
                <w:sz w:val="18"/>
                <w:szCs w:val="18"/>
                <w:color w:val="0000FF"/>
              </w:rPr>
              <w:t>Condensed Consolidated Statements of Redeemable Convertible Preferred Stock and Stockholders’ Equity (Deficit)</w:t>
            </w:r>
          </w:p>
        </w:tc>
        <w:tc>
          <w:tcPr>
            <w:tcW w:w="78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182"/>
        </w:trPr>
        <w:tc>
          <w:tcPr>
            <w:tcW w:w="2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3720" w:type="dxa"/>
            <w:vAlign w:val="bottom"/>
            <w:tcBorders>
              <w:top w:val="single" w:sz="8" w:color="0000EE"/>
              <w:bottom w:val="single" w:sz="8" w:color="0000FF"/>
            </w:tcBorders>
            <w:gridSpan w:val="13"/>
          </w:tcPr>
          <w:p>
            <w:pPr>
              <w:spacing w:after="0" w:line="182" w:lineRule="exact"/>
              <w:rPr>
                <w:sz w:val="20"/>
                <w:szCs w:val="20"/>
                <w:color w:val="auto"/>
              </w:rPr>
            </w:pPr>
            <w:r>
              <w:rPr>
                <w:rFonts w:ascii="Arial" w:cs="Arial" w:eastAsia="Arial" w:hAnsi="Arial"/>
                <w:sz w:val="18"/>
                <w:szCs w:val="18"/>
                <w:color w:val="0000FF"/>
                <w:w w:val="88"/>
              </w:rPr>
              <w:t>Condensed Consolidated Statements of Cash Flows</w:t>
            </w:r>
          </w:p>
        </w:tc>
        <w:tc>
          <w:tcPr>
            <w:tcW w:w="20" w:type="dxa"/>
            <w:vAlign w:val="bottom"/>
            <w:tcBorders>
              <w:top w:val="single" w:sz="8" w:color="0000EE"/>
              <w:bottom w:val="single" w:sz="8" w:color="0000EE"/>
            </w:tcBorders>
          </w:tcPr>
          <w:p>
            <w:pPr>
              <w:spacing w:after="0"/>
              <w:rPr>
                <w:sz w:val="15"/>
                <w:szCs w:val="15"/>
                <w:color w:val="auto"/>
              </w:rPr>
            </w:pPr>
          </w:p>
        </w:tc>
        <w:tc>
          <w:tcPr>
            <w:tcW w:w="4660" w:type="dxa"/>
            <w:vAlign w:val="bottom"/>
            <w:tcBorders>
              <w:top w:val="single" w:sz="8" w:color="0000EE"/>
            </w:tcBorders>
            <w:gridSpan w:val="6"/>
          </w:tcPr>
          <w:p>
            <w:pPr>
              <w:spacing w:after="0"/>
              <w:rPr>
                <w:sz w:val="15"/>
                <w:szCs w:val="15"/>
                <w:color w:val="auto"/>
              </w:rPr>
            </w:pPr>
          </w:p>
        </w:tc>
        <w:tc>
          <w:tcPr>
            <w:tcW w:w="900" w:type="dxa"/>
            <w:vAlign w:val="bottom"/>
          </w:tcPr>
          <w:p>
            <w:pPr>
              <w:spacing w:after="0"/>
              <w:rPr>
                <w:sz w:val="15"/>
                <w:szCs w:val="15"/>
                <w:color w:val="auto"/>
              </w:rPr>
            </w:pPr>
          </w:p>
        </w:tc>
        <w:tc>
          <w:tcPr>
            <w:tcW w:w="780" w:type="dxa"/>
            <w:vAlign w:val="bottom"/>
          </w:tcPr>
          <w:p>
            <w:pPr>
              <w:jc w:val="right"/>
              <w:spacing w:after="0" w:line="182" w:lineRule="exact"/>
              <w:rPr>
                <w:sz w:val="20"/>
                <w:szCs w:val="20"/>
                <w:color w:val="auto"/>
              </w:rPr>
            </w:pPr>
            <w:r>
              <w:rPr>
                <w:rFonts w:ascii="Arial" w:cs="Arial" w:eastAsia="Arial" w:hAnsi="Arial"/>
                <w:sz w:val="18"/>
                <w:szCs w:val="18"/>
                <w:color w:val="auto"/>
              </w:rPr>
              <w:t>10</w:t>
            </w:r>
          </w:p>
        </w:tc>
        <w:tc>
          <w:tcPr>
            <w:tcW w:w="0" w:type="dxa"/>
            <w:vAlign w:val="bottom"/>
          </w:tcPr>
          <w:p>
            <w:pPr>
              <w:spacing w:after="0"/>
              <w:rPr>
                <w:sz w:val="1"/>
                <w:szCs w:val="1"/>
                <w:color w:val="auto"/>
              </w:rPr>
            </w:pPr>
          </w:p>
        </w:tc>
      </w:tr>
      <w:tr>
        <w:trPr>
          <w:trHeight w:val="182"/>
        </w:trPr>
        <w:tc>
          <w:tcPr>
            <w:tcW w:w="2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9300" w:type="dxa"/>
            <w:vAlign w:val="bottom"/>
            <w:gridSpan w:val="21"/>
          </w:tcPr>
          <w:p>
            <w:pPr>
              <w:spacing w:after="0" w:line="182" w:lineRule="exact"/>
              <w:rPr>
                <w:sz w:val="20"/>
                <w:szCs w:val="20"/>
                <w:color w:val="auto"/>
              </w:rPr>
            </w:pPr>
            <w:r>
              <w:rPr>
                <w:rFonts w:ascii="Arial" w:cs="Arial" w:eastAsia="Arial" w:hAnsi="Arial"/>
                <w:sz w:val="18"/>
                <w:szCs w:val="18"/>
                <w:color w:val="0000FF"/>
              </w:rPr>
              <w:t>Notes to Condensed Consolidated Financial Statements</w:t>
            </w:r>
          </w:p>
        </w:tc>
        <w:tc>
          <w:tcPr>
            <w:tcW w:w="780" w:type="dxa"/>
            <w:vAlign w:val="bottom"/>
          </w:tcPr>
          <w:p>
            <w:pPr>
              <w:jc w:val="right"/>
              <w:spacing w:after="0" w:line="182" w:lineRule="exact"/>
              <w:rPr>
                <w:sz w:val="20"/>
                <w:szCs w:val="20"/>
                <w:color w:val="auto"/>
              </w:rPr>
            </w:pPr>
            <w:r>
              <w:rPr>
                <w:rFonts w:ascii="Arial" w:cs="Arial" w:eastAsia="Arial" w:hAnsi="Arial"/>
                <w:sz w:val="18"/>
                <w:szCs w:val="18"/>
                <w:color w:val="auto"/>
              </w:rPr>
              <w:t>11</w:t>
            </w:r>
          </w:p>
        </w:tc>
        <w:tc>
          <w:tcPr>
            <w:tcW w:w="0" w:type="dxa"/>
            <w:vAlign w:val="bottom"/>
          </w:tcPr>
          <w:p>
            <w:pPr>
              <w:spacing w:after="0"/>
              <w:rPr>
                <w:sz w:val="1"/>
                <w:szCs w:val="1"/>
                <w:color w:val="auto"/>
              </w:rPr>
            </w:pPr>
          </w:p>
        </w:tc>
      </w:tr>
      <w:tr>
        <w:trPr>
          <w:trHeight w:val="182"/>
        </w:trPr>
        <w:tc>
          <w:tcPr>
            <w:tcW w:w="20" w:type="dxa"/>
            <w:vAlign w:val="bottom"/>
          </w:tcPr>
          <w:p>
            <w:pPr>
              <w:spacing w:after="0"/>
              <w:rPr>
                <w:sz w:val="15"/>
                <w:szCs w:val="15"/>
                <w:color w:val="auto"/>
              </w:rPr>
            </w:pPr>
          </w:p>
        </w:tc>
        <w:tc>
          <w:tcPr>
            <w:tcW w:w="1140" w:type="dxa"/>
            <w:vAlign w:val="bottom"/>
            <w:gridSpan w:val="2"/>
          </w:tcPr>
          <w:p>
            <w:pPr>
              <w:spacing w:after="0" w:line="182" w:lineRule="exact"/>
              <w:rPr>
                <w:sz w:val="20"/>
                <w:szCs w:val="20"/>
                <w:color w:val="auto"/>
              </w:rPr>
            </w:pPr>
            <w:r>
              <w:rPr>
                <w:rFonts w:ascii="Arial" w:cs="Arial" w:eastAsia="Arial" w:hAnsi="Arial"/>
                <w:sz w:val="18"/>
                <w:szCs w:val="18"/>
                <w:color w:val="auto"/>
              </w:rPr>
              <w:t>Item 2.</w:t>
            </w:r>
          </w:p>
        </w:tc>
        <w:tc>
          <w:tcPr>
            <w:tcW w:w="4000" w:type="dxa"/>
            <w:vAlign w:val="bottom"/>
            <w:tcBorders>
              <w:top w:val="single" w:sz="8" w:color="0000FF"/>
            </w:tcBorders>
            <w:gridSpan w:val="15"/>
          </w:tcPr>
          <w:p>
            <w:pPr>
              <w:spacing w:after="0" w:line="182" w:lineRule="exact"/>
              <w:rPr>
                <w:sz w:val="20"/>
                <w:szCs w:val="20"/>
                <w:color w:val="auto"/>
              </w:rPr>
            </w:pPr>
            <w:r>
              <w:rPr>
                <w:rFonts w:ascii="Arial" w:cs="Arial" w:eastAsia="Arial" w:hAnsi="Arial"/>
                <w:sz w:val="18"/>
                <w:szCs w:val="18"/>
                <w:color w:val="0000FF"/>
                <w:w w:val="96"/>
              </w:rPr>
              <w:t>Management’s Discussion and Analysis of Financial</w:t>
            </w:r>
          </w:p>
        </w:tc>
        <w:tc>
          <w:tcPr>
            <w:tcW w:w="5300" w:type="dxa"/>
            <w:vAlign w:val="bottom"/>
            <w:gridSpan w:val="6"/>
          </w:tcPr>
          <w:p>
            <w:pPr>
              <w:spacing w:after="0" w:line="182" w:lineRule="exact"/>
              <w:rPr>
                <w:sz w:val="20"/>
                <w:szCs w:val="20"/>
                <w:color w:val="auto"/>
              </w:rPr>
            </w:pPr>
            <w:r>
              <w:rPr>
                <w:rFonts w:ascii="Arial" w:cs="Arial" w:eastAsia="Arial" w:hAnsi="Arial"/>
                <w:sz w:val="18"/>
                <w:szCs w:val="18"/>
                <w:color w:val="0000FF"/>
              </w:rPr>
              <w:t>Condition and Results of Operations</w:t>
            </w:r>
          </w:p>
        </w:tc>
        <w:tc>
          <w:tcPr>
            <w:tcW w:w="780" w:type="dxa"/>
            <w:vAlign w:val="bottom"/>
          </w:tcPr>
          <w:p>
            <w:pPr>
              <w:jc w:val="right"/>
              <w:spacing w:after="0" w:line="182" w:lineRule="exact"/>
              <w:rPr>
                <w:sz w:val="20"/>
                <w:szCs w:val="20"/>
                <w:color w:val="auto"/>
              </w:rPr>
            </w:pPr>
            <w:r>
              <w:rPr>
                <w:rFonts w:ascii="Arial" w:cs="Arial" w:eastAsia="Arial" w:hAnsi="Arial"/>
                <w:sz w:val="18"/>
                <w:szCs w:val="18"/>
                <w:color w:val="auto"/>
              </w:rPr>
              <w:t>25</w:t>
            </w:r>
          </w:p>
        </w:tc>
        <w:tc>
          <w:tcPr>
            <w:tcW w:w="0" w:type="dxa"/>
            <w:vAlign w:val="bottom"/>
          </w:tcPr>
          <w:p>
            <w:pPr>
              <w:spacing w:after="0"/>
              <w:rPr>
                <w:sz w:val="1"/>
                <w:szCs w:val="1"/>
                <w:color w:val="auto"/>
              </w:rPr>
            </w:pPr>
          </w:p>
        </w:tc>
      </w:tr>
      <w:tr>
        <w:trPr>
          <w:trHeight w:val="182"/>
        </w:trPr>
        <w:tc>
          <w:tcPr>
            <w:tcW w:w="20" w:type="dxa"/>
            <w:vAlign w:val="bottom"/>
          </w:tcPr>
          <w:p>
            <w:pPr>
              <w:spacing w:after="0"/>
              <w:rPr>
                <w:sz w:val="15"/>
                <w:szCs w:val="15"/>
                <w:color w:val="auto"/>
              </w:rPr>
            </w:pPr>
          </w:p>
        </w:tc>
        <w:tc>
          <w:tcPr>
            <w:tcW w:w="1140" w:type="dxa"/>
            <w:vAlign w:val="bottom"/>
            <w:gridSpan w:val="2"/>
          </w:tcPr>
          <w:p>
            <w:pPr>
              <w:spacing w:after="0" w:line="182" w:lineRule="exact"/>
              <w:rPr>
                <w:sz w:val="20"/>
                <w:szCs w:val="20"/>
                <w:color w:val="auto"/>
              </w:rPr>
            </w:pPr>
            <w:r>
              <w:rPr>
                <w:rFonts w:ascii="Arial" w:cs="Arial" w:eastAsia="Arial" w:hAnsi="Arial"/>
                <w:sz w:val="18"/>
                <w:szCs w:val="18"/>
                <w:color w:val="auto"/>
              </w:rPr>
              <w:t>Item 3.</w:t>
            </w:r>
          </w:p>
        </w:tc>
        <w:tc>
          <w:tcPr>
            <w:tcW w:w="6460" w:type="dxa"/>
            <w:vAlign w:val="bottom"/>
            <w:tcBorders>
              <w:top w:val="single" w:sz="8" w:color="0000FF"/>
            </w:tcBorders>
            <w:gridSpan w:val="19"/>
          </w:tcPr>
          <w:p>
            <w:pPr>
              <w:spacing w:after="0" w:line="182" w:lineRule="exact"/>
              <w:rPr>
                <w:sz w:val="20"/>
                <w:szCs w:val="20"/>
                <w:color w:val="auto"/>
              </w:rPr>
            </w:pPr>
            <w:r>
              <w:rPr>
                <w:rFonts w:ascii="Arial" w:cs="Arial" w:eastAsia="Arial" w:hAnsi="Arial"/>
                <w:sz w:val="18"/>
                <w:szCs w:val="18"/>
                <w:color w:val="0000FF"/>
              </w:rPr>
              <w:t>Quantitative and Qualitative Disclosures About Market Risk</w:t>
            </w:r>
          </w:p>
        </w:tc>
        <w:tc>
          <w:tcPr>
            <w:tcW w:w="2840" w:type="dxa"/>
            <w:vAlign w:val="bottom"/>
            <w:gridSpan w:val="2"/>
          </w:tcPr>
          <w:p>
            <w:pPr>
              <w:spacing w:after="0"/>
              <w:rPr>
                <w:sz w:val="15"/>
                <w:szCs w:val="15"/>
                <w:color w:val="auto"/>
              </w:rPr>
            </w:pPr>
          </w:p>
        </w:tc>
        <w:tc>
          <w:tcPr>
            <w:tcW w:w="780" w:type="dxa"/>
            <w:vAlign w:val="bottom"/>
          </w:tcPr>
          <w:p>
            <w:pPr>
              <w:jc w:val="right"/>
              <w:spacing w:after="0" w:line="182" w:lineRule="exact"/>
              <w:rPr>
                <w:sz w:val="20"/>
                <w:szCs w:val="20"/>
                <w:color w:val="auto"/>
              </w:rPr>
            </w:pPr>
            <w:r>
              <w:rPr>
                <w:rFonts w:ascii="Arial" w:cs="Arial" w:eastAsia="Arial" w:hAnsi="Arial"/>
                <w:sz w:val="18"/>
                <w:szCs w:val="18"/>
                <w:color w:val="auto"/>
              </w:rPr>
              <w:t>40</w:t>
            </w:r>
          </w:p>
        </w:tc>
        <w:tc>
          <w:tcPr>
            <w:tcW w:w="0" w:type="dxa"/>
            <w:vAlign w:val="bottom"/>
          </w:tcPr>
          <w:p>
            <w:pPr>
              <w:spacing w:after="0"/>
              <w:rPr>
                <w:sz w:val="1"/>
                <w:szCs w:val="1"/>
                <w:color w:val="auto"/>
              </w:rPr>
            </w:pPr>
          </w:p>
        </w:tc>
      </w:tr>
      <w:tr>
        <w:trPr>
          <w:trHeight w:val="182"/>
        </w:trPr>
        <w:tc>
          <w:tcPr>
            <w:tcW w:w="20" w:type="dxa"/>
            <w:vAlign w:val="bottom"/>
          </w:tcPr>
          <w:p>
            <w:pPr>
              <w:spacing w:after="0"/>
              <w:rPr>
                <w:sz w:val="15"/>
                <w:szCs w:val="15"/>
                <w:color w:val="auto"/>
              </w:rPr>
            </w:pPr>
          </w:p>
        </w:tc>
        <w:tc>
          <w:tcPr>
            <w:tcW w:w="1140" w:type="dxa"/>
            <w:vAlign w:val="bottom"/>
            <w:gridSpan w:val="2"/>
          </w:tcPr>
          <w:p>
            <w:pPr>
              <w:spacing w:after="0" w:line="182" w:lineRule="exact"/>
              <w:rPr>
                <w:sz w:val="20"/>
                <w:szCs w:val="20"/>
                <w:color w:val="auto"/>
              </w:rPr>
            </w:pPr>
            <w:r>
              <w:rPr>
                <w:rFonts w:ascii="Arial" w:cs="Arial" w:eastAsia="Arial" w:hAnsi="Arial"/>
                <w:sz w:val="18"/>
                <w:szCs w:val="18"/>
                <w:color w:val="auto"/>
              </w:rPr>
              <w:t>Item 4.</w:t>
            </w:r>
          </w:p>
        </w:tc>
        <w:tc>
          <w:tcPr>
            <w:tcW w:w="1780" w:type="dxa"/>
            <w:vAlign w:val="bottom"/>
            <w:tcBorders>
              <w:top w:val="single" w:sz="8" w:color="0000FF"/>
              <w:bottom w:val="single" w:sz="8" w:color="0000FF"/>
            </w:tcBorders>
            <w:gridSpan w:val="6"/>
          </w:tcPr>
          <w:p>
            <w:pPr>
              <w:spacing w:after="0" w:line="182" w:lineRule="exact"/>
              <w:rPr>
                <w:sz w:val="20"/>
                <w:szCs w:val="20"/>
                <w:color w:val="auto"/>
              </w:rPr>
            </w:pPr>
            <w:r>
              <w:rPr>
                <w:rFonts w:ascii="Arial" w:cs="Arial" w:eastAsia="Arial" w:hAnsi="Arial"/>
                <w:sz w:val="18"/>
                <w:szCs w:val="18"/>
                <w:color w:val="0000FF"/>
                <w:w w:val="88"/>
              </w:rPr>
              <w:t>Controls and Procedures</w:t>
            </w:r>
          </w:p>
        </w:tc>
        <w:tc>
          <w:tcPr>
            <w:tcW w:w="20" w:type="dxa"/>
            <w:vAlign w:val="bottom"/>
            <w:tcBorders>
              <w:top w:val="single" w:sz="8" w:color="0000FF"/>
              <w:bottom w:val="single" w:sz="8" w:color="0000EE"/>
            </w:tcBorders>
          </w:tcPr>
          <w:p>
            <w:pPr>
              <w:spacing w:after="0"/>
              <w:rPr>
                <w:sz w:val="15"/>
                <w:szCs w:val="15"/>
                <w:color w:val="auto"/>
              </w:rPr>
            </w:pPr>
          </w:p>
        </w:tc>
        <w:tc>
          <w:tcPr>
            <w:tcW w:w="2560" w:type="dxa"/>
            <w:vAlign w:val="bottom"/>
            <w:tcBorders>
              <w:top w:val="single" w:sz="8" w:color="0000FF"/>
            </w:tcBorders>
            <w:gridSpan w:val="10"/>
          </w:tcPr>
          <w:p>
            <w:pPr>
              <w:spacing w:after="0"/>
              <w:rPr>
                <w:sz w:val="15"/>
                <w:szCs w:val="15"/>
                <w:color w:val="auto"/>
              </w:rPr>
            </w:pPr>
          </w:p>
        </w:tc>
        <w:tc>
          <w:tcPr>
            <w:tcW w:w="4940" w:type="dxa"/>
            <w:vAlign w:val="bottom"/>
            <w:gridSpan w:val="4"/>
          </w:tcPr>
          <w:p>
            <w:pPr>
              <w:spacing w:after="0"/>
              <w:rPr>
                <w:sz w:val="15"/>
                <w:szCs w:val="15"/>
                <w:color w:val="auto"/>
              </w:rPr>
            </w:pPr>
          </w:p>
        </w:tc>
        <w:tc>
          <w:tcPr>
            <w:tcW w:w="780" w:type="dxa"/>
            <w:vAlign w:val="bottom"/>
          </w:tcPr>
          <w:p>
            <w:pPr>
              <w:jc w:val="right"/>
              <w:spacing w:after="0" w:line="182" w:lineRule="exact"/>
              <w:rPr>
                <w:sz w:val="20"/>
                <w:szCs w:val="20"/>
                <w:color w:val="auto"/>
              </w:rPr>
            </w:pPr>
            <w:r>
              <w:rPr>
                <w:rFonts w:ascii="Arial" w:cs="Arial" w:eastAsia="Arial" w:hAnsi="Arial"/>
                <w:sz w:val="18"/>
                <w:szCs w:val="18"/>
                <w:color w:val="auto"/>
              </w:rPr>
              <w:t>40</w:t>
            </w:r>
          </w:p>
        </w:tc>
        <w:tc>
          <w:tcPr>
            <w:tcW w:w="0" w:type="dxa"/>
            <w:vAlign w:val="bottom"/>
          </w:tcPr>
          <w:p>
            <w:pPr>
              <w:spacing w:after="0"/>
              <w:rPr>
                <w:sz w:val="1"/>
                <w:szCs w:val="1"/>
                <w:color w:val="auto"/>
              </w:rPr>
            </w:pPr>
          </w:p>
        </w:tc>
      </w:tr>
      <w:tr>
        <w:trPr>
          <w:trHeight w:val="182"/>
        </w:trPr>
        <w:tc>
          <w:tcPr>
            <w:tcW w:w="20" w:type="dxa"/>
            <w:vAlign w:val="bottom"/>
          </w:tcPr>
          <w:p>
            <w:pPr>
              <w:spacing w:after="0"/>
              <w:rPr>
                <w:sz w:val="15"/>
                <w:szCs w:val="15"/>
                <w:color w:val="auto"/>
              </w:rPr>
            </w:pPr>
          </w:p>
        </w:tc>
        <w:tc>
          <w:tcPr>
            <w:tcW w:w="1140" w:type="dxa"/>
            <w:vAlign w:val="bottom"/>
            <w:gridSpan w:val="2"/>
          </w:tcPr>
          <w:p>
            <w:pPr>
              <w:spacing w:after="0" w:line="182" w:lineRule="exact"/>
              <w:rPr>
                <w:sz w:val="20"/>
                <w:szCs w:val="20"/>
                <w:color w:val="auto"/>
              </w:rPr>
            </w:pPr>
            <w:r>
              <w:rPr>
                <w:rFonts w:ascii="Arial" w:cs="Arial" w:eastAsia="Arial" w:hAnsi="Arial"/>
                <w:sz w:val="18"/>
                <w:szCs w:val="18"/>
                <w:b w:val="1"/>
                <w:bCs w:val="1"/>
                <w:color w:val="auto"/>
              </w:rPr>
              <w:t>PART II.</w:t>
            </w:r>
          </w:p>
        </w:tc>
        <w:tc>
          <w:tcPr>
            <w:tcW w:w="1800" w:type="dxa"/>
            <w:vAlign w:val="bottom"/>
            <w:tcBorders>
              <w:bottom w:val="single" w:sz="8" w:color="0000FF"/>
            </w:tcBorders>
            <w:gridSpan w:val="7"/>
          </w:tcPr>
          <w:p>
            <w:pPr>
              <w:spacing w:after="0" w:line="182" w:lineRule="exact"/>
              <w:rPr>
                <w:sz w:val="20"/>
                <w:szCs w:val="20"/>
                <w:color w:val="auto"/>
              </w:rPr>
            </w:pPr>
            <w:r>
              <w:rPr>
                <w:rFonts w:ascii="Arial" w:cs="Arial" w:eastAsia="Arial" w:hAnsi="Arial"/>
                <w:sz w:val="18"/>
                <w:szCs w:val="18"/>
                <w:color w:val="0000FF"/>
                <w:w w:val="91"/>
              </w:rPr>
              <w:t>OTHER INFORMATION</w:t>
            </w:r>
          </w:p>
        </w:tc>
        <w:tc>
          <w:tcPr>
            <w:tcW w:w="80" w:type="dxa"/>
            <w:vAlign w:val="bottom"/>
            <w:tcBorders>
              <w:bottom w:val="single" w:sz="8" w:color="0000FF"/>
            </w:tcBorders>
          </w:tcPr>
          <w:p>
            <w:pPr>
              <w:spacing w:after="0"/>
              <w:rPr>
                <w:sz w:val="15"/>
                <w:szCs w:val="15"/>
                <w:color w:val="auto"/>
              </w:rPr>
            </w:pPr>
          </w:p>
        </w:tc>
        <w:tc>
          <w:tcPr>
            <w:tcW w:w="440" w:type="dxa"/>
            <w:vAlign w:val="bottom"/>
            <w:gridSpan w:val="2"/>
          </w:tcPr>
          <w:p>
            <w:pPr>
              <w:spacing w:after="0"/>
              <w:rPr>
                <w:sz w:val="15"/>
                <w:szCs w:val="15"/>
                <w:color w:val="auto"/>
              </w:rPr>
            </w:pPr>
          </w:p>
        </w:tc>
        <w:tc>
          <w:tcPr>
            <w:tcW w:w="2020" w:type="dxa"/>
            <w:vAlign w:val="bottom"/>
            <w:gridSpan w:val="6"/>
          </w:tcPr>
          <w:p>
            <w:pPr>
              <w:spacing w:after="0"/>
              <w:rPr>
                <w:sz w:val="15"/>
                <w:szCs w:val="15"/>
                <w:color w:val="auto"/>
              </w:rPr>
            </w:pPr>
          </w:p>
        </w:tc>
        <w:tc>
          <w:tcPr>
            <w:tcW w:w="4960" w:type="dxa"/>
            <w:vAlign w:val="bottom"/>
            <w:gridSpan w:val="5"/>
          </w:tcPr>
          <w:p>
            <w:pPr>
              <w:spacing w:after="0"/>
              <w:rPr>
                <w:sz w:val="15"/>
                <w:szCs w:val="15"/>
                <w:color w:val="auto"/>
              </w:rPr>
            </w:pPr>
          </w:p>
        </w:tc>
        <w:tc>
          <w:tcPr>
            <w:tcW w:w="780" w:type="dxa"/>
            <w:vAlign w:val="bottom"/>
          </w:tcPr>
          <w:p>
            <w:pPr>
              <w:jc w:val="right"/>
              <w:spacing w:after="0" w:line="182" w:lineRule="exact"/>
              <w:rPr>
                <w:sz w:val="20"/>
                <w:szCs w:val="20"/>
                <w:color w:val="auto"/>
              </w:rPr>
            </w:pPr>
            <w:r>
              <w:rPr>
                <w:rFonts w:ascii="Arial" w:cs="Arial" w:eastAsia="Arial" w:hAnsi="Arial"/>
                <w:sz w:val="18"/>
                <w:szCs w:val="18"/>
                <w:color w:val="auto"/>
              </w:rPr>
              <w:t>42</w:t>
            </w:r>
          </w:p>
        </w:tc>
        <w:tc>
          <w:tcPr>
            <w:tcW w:w="0" w:type="dxa"/>
            <w:vAlign w:val="bottom"/>
          </w:tcPr>
          <w:p>
            <w:pPr>
              <w:spacing w:after="0"/>
              <w:rPr>
                <w:sz w:val="1"/>
                <w:szCs w:val="1"/>
                <w:color w:val="auto"/>
              </w:rPr>
            </w:pPr>
          </w:p>
        </w:tc>
      </w:tr>
      <w:tr>
        <w:trPr>
          <w:trHeight w:val="182"/>
        </w:trPr>
        <w:tc>
          <w:tcPr>
            <w:tcW w:w="20" w:type="dxa"/>
            <w:vAlign w:val="bottom"/>
          </w:tcPr>
          <w:p>
            <w:pPr>
              <w:spacing w:after="0"/>
              <w:rPr>
                <w:sz w:val="15"/>
                <w:szCs w:val="15"/>
                <w:color w:val="auto"/>
              </w:rPr>
            </w:pPr>
          </w:p>
        </w:tc>
        <w:tc>
          <w:tcPr>
            <w:tcW w:w="1140" w:type="dxa"/>
            <w:vAlign w:val="bottom"/>
            <w:gridSpan w:val="2"/>
          </w:tcPr>
          <w:p>
            <w:pPr>
              <w:spacing w:after="0" w:line="182" w:lineRule="exact"/>
              <w:rPr>
                <w:sz w:val="20"/>
                <w:szCs w:val="20"/>
                <w:color w:val="auto"/>
              </w:rPr>
            </w:pPr>
            <w:r>
              <w:rPr>
                <w:rFonts w:ascii="Arial" w:cs="Arial" w:eastAsia="Arial" w:hAnsi="Arial"/>
                <w:sz w:val="18"/>
                <w:szCs w:val="18"/>
                <w:color w:val="auto"/>
              </w:rPr>
              <w:t>Item 1.</w:t>
            </w:r>
          </w:p>
        </w:tc>
        <w:tc>
          <w:tcPr>
            <w:tcW w:w="1880" w:type="dxa"/>
            <w:vAlign w:val="bottom"/>
            <w:gridSpan w:val="8"/>
          </w:tcPr>
          <w:p>
            <w:pPr>
              <w:spacing w:after="0" w:line="182" w:lineRule="exact"/>
              <w:rPr>
                <w:sz w:val="20"/>
                <w:szCs w:val="20"/>
                <w:color w:val="auto"/>
              </w:rPr>
            </w:pPr>
            <w:r>
              <w:rPr>
                <w:rFonts w:ascii="Arial" w:cs="Arial" w:eastAsia="Arial" w:hAnsi="Arial"/>
                <w:sz w:val="18"/>
                <w:szCs w:val="18"/>
                <w:color w:val="0000FF"/>
              </w:rPr>
              <w:t>Legal Proceedings</w:t>
            </w:r>
          </w:p>
        </w:tc>
        <w:tc>
          <w:tcPr>
            <w:tcW w:w="440" w:type="dxa"/>
            <w:vAlign w:val="bottom"/>
            <w:gridSpan w:val="2"/>
          </w:tcPr>
          <w:p>
            <w:pPr>
              <w:spacing w:after="0"/>
              <w:rPr>
                <w:sz w:val="15"/>
                <w:szCs w:val="15"/>
                <w:color w:val="auto"/>
              </w:rPr>
            </w:pPr>
          </w:p>
        </w:tc>
        <w:tc>
          <w:tcPr>
            <w:tcW w:w="2020" w:type="dxa"/>
            <w:vAlign w:val="bottom"/>
            <w:gridSpan w:val="6"/>
          </w:tcPr>
          <w:p>
            <w:pPr>
              <w:spacing w:after="0"/>
              <w:rPr>
                <w:sz w:val="15"/>
                <w:szCs w:val="15"/>
                <w:color w:val="auto"/>
              </w:rPr>
            </w:pPr>
          </w:p>
        </w:tc>
        <w:tc>
          <w:tcPr>
            <w:tcW w:w="4960" w:type="dxa"/>
            <w:vAlign w:val="bottom"/>
            <w:gridSpan w:val="5"/>
          </w:tcPr>
          <w:p>
            <w:pPr>
              <w:spacing w:after="0"/>
              <w:rPr>
                <w:sz w:val="15"/>
                <w:szCs w:val="15"/>
                <w:color w:val="auto"/>
              </w:rPr>
            </w:pPr>
          </w:p>
        </w:tc>
        <w:tc>
          <w:tcPr>
            <w:tcW w:w="780" w:type="dxa"/>
            <w:vAlign w:val="bottom"/>
          </w:tcPr>
          <w:p>
            <w:pPr>
              <w:jc w:val="right"/>
              <w:spacing w:after="0" w:line="182" w:lineRule="exact"/>
              <w:rPr>
                <w:sz w:val="20"/>
                <w:szCs w:val="20"/>
                <w:color w:val="auto"/>
              </w:rPr>
            </w:pPr>
            <w:r>
              <w:rPr>
                <w:rFonts w:ascii="Arial" w:cs="Arial" w:eastAsia="Arial" w:hAnsi="Arial"/>
                <w:sz w:val="18"/>
                <w:szCs w:val="18"/>
                <w:color w:val="auto"/>
              </w:rPr>
              <w:t>42</w:t>
            </w:r>
          </w:p>
        </w:tc>
        <w:tc>
          <w:tcPr>
            <w:tcW w:w="0" w:type="dxa"/>
            <w:vAlign w:val="bottom"/>
          </w:tcPr>
          <w:p>
            <w:pPr>
              <w:spacing w:after="0"/>
              <w:rPr>
                <w:sz w:val="1"/>
                <w:szCs w:val="1"/>
                <w:color w:val="auto"/>
              </w:rPr>
            </w:pPr>
          </w:p>
        </w:tc>
      </w:tr>
      <w:tr>
        <w:trPr>
          <w:trHeight w:val="182"/>
        </w:trPr>
        <w:tc>
          <w:tcPr>
            <w:tcW w:w="20" w:type="dxa"/>
            <w:vAlign w:val="bottom"/>
          </w:tcPr>
          <w:p>
            <w:pPr>
              <w:spacing w:after="0"/>
              <w:rPr>
                <w:sz w:val="15"/>
                <w:szCs w:val="15"/>
                <w:color w:val="auto"/>
              </w:rPr>
            </w:pPr>
          </w:p>
        </w:tc>
        <w:tc>
          <w:tcPr>
            <w:tcW w:w="1140" w:type="dxa"/>
            <w:vAlign w:val="bottom"/>
            <w:gridSpan w:val="2"/>
          </w:tcPr>
          <w:p>
            <w:pPr>
              <w:spacing w:after="0" w:line="182" w:lineRule="exact"/>
              <w:rPr>
                <w:sz w:val="20"/>
                <w:szCs w:val="20"/>
                <w:color w:val="auto"/>
              </w:rPr>
            </w:pPr>
            <w:r>
              <w:rPr>
                <w:rFonts w:ascii="Arial" w:cs="Arial" w:eastAsia="Arial" w:hAnsi="Arial"/>
                <w:sz w:val="18"/>
                <w:szCs w:val="18"/>
                <w:color w:val="auto"/>
              </w:rPr>
              <w:t>Item 1A.</w:t>
            </w:r>
          </w:p>
        </w:tc>
        <w:tc>
          <w:tcPr>
            <w:tcW w:w="920" w:type="dxa"/>
            <w:vAlign w:val="bottom"/>
            <w:tcBorders>
              <w:top w:val="single" w:sz="8" w:color="0000FF"/>
              <w:bottom w:val="single" w:sz="8" w:color="0000FF"/>
            </w:tcBorders>
            <w:gridSpan w:val="2"/>
          </w:tcPr>
          <w:p>
            <w:pPr>
              <w:spacing w:after="0" w:line="182" w:lineRule="exact"/>
              <w:rPr>
                <w:sz w:val="20"/>
                <w:szCs w:val="20"/>
                <w:color w:val="auto"/>
              </w:rPr>
            </w:pPr>
            <w:r>
              <w:rPr>
                <w:rFonts w:ascii="Arial" w:cs="Arial" w:eastAsia="Arial" w:hAnsi="Arial"/>
                <w:sz w:val="18"/>
                <w:szCs w:val="18"/>
                <w:color w:val="0000FF"/>
                <w:w w:val="89"/>
              </w:rPr>
              <w:t>Risk Factors</w:t>
            </w:r>
          </w:p>
        </w:tc>
        <w:tc>
          <w:tcPr>
            <w:tcW w:w="20" w:type="dxa"/>
            <w:vAlign w:val="bottom"/>
            <w:tcBorders>
              <w:top w:val="single" w:sz="8" w:color="0000FF"/>
              <w:bottom w:val="single" w:sz="8" w:color="0000EE"/>
            </w:tcBorders>
          </w:tcPr>
          <w:p>
            <w:pPr>
              <w:spacing w:after="0"/>
              <w:rPr>
                <w:sz w:val="15"/>
                <w:szCs w:val="15"/>
                <w:color w:val="auto"/>
              </w:rPr>
            </w:pPr>
          </w:p>
        </w:tc>
        <w:tc>
          <w:tcPr>
            <w:tcW w:w="400" w:type="dxa"/>
            <w:vAlign w:val="bottom"/>
            <w:tcBorders>
              <w:top w:val="single" w:sz="8" w:color="0000FF"/>
            </w:tcBorders>
            <w:gridSpan w:val="2"/>
          </w:tcPr>
          <w:p>
            <w:pPr>
              <w:spacing w:after="0"/>
              <w:rPr>
                <w:sz w:val="15"/>
                <w:szCs w:val="15"/>
                <w:color w:val="auto"/>
              </w:rPr>
            </w:pPr>
          </w:p>
        </w:tc>
        <w:tc>
          <w:tcPr>
            <w:tcW w:w="980" w:type="dxa"/>
            <w:vAlign w:val="bottom"/>
            <w:gridSpan w:val="5"/>
          </w:tcPr>
          <w:p>
            <w:pPr>
              <w:spacing w:after="0"/>
              <w:rPr>
                <w:sz w:val="15"/>
                <w:szCs w:val="15"/>
                <w:color w:val="auto"/>
              </w:rPr>
            </w:pPr>
          </w:p>
        </w:tc>
        <w:tc>
          <w:tcPr>
            <w:tcW w:w="2020" w:type="dxa"/>
            <w:vAlign w:val="bottom"/>
            <w:gridSpan w:val="6"/>
          </w:tcPr>
          <w:p>
            <w:pPr>
              <w:spacing w:after="0"/>
              <w:rPr>
                <w:sz w:val="15"/>
                <w:szCs w:val="15"/>
                <w:color w:val="auto"/>
              </w:rPr>
            </w:pPr>
          </w:p>
        </w:tc>
        <w:tc>
          <w:tcPr>
            <w:tcW w:w="4960" w:type="dxa"/>
            <w:vAlign w:val="bottom"/>
            <w:gridSpan w:val="5"/>
          </w:tcPr>
          <w:p>
            <w:pPr>
              <w:spacing w:after="0"/>
              <w:rPr>
                <w:sz w:val="15"/>
                <w:szCs w:val="15"/>
                <w:color w:val="auto"/>
              </w:rPr>
            </w:pPr>
          </w:p>
        </w:tc>
        <w:tc>
          <w:tcPr>
            <w:tcW w:w="780" w:type="dxa"/>
            <w:vAlign w:val="bottom"/>
          </w:tcPr>
          <w:p>
            <w:pPr>
              <w:jc w:val="right"/>
              <w:spacing w:after="0" w:line="182" w:lineRule="exact"/>
              <w:rPr>
                <w:sz w:val="20"/>
                <w:szCs w:val="20"/>
                <w:color w:val="auto"/>
              </w:rPr>
            </w:pPr>
            <w:r>
              <w:rPr>
                <w:rFonts w:ascii="Arial" w:cs="Arial" w:eastAsia="Arial" w:hAnsi="Arial"/>
                <w:sz w:val="18"/>
                <w:szCs w:val="18"/>
                <w:color w:val="auto"/>
              </w:rPr>
              <w:t>42</w:t>
            </w:r>
          </w:p>
        </w:tc>
        <w:tc>
          <w:tcPr>
            <w:tcW w:w="0" w:type="dxa"/>
            <w:vAlign w:val="bottom"/>
          </w:tcPr>
          <w:p>
            <w:pPr>
              <w:spacing w:after="0"/>
              <w:rPr>
                <w:sz w:val="1"/>
                <w:szCs w:val="1"/>
                <w:color w:val="auto"/>
              </w:rPr>
            </w:pPr>
          </w:p>
        </w:tc>
      </w:tr>
      <w:tr>
        <w:trPr>
          <w:trHeight w:val="182"/>
        </w:trPr>
        <w:tc>
          <w:tcPr>
            <w:tcW w:w="20" w:type="dxa"/>
            <w:vAlign w:val="bottom"/>
          </w:tcPr>
          <w:p>
            <w:pPr>
              <w:spacing w:after="0"/>
              <w:rPr>
                <w:sz w:val="15"/>
                <w:szCs w:val="15"/>
                <w:color w:val="auto"/>
              </w:rPr>
            </w:pPr>
          </w:p>
        </w:tc>
        <w:tc>
          <w:tcPr>
            <w:tcW w:w="1140" w:type="dxa"/>
            <w:vAlign w:val="bottom"/>
            <w:gridSpan w:val="2"/>
          </w:tcPr>
          <w:p>
            <w:pPr>
              <w:spacing w:after="0" w:line="182" w:lineRule="exact"/>
              <w:rPr>
                <w:sz w:val="20"/>
                <w:szCs w:val="20"/>
                <w:color w:val="auto"/>
              </w:rPr>
            </w:pPr>
            <w:r>
              <w:rPr>
                <w:rFonts w:ascii="Arial" w:cs="Arial" w:eastAsia="Arial" w:hAnsi="Arial"/>
                <w:sz w:val="18"/>
                <w:szCs w:val="18"/>
                <w:color w:val="auto"/>
              </w:rPr>
              <w:t>Item 2.</w:t>
            </w:r>
          </w:p>
        </w:tc>
        <w:tc>
          <w:tcPr>
            <w:tcW w:w="940" w:type="dxa"/>
            <w:vAlign w:val="bottom"/>
            <w:gridSpan w:val="3"/>
          </w:tcPr>
          <w:p>
            <w:pPr>
              <w:spacing w:after="0" w:line="182" w:lineRule="exact"/>
              <w:rPr>
                <w:sz w:val="20"/>
                <w:szCs w:val="20"/>
                <w:color w:val="auto"/>
              </w:rPr>
            </w:pPr>
            <w:r>
              <w:rPr>
                <w:rFonts w:ascii="Arial" w:cs="Arial" w:eastAsia="Arial" w:hAnsi="Arial"/>
                <w:sz w:val="18"/>
                <w:szCs w:val="18"/>
                <w:color w:val="0000FF"/>
                <w:w w:val="89"/>
              </w:rPr>
              <w:t>Unregistered</w:t>
            </w:r>
          </w:p>
        </w:tc>
        <w:tc>
          <w:tcPr>
            <w:tcW w:w="8360" w:type="dxa"/>
            <w:vAlign w:val="bottom"/>
            <w:gridSpan w:val="18"/>
          </w:tcPr>
          <w:p>
            <w:pPr>
              <w:ind w:left="40"/>
              <w:spacing w:after="0" w:line="182" w:lineRule="exact"/>
              <w:rPr>
                <w:sz w:val="20"/>
                <w:szCs w:val="20"/>
                <w:color w:val="auto"/>
              </w:rPr>
            </w:pPr>
            <w:r>
              <w:rPr>
                <w:rFonts w:ascii="Arial" w:cs="Arial" w:eastAsia="Arial" w:hAnsi="Arial"/>
                <w:sz w:val="18"/>
                <w:szCs w:val="18"/>
                <w:color w:val="0000FF"/>
              </w:rPr>
              <w:t>Sales of Equity Securities and Use of Proceeds</w:t>
            </w:r>
          </w:p>
        </w:tc>
        <w:tc>
          <w:tcPr>
            <w:tcW w:w="780" w:type="dxa"/>
            <w:vAlign w:val="bottom"/>
          </w:tcPr>
          <w:p>
            <w:pPr>
              <w:jc w:val="right"/>
              <w:spacing w:after="0" w:line="182" w:lineRule="exact"/>
              <w:rPr>
                <w:sz w:val="20"/>
                <w:szCs w:val="20"/>
                <w:color w:val="auto"/>
              </w:rPr>
            </w:pPr>
            <w:r>
              <w:rPr>
                <w:rFonts w:ascii="Arial" w:cs="Arial" w:eastAsia="Arial" w:hAnsi="Arial"/>
                <w:sz w:val="18"/>
                <w:szCs w:val="18"/>
                <w:color w:val="auto"/>
              </w:rPr>
              <w:t>73</w:t>
            </w:r>
          </w:p>
        </w:tc>
        <w:tc>
          <w:tcPr>
            <w:tcW w:w="0" w:type="dxa"/>
            <w:vAlign w:val="bottom"/>
          </w:tcPr>
          <w:p>
            <w:pPr>
              <w:spacing w:after="0"/>
              <w:rPr>
                <w:sz w:val="1"/>
                <w:szCs w:val="1"/>
                <w:color w:val="auto"/>
              </w:rPr>
            </w:pPr>
          </w:p>
        </w:tc>
      </w:tr>
      <w:tr>
        <w:trPr>
          <w:trHeight w:val="182"/>
        </w:trPr>
        <w:tc>
          <w:tcPr>
            <w:tcW w:w="20" w:type="dxa"/>
            <w:vAlign w:val="bottom"/>
          </w:tcPr>
          <w:p>
            <w:pPr>
              <w:spacing w:after="0"/>
              <w:rPr>
                <w:sz w:val="15"/>
                <w:szCs w:val="15"/>
                <w:color w:val="auto"/>
              </w:rPr>
            </w:pPr>
          </w:p>
        </w:tc>
        <w:tc>
          <w:tcPr>
            <w:tcW w:w="1140" w:type="dxa"/>
            <w:vAlign w:val="bottom"/>
            <w:gridSpan w:val="2"/>
          </w:tcPr>
          <w:p>
            <w:pPr>
              <w:spacing w:after="0" w:line="182" w:lineRule="exact"/>
              <w:rPr>
                <w:sz w:val="20"/>
                <w:szCs w:val="20"/>
                <w:color w:val="auto"/>
              </w:rPr>
            </w:pPr>
            <w:r>
              <w:rPr>
                <w:rFonts w:ascii="Arial" w:cs="Arial" w:eastAsia="Arial" w:hAnsi="Arial"/>
                <w:sz w:val="18"/>
                <w:szCs w:val="18"/>
                <w:color w:val="auto"/>
              </w:rPr>
              <w:t>Item 3.</w:t>
            </w:r>
          </w:p>
        </w:tc>
        <w:tc>
          <w:tcPr>
            <w:tcW w:w="4340" w:type="dxa"/>
            <w:vAlign w:val="bottom"/>
            <w:tcBorders>
              <w:top w:val="single" w:sz="8" w:color="0000FF"/>
            </w:tcBorders>
            <w:gridSpan w:val="16"/>
          </w:tcPr>
          <w:p>
            <w:pPr>
              <w:spacing w:after="0" w:line="182" w:lineRule="exact"/>
              <w:rPr>
                <w:sz w:val="20"/>
                <w:szCs w:val="20"/>
                <w:color w:val="auto"/>
              </w:rPr>
            </w:pPr>
            <w:r>
              <w:rPr>
                <w:rFonts w:ascii="Arial" w:cs="Arial" w:eastAsia="Arial" w:hAnsi="Arial"/>
                <w:sz w:val="18"/>
                <w:szCs w:val="18"/>
                <w:color w:val="0000FF"/>
              </w:rPr>
              <w:t>Defaults Upon Senior Securities</w:t>
            </w:r>
          </w:p>
        </w:tc>
        <w:tc>
          <w:tcPr>
            <w:tcW w:w="4960" w:type="dxa"/>
            <w:vAlign w:val="bottom"/>
            <w:gridSpan w:val="5"/>
          </w:tcPr>
          <w:p>
            <w:pPr>
              <w:spacing w:after="0"/>
              <w:rPr>
                <w:sz w:val="15"/>
                <w:szCs w:val="15"/>
                <w:color w:val="auto"/>
              </w:rPr>
            </w:pPr>
          </w:p>
        </w:tc>
        <w:tc>
          <w:tcPr>
            <w:tcW w:w="780" w:type="dxa"/>
            <w:vAlign w:val="bottom"/>
          </w:tcPr>
          <w:p>
            <w:pPr>
              <w:jc w:val="right"/>
              <w:spacing w:after="0" w:line="182" w:lineRule="exact"/>
              <w:rPr>
                <w:sz w:val="20"/>
                <w:szCs w:val="20"/>
                <w:color w:val="auto"/>
              </w:rPr>
            </w:pPr>
            <w:r>
              <w:rPr>
                <w:rFonts w:ascii="Arial" w:cs="Arial" w:eastAsia="Arial" w:hAnsi="Arial"/>
                <w:sz w:val="18"/>
                <w:szCs w:val="18"/>
                <w:color w:val="auto"/>
              </w:rPr>
              <w:t>73</w:t>
            </w:r>
          </w:p>
        </w:tc>
        <w:tc>
          <w:tcPr>
            <w:tcW w:w="0" w:type="dxa"/>
            <w:vAlign w:val="bottom"/>
          </w:tcPr>
          <w:p>
            <w:pPr>
              <w:spacing w:after="0"/>
              <w:rPr>
                <w:sz w:val="1"/>
                <w:szCs w:val="1"/>
                <w:color w:val="auto"/>
              </w:rPr>
            </w:pPr>
          </w:p>
        </w:tc>
      </w:tr>
      <w:tr>
        <w:trPr>
          <w:trHeight w:val="182"/>
        </w:trPr>
        <w:tc>
          <w:tcPr>
            <w:tcW w:w="20" w:type="dxa"/>
            <w:vAlign w:val="bottom"/>
          </w:tcPr>
          <w:p>
            <w:pPr>
              <w:spacing w:after="0"/>
              <w:rPr>
                <w:sz w:val="15"/>
                <w:szCs w:val="15"/>
                <w:color w:val="auto"/>
              </w:rPr>
            </w:pPr>
          </w:p>
        </w:tc>
        <w:tc>
          <w:tcPr>
            <w:tcW w:w="1140" w:type="dxa"/>
            <w:vAlign w:val="bottom"/>
            <w:gridSpan w:val="2"/>
          </w:tcPr>
          <w:p>
            <w:pPr>
              <w:spacing w:after="0" w:line="182" w:lineRule="exact"/>
              <w:rPr>
                <w:sz w:val="20"/>
                <w:szCs w:val="20"/>
                <w:color w:val="auto"/>
              </w:rPr>
            </w:pPr>
            <w:r>
              <w:rPr>
                <w:rFonts w:ascii="Arial" w:cs="Arial" w:eastAsia="Arial" w:hAnsi="Arial"/>
                <w:sz w:val="18"/>
                <w:szCs w:val="18"/>
                <w:color w:val="auto"/>
              </w:rPr>
              <w:t>Item 4.</w:t>
            </w:r>
          </w:p>
        </w:tc>
        <w:tc>
          <w:tcPr>
            <w:tcW w:w="2320" w:type="dxa"/>
            <w:vAlign w:val="bottom"/>
            <w:tcBorders>
              <w:top w:val="single" w:sz="8" w:color="0000FF"/>
            </w:tcBorders>
            <w:gridSpan w:val="10"/>
          </w:tcPr>
          <w:p>
            <w:pPr>
              <w:spacing w:after="0" w:line="182" w:lineRule="exact"/>
              <w:rPr>
                <w:sz w:val="20"/>
                <w:szCs w:val="20"/>
                <w:color w:val="auto"/>
              </w:rPr>
            </w:pPr>
            <w:r>
              <w:rPr>
                <w:rFonts w:ascii="Arial" w:cs="Arial" w:eastAsia="Arial" w:hAnsi="Arial"/>
                <w:sz w:val="18"/>
                <w:szCs w:val="18"/>
                <w:color w:val="0000FF"/>
              </w:rPr>
              <w:t>Mine Safety Disclosures</w:t>
            </w:r>
          </w:p>
        </w:tc>
        <w:tc>
          <w:tcPr>
            <w:tcW w:w="6980" w:type="dxa"/>
            <w:vAlign w:val="bottom"/>
            <w:gridSpan w:val="11"/>
          </w:tcPr>
          <w:p>
            <w:pPr>
              <w:spacing w:after="0"/>
              <w:rPr>
                <w:sz w:val="15"/>
                <w:szCs w:val="15"/>
                <w:color w:val="auto"/>
              </w:rPr>
            </w:pPr>
          </w:p>
        </w:tc>
        <w:tc>
          <w:tcPr>
            <w:tcW w:w="780" w:type="dxa"/>
            <w:vAlign w:val="bottom"/>
          </w:tcPr>
          <w:p>
            <w:pPr>
              <w:jc w:val="right"/>
              <w:spacing w:after="0" w:line="182" w:lineRule="exact"/>
              <w:rPr>
                <w:sz w:val="20"/>
                <w:szCs w:val="20"/>
                <w:color w:val="auto"/>
              </w:rPr>
            </w:pPr>
            <w:r>
              <w:rPr>
                <w:rFonts w:ascii="Arial" w:cs="Arial" w:eastAsia="Arial" w:hAnsi="Arial"/>
                <w:sz w:val="18"/>
                <w:szCs w:val="18"/>
                <w:color w:val="auto"/>
              </w:rPr>
              <w:t>73</w:t>
            </w:r>
          </w:p>
        </w:tc>
        <w:tc>
          <w:tcPr>
            <w:tcW w:w="0" w:type="dxa"/>
            <w:vAlign w:val="bottom"/>
          </w:tcPr>
          <w:p>
            <w:pPr>
              <w:spacing w:after="0"/>
              <w:rPr>
                <w:sz w:val="1"/>
                <w:szCs w:val="1"/>
                <w:color w:val="auto"/>
              </w:rPr>
            </w:pPr>
          </w:p>
        </w:tc>
      </w:tr>
      <w:tr>
        <w:trPr>
          <w:trHeight w:val="182"/>
        </w:trPr>
        <w:tc>
          <w:tcPr>
            <w:tcW w:w="20" w:type="dxa"/>
            <w:vAlign w:val="bottom"/>
          </w:tcPr>
          <w:p>
            <w:pPr>
              <w:spacing w:after="0"/>
              <w:rPr>
                <w:sz w:val="15"/>
                <w:szCs w:val="15"/>
                <w:color w:val="auto"/>
              </w:rPr>
            </w:pPr>
          </w:p>
        </w:tc>
        <w:tc>
          <w:tcPr>
            <w:tcW w:w="1140" w:type="dxa"/>
            <w:vAlign w:val="bottom"/>
            <w:gridSpan w:val="2"/>
          </w:tcPr>
          <w:p>
            <w:pPr>
              <w:spacing w:after="0" w:line="182" w:lineRule="exact"/>
              <w:rPr>
                <w:sz w:val="20"/>
                <w:szCs w:val="20"/>
                <w:color w:val="auto"/>
              </w:rPr>
            </w:pPr>
            <w:r>
              <w:rPr>
                <w:rFonts w:ascii="Arial" w:cs="Arial" w:eastAsia="Arial" w:hAnsi="Arial"/>
                <w:sz w:val="18"/>
                <w:szCs w:val="18"/>
                <w:color w:val="auto"/>
              </w:rPr>
              <w:t>Item 5.</w:t>
            </w:r>
          </w:p>
        </w:tc>
        <w:tc>
          <w:tcPr>
            <w:tcW w:w="1780" w:type="dxa"/>
            <w:vAlign w:val="bottom"/>
            <w:tcBorders>
              <w:top w:val="single" w:sz="8" w:color="0000FF"/>
            </w:tcBorders>
            <w:gridSpan w:val="6"/>
          </w:tcPr>
          <w:p>
            <w:pPr>
              <w:spacing w:after="0" w:line="182" w:lineRule="exact"/>
              <w:rPr>
                <w:sz w:val="20"/>
                <w:szCs w:val="20"/>
                <w:color w:val="auto"/>
              </w:rPr>
            </w:pPr>
            <w:r>
              <w:rPr>
                <w:rFonts w:ascii="Arial" w:cs="Arial" w:eastAsia="Arial" w:hAnsi="Arial"/>
                <w:sz w:val="18"/>
                <w:szCs w:val="18"/>
                <w:color w:val="0000FF"/>
              </w:rPr>
              <w:t>Other Information</w:t>
            </w:r>
          </w:p>
        </w:tc>
        <w:tc>
          <w:tcPr>
            <w:tcW w:w="7520" w:type="dxa"/>
            <w:vAlign w:val="bottom"/>
            <w:gridSpan w:val="15"/>
          </w:tcPr>
          <w:p>
            <w:pPr>
              <w:spacing w:after="0"/>
              <w:rPr>
                <w:sz w:val="15"/>
                <w:szCs w:val="15"/>
                <w:color w:val="auto"/>
              </w:rPr>
            </w:pPr>
          </w:p>
        </w:tc>
        <w:tc>
          <w:tcPr>
            <w:tcW w:w="780" w:type="dxa"/>
            <w:vAlign w:val="bottom"/>
          </w:tcPr>
          <w:p>
            <w:pPr>
              <w:jc w:val="right"/>
              <w:spacing w:after="0" w:line="182" w:lineRule="exact"/>
              <w:rPr>
                <w:sz w:val="20"/>
                <w:szCs w:val="20"/>
                <w:color w:val="auto"/>
              </w:rPr>
            </w:pPr>
            <w:r>
              <w:rPr>
                <w:rFonts w:ascii="Arial" w:cs="Arial" w:eastAsia="Arial" w:hAnsi="Arial"/>
                <w:sz w:val="18"/>
                <w:szCs w:val="18"/>
                <w:color w:val="auto"/>
              </w:rPr>
              <w:t>73</w:t>
            </w:r>
          </w:p>
        </w:tc>
        <w:tc>
          <w:tcPr>
            <w:tcW w:w="0" w:type="dxa"/>
            <w:vAlign w:val="bottom"/>
          </w:tcPr>
          <w:p>
            <w:pPr>
              <w:spacing w:after="0"/>
              <w:rPr>
                <w:sz w:val="1"/>
                <w:szCs w:val="1"/>
                <w:color w:val="auto"/>
              </w:rPr>
            </w:pPr>
          </w:p>
        </w:tc>
      </w:tr>
      <w:tr>
        <w:trPr>
          <w:trHeight w:val="182"/>
        </w:trPr>
        <w:tc>
          <w:tcPr>
            <w:tcW w:w="20" w:type="dxa"/>
            <w:vAlign w:val="bottom"/>
          </w:tcPr>
          <w:p>
            <w:pPr>
              <w:spacing w:after="0"/>
              <w:rPr>
                <w:sz w:val="15"/>
                <w:szCs w:val="15"/>
                <w:color w:val="auto"/>
              </w:rPr>
            </w:pPr>
          </w:p>
        </w:tc>
        <w:tc>
          <w:tcPr>
            <w:tcW w:w="1140" w:type="dxa"/>
            <w:vAlign w:val="bottom"/>
            <w:gridSpan w:val="2"/>
          </w:tcPr>
          <w:p>
            <w:pPr>
              <w:spacing w:after="0" w:line="182" w:lineRule="exact"/>
              <w:rPr>
                <w:sz w:val="20"/>
                <w:szCs w:val="20"/>
                <w:color w:val="auto"/>
              </w:rPr>
            </w:pPr>
            <w:r>
              <w:rPr>
                <w:rFonts w:ascii="Arial" w:cs="Arial" w:eastAsia="Arial" w:hAnsi="Arial"/>
                <w:sz w:val="18"/>
                <w:szCs w:val="18"/>
                <w:color w:val="auto"/>
              </w:rPr>
              <w:t>Item 6.</w:t>
            </w:r>
          </w:p>
        </w:tc>
        <w:tc>
          <w:tcPr>
            <w:tcW w:w="1320" w:type="dxa"/>
            <w:vAlign w:val="bottom"/>
            <w:tcBorders>
              <w:top w:val="single" w:sz="8" w:color="0000FF"/>
            </w:tcBorders>
            <w:gridSpan w:val="4"/>
          </w:tcPr>
          <w:p>
            <w:pPr>
              <w:spacing w:after="0" w:line="182" w:lineRule="exact"/>
              <w:rPr>
                <w:sz w:val="20"/>
                <w:szCs w:val="20"/>
                <w:color w:val="auto"/>
              </w:rPr>
            </w:pPr>
            <w:r>
              <w:rPr>
                <w:rFonts w:ascii="Arial" w:cs="Arial" w:eastAsia="Arial" w:hAnsi="Arial"/>
                <w:sz w:val="18"/>
                <w:szCs w:val="18"/>
                <w:color w:val="0000FF"/>
              </w:rPr>
              <w:t>Exhibits</w:t>
            </w:r>
          </w:p>
        </w:tc>
        <w:tc>
          <w:tcPr>
            <w:tcW w:w="7980" w:type="dxa"/>
            <w:vAlign w:val="bottom"/>
            <w:gridSpan w:val="17"/>
          </w:tcPr>
          <w:p>
            <w:pPr>
              <w:spacing w:after="0"/>
              <w:rPr>
                <w:sz w:val="15"/>
                <w:szCs w:val="15"/>
                <w:color w:val="auto"/>
              </w:rPr>
            </w:pPr>
          </w:p>
        </w:tc>
        <w:tc>
          <w:tcPr>
            <w:tcW w:w="780" w:type="dxa"/>
            <w:vAlign w:val="bottom"/>
          </w:tcPr>
          <w:p>
            <w:pPr>
              <w:jc w:val="right"/>
              <w:spacing w:after="0" w:line="182" w:lineRule="exact"/>
              <w:rPr>
                <w:sz w:val="20"/>
                <w:szCs w:val="20"/>
                <w:color w:val="auto"/>
              </w:rPr>
            </w:pPr>
            <w:r>
              <w:rPr>
                <w:rFonts w:ascii="Arial" w:cs="Arial" w:eastAsia="Arial" w:hAnsi="Arial"/>
                <w:sz w:val="18"/>
                <w:szCs w:val="18"/>
                <w:color w:val="auto"/>
              </w:rPr>
              <w:t>74</w:t>
            </w:r>
          </w:p>
        </w:tc>
        <w:tc>
          <w:tcPr>
            <w:tcW w:w="0" w:type="dxa"/>
            <w:vAlign w:val="bottom"/>
          </w:tcPr>
          <w:p>
            <w:pPr>
              <w:spacing w:after="0"/>
              <w:rPr>
                <w:sz w:val="1"/>
                <w:szCs w:val="1"/>
                <w:color w:val="auto"/>
              </w:rPr>
            </w:pPr>
          </w:p>
        </w:tc>
      </w:tr>
      <w:tr>
        <w:trPr>
          <w:trHeight w:val="182"/>
        </w:trPr>
        <w:tc>
          <w:tcPr>
            <w:tcW w:w="20" w:type="dxa"/>
            <w:vAlign w:val="bottom"/>
          </w:tcPr>
          <w:p>
            <w:pPr>
              <w:spacing w:after="0"/>
              <w:rPr>
                <w:sz w:val="15"/>
                <w:szCs w:val="15"/>
                <w:color w:val="auto"/>
              </w:rPr>
            </w:pPr>
          </w:p>
        </w:tc>
        <w:tc>
          <w:tcPr>
            <w:tcW w:w="1140" w:type="dxa"/>
            <w:vAlign w:val="bottom"/>
            <w:gridSpan w:val="2"/>
          </w:tcPr>
          <w:p>
            <w:pPr>
              <w:spacing w:after="0" w:line="182" w:lineRule="exact"/>
              <w:rPr>
                <w:sz w:val="20"/>
                <w:szCs w:val="20"/>
                <w:color w:val="auto"/>
              </w:rPr>
            </w:pPr>
            <w:r>
              <w:rPr>
                <w:rFonts w:ascii="Arial" w:cs="Arial" w:eastAsia="Arial" w:hAnsi="Arial"/>
                <w:sz w:val="18"/>
                <w:szCs w:val="18"/>
                <w:color w:val="0000FF"/>
              </w:rPr>
              <w:t>Signatures</w:t>
            </w:r>
          </w:p>
        </w:tc>
        <w:tc>
          <w:tcPr>
            <w:tcW w:w="600" w:type="dxa"/>
            <w:vAlign w:val="bottom"/>
            <w:tcBorders>
              <w:top w:val="single" w:sz="8" w:color="0000FF"/>
            </w:tcBorders>
            <w:vMerge w:val="restart"/>
          </w:tcPr>
          <w:p>
            <w:pPr>
              <w:spacing w:after="0"/>
              <w:rPr>
                <w:sz w:val="15"/>
                <w:szCs w:val="15"/>
                <w:color w:val="auto"/>
              </w:rPr>
            </w:pPr>
          </w:p>
        </w:tc>
        <w:tc>
          <w:tcPr>
            <w:tcW w:w="4920" w:type="dxa"/>
            <w:vAlign w:val="bottom"/>
            <w:gridSpan w:val="17"/>
            <w:vMerge w:val="restart"/>
          </w:tcPr>
          <w:p>
            <w:pPr>
              <w:jc w:val="right"/>
              <w:ind w:right="1020"/>
              <w:spacing w:after="0"/>
              <w:rPr>
                <w:sz w:val="20"/>
                <w:szCs w:val="20"/>
                <w:color w:val="auto"/>
              </w:rPr>
            </w:pPr>
            <w:r>
              <w:rPr>
                <w:rFonts w:ascii="Arial" w:cs="Arial" w:eastAsia="Arial" w:hAnsi="Arial"/>
                <w:sz w:val="18"/>
                <w:szCs w:val="18"/>
                <w:color w:val="auto"/>
              </w:rPr>
              <w:t>2</w:t>
            </w:r>
          </w:p>
        </w:tc>
        <w:tc>
          <w:tcPr>
            <w:tcW w:w="940" w:type="dxa"/>
            <w:vAlign w:val="bottom"/>
          </w:tcPr>
          <w:p>
            <w:pPr>
              <w:spacing w:after="0"/>
              <w:rPr>
                <w:sz w:val="15"/>
                <w:szCs w:val="15"/>
                <w:color w:val="auto"/>
              </w:rPr>
            </w:pPr>
          </w:p>
        </w:tc>
        <w:tc>
          <w:tcPr>
            <w:tcW w:w="1940" w:type="dxa"/>
            <w:vAlign w:val="bottom"/>
          </w:tcPr>
          <w:p>
            <w:pPr>
              <w:spacing w:after="0"/>
              <w:rPr>
                <w:sz w:val="15"/>
                <w:szCs w:val="15"/>
                <w:color w:val="auto"/>
              </w:rPr>
            </w:pPr>
          </w:p>
        </w:tc>
        <w:tc>
          <w:tcPr>
            <w:tcW w:w="900" w:type="dxa"/>
            <w:vAlign w:val="bottom"/>
          </w:tcPr>
          <w:p>
            <w:pPr>
              <w:spacing w:after="0"/>
              <w:rPr>
                <w:sz w:val="15"/>
                <w:szCs w:val="15"/>
                <w:color w:val="auto"/>
              </w:rPr>
            </w:pPr>
          </w:p>
        </w:tc>
        <w:tc>
          <w:tcPr>
            <w:tcW w:w="780" w:type="dxa"/>
            <w:vAlign w:val="bottom"/>
          </w:tcPr>
          <w:p>
            <w:pPr>
              <w:jc w:val="right"/>
              <w:spacing w:after="0" w:line="182" w:lineRule="exact"/>
              <w:rPr>
                <w:sz w:val="20"/>
                <w:szCs w:val="20"/>
                <w:color w:val="auto"/>
              </w:rPr>
            </w:pPr>
            <w:r>
              <w:rPr>
                <w:rFonts w:ascii="Arial" w:cs="Arial" w:eastAsia="Arial" w:hAnsi="Arial"/>
                <w:sz w:val="18"/>
                <w:szCs w:val="18"/>
                <w:color w:val="auto"/>
              </w:rPr>
              <w:t>75</w:t>
            </w:r>
          </w:p>
        </w:tc>
        <w:tc>
          <w:tcPr>
            <w:tcW w:w="0" w:type="dxa"/>
            <w:vAlign w:val="bottom"/>
          </w:tcPr>
          <w:p>
            <w:pPr>
              <w:spacing w:after="0"/>
              <w:rPr>
                <w:sz w:val="1"/>
                <w:szCs w:val="1"/>
                <w:color w:val="auto"/>
              </w:rPr>
            </w:pPr>
          </w:p>
        </w:tc>
      </w:tr>
      <w:tr>
        <w:trPr>
          <w:trHeight w:val="546"/>
        </w:trPr>
        <w:tc>
          <w:tcPr>
            <w:tcW w:w="20" w:type="dxa"/>
            <w:vAlign w:val="bottom"/>
          </w:tcPr>
          <w:p>
            <w:pPr>
              <w:spacing w:after="0"/>
              <w:rPr>
                <w:sz w:val="24"/>
                <w:szCs w:val="24"/>
                <w:color w:val="auto"/>
              </w:rPr>
            </w:pPr>
          </w:p>
        </w:tc>
        <w:tc>
          <w:tcPr>
            <w:tcW w:w="760" w:type="dxa"/>
            <w:vAlign w:val="bottom"/>
            <w:tcBorders>
              <w:top w:val="single" w:sz="8" w:color="0000FF"/>
            </w:tcBorders>
          </w:tcPr>
          <w:p>
            <w:pPr>
              <w:spacing w:after="0"/>
              <w:rPr>
                <w:sz w:val="24"/>
                <w:szCs w:val="24"/>
                <w:color w:val="auto"/>
              </w:rPr>
            </w:pPr>
          </w:p>
        </w:tc>
        <w:tc>
          <w:tcPr>
            <w:tcW w:w="380" w:type="dxa"/>
            <w:vAlign w:val="bottom"/>
          </w:tcPr>
          <w:p>
            <w:pPr>
              <w:spacing w:after="0"/>
              <w:rPr>
                <w:sz w:val="24"/>
                <w:szCs w:val="24"/>
                <w:color w:val="auto"/>
              </w:rPr>
            </w:pPr>
          </w:p>
        </w:tc>
        <w:tc>
          <w:tcPr>
            <w:tcW w:w="600" w:type="dxa"/>
            <w:vAlign w:val="bottom"/>
            <w:tcBorders>
              <w:top w:val="single" w:sz="8" w:color="0000FF"/>
            </w:tcBorders>
            <w:vMerge w:val="continue"/>
          </w:tcPr>
          <w:p>
            <w:pPr>
              <w:spacing w:after="0"/>
              <w:rPr>
                <w:sz w:val="24"/>
                <w:szCs w:val="24"/>
                <w:color w:val="auto"/>
              </w:rPr>
            </w:pPr>
          </w:p>
        </w:tc>
        <w:tc>
          <w:tcPr>
            <w:tcW w:w="4920" w:type="dxa"/>
            <w:vAlign w:val="bottom"/>
            <w:gridSpan w:val="17"/>
            <w:vMerge w:val="continue"/>
          </w:tcPr>
          <w:p>
            <w:pPr>
              <w:spacing w:after="0"/>
              <w:rPr>
                <w:sz w:val="24"/>
                <w:szCs w:val="24"/>
                <w:color w:val="auto"/>
              </w:rPr>
            </w:pPr>
          </w:p>
        </w:tc>
        <w:tc>
          <w:tcPr>
            <w:tcW w:w="940" w:type="dxa"/>
            <w:vAlign w:val="bottom"/>
          </w:tcPr>
          <w:p>
            <w:pPr>
              <w:spacing w:after="0"/>
              <w:rPr>
                <w:sz w:val="24"/>
                <w:szCs w:val="24"/>
                <w:color w:val="auto"/>
              </w:rPr>
            </w:pPr>
          </w:p>
        </w:tc>
        <w:tc>
          <w:tcPr>
            <w:tcW w:w="194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15"/>
        </w:trPr>
        <w:tc>
          <w:tcPr>
            <w:tcW w:w="20" w:type="dxa"/>
            <w:vAlign w:val="bottom"/>
            <w:tcBorders>
              <w:bottom w:val="single" w:sz="8" w:color="9A9A9A"/>
            </w:tcBorders>
          </w:tcPr>
          <w:p>
            <w:pPr>
              <w:spacing w:after="0"/>
              <w:rPr>
                <w:sz w:val="9"/>
                <w:szCs w:val="9"/>
                <w:color w:val="auto"/>
              </w:rPr>
            </w:pPr>
          </w:p>
        </w:tc>
        <w:tc>
          <w:tcPr>
            <w:tcW w:w="760" w:type="dxa"/>
            <w:vAlign w:val="bottom"/>
            <w:tcBorders>
              <w:bottom w:val="single" w:sz="8" w:color="9A9A9A"/>
            </w:tcBorders>
          </w:tcPr>
          <w:p>
            <w:pPr>
              <w:spacing w:after="0"/>
              <w:rPr>
                <w:sz w:val="9"/>
                <w:szCs w:val="9"/>
                <w:color w:val="auto"/>
              </w:rPr>
            </w:pPr>
          </w:p>
        </w:tc>
        <w:tc>
          <w:tcPr>
            <w:tcW w:w="380" w:type="dxa"/>
            <w:vAlign w:val="bottom"/>
            <w:tcBorders>
              <w:bottom w:val="single" w:sz="8" w:color="9A9A9A"/>
            </w:tcBorders>
          </w:tcPr>
          <w:p>
            <w:pPr>
              <w:spacing w:after="0"/>
              <w:rPr>
                <w:sz w:val="9"/>
                <w:szCs w:val="9"/>
                <w:color w:val="auto"/>
              </w:rPr>
            </w:pPr>
          </w:p>
        </w:tc>
        <w:tc>
          <w:tcPr>
            <w:tcW w:w="600" w:type="dxa"/>
            <w:vAlign w:val="bottom"/>
            <w:tcBorders>
              <w:bottom w:val="single" w:sz="8" w:color="9A9A9A"/>
            </w:tcBorders>
          </w:tcPr>
          <w:p>
            <w:pPr>
              <w:spacing w:after="0"/>
              <w:rPr>
                <w:sz w:val="9"/>
                <w:szCs w:val="9"/>
                <w:color w:val="auto"/>
              </w:rPr>
            </w:pPr>
          </w:p>
        </w:tc>
        <w:tc>
          <w:tcPr>
            <w:tcW w:w="320" w:type="dxa"/>
            <w:vAlign w:val="bottom"/>
            <w:tcBorders>
              <w:bottom w:val="single" w:sz="8" w:color="9A9A9A"/>
            </w:tcBorders>
          </w:tcPr>
          <w:p>
            <w:pPr>
              <w:spacing w:after="0"/>
              <w:rPr>
                <w:sz w:val="9"/>
                <w:szCs w:val="9"/>
                <w:color w:val="auto"/>
              </w:rPr>
            </w:pPr>
          </w:p>
        </w:tc>
        <w:tc>
          <w:tcPr>
            <w:tcW w:w="20" w:type="dxa"/>
            <w:vAlign w:val="bottom"/>
            <w:tcBorders>
              <w:bottom w:val="single" w:sz="8" w:color="9A9A9A"/>
            </w:tcBorders>
          </w:tcPr>
          <w:p>
            <w:pPr>
              <w:spacing w:after="0"/>
              <w:rPr>
                <w:sz w:val="9"/>
                <w:szCs w:val="9"/>
                <w:color w:val="auto"/>
              </w:rPr>
            </w:pPr>
          </w:p>
        </w:tc>
        <w:tc>
          <w:tcPr>
            <w:tcW w:w="380" w:type="dxa"/>
            <w:vAlign w:val="bottom"/>
            <w:tcBorders>
              <w:bottom w:val="single" w:sz="8" w:color="9A9A9A"/>
            </w:tcBorders>
          </w:tcPr>
          <w:p>
            <w:pPr>
              <w:spacing w:after="0"/>
              <w:rPr>
                <w:sz w:val="9"/>
                <w:szCs w:val="9"/>
                <w:color w:val="auto"/>
              </w:rPr>
            </w:pPr>
          </w:p>
        </w:tc>
        <w:tc>
          <w:tcPr>
            <w:tcW w:w="20" w:type="dxa"/>
            <w:vAlign w:val="bottom"/>
            <w:tcBorders>
              <w:bottom w:val="single" w:sz="8" w:color="9A9A9A"/>
            </w:tcBorders>
          </w:tcPr>
          <w:p>
            <w:pPr>
              <w:spacing w:after="0"/>
              <w:rPr>
                <w:sz w:val="9"/>
                <w:szCs w:val="9"/>
                <w:color w:val="auto"/>
              </w:rPr>
            </w:pPr>
          </w:p>
        </w:tc>
        <w:tc>
          <w:tcPr>
            <w:tcW w:w="440" w:type="dxa"/>
            <w:vAlign w:val="bottom"/>
            <w:tcBorders>
              <w:bottom w:val="single" w:sz="8" w:color="9A9A9A"/>
            </w:tcBorders>
          </w:tcPr>
          <w:p>
            <w:pPr>
              <w:spacing w:after="0"/>
              <w:rPr>
                <w:sz w:val="9"/>
                <w:szCs w:val="9"/>
                <w:color w:val="auto"/>
              </w:rPr>
            </w:pPr>
          </w:p>
        </w:tc>
        <w:tc>
          <w:tcPr>
            <w:tcW w:w="20" w:type="dxa"/>
            <w:vAlign w:val="bottom"/>
            <w:tcBorders>
              <w:bottom w:val="single" w:sz="8" w:color="9A9A9A"/>
            </w:tcBorders>
          </w:tcPr>
          <w:p>
            <w:pPr>
              <w:spacing w:after="0"/>
              <w:rPr>
                <w:sz w:val="9"/>
                <w:szCs w:val="9"/>
                <w:color w:val="auto"/>
              </w:rPr>
            </w:pPr>
          </w:p>
        </w:tc>
        <w:tc>
          <w:tcPr>
            <w:tcW w:w="80" w:type="dxa"/>
            <w:vAlign w:val="bottom"/>
            <w:tcBorders>
              <w:bottom w:val="single" w:sz="8" w:color="9A9A9A"/>
            </w:tcBorders>
          </w:tcPr>
          <w:p>
            <w:pPr>
              <w:spacing w:after="0"/>
              <w:rPr>
                <w:sz w:val="9"/>
                <w:szCs w:val="9"/>
                <w:color w:val="auto"/>
              </w:rPr>
            </w:pPr>
          </w:p>
        </w:tc>
        <w:tc>
          <w:tcPr>
            <w:tcW w:w="380" w:type="dxa"/>
            <w:vAlign w:val="bottom"/>
            <w:tcBorders>
              <w:bottom w:val="single" w:sz="8" w:color="9A9A9A"/>
            </w:tcBorders>
          </w:tcPr>
          <w:p>
            <w:pPr>
              <w:spacing w:after="0"/>
              <w:rPr>
                <w:sz w:val="9"/>
                <w:szCs w:val="9"/>
                <w:color w:val="auto"/>
              </w:rPr>
            </w:pPr>
          </w:p>
        </w:tc>
        <w:tc>
          <w:tcPr>
            <w:tcW w:w="60" w:type="dxa"/>
            <w:vAlign w:val="bottom"/>
            <w:tcBorders>
              <w:bottom w:val="single" w:sz="8" w:color="9A9A9A"/>
            </w:tcBorders>
          </w:tcPr>
          <w:p>
            <w:pPr>
              <w:spacing w:after="0"/>
              <w:rPr>
                <w:sz w:val="9"/>
                <w:szCs w:val="9"/>
                <w:color w:val="auto"/>
              </w:rPr>
            </w:pPr>
          </w:p>
        </w:tc>
        <w:tc>
          <w:tcPr>
            <w:tcW w:w="100" w:type="dxa"/>
            <w:vAlign w:val="bottom"/>
            <w:tcBorders>
              <w:bottom w:val="single" w:sz="8" w:color="9A9A9A"/>
            </w:tcBorders>
          </w:tcPr>
          <w:p>
            <w:pPr>
              <w:spacing w:after="0"/>
              <w:rPr>
                <w:sz w:val="9"/>
                <w:szCs w:val="9"/>
                <w:color w:val="auto"/>
              </w:rPr>
            </w:pPr>
          </w:p>
        </w:tc>
        <w:tc>
          <w:tcPr>
            <w:tcW w:w="520" w:type="dxa"/>
            <w:vAlign w:val="bottom"/>
            <w:tcBorders>
              <w:bottom w:val="single" w:sz="8" w:color="9A9A9A"/>
            </w:tcBorders>
          </w:tcPr>
          <w:p>
            <w:pPr>
              <w:spacing w:after="0"/>
              <w:rPr>
                <w:sz w:val="9"/>
                <w:szCs w:val="9"/>
                <w:color w:val="auto"/>
              </w:rPr>
            </w:pPr>
          </w:p>
        </w:tc>
        <w:tc>
          <w:tcPr>
            <w:tcW w:w="780" w:type="dxa"/>
            <w:vAlign w:val="bottom"/>
            <w:tcBorders>
              <w:bottom w:val="single" w:sz="8" w:color="9A9A9A"/>
            </w:tcBorders>
          </w:tcPr>
          <w:p>
            <w:pPr>
              <w:spacing w:after="0"/>
              <w:rPr>
                <w:sz w:val="9"/>
                <w:szCs w:val="9"/>
                <w:color w:val="auto"/>
              </w:rPr>
            </w:pPr>
          </w:p>
        </w:tc>
        <w:tc>
          <w:tcPr>
            <w:tcW w:w="20" w:type="dxa"/>
            <w:vAlign w:val="bottom"/>
            <w:tcBorders>
              <w:bottom w:val="single" w:sz="8" w:color="9A9A9A"/>
            </w:tcBorders>
          </w:tcPr>
          <w:p>
            <w:pPr>
              <w:spacing w:after="0"/>
              <w:rPr>
                <w:sz w:val="9"/>
                <w:szCs w:val="9"/>
                <w:color w:val="auto"/>
              </w:rPr>
            </w:pPr>
          </w:p>
        </w:tc>
        <w:tc>
          <w:tcPr>
            <w:tcW w:w="260" w:type="dxa"/>
            <w:vAlign w:val="bottom"/>
            <w:tcBorders>
              <w:bottom w:val="single" w:sz="8" w:color="9A9A9A"/>
            </w:tcBorders>
          </w:tcPr>
          <w:p>
            <w:pPr>
              <w:spacing w:after="0"/>
              <w:rPr>
                <w:sz w:val="9"/>
                <w:szCs w:val="9"/>
                <w:color w:val="auto"/>
              </w:rPr>
            </w:pPr>
          </w:p>
        </w:tc>
        <w:tc>
          <w:tcPr>
            <w:tcW w:w="340" w:type="dxa"/>
            <w:vAlign w:val="bottom"/>
            <w:tcBorders>
              <w:bottom w:val="single" w:sz="8" w:color="9A9A9A"/>
            </w:tcBorders>
          </w:tcPr>
          <w:p>
            <w:pPr>
              <w:spacing w:after="0"/>
              <w:rPr>
                <w:sz w:val="9"/>
                <w:szCs w:val="9"/>
                <w:color w:val="auto"/>
              </w:rPr>
            </w:pPr>
          </w:p>
        </w:tc>
        <w:tc>
          <w:tcPr>
            <w:tcW w:w="20" w:type="dxa"/>
            <w:vAlign w:val="bottom"/>
            <w:tcBorders>
              <w:bottom w:val="single" w:sz="8" w:color="9A9A9A"/>
            </w:tcBorders>
          </w:tcPr>
          <w:p>
            <w:pPr>
              <w:spacing w:after="0"/>
              <w:rPr>
                <w:sz w:val="9"/>
                <w:szCs w:val="9"/>
                <w:color w:val="auto"/>
              </w:rPr>
            </w:pPr>
          </w:p>
        </w:tc>
        <w:tc>
          <w:tcPr>
            <w:tcW w:w="1160" w:type="dxa"/>
            <w:vAlign w:val="bottom"/>
            <w:tcBorders>
              <w:bottom w:val="single" w:sz="8" w:color="9A9A9A"/>
            </w:tcBorders>
          </w:tcPr>
          <w:p>
            <w:pPr>
              <w:spacing w:after="0"/>
              <w:rPr>
                <w:sz w:val="9"/>
                <w:szCs w:val="9"/>
                <w:color w:val="auto"/>
              </w:rPr>
            </w:pPr>
          </w:p>
        </w:tc>
        <w:tc>
          <w:tcPr>
            <w:tcW w:w="940" w:type="dxa"/>
            <w:vAlign w:val="bottom"/>
            <w:tcBorders>
              <w:bottom w:val="single" w:sz="8" w:color="9A9A9A"/>
            </w:tcBorders>
          </w:tcPr>
          <w:p>
            <w:pPr>
              <w:spacing w:after="0"/>
              <w:rPr>
                <w:sz w:val="9"/>
                <w:szCs w:val="9"/>
                <w:color w:val="auto"/>
              </w:rPr>
            </w:pPr>
          </w:p>
        </w:tc>
        <w:tc>
          <w:tcPr>
            <w:tcW w:w="1940" w:type="dxa"/>
            <w:vAlign w:val="bottom"/>
            <w:tcBorders>
              <w:bottom w:val="single" w:sz="8" w:color="9A9A9A"/>
            </w:tcBorders>
          </w:tcPr>
          <w:p>
            <w:pPr>
              <w:spacing w:after="0"/>
              <w:rPr>
                <w:sz w:val="9"/>
                <w:szCs w:val="9"/>
                <w:color w:val="auto"/>
              </w:rPr>
            </w:pPr>
          </w:p>
        </w:tc>
        <w:tc>
          <w:tcPr>
            <w:tcW w:w="900" w:type="dxa"/>
            <w:vAlign w:val="bottom"/>
            <w:tcBorders>
              <w:bottom w:val="single" w:sz="8" w:color="9A9A9A"/>
            </w:tcBorders>
          </w:tcPr>
          <w:p>
            <w:pPr>
              <w:spacing w:after="0"/>
              <w:rPr>
                <w:sz w:val="9"/>
                <w:szCs w:val="9"/>
                <w:color w:val="auto"/>
              </w:rPr>
            </w:pPr>
          </w:p>
        </w:tc>
        <w:tc>
          <w:tcPr>
            <w:tcW w:w="780" w:type="dxa"/>
            <w:vAlign w:val="bottom"/>
            <w:tcBorders>
              <w:bottom w:val="single" w:sz="8" w:color="9A9A9A"/>
            </w:tcBorders>
          </w:tcPr>
          <w:p>
            <w:pPr>
              <w:spacing w:after="0"/>
              <w:rPr>
                <w:sz w:val="9"/>
                <w:szCs w:val="9"/>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7116445</wp:posOffset>
            </wp:positionH>
            <wp:positionV relativeFrom="paragraph">
              <wp:posOffset>-29210</wp:posOffset>
            </wp:positionV>
            <wp:extent cx="33655" cy="4254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3655" cy="4254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33655" cy="42545"/>
                    </a:xfrm>
                    <a:prstGeom prst="rect">
                      <a:avLst/>
                    </a:prstGeom>
                    <a:noFill/>
                  </pic:spPr>
                </pic:pic>
              </a:graphicData>
            </a:graphic>
          </wp:anchor>
        </w:drawing>
      </w:r>
    </w:p>
    <w:p>
      <w:pPr>
        <w:sectPr>
          <w:pgSz w:w="11900" w:h="16838" w:orient="portrait"/>
          <w:cols w:equalWidth="0" w:num="1">
            <w:col w:w="11240"/>
          </w:cols>
          <w:pgMar w:left="320" w:top="323" w:right="339" w:bottom="1440" w:gutter="0" w:footer="0" w:header="0"/>
        </w:sectPr>
      </w:pPr>
    </w:p>
    <w:bookmarkStart w:id="2" w:name="page3"/>
    <w:bookmarkEnd w:id="2"/>
    <w:p>
      <w:pPr>
        <w:jc w:val="center"/>
        <w:ind w:right="-19"/>
        <w:spacing w:after="0"/>
        <w:rPr>
          <w:sz w:val="20"/>
          <w:szCs w:val="20"/>
          <w:color w:val="auto"/>
        </w:rPr>
      </w:pPr>
      <w:r>
        <w:rPr>
          <w:rFonts w:ascii="Arial" w:cs="Arial" w:eastAsia="Arial" w:hAnsi="Arial"/>
          <w:sz w:val="18"/>
          <w:szCs w:val="18"/>
          <w:b w:val="1"/>
          <w:bCs w:val="1"/>
          <w:color w:val="auto"/>
        </w:rPr>
        <w:t>SPECIAL NOTE REGARDING FORWARD-LOOKING STATEMENTS</w:t>
      </w:r>
    </w:p>
    <w:p>
      <w:pPr>
        <w:spacing w:after="0" w:line="229" w:lineRule="exact"/>
        <w:rPr>
          <w:sz w:val="20"/>
          <w:szCs w:val="20"/>
          <w:color w:val="auto"/>
        </w:rPr>
      </w:pPr>
    </w:p>
    <w:p>
      <w:pPr>
        <w:ind w:firstLine="509"/>
        <w:spacing w:after="0" w:line="260" w:lineRule="auto"/>
        <w:rPr>
          <w:sz w:val="20"/>
          <w:szCs w:val="20"/>
          <w:color w:val="auto"/>
        </w:rPr>
      </w:pPr>
      <w:r>
        <w:rPr>
          <w:rFonts w:ascii="Arial" w:cs="Arial" w:eastAsia="Arial" w:hAnsi="Arial"/>
          <w:sz w:val="17"/>
          <w:szCs w:val="17"/>
          <w:color w:val="auto"/>
        </w:rPr>
        <w:t>This Quarterly Report on Form 10-Q contains forward-looking statements. We intend such forward-looking statements to be covered by the safe harbor provisions for forward-looking statements contained in Section 27A of the Securities Act of 1933, as amended (the “Securities Act”), Section 21E of the Securities Exchange Act of 1934, as amended (the “Exchange Act”), and the Private Securities Litigation Reform Act of 1995. All statements other than statements of historical facts contained in this Quarterly Report on Form 10-Q may be forward-looking statements. In some cases, you can identify forward-looking statements by terms such as “may,” “will,” “should,” “expects,” “plans,” “anticipates,” “could,” “intends,” “targets,” “projects,” “contemplates,” “believes,” “estimates,” “forecasts,” “predicts,” “potential,” or “continue,” or the negative of these terms or other similar expressions. Forward-looking statements contained in this Quarterly Report on Form 10-Q include, but are not limited to statements about:</w:t>
      </w:r>
    </w:p>
    <w:p>
      <w:pPr>
        <w:spacing w:after="0" w:line="68" w:lineRule="exact"/>
        <w:rPr>
          <w:sz w:val="20"/>
          <w:szCs w:val="20"/>
          <w:color w:val="auto"/>
        </w:rPr>
      </w:pPr>
    </w:p>
    <w:p>
      <w:pPr>
        <w:ind w:left="1020" w:hanging="504"/>
        <w:spacing w:after="0"/>
        <w:tabs>
          <w:tab w:leader="none" w:pos="1020" w:val="left"/>
        </w:tabs>
        <w:numPr>
          <w:ilvl w:val="0"/>
          <w:numId w:val="3"/>
        </w:numPr>
        <w:rPr>
          <w:rFonts w:ascii="Arial" w:cs="Arial" w:eastAsia="Arial" w:hAnsi="Arial"/>
          <w:sz w:val="18"/>
          <w:szCs w:val="18"/>
          <w:color w:val="auto"/>
        </w:rPr>
      </w:pPr>
      <w:r>
        <w:rPr>
          <w:rFonts w:ascii="Arial" w:cs="Arial" w:eastAsia="Arial" w:hAnsi="Arial"/>
          <w:sz w:val="18"/>
          <w:szCs w:val="18"/>
          <w:color w:val="auto"/>
        </w:rPr>
        <w:t>our expectations regarding our revenue, expenses, and other operating results;</w:t>
      </w:r>
    </w:p>
    <w:p>
      <w:pPr>
        <w:spacing w:after="0" w:line="103" w:lineRule="exact"/>
        <w:rPr>
          <w:rFonts w:ascii="Arial" w:cs="Arial" w:eastAsia="Arial" w:hAnsi="Arial"/>
          <w:sz w:val="18"/>
          <w:szCs w:val="18"/>
          <w:color w:val="auto"/>
        </w:rPr>
      </w:pPr>
    </w:p>
    <w:p>
      <w:pPr>
        <w:ind w:left="1020" w:hanging="504"/>
        <w:spacing w:after="0"/>
        <w:tabs>
          <w:tab w:leader="none" w:pos="1020" w:val="left"/>
        </w:tabs>
        <w:numPr>
          <w:ilvl w:val="0"/>
          <w:numId w:val="3"/>
        </w:numPr>
        <w:rPr>
          <w:rFonts w:ascii="Arial" w:cs="Arial" w:eastAsia="Arial" w:hAnsi="Arial"/>
          <w:sz w:val="18"/>
          <w:szCs w:val="18"/>
          <w:color w:val="auto"/>
        </w:rPr>
      </w:pPr>
      <w:r>
        <w:rPr>
          <w:rFonts w:ascii="Arial" w:cs="Arial" w:eastAsia="Arial" w:hAnsi="Arial"/>
          <w:sz w:val="18"/>
          <w:szCs w:val="18"/>
          <w:color w:val="auto"/>
        </w:rPr>
        <w:t>our ability to acquire new customers;</w:t>
      </w:r>
    </w:p>
    <w:p>
      <w:pPr>
        <w:spacing w:after="0" w:line="103" w:lineRule="exact"/>
        <w:rPr>
          <w:rFonts w:ascii="Arial" w:cs="Arial" w:eastAsia="Arial" w:hAnsi="Arial"/>
          <w:sz w:val="18"/>
          <w:szCs w:val="18"/>
          <w:color w:val="auto"/>
        </w:rPr>
      </w:pPr>
    </w:p>
    <w:p>
      <w:pPr>
        <w:ind w:left="1020" w:hanging="504"/>
        <w:spacing w:after="0"/>
        <w:tabs>
          <w:tab w:leader="none" w:pos="1020" w:val="left"/>
        </w:tabs>
        <w:numPr>
          <w:ilvl w:val="0"/>
          <w:numId w:val="3"/>
        </w:numPr>
        <w:rPr>
          <w:rFonts w:ascii="Arial" w:cs="Arial" w:eastAsia="Arial" w:hAnsi="Arial"/>
          <w:sz w:val="18"/>
          <w:szCs w:val="18"/>
          <w:color w:val="auto"/>
        </w:rPr>
      </w:pPr>
      <w:r>
        <w:rPr>
          <w:rFonts w:ascii="Arial" w:cs="Arial" w:eastAsia="Arial" w:hAnsi="Arial"/>
          <w:sz w:val="18"/>
          <w:szCs w:val="18"/>
          <w:color w:val="auto"/>
        </w:rPr>
        <w:t>our ability to increase usage of our Digital Analytics Platform and upsell and cross sell additional products;</w:t>
      </w:r>
    </w:p>
    <w:p>
      <w:pPr>
        <w:spacing w:after="0" w:line="116" w:lineRule="exact"/>
        <w:rPr>
          <w:rFonts w:ascii="Arial" w:cs="Arial" w:eastAsia="Arial" w:hAnsi="Arial"/>
          <w:sz w:val="18"/>
          <w:szCs w:val="18"/>
          <w:color w:val="auto"/>
        </w:rPr>
      </w:pPr>
    </w:p>
    <w:p>
      <w:pPr>
        <w:ind w:left="1020" w:hanging="504"/>
        <w:spacing w:after="0"/>
        <w:tabs>
          <w:tab w:leader="none" w:pos="1020" w:val="left"/>
        </w:tabs>
        <w:numPr>
          <w:ilvl w:val="0"/>
          <w:numId w:val="3"/>
        </w:numPr>
        <w:rPr>
          <w:rFonts w:ascii="Arial" w:cs="Arial" w:eastAsia="Arial" w:hAnsi="Arial"/>
          <w:sz w:val="18"/>
          <w:szCs w:val="18"/>
          <w:color w:val="auto"/>
        </w:rPr>
      </w:pPr>
      <w:r>
        <w:rPr>
          <w:rFonts w:ascii="Arial" w:cs="Arial" w:eastAsia="Arial" w:hAnsi="Arial"/>
          <w:sz w:val="18"/>
          <w:szCs w:val="18"/>
          <w:color w:val="auto"/>
        </w:rPr>
        <w:t>our ability to achieve or sustain profitability;</w:t>
      </w:r>
    </w:p>
    <w:p>
      <w:pPr>
        <w:spacing w:after="0" w:line="103" w:lineRule="exact"/>
        <w:rPr>
          <w:rFonts w:ascii="Arial" w:cs="Arial" w:eastAsia="Arial" w:hAnsi="Arial"/>
          <w:sz w:val="18"/>
          <w:szCs w:val="18"/>
          <w:color w:val="auto"/>
        </w:rPr>
      </w:pPr>
    </w:p>
    <w:p>
      <w:pPr>
        <w:ind w:left="1020" w:hanging="504"/>
        <w:spacing w:after="0"/>
        <w:tabs>
          <w:tab w:leader="none" w:pos="1020" w:val="left"/>
        </w:tabs>
        <w:numPr>
          <w:ilvl w:val="0"/>
          <w:numId w:val="3"/>
        </w:numPr>
        <w:rPr>
          <w:rFonts w:ascii="Arial" w:cs="Arial" w:eastAsia="Arial" w:hAnsi="Arial"/>
          <w:sz w:val="18"/>
          <w:szCs w:val="18"/>
          <w:color w:val="auto"/>
        </w:rPr>
      </w:pPr>
      <w:r>
        <w:rPr>
          <w:rFonts w:ascii="Arial" w:cs="Arial" w:eastAsia="Arial" w:hAnsi="Arial"/>
          <w:sz w:val="18"/>
          <w:szCs w:val="18"/>
          <w:color w:val="auto"/>
        </w:rPr>
        <w:t>future investments in our business, our anticipated capital expenditures, and our estimates regarding our capital requirements;</w:t>
      </w:r>
    </w:p>
    <w:p>
      <w:pPr>
        <w:spacing w:after="0" w:line="103" w:lineRule="exact"/>
        <w:rPr>
          <w:rFonts w:ascii="Arial" w:cs="Arial" w:eastAsia="Arial" w:hAnsi="Arial"/>
          <w:sz w:val="18"/>
          <w:szCs w:val="18"/>
          <w:color w:val="auto"/>
        </w:rPr>
      </w:pPr>
    </w:p>
    <w:p>
      <w:pPr>
        <w:ind w:left="1020" w:right="280" w:hanging="504"/>
        <w:spacing w:after="0" w:line="277" w:lineRule="auto"/>
        <w:tabs>
          <w:tab w:leader="none" w:pos="1020" w:val="left"/>
        </w:tabs>
        <w:numPr>
          <w:ilvl w:val="0"/>
          <w:numId w:val="3"/>
        </w:numPr>
        <w:rPr>
          <w:rFonts w:ascii="Arial" w:cs="Arial" w:eastAsia="Arial" w:hAnsi="Arial"/>
          <w:sz w:val="18"/>
          <w:szCs w:val="18"/>
          <w:color w:val="auto"/>
        </w:rPr>
      </w:pPr>
      <w:r>
        <w:rPr>
          <w:rFonts w:ascii="Arial" w:cs="Arial" w:eastAsia="Arial" w:hAnsi="Arial"/>
          <w:sz w:val="18"/>
          <w:szCs w:val="18"/>
          <w:color w:val="auto"/>
        </w:rPr>
        <w:t>the costs and success of our sales and marketing efforts, including our ability to grow and maintain our channel partners, and our ability to promote our brand;</w:t>
      </w:r>
    </w:p>
    <w:p>
      <w:pPr>
        <w:spacing w:after="0" w:line="48" w:lineRule="exact"/>
        <w:rPr>
          <w:rFonts w:ascii="Arial" w:cs="Arial" w:eastAsia="Arial" w:hAnsi="Arial"/>
          <w:sz w:val="18"/>
          <w:szCs w:val="18"/>
          <w:color w:val="auto"/>
        </w:rPr>
      </w:pPr>
    </w:p>
    <w:p>
      <w:pPr>
        <w:ind w:left="1020" w:right="120" w:hanging="504"/>
        <w:spacing w:after="0" w:line="261" w:lineRule="auto"/>
        <w:tabs>
          <w:tab w:leader="none" w:pos="1020" w:val="left"/>
        </w:tabs>
        <w:numPr>
          <w:ilvl w:val="0"/>
          <w:numId w:val="3"/>
        </w:numPr>
        <w:rPr>
          <w:rFonts w:ascii="Arial" w:cs="Arial" w:eastAsia="Arial" w:hAnsi="Arial"/>
          <w:sz w:val="18"/>
          <w:szCs w:val="18"/>
          <w:color w:val="auto"/>
        </w:rPr>
      </w:pPr>
      <w:r>
        <w:rPr>
          <w:rFonts w:ascii="Arial" w:cs="Arial" w:eastAsia="Arial" w:hAnsi="Arial"/>
          <w:sz w:val="18"/>
          <w:szCs w:val="18"/>
          <w:color w:val="auto"/>
        </w:rPr>
        <w:t>the effects of the coronavirus (“COVID-19”) pandemic and other global events on our business and the global economy generally, including as a result of any new strains or variants of the virus as well as the ongoing war in Ukraine;</w:t>
      </w:r>
    </w:p>
    <w:p>
      <w:pPr>
        <w:spacing w:after="0" w:line="75" w:lineRule="exact"/>
        <w:rPr>
          <w:rFonts w:ascii="Arial" w:cs="Arial" w:eastAsia="Arial" w:hAnsi="Arial"/>
          <w:sz w:val="18"/>
          <w:szCs w:val="18"/>
          <w:color w:val="auto"/>
        </w:rPr>
      </w:pPr>
    </w:p>
    <w:p>
      <w:pPr>
        <w:ind w:left="1020" w:hanging="504"/>
        <w:spacing w:after="0"/>
        <w:tabs>
          <w:tab w:leader="none" w:pos="1020" w:val="left"/>
        </w:tabs>
        <w:numPr>
          <w:ilvl w:val="0"/>
          <w:numId w:val="3"/>
        </w:numPr>
        <w:rPr>
          <w:rFonts w:ascii="Arial" w:cs="Arial" w:eastAsia="Arial" w:hAnsi="Arial"/>
          <w:sz w:val="18"/>
          <w:szCs w:val="18"/>
          <w:color w:val="auto"/>
        </w:rPr>
      </w:pPr>
      <w:r>
        <w:rPr>
          <w:rFonts w:ascii="Arial" w:cs="Arial" w:eastAsia="Arial" w:hAnsi="Arial"/>
          <w:sz w:val="18"/>
          <w:szCs w:val="18"/>
          <w:color w:val="auto"/>
        </w:rPr>
        <w:t>our reliance on key personnel and our ability to identify, recruit, and retain skilled personnel;</w:t>
      </w:r>
    </w:p>
    <w:p>
      <w:pPr>
        <w:spacing w:after="0" w:line="103" w:lineRule="exact"/>
        <w:rPr>
          <w:rFonts w:ascii="Arial" w:cs="Arial" w:eastAsia="Arial" w:hAnsi="Arial"/>
          <w:sz w:val="18"/>
          <w:szCs w:val="18"/>
          <w:color w:val="auto"/>
        </w:rPr>
      </w:pPr>
    </w:p>
    <w:p>
      <w:pPr>
        <w:ind w:left="1020" w:hanging="504"/>
        <w:spacing w:after="0"/>
        <w:tabs>
          <w:tab w:leader="none" w:pos="1020" w:val="left"/>
        </w:tabs>
        <w:numPr>
          <w:ilvl w:val="0"/>
          <w:numId w:val="3"/>
        </w:numPr>
        <w:rPr>
          <w:rFonts w:ascii="Arial" w:cs="Arial" w:eastAsia="Arial" w:hAnsi="Arial"/>
          <w:sz w:val="18"/>
          <w:szCs w:val="18"/>
          <w:color w:val="auto"/>
        </w:rPr>
      </w:pPr>
      <w:r>
        <w:rPr>
          <w:rFonts w:ascii="Arial" w:cs="Arial" w:eastAsia="Arial" w:hAnsi="Arial"/>
          <w:sz w:val="18"/>
          <w:szCs w:val="18"/>
          <w:color w:val="auto"/>
        </w:rPr>
        <w:t>our ability to effectively manage our growth, including any international expansion;</w:t>
      </w:r>
    </w:p>
    <w:p>
      <w:pPr>
        <w:spacing w:after="0" w:line="103" w:lineRule="exact"/>
        <w:rPr>
          <w:rFonts w:ascii="Arial" w:cs="Arial" w:eastAsia="Arial" w:hAnsi="Arial"/>
          <w:sz w:val="18"/>
          <w:szCs w:val="18"/>
          <w:color w:val="auto"/>
        </w:rPr>
      </w:pPr>
    </w:p>
    <w:p>
      <w:pPr>
        <w:ind w:left="1020" w:hanging="504"/>
        <w:spacing w:after="0"/>
        <w:tabs>
          <w:tab w:leader="none" w:pos="1020" w:val="left"/>
        </w:tabs>
        <w:numPr>
          <w:ilvl w:val="0"/>
          <w:numId w:val="3"/>
        </w:numPr>
        <w:rPr>
          <w:rFonts w:ascii="Arial" w:cs="Arial" w:eastAsia="Arial" w:hAnsi="Arial"/>
          <w:sz w:val="18"/>
          <w:szCs w:val="18"/>
          <w:color w:val="auto"/>
        </w:rPr>
      </w:pPr>
      <w:r>
        <w:rPr>
          <w:rFonts w:ascii="Arial" w:cs="Arial" w:eastAsia="Arial" w:hAnsi="Arial"/>
          <w:sz w:val="18"/>
          <w:szCs w:val="18"/>
          <w:color w:val="auto"/>
        </w:rPr>
        <w:t>our ability to protect our intellectual property rights and any costs associated therewith;</w:t>
      </w:r>
    </w:p>
    <w:p>
      <w:pPr>
        <w:spacing w:after="0" w:line="116" w:lineRule="exact"/>
        <w:rPr>
          <w:rFonts w:ascii="Arial" w:cs="Arial" w:eastAsia="Arial" w:hAnsi="Arial"/>
          <w:sz w:val="18"/>
          <w:szCs w:val="18"/>
          <w:color w:val="auto"/>
        </w:rPr>
      </w:pPr>
    </w:p>
    <w:p>
      <w:pPr>
        <w:ind w:left="1020" w:hanging="504"/>
        <w:spacing w:after="0"/>
        <w:tabs>
          <w:tab w:leader="none" w:pos="1020" w:val="left"/>
        </w:tabs>
        <w:numPr>
          <w:ilvl w:val="0"/>
          <w:numId w:val="3"/>
        </w:numPr>
        <w:rPr>
          <w:rFonts w:ascii="Arial" w:cs="Arial" w:eastAsia="Arial" w:hAnsi="Arial"/>
          <w:sz w:val="18"/>
          <w:szCs w:val="18"/>
          <w:color w:val="auto"/>
        </w:rPr>
      </w:pPr>
      <w:r>
        <w:rPr>
          <w:rFonts w:ascii="Arial" w:cs="Arial" w:eastAsia="Arial" w:hAnsi="Arial"/>
          <w:sz w:val="18"/>
          <w:szCs w:val="18"/>
          <w:color w:val="auto"/>
        </w:rPr>
        <w:t>our ability to compete effectively with existing competitors and new market entrants; and</w:t>
      </w:r>
    </w:p>
    <w:p>
      <w:pPr>
        <w:spacing w:after="0" w:line="103" w:lineRule="exact"/>
        <w:rPr>
          <w:rFonts w:ascii="Arial" w:cs="Arial" w:eastAsia="Arial" w:hAnsi="Arial"/>
          <w:sz w:val="18"/>
          <w:szCs w:val="18"/>
          <w:color w:val="auto"/>
        </w:rPr>
      </w:pPr>
    </w:p>
    <w:p>
      <w:pPr>
        <w:ind w:left="1020" w:hanging="504"/>
        <w:spacing w:after="0"/>
        <w:tabs>
          <w:tab w:leader="none" w:pos="1020" w:val="left"/>
        </w:tabs>
        <w:numPr>
          <w:ilvl w:val="0"/>
          <w:numId w:val="3"/>
        </w:numPr>
        <w:rPr>
          <w:rFonts w:ascii="Arial" w:cs="Arial" w:eastAsia="Arial" w:hAnsi="Arial"/>
          <w:sz w:val="18"/>
          <w:szCs w:val="18"/>
          <w:color w:val="auto"/>
        </w:rPr>
      </w:pPr>
      <w:r>
        <w:rPr>
          <w:rFonts w:ascii="Arial" w:cs="Arial" w:eastAsia="Arial" w:hAnsi="Arial"/>
          <w:sz w:val="18"/>
          <w:szCs w:val="18"/>
          <w:color w:val="auto"/>
        </w:rPr>
        <w:t>the increased expenses associated with being a public company.</w:t>
      </w:r>
    </w:p>
    <w:p>
      <w:pPr>
        <w:spacing w:after="0" w:line="211" w:lineRule="exact"/>
        <w:rPr>
          <w:sz w:val="20"/>
          <w:szCs w:val="20"/>
          <w:color w:val="auto"/>
        </w:rPr>
      </w:pPr>
    </w:p>
    <w:p>
      <w:pPr>
        <w:ind w:left="520"/>
        <w:spacing w:after="0"/>
        <w:rPr>
          <w:sz w:val="20"/>
          <w:szCs w:val="20"/>
          <w:color w:val="auto"/>
        </w:rPr>
      </w:pPr>
      <w:r>
        <w:rPr>
          <w:rFonts w:ascii="Arial" w:cs="Arial" w:eastAsia="Arial" w:hAnsi="Arial"/>
          <w:sz w:val="17"/>
          <w:szCs w:val="17"/>
          <w:color w:val="auto"/>
        </w:rPr>
        <w:t>We caution you that the foregoing list does not contain all of the forward-looking statements made in this Quarterly Report on Form 10-Q.</w:t>
      </w:r>
    </w:p>
    <w:p>
      <w:pPr>
        <w:spacing w:after="0" w:line="236" w:lineRule="exact"/>
        <w:rPr>
          <w:sz w:val="20"/>
          <w:szCs w:val="20"/>
          <w:color w:val="auto"/>
        </w:rPr>
      </w:pPr>
    </w:p>
    <w:p>
      <w:pPr>
        <w:ind w:right="20" w:firstLine="509"/>
        <w:spacing w:after="0" w:line="256" w:lineRule="auto"/>
        <w:rPr>
          <w:sz w:val="20"/>
          <w:szCs w:val="20"/>
          <w:color w:val="auto"/>
        </w:rPr>
      </w:pPr>
      <w:r>
        <w:rPr>
          <w:rFonts w:ascii="Arial" w:cs="Arial" w:eastAsia="Arial" w:hAnsi="Arial"/>
          <w:sz w:val="17"/>
          <w:szCs w:val="17"/>
          <w:color w:val="auto"/>
        </w:rPr>
        <w:t>You should not rely upon forward-looking statements as predictions of future events. We have based the forward-looking statements contained in this Quarterly Report on Form 10-Q primarily on our current expectations, estimates, forecasts, and projections about future events and trends that we believe may affect our business, results of operations, financial condition, and prospects. Although we believe that we have a reasonable basis for each forward-looking statement contained in this Quarterly Report on Form 10-Q, we cannot guarantee that the future results, levels of activity, performance, events, and circumstances reflected in the forward-looking statements will be achieved or occur at all. The outcome of the events described in these forward-looking statements is subject to risks, uncertainties, and other factors discussed in Part I, Item 2, “Management's Discussion and Analysis of Financial Condition and Results of Operations” and Part II, Item 1A, “Risk Factors” in this Quarterly Report on Form 10-Q as well as other documents that may be filed by us from time to time with the Securities and Exchange Commission. Moreover, we operate in a very competitive and rapidly changing environment. New risks and uncertainties emerge from time to time, and it is not possible for us to predict all risks and uncertainties that could have an impact on the forward-looking statements contained in this Quarterly Report on Form 10-Q. The results, events, and circumstances reflected in the forward-looking statements may not be achieved or occur, and actual results, events, or circumstances could differ materially from those described in the forward-looking statements.</w:t>
      </w:r>
    </w:p>
    <w:p>
      <w:pPr>
        <w:spacing w:after="0" w:line="181" w:lineRule="exact"/>
        <w:rPr>
          <w:sz w:val="20"/>
          <w:szCs w:val="20"/>
          <w:color w:val="auto"/>
        </w:rPr>
      </w:pPr>
    </w:p>
    <w:p>
      <w:pPr>
        <w:ind w:right="180" w:firstLine="509"/>
        <w:spacing w:after="0" w:line="263" w:lineRule="auto"/>
        <w:rPr>
          <w:sz w:val="20"/>
          <w:szCs w:val="20"/>
          <w:color w:val="auto"/>
        </w:rPr>
      </w:pPr>
      <w:r>
        <w:rPr>
          <w:rFonts w:ascii="Arial" w:cs="Arial" w:eastAsia="Arial" w:hAnsi="Arial"/>
          <w:sz w:val="17"/>
          <w:szCs w:val="17"/>
          <w:color w:val="auto"/>
        </w:rPr>
        <w:t>The forward-looking statements made in this Quarterly Report on Form 10-Q relate only to events as of the date on which the statements are made available. We undertake no obligation to update any forward-looking statements made in this Quarterly Report on Form 10-Q to reflect events or circumstances after the date of this Quarterly Report on Form 10-Q or to reflect new information or the occurrence of unanticipated events, except as required by law. We may not actually achieve the plans, intentions, or expectations disclosed in our forward-looking statements, and you should not place undue reliance on our forward-looking statements. Our forward-looking statements do not reflect the potential impact of any future acquisitions, mergers, dispositions, joint ventures, or investments we may make.</w:t>
      </w:r>
    </w:p>
    <w:p>
      <w:pPr>
        <w:spacing w:after="0" w:line="6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61595</wp:posOffset>
            </wp:positionV>
            <wp:extent cx="7157720" cy="4254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23" w:right="339" w:bottom="1440" w:gutter="0" w:footer="0" w:header="0"/>
        </w:sectPr>
      </w:pPr>
    </w:p>
    <w:bookmarkStart w:id="3" w:name="page4"/>
    <w:bookmarkEnd w:id="3"/>
    <w:p>
      <w:pPr>
        <w:ind w:firstLine="509"/>
        <w:spacing w:after="0" w:line="249" w:lineRule="auto"/>
        <w:rPr>
          <w:sz w:val="20"/>
          <w:szCs w:val="20"/>
          <w:color w:val="auto"/>
        </w:rPr>
      </w:pPr>
      <w:r>
        <w:rPr>
          <w:rFonts w:ascii="Arial" w:cs="Arial" w:eastAsia="Arial" w:hAnsi="Arial"/>
          <w:sz w:val="18"/>
          <w:szCs w:val="18"/>
          <w:color w:val="auto"/>
        </w:rPr>
        <w:t>In addition, statements that “we believe” and similar statements reflect our beliefs and opinions on the relevant subject. These statements are based upon information available to us as of the date of this Quarterly Report on Form 10-Q, and while we believe such information forms a reasonable basis for such statements, such information may be limited or incomplete, and our statements should not be read to indicate that we have conducted an exhaustive inquiry into, or review of, all potentially available relevant information. These statements are inherently uncertain, and you are cautioned not to unduly rely upon these statements.</w:t>
      </w:r>
    </w:p>
    <w:p>
      <w:pPr>
        <w:spacing w:after="0" w:line="180" w:lineRule="exact"/>
        <w:rPr>
          <w:sz w:val="20"/>
          <w:szCs w:val="20"/>
          <w:color w:val="auto"/>
        </w:rPr>
      </w:pPr>
    </w:p>
    <w:p>
      <w:pPr>
        <w:ind w:right="20" w:firstLine="509"/>
        <w:spacing w:after="0" w:line="248" w:lineRule="auto"/>
        <w:rPr>
          <w:sz w:val="20"/>
          <w:szCs w:val="20"/>
          <w:color w:val="auto"/>
        </w:rPr>
      </w:pPr>
      <w:r>
        <w:rPr>
          <w:rFonts w:ascii="Arial" w:cs="Arial" w:eastAsia="Arial" w:hAnsi="Arial"/>
          <w:sz w:val="18"/>
          <w:szCs w:val="18"/>
          <w:color w:val="auto"/>
        </w:rPr>
        <w:t>You should read this Quarterly Report on Form 10-Q and the documents that we reference in this Quarterly Report on Form 10-Q and have filed as exhibits to our most recent Annual Report on Form 10-K and this Quarterly Report on Form 10-Q, completely and with the understanding that our actual future results may be materially different from what we expect. We qualify all of the forward-looking statements in this Quarterly Report on Form 10-Q by these cautionary statements.</w:t>
      </w:r>
    </w:p>
    <w:p>
      <w:pPr>
        <w:spacing w:after="0" w:line="75"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61595</wp:posOffset>
            </wp:positionV>
            <wp:extent cx="7157720" cy="4254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80"/>
          </w:cols>
          <w:pgMar w:left="320" w:top="543" w:right="399" w:bottom="1440" w:gutter="0" w:footer="0" w:header="0"/>
        </w:sectPr>
      </w:pPr>
    </w:p>
    <w:bookmarkStart w:id="4" w:name="page5"/>
    <w:bookmarkEnd w:id="4"/>
    <w:p>
      <w:pPr>
        <w:jc w:val="center"/>
        <w:ind w:right="-19"/>
        <w:spacing w:after="0"/>
        <w:rPr>
          <w:sz w:val="20"/>
          <w:szCs w:val="20"/>
          <w:color w:val="auto"/>
        </w:rPr>
      </w:pPr>
      <w:r>
        <w:rPr>
          <w:rFonts w:ascii="Arial" w:cs="Arial" w:eastAsia="Arial" w:hAnsi="Arial"/>
          <w:sz w:val="18"/>
          <w:szCs w:val="18"/>
          <w:b w:val="1"/>
          <w:bCs w:val="1"/>
          <w:color w:val="auto"/>
        </w:rPr>
        <w:t>SUMMARY OF RISK FACTORS</w:t>
      </w:r>
    </w:p>
    <w:p>
      <w:pPr>
        <w:spacing w:after="0" w:line="229" w:lineRule="exact"/>
        <w:rPr>
          <w:sz w:val="20"/>
          <w:szCs w:val="20"/>
          <w:color w:val="auto"/>
        </w:rPr>
      </w:pPr>
    </w:p>
    <w:p>
      <w:pPr>
        <w:ind w:right="40" w:firstLine="509"/>
        <w:spacing w:after="0" w:line="248" w:lineRule="auto"/>
        <w:rPr>
          <w:sz w:val="20"/>
          <w:szCs w:val="20"/>
          <w:color w:val="auto"/>
        </w:rPr>
      </w:pPr>
      <w:r>
        <w:rPr>
          <w:rFonts w:ascii="Arial" w:cs="Arial" w:eastAsia="Arial" w:hAnsi="Arial"/>
          <w:sz w:val="18"/>
          <w:szCs w:val="18"/>
          <w:color w:val="auto"/>
        </w:rPr>
        <w:t>Our business is subject to numerous risks and uncertainties, including those described in Part II, Item 1A, “Risk Factors” in this Quarterly Report on Form 10-Q. The following is a summary of principal risks and uncertainties that could materially adversely affect our business, financial condition, and results of operations. This summary should be read in conjunction with the “Risk Factors” section and should not be relied upon as an exhaustive summary of the material risks and uncertainties facing our business.</w:t>
      </w:r>
    </w:p>
    <w:p>
      <w:pPr>
        <w:spacing w:after="0" w:line="75" w:lineRule="exact"/>
        <w:rPr>
          <w:sz w:val="20"/>
          <w:szCs w:val="20"/>
          <w:color w:val="auto"/>
        </w:rPr>
      </w:pPr>
    </w:p>
    <w:p>
      <w:pPr>
        <w:ind w:left="1020" w:right="100" w:hanging="504"/>
        <w:spacing w:after="0" w:line="261" w:lineRule="auto"/>
        <w:tabs>
          <w:tab w:leader="none" w:pos="1020" w:val="left"/>
        </w:tabs>
        <w:numPr>
          <w:ilvl w:val="0"/>
          <w:numId w:val="4"/>
        </w:numPr>
        <w:rPr>
          <w:rFonts w:ascii="Arial" w:cs="Arial" w:eastAsia="Arial" w:hAnsi="Arial"/>
          <w:sz w:val="18"/>
          <w:szCs w:val="18"/>
          <w:color w:val="auto"/>
        </w:rPr>
      </w:pPr>
      <w:r>
        <w:rPr>
          <w:rFonts w:ascii="Arial" w:cs="Arial" w:eastAsia="Arial" w:hAnsi="Arial"/>
          <w:sz w:val="18"/>
          <w:szCs w:val="18"/>
          <w:color w:val="auto"/>
        </w:rPr>
        <w:t>We have a limited operating history and have been growing rapidly over the last several years, which makes it difficult to forecast our future results of operations and increases the risk of your investment.</w:t>
      </w:r>
    </w:p>
    <w:p>
      <w:pPr>
        <w:spacing w:after="0" w:line="75" w:lineRule="exact"/>
        <w:rPr>
          <w:rFonts w:ascii="Arial" w:cs="Arial" w:eastAsia="Arial" w:hAnsi="Arial"/>
          <w:sz w:val="18"/>
          <w:szCs w:val="18"/>
          <w:color w:val="auto"/>
        </w:rPr>
      </w:pPr>
    </w:p>
    <w:p>
      <w:pPr>
        <w:ind w:left="1020" w:hanging="504"/>
        <w:spacing w:after="0"/>
        <w:tabs>
          <w:tab w:leader="none" w:pos="1020" w:val="left"/>
        </w:tabs>
        <w:numPr>
          <w:ilvl w:val="0"/>
          <w:numId w:val="4"/>
        </w:numPr>
        <w:rPr>
          <w:rFonts w:ascii="Arial" w:cs="Arial" w:eastAsia="Arial" w:hAnsi="Arial"/>
          <w:sz w:val="16"/>
          <w:szCs w:val="16"/>
          <w:color w:val="auto"/>
        </w:rPr>
      </w:pPr>
      <w:r>
        <w:rPr>
          <w:rFonts w:ascii="Arial" w:cs="Arial" w:eastAsia="Arial" w:hAnsi="Arial"/>
          <w:sz w:val="16"/>
          <w:szCs w:val="16"/>
          <w:color w:val="auto"/>
        </w:rPr>
        <w:t>We have a history of losses. As our costs increase, we may not be able to generate sufficient revenue to achieve and sustain profitability.</w:t>
      </w:r>
    </w:p>
    <w:p>
      <w:pPr>
        <w:spacing w:after="0" w:line="126" w:lineRule="exact"/>
        <w:rPr>
          <w:rFonts w:ascii="Arial" w:cs="Arial" w:eastAsia="Arial" w:hAnsi="Arial"/>
          <w:sz w:val="16"/>
          <w:szCs w:val="16"/>
          <w:color w:val="auto"/>
        </w:rPr>
      </w:pPr>
    </w:p>
    <w:p>
      <w:pPr>
        <w:ind w:left="1020" w:right="120" w:hanging="504"/>
        <w:spacing w:after="0" w:line="293" w:lineRule="auto"/>
        <w:tabs>
          <w:tab w:leader="none" w:pos="1020" w:val="left"/>
        </w:tabs>
        <w:numPr>
          <w:ilvl w:val="0"/>
          <w:numId w:val="4"/>
        </w:numPr>
        <w:rPr>
          <w:rFonts w:ascii="Arial" w:cs="Arial" w:eastAsia="Arial" w:hAnsi="Arial"/>
          <w:sz w:val="16"/>
          <w:szCs w:val="16"/>
          <w:color w:val="auto"/>
        </w:rPr>
      </w:pPr>
      <w:r>
        <w:rPr>
          <w:rFonts w:ascii="Arial" w:cs="Arial" w:eastAsia="Arial" w:hAnsi="Arial"/>
          <w:sz w:val="16"/>
          <w:szCs w:val="16"/>
          <w:color w:val="auto"/>
        </w:rPr>
        <w:t>Our business depends on our current customers renewing their subscriptions and purchasing additional subscriptions from us, as well as attracting new customers. Any decline in our customer retention or expansion of our commercial relationships with existing customers or an inability to attract new customers would materially adversely affect our business, financial condition, and results of operations.</w:t>
      </w:r>
    </w:p>
    <w:p>
      <w:pPr>
        <w:spacing w:after="0" w:line="54" w:lineRule="exact"/>
        <w:rPr>
          <w:rFonts w:ascii="Arial" w:cs="Arial" w:eastAsia="Arial" w:hAnsi="Arial"/>
          <w:sz w:val="16"/>
          <w:szCs w:val="16"/>
          <w:color w:val="auto"/>
        </w:rPr>
      </w:pPr>
    </w:p>
    <w:p>
      <w:pPr>
        <w:ind w:left="1020" w:right="340" w:hanging="504"/>
        <w:spacing w:after="0" w:line="261" w:lineRule="auto"/>
        <w:tabs>
          <w:tab w:leader="none" w:pos="1020" w:val="left"/>
        </w:tabs>
        <w:numPr>
          <w:ilvl w:val="0"/>
          <w:numId w:val="4"/>
        </w:numPr>
        <w:rPr>
          <w:rFonts w:ascii="Arial" w:cs="Arial" w:eastAsia="Arial" w:hAnsi="Arial"/>
          <w:sz w:val="18"/>
          <w:szCs w:val="18"/>
          <w:color w:val="auto"/>
        </w:rPr>
      </w:pPr>
      <w:r>
        <w:rPr>
          <w:rFonts w:ascii="Arial" w:cs="Arial" w:eastAsia="Arial" w:hAnsi="Arial"/>
          <w:sz w:val="18"/>
          <w:szCs w:val="18"/>
          <w:color w:val="auto"/>
        </w:rPr>
        <w:t>We expect fluctuations in our financial results, making it difficult to project future results. If we fail to meet the expectations of securities analysts or investors with respect to our results of operations, our stock price could decline.</w:t>
      </w:r>
    </w:p>
    <w:p>
      <w:pPr>
        <w:spacing w:after="0" w:line="62" w:lineRule="exact"/>
        <w:rPr>
          <w:rFonts w:ascii="Arial" w:cs="Arial" w:eastAsia="Arial" w:hAnsi="Arial"/>
          <w:sz w:val="18"/>
          <w:szCs w:val="18"/>
          <w:color w:val="auto"/>
        </w:rPr>
      </w:pPr>
    </w:p>
    <w:p>
      <w:pPr>
        <w:ind w:left="1020" w:right="120" w:hanging="504"/>
        <w:spacing w:after="0" w:line="277" w:lineRule="auto"/>
        <w:tabs>
          <w:tab w:leader="none" w:pos="1020" w:val="left"/>
        </w:tabs>
        <w:numPr>
          <w:ilvl w:val="0"/>
          <w:numId w:val="4"/>
        </w:numPr>
        <w:rPr>
          <w:rFonts w:ascii="Arial" w:cs="Arial" w:eastAsia="Arial" w:hAnsi="Arial"/>
          <w:sz w:val="18"/>
          <w:szCs w:val="18"/>
          <w:color w:val="auto"/>
        </w:rPr>
      </w:pPr>
      <w:r>
        <w:rPr>
          <w:rFonts w:ascii="Arial" w:cs="Arial" w:eastAsia="Arial" w:hAnsi="Arial"/>
          <w:sz w:val="18"/>
          <w:szCs w:val="18"/>
          <w:color w:val="auto"/>
        </w:rPr>
        <w:t>We expect to continue to focus on sales to larger organizations and may become more dependent on those relationships, which may increase the variability of our sales cycles and our results of operations.</w:t>
      </w:r>
    </w:p>
    <w:p>
      <w:pPr>
        <w:spacing w:after="0" w:line="48" w:lineRule="exact"/>
        <w:rPr>
          <w:rFonts w:ascii="Arial" w:cs="Arial" w:eastAsia="Arial" w:hAnsi="Arial"/>
          <w:sz w:val="18"/>
          <w:szCs w:val="18"/>
          <w:color w:val="auto"/>
        </w:rPr>
      </w:pPr>
    </w:p>
    <w:p>
      <w:pPr>
        <w:ind w:left="1020" w:right="320" w:hanging="504"/>
        <w:spacing w:after="0" w:line="261" w:lineRule="auto"/>
        <w:tabs>
          <w:tab w:leader="none" w:pos="1020" w:val="left"/>
        </w:tabs>
        <w:numPr>
          <w:ilvl w:val="0"/>
          <w:numId w:val="4"/>
        </w:numPr>
        <w:rPr>
          <w:rFonts w:ascii="Arial" w:cs="Arial" w:eastAsia="Arial" w:hAnsi="Arial"/>
          <w:sz w:val="18"/>
          <w:szCs w:val="18"/>
          <w:color w:val="auto"/>
        </w:rPr>
      </w:pPr>
      <w:r>
        <w:rPr>
          <w:rFonts w:ascii="Arial" w:cs="Arial" w:eastAsia="Arial" w:hAnsi="Arial"/>
          <w:sz w:val="18"/>
          <w:szCs w:val="18"/>
          <w:color w:val="auto"/>
        </w:rPr>
        <w:t>We recognize revenue over the term of our customer contracts. Consequently, downturns or upturns in new sales may not be immediately reflected in our results of operations and may be difficult to discern.</w:t>
      </w:r>
    </w:p>
    <w:p>
      <w:pPr>
        <w:spacing w:after="0" w:line="75" w:lineRule="exact"/>
        <w:rPr>
          <w:rFonts w:ascii="Arial" w:cs="Arial" w:eastAsia="Arial" w:hAnsi="Arial"/>
          <w:sz w:val="18"/>
          <w:szCs w:val="18"/>
          <w:color w:val="auto"/>
        </w:rPr>
      </w:pPr>
    </w:p>
    <w:p>
      <w:pPr>
        <w:ind w:left="1020" w:hanging="504"/>
        <w:spacing w:after="0"/>
        <w:tabs>
          <w:tab w:leader="none" w:pos="1020" w:val="left"/>
        </w:tabs>
        <w:numPr>
          <w:ilvl w:val="0"/>
          <w:numId w:val="4"/>
        </w:numPr>
        <w:rPr>
          <w:rFonts w:ascii="Arial" w:cs="Arial" w:eastAsia="Arial" w:hAnsi="Arial"/>
          <w:sz w:val="18"/>
          <w:szCs w:val="18"/>
          <w:color w:val="auto"/>
        </w:rPr>
      </w:pPr>
      <w:r>
        <w:rPr>
          <w:rFonts w:ascii="Arial" w:cs="Arial" w:eastAsia="Arial" w:hAnsi="Arial"/>
          <w:sz w:val="18"/>
          <w:szCs w:val="18"/>
          <w:color w:val="auto"/>
        </w:rPr>
        <w:t>Our stock price has been, and in the future, may be, volatile, and could decline significantly and rapidly.</w:t>
      </w:r>
    </w:p>
    <w:p>
      <w:pPr>
        <w:spacing w:after="0" w:line="103" w:lineRule="exact"/>
        <w:rPr>
          <w:rFonts w:ascii="Arial" w:cs="Arial" w:eastAsia="Arial" w:hAnsi="Arial"/>
          <w:sz w:val="18"/>
          <w:szCs w:val="18"/>
          <w:color w:val="auto"/>
        </w:rPr>
      </w:pPr>
    </w:p>
    <w:p>
      <w:pPr>
        <w:ind w:left="1020" w:right="260" w:hanging="504"/>
        <w:spacing w:after="0" w:line="261" w:lineRule="auto"/>
        <w:tabs>
          <w:tab w:leader="none" w:pos="1020" w:val="left"/>
        </w:tabs>
        <w:numPr>
          <w:ilvl w:val="0"/>
          <w:numId w:val="4"/>
        </w:numPr>
        <w:rPr>
          <w:rFonts w:ascii="Arial" w:cs="Arial" w:eastAsia="Arial" w:hAnsi="Arial"/>
          <w:sz w:val="18"/>
          <w:szCs w:val="18"/>
          <w:color w:val="auto"/>
        </w:rPr>
      </w:pPr>
      <w:r>
        <w:rPr>
          <w:rFonts w:ascii="Arial" w:cs="Arial" w:eastAsia="Arial" w:hAnsi="Arial"/>
          <w:sz w:val="18"/>
          <w:szCs w:val="18"/>
          <w:color w:val="auto"/>
        </w:rPr>
        <w:t>Unfavorable conditions in our industry or the global economy, or reductions in information technology spending, could limit our ability to grow our business and materially adversely affect our business, financial condition, and results of operations.</w:t>
      </w:r>
    </w:p>
    <w:p>
      <w:pPr>
        <w:spacing w:after="0" w:line="75" w:lineRule="exact"/>
        <w:rPr>
          <w:rFonts w:ascii="Arial" w:cs="Arial" w:eastAsia="Arial" w:hAnsi="Arial"/>
          <w:sz w:val="18"/>
          <w:szCs w:val="18"/>
          <w:color w:val="auto"/>
        </w:rPr>
      </w:pPr>
    </w:p>
    <w:p>
      <w:pPr>
        <w:ind w:left="1020" w:hanging="504"/>
        <w:spacing w:after="0"/>
        <w:tabs>
          <w:tab w:leader="none" w:pos="1020" w:val="left"/>
        </w:tabs>
        <w:numPr>
          <w:ilvl w:val="0"/>
          <w:numId w:val="4"/>
        </w:numPr>
        <w:rPr>
          <w:rFonts w:ascii="Arial" w:cs="Arial" w:eastAsia="Arial" w:hAnsi="Arial"/>
          <w:sz w:val="18"/>
          <w:szCs w:val="18"/>
          <w:color w:val="auto"/>
        </w:rPr>
      </w:pPr>
      <w:r>
        <w:rPr>
          <w:rFonts w:ascii="Arial" w:cs="Arial" w:eastAsia="Arial" w:hAnsi="Arial"/>
          <w:sz w:val="18"/>
          <w:szCs w:val="18"/>
          <w:color w:val="auto"/>
        </w:rPr>
        <w:t>If the market for SaaS applications develops more slowly than we expect or declines, our business would be adversely affected.</w:t>
      </w:r>
    </w:p>
    <w:p>
      <w:pPr>
        <w:spacing w:after="0" w:line="103" w:lineRule="exact"/>
        <w:rPr>
          <w:rFonts w:ascii="Arial" w:cs="Arial" w:eastAsia="Arial" w:hAnsi="Arial"/>
          <w:sz w:val="18"/>
          <w:szCs w:val="18"/>
          <w:color w:val="auto"/>
        </w:rPr>
      </w:pPr>
    </w:p>
    <w:p>
      <w:pPr>
        <w:ind w:left="1020" w:hanging="504"/>
        <w:spacing w:after="0" w:line="261" w:lineRule="auto"/>
        <w:tabs>
          <w:tab w:leader="none" w:pos="1020" w:val="left"/>
        </w:tabs>
        <w:numPr>
          <w:ilvl w:val="0"/>
          <w:numId w:val="4"/>
        </w:numPr>
        <w:rPr>
          <w:rFonts w:ascii="Arial" w:cs="Arial" w:eastAsia="Arial" w:hAnsi="Arial"/>
          <w:sz w:val="18"/>
          <w:szCs w:val="18"/>
          <w:color w:val="auto"/>
        </w:rPr>
      </w:pPr>
      <w:r>
        <w:rPr>
          <w:rFonts w:ascii="Arial" w:cs="Arial" w:eastAsia="Arial" w:hAnsi="Arial"/>
          <w:sz w:val="18"/>
          <w:szCs w:val="18"/>
          <w:color w:val="auto"/>
        </w:rPr>
        <w:t>Our intellectual property rights may not protect our business or provide us with a competitive advantage, which could have a material adverse effect on our business, financial condition, and results of operations.</w:t>
      </w:r>
    </w:p>
    <w:p>
      <w:pPr>
        <w:spacing w:after="0" w:line="75" w:lineRule="exact"/>
        <w:rPr>
          <w:rFonts w:ascii="Arial" w:cs="Arial" w:eastAsia="Arial" w:hAnsi="Arial"/>
          <w:sz w:val="18"/>
          <w:szCs w:val="18"/>
          <w:color w:val="auto"/>
        </w:rPr>
      </w:pPr>
    </w:p>
    <w:p>
      <w:pPr>
        <w:ind w:left="1020" w:right="220" w:hanging="504"/>
        <w:spacing w:after="0" w:line="261" w:lineRule="auto"/>
        <w:tabs>
          <w:tab w:leader="none" w:pos="1020" w:val="left"/>
        </w:tabs>
        <w:numPr>
          <w:ilvl w:val="0"/>
          <w:numId w:val="4"/>
        </w:numPr>
        <w:rPr>
          <w:rFonts w:ascii="Arial" w:cs="Arial" w:eastAsia="Arial" w:hAnsi="Arial"/>
          <w:sz w:val="18"/>
          <w:szCs w:val="18"/>
          <w:color w:val="auto"/>
        </w:rPr>
      </w:pPr>
      <w:r>
        <w:rPr>
          <w:rFonts w:ascii="Arial" w:cs="Arial" w:eastAsia="Arial" w:hAnsi="Arial"/>
          <w:sz w:val="18"/>
          <w:szCs w:val="18"/>
          <w:color w:val="auto"/>
        </w:rPr>
        <w:t>We are subject to government regulation, including import, export, economic sanctions, and anti-corruption laws and regulations, that may expose us to liability and increase our costs.</w:t>
      </w:r>
    </w:p>
    <w:p>
      <w:pPr>
        <w:spacing w:after="0" w:line="62" w:lineRule="exact"/>
        <w:rPr>
          <w:rFonts w:ascii="Arial" w:cs="Arial" w:eastAsia="Arial" w:hAnsi="Arial"/>
          <w:sz w:val="18"/>
          <w:szCs w:val="18"/>
          <w:color w:val="auto"/>
        </w:rPr>
      </w:pPr>
    </w:p>
    <w:p>
      <w:pPr>
        <w:ind w:left="1020" w:right="40" w:hanging="504"/>
        <w:spacing w:after="0" w:line="248" w:lineRule="auto"/>
        <w:tabs>
          <w:tab w:leader="none" w:pos="1020" w:val="left"/>
        </w:tabs>
        <w:numPr>
          <w:ilvl w:val="0"/>
          <w:numId w:val="4"/>
        </w:numPr>
        <w:rPr>
          <w:rFonts w:ascii="Arial" w:cs="Arial" w:eastAsia="Arial" w:hAnsi="Arial"/>
          <w:sz w:val="18"/>
          <w:szCs w:val="18"/>
          <w:color w:val="auto"/>
        </w:rPr>
      </w:pPr>
      <w:r>
        <w:rPr>
          <w:rFonts w:ascii="Arial" w:cs="Arial" w:eastAsia="Arial" w:hAnsi="Arial"/>
          <w:sz w:val="18"/>
          <w:szCs w:val="18"/>
          <w:color w:val="auto"/>
        </w:rPr>
        <w:t>Complying with evolving privacy and other data-related laws as well as contractual and other requirements may be expensive and force us to make adverse changes to our business, and the failure or perceived failure to comply with such laws, contracts, and other requirements could result in adverse reputational and brand damage and significant fines and liability or otherwise materially adversely affect our business and growth prospects.</w:t>
      </w:r>
    </w:p>
    <w:p>
      <w:pPr>
        <w:spacing w:after="0" w:line="74" w:lineRule="exact"/>
        <w:rPr>
          <w:rFonts w:ascii="Arial" w:cs="Arial" w:eastAsia="Arial" w:hAnsi="Arial"/>
          <w:sz w:val="18"/>
          <w:szCs w:val="18"/>
          <w:color w:val="auto"/>
        </w:rPr>
      </w:pPr>
    </w:p>
    <w:p>
      <w:pPr>
        <w:ind w:left="1020" w:hanging="504"/>
        <w:spacing w:after="0"/>
        <w:tabs>
          <w:tab w:leader="none" w:pos="1020" w:val="left"/>
        </w:tabs>
        <w:numPr>
          <w:ilvl w:val="0"/>
          <w:numId w:val="4"/>
        </w:numPr>
        <w:rPr>
          <w:rFonts w:ascii="Arial" w:cs="Arial" w:eastAsia="Arial" w:hAnsi="Arial"/>
          <w:sz w:val="16"/>
          <w:szCs w:val="16"/>
          <w:color w:val="auto"/>
        </w:rPr>
      </w:pPr>
      <w:r>
        <w:rPr>
          <w:rFonts w:ascii="Arial" w:cs="Arial" w:eastAsia="Arial" w:hAnsi="Arial"/>
          <w:sz w:val="16"/>
          <w:szCs w:val="16"/>
          <w:color w:val="auto"/>
        </w:rPr>
        <w:t>Our principal stockholders have the ability to influence the outcome of director elections and other matters requiring stockholder approval.</w:t>
      </w:r>
    </w:p>
    <w:p>
      <w:pPr>
        <w:spacing w:after="0" w:line="139" w:lineRule="exact"/>
        <w:rPr>
          <w:rFonts w:ascii="Arial" w:cs="Arial" w:eastAsia="Arial" w:hAnsi="Arial"/>
          <w:sz w:val="16"/>
          <w:szCs w:val="16"/>
          <w:color w:val="auto"/>
        </w:rPr>
      </w:pPr>
    </w:p>
    <w:p>
      <w:pPr>
        <w:ind w:left="1020" w:hanging="504"/>
        <w:spacing w:after="0" w:line="248" w:lineRule="auto"/>
        <w:tabs>
          <w:tab w:leader="none" w:pos="1020" w:val="left"/>
        </w:tabs>
        <w:numPr>
          <w:ilvl w:val="0"/>
          <w:numId w:val="4"/>
        </w:numPr>
        <w:rPr>
          <w:rFonts w:ascii="Arial" w:cs="Arial" w:eastAsia="Arial" w:hAnsi="Arial"/>
          <w:sz w:val="18"/>
          <w:szCs w:val="18"/>
          <w:color w:val="auto"/>
        </w:rPr>
      </w:pPr>
      <w:r>
        <w:rPr>
          <w:rFonts w:ascii="Arial" w:cs="Arial" w:eastAsia="Arial" w:hAnsi="Arial"/>
          <w:sz w:val="18"/>
          <w:szCs w:val="18"/>
          <w:color w:val="auto"/>
        </w:rPr>
        <w:t>The dual class structure of our common stock has the effect of concentrating voting control with our existing stockholders, executive officers, directors, and their affiliates, which limits your ability to influence the outcome of important transactions and to influence corporate governance matters, such as electing directors, and to approve material mergers, acquisitions, or other business combination transactions that may not be aligned with your interests.</w:t>
      </w:r>
    </w:p>
    <w:p>
      <w:pPr>
        <w:spacing w:after="0" w:line="27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323" w:right="359" w:bottom="1440" w:gutter="0" w:footer="0" w:header="0"/>
        </w:sectPr>
      </w:pPr>
    </w:p>
    <w:bookmarkStart w:id="5" w:name="page6"/>
    <w:bookmarkEnd w:id="5"/>
    <w:p>
      <w:pPr>
        <w:jc w:val="center"/>
        <w:ind w:right="40"/>
        <w:spacing w:after="0"/>
        <w:rPr>
          <w:sz w:val="20"/>
          <w:szCs w:val="20"/>
          <w:color w:val="auto"/>
        </w:rPr>
      </w:pPr>
      <w:r>
        <w:rPr>
          <w:rFonts w:ascii="Arial" w:cs="Arial" w:eastAsia="Arial" w:hAnsi="Arial"/>
          <w:sz w:val="18"/>
          <w:szCs w:val="18"/>
          <w:b w:val="1"/>
          <w:bCs w:val="1"/>
          <w:color w:val="auto"/>
        </w:rPr>
        <w:t>PART I—FINANCIAL INFORMATION</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 Financial Statements</w:t>
      </w:r>
    </w:p>
    <w:p>
      <w:pPr>
        <w:spacing w:after="0" w:line="211" w:lineRule="exact"/>
        <w:rPr>
          <w:sz w:val="20"/>
          <w:szCs w:val="20"/>
          <w:color w:val="auto"/>
        </w:rPr>
      </w:pPr>
    </w:p>
    <w:p>
      <w:pPr>
        <w:jc w:val="center"/>
        <w:ind w:right="40"/>
        <w:spacing w:after="0"/>
        <w:rPr>
          <w:sz w:val="20"/>
          <w:szCs w:val="20"/>
          <w:color w:val="auto"/>
        </w:rPr>
      </w:pPr>
      <w:r>
        <w:rPr>
          <w:rFonts w:ascii="Arial" w:cs="Arial" w:eastAsia="Arial" w:hAnsi="Arial"/>
          <w:sz w:val="18"/>
          <w:szCs w:val="18"/>
          <w:b w:val="1"/>
          <w:bCs w:val="1"/>
          <w:color w:val="auto"/>
        </w:rPr>
        <w:t>AMPLITUDE, INC.</w:t>
      </w:r>
    </w:p>
    <w:p>
      <w:pPr>
        <w:spacing w:after="0" w:line="15" w:lineRule="exact"/>
        <w:rPr>
          <w:sz w:val="20"/>
          <w:szCs w:val="20"/>
          <w:color w:val="auto"/>
        </w:rPr>
      </w:pPr>
    </w:p>
    <w:p>
      <w:pPr>
        <w:ind w:left="4060"/>
        <w:spacing w:after="0"/>
        <w:rPr>
          <w:sz w:val="20"/>
          <w:szCs w:val="20"/>
          <w:color w:val="auto"/>
        </w:rPr>
      </w:pPr>
      <w:r>
        <w:rPr>
          <w:rFonts w:ascii="Arial" w:cs="Arial" w:eastAsia="Arial" w:hAnsi="Arial"/>
          <w:sz w:val="18"/>
          <w:szCs w:val="18"/>
          <w:b w:val="1"/>
          <w:bCs w:val="1"/>
          <w:color w:val="auto"/>
        </w:rPr>
        <w:t>Condensed Consolidated Balance Sheets</w:t>
      </w:r>
    </w:p>
    <w:p>
      <w:pPr>
        <w:spacing w:after="0" w:line="4" w:lineRule="exact"/>
        <w:rPr>
          <w:sz w:val="20"/>
          <w:szCs w:val="20"/>
          <w:color w:val="auto"/>
        </w:rPr>
      </w:pPr>
    </w:p>
    <w:p>
      <w:pPr>
        <w:ind w:left="4020"/>
        <w:spacing w:after="0"/>
        <w:rPr>
          <w:sz w:val="20"/>
          <w:szCs w:val="20"/>
          <w:color w:val="auto"/>
        </w:rPr>
      </w:pPr>
      <w:r>
        <w:rPr>
          <w:rFonts w:ascii="Arial" w:cs="Arial" w:eastAsia="Arial" w:hAnsi="Arial"/>
          <w:sz w:val="18"/>
          <w:szCs w:val="18"/>
          <w:b w:val="1"/>
          <w:bCs w:val="1"/>
          <w:color w:val="auto"/>
        </w:rPr>
        <w:t>(In thousands, except per share amounts)</w:t>
      </w:r>
    </w:p>
    <w:p>
      <w:pPr>
        <w:jc w:val="center"/>
        <w:spacing w:after="0"/>
        <w:rPr>
          <w:sz w:val="20"/>
          <w:szCs w:val="20"/>
          <w:color w:val="auto"/>
        </w:rPr>
      </w:pPr>
      <w:r>
        <w:rPr>
          <w:rFonts w:ascii="Arial" w:cs="Arial" w:eastAsia="Arial" w:hAnsi="Arial"/>
          <w:sz w:val="18"/>
          <w:szCs w:val="18"/>
          <w:b w:val="1"/>
          <w:bCs w:val="1"/>
          <w:color w:val="auto"/>
        </w:rPr>
        <w:t>(unaudited)</w:t>
      </w:r>
    </w:p>
    <w:p>
      <w:pPr>
        <w:spacing w:after="0" w:line="214" w:lineRule="exact"/>
        <w:rPr>
          <w:sz w:val="20"/>
          <w:szCs w:val="20"/>
          <w:color w:val="auto"/>
        </w:rPr>
      </w:pPr>
    </w:p>
    <w:tbl>
      <w:tblPr>
        <w:tblLayout w:type="fixed"/>
        <w:tblInd w:w="0" w:type="dxa"/>
        <w:tblCellMar>
          <w:top w:w="0" w:type="dxa"/>
          <w:left w:w="0" w:type="dxa"/>
          <w:bottom w:w="0" w:type="dxa"/>
          <w:right w:w="0" w:type="dxa"/>
        </w:tblCellMar>
      </w:tblPr>
      <w:tr>
        <w:trPr>
          <w:trHeight w:val="184"/>
        </w:trPr>
        <w:tc>
          <w:tcPr>
            <w:tcW w:w="768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640" w:type="dxa"/>
            <w:vAlign w:val="bottom"/>
            <w:gridSpan w:val="2"/>
          </w:tcPr>
          <w:p>
            <w:pPr>
              <w:jc w:val="center"/>
              <w:ind w:right="440"/>
              <w:spacing w:after="0"/>
              <w:rPr>
                <w:sz w:val="20"/>
                <w:szCs w:val="20"/>
                <w:color w:val="auto"/>
              </w:rPr>
            </w:pPr>
            <w:r>
              <w:rPr>
                <w:rFonts w:ascii="Arial" w:cs="Arial" w:eastAsia="Arial" w:hAnsi="Arial"/>
                <w:sz w:val="16"/>
                <w:szCs w:val="16"/>
                <w:b w:val="1"/>
                <w:bCs w:val="1"/>
                <w:color w:val="auto"/>
                <w:w w:val="89"/>
              </w:rPr>
              <w:t>As of</w:t>
            </w:r>
          </w:p>
        </w:tc>
        <w:tc>
          <w:tcPr>
            <w:tcW w:w="200" w:type="dxa"/>
            <w:vAlign w:val="bottom"/>
          </w:tcPr>
          <w:p>
            <w:pPr>
              <w:spacing w:after="0"/>
              <w:rPr>
                <w:sz w:val="16"/>
                <w:szCs w:val="16"/>
                <w:color w:val="auto"/>
              </w:rPr>
            </w:pPr>
          </w:p>
        </w:tc>
        <w:tc>
          <w:tcPr>
            <w:tcW w:w="1540" w:type="dxa"/>
            <w:vAlign w:val="bottom"/>
            <w:gridSpan w:val="2"/>
          </w:tcPr>
          <w:p>
            <w:pPr>
              <w:jc w:val="center"/>
              <w:ind w:right="300"/>
              <w:spacing w:after="0"/>
              <w:rPr>
                <w:sz w:val="20"/>
                <w:szCs w:val="20"/>
                <w:color w:val="auto"/>
              </w:rPr>
            </w:pPr>
            <w:r>
              <w:rPr>
                <w:rFonts w:ascii="Arial" w:cs="Arial" w:eastAsia="Arial" w:hAnsi="Arial"/>
                <w:sz w:val="16"/>
                <w:szCs w:val="16"/>
                <w:b w:val="1"/>
                <w:bCs w:val="1"/>
                <w:color w:val="auto"/>
                <w:w w:val="89"/>
              </w:rPr>
              <w:t>As of</w:t>
            </w:r>
          </w:p>
        </w:tc>
        <w:tc>
          <w:tcPr>
            <w:tcW w:w="0" w:type="dxa"/>
            <w:vAlign w:val="bottom"/>
          </w:tcPr>
          <w:p>
            <w:pPr>
              <w:spacing w:after="0"/>
              <w:rPr>
                <w:sz w:val="1"/>
                <w:szCs w:val="1"/>
                <w:color w:val="auto"/>
              </w:rPr>
            </w:pPr>
          </w:p>
        </w:tc>
      </w:tr>
      <w:tr>
        <w:trPr>
          <w:trHeight w:val="175"/>
        </w:trPr>
        <w:tc>
          <w:tcPr>
            <w:tcW w:w="768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640" w:type="dxa"/>
            <w:vAlign w:val="bottom"/>
            <w:gridSpan w:val="2"/>
          </w:tcPr>
          <w:p>
            <w:pPr>
              <w:jc w:val="center"/>
              <w:ind w:right="480"/>
              <w:spacing w:after="0" w:line="175" w:lineRule="exact"/>
              <w:rPr>
                <w:sz w:val="20"/>
                <w:szCs w:val="20"/>
                <w:color w:val="auto"/>
              </w:rPr>
            </w:pPr>
            <w:r>
              <w:rPr>
                <w:rFonts w:ascii="Arial" w:cs="Arial" w:eastAsia="Arial" w:hAnsi="Arial"/>
                <w:sz w:val="16"/>
                <w:szCs w:val="16"/>
                <w:b w:val="1"/>
                <w:bCs w:val="1"/>
                <w:color w:val="auto"/>
                <w:w w:val="91"/>
              </w:rPr>
              <w:t>September 30,</w:t>
            </w:r>
          </w:p>
        </w:tc>
        <w:tc>
          <w:tcPr>
            <w:tcW w:w="200" w:type="dxa"/>
            <w:vAlign w:val="bottom"/>
          </w:tcPr>
          <w:p>
            <w:pPr>
              <w:spacing w:after="0"/>
              <w:rPr>
                <w:sz w:val="15"/>
                <w:szCs w:val="15"/>
                <w:color w:val="auto"/>
              </w:rPr>
            </w:pPr>
          </w:p>
        </w:tc>
        <w:tc>
          <w:tcPr>
            <w:tcW w:w="1540" w:type="dxa"/>
            <w:vAlign w:val="bottom"/>
            <w:gridSpan w:val="2"/>
          </w:tcPr>
          <w:p>
            <w:pPr>
              <w:jc w:val="center"/>
              <w:ind w:right="360"/>
              <w:spacing w:after="0" w:line="175" w:lineRule="exact"/>
              <w:rPr>
                <w:sz w:val="20"/>
                <w:szCs w:val="20"/>
                <w:color w:val="auto"/>
              </w:rPr>
            </w:pPr>
            <w:r>
              <w:rPr>
                <w:rFonts w:ascii="Arial" w:cs="Arial" w:eastAsia="Arial" w:hAnsi="Arial"/>
                <w:sz w:val="16"/>
                <w:szCs w:val="16"/>
                <w:b w:val="1"/>
                <w:bCs w:val="1"/>
                <w:color w:val="auto"/>
                <w:w w:val="90"/>
              </w:rPr>
              <w:t>December 31,</w:t>
            </w:r>
          </w:p>
        </w:tc>
        <w:tc>
          <w:tcPr>
            <w:tcW w:w="0" w:type="dxa"/>
            <w:vAlign w:val="bottom"/>
          </w:tcPr>
          <w:p>
            <w:pPr>
              <w:spacing w:after="0"/>
              <w:rPr>
                <w:sz w:val="1"/>
                <w:szCs w:val="1"/>
                <w:color w:val="auto"/>
              </w:rPr>
            </w:pPr>
          </w:p>
        </w:tc>
      </w:tr>
      <w:tr>
        <w:trPr>
          <w:trHeight w:val="210"/>
        </w:trPr>
        <w:tc>
          <w:tcPr>
            <w:tcW w:w="7680" w:type="dxa"/>
            <w:vAlign w:val="bottom"/>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1380" w:type="dxa"/>
            <w:vAlign w:val="bottom"/>
            <w:tcBorders>
              <w:bottom w:val="single" w:sz="8" w:color="auto"/>
            </w:tcBorders>
          </w:tcPr>
          <w:p>
            <w:pPr>
              <w:jc w:val="center"/>
              <w:ind w:right="99"/>
              <w:spacing w:after="0"/>
              <w:rPr>
                <w:sz w:val="20"/>
                <w:szCs w:val="20"/>
                <w:color w:val="auto"/>
              </w:rPr>
            </w:pPr>
            <w:r>
              <w:rPr>
                <w:rFonts w:ascii="Arial" w:cs="Arial" w:eastAsia="Arial" w:hAnsi="Arial"/>
                <w:sz w:val="16"/>
                <w:szCs w:val="16"/>
                <w:b w:val="1"/>
                <w:bCs w:val="1"/>
                <w:color w:val="auto"/>
                <w:w w:val="89"/>
              </w:rPr>
              <w:t>2022</w:t>
            </w:r>
          </w:p>
        </w:tc>
        <w:tc>
          <w:tcPr>
            <w:tcW w:w="260" w:type="dxa"/>
            <w:vAlign w:val="bottom"/>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1440" w:type="dxa"/>
            <w:vAlign w:val="bottom"/>
            <w:tcBorders>
              <w:bottom w:val="single" w:sz="8" w:color="auto"/>
            </w:tcBorders>
          </w:tcPr>
          <w:p>
            <w:pPr>
              <w:jc w:val="center"/>
              <w:ind w:right="119"/>
              <w:spacing w:after="0"/>
              <w:rPr>
                <w:sz w:val="20"/>
                <w:szCs w:val="20"/>
                <w:color w:val="auto"/>
              </w:rPr>
            </w:pPr>
            <w:r>
              <w:rPr>
                <w:rFonts w:ascii="Arial" w:cs="Arial" w:eastAsia="Arial" w:hAnsi="Arial"/>
                <w:sz w:val="16"/>
                <w:szCs w:val="16"/>
                <w:b w:val="1"/>
                <w:bCs w:val="1"/>
                <w:color w:val="auto"/>
                <w:w w:val="89"/>
              </w:rPr>
              <w:t>2021</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2"/>
        </w:trPr>
        <w:tc>
          <w:tcPr>
            <w:tcW w:w="7680" w:type="dxa"/>
            <w:vAlign w:val="bottom"/>
            <w:shd w:val="clear" w:color="auto" w:fill="CFF0FC"/>
          </w:tcPr>
          <w:p>
            <w:pPr>
              <w:ind w:left="20"/>
              <w:spacing w:after="0"/>
              <w:rPr>
                <w:sz w:val="20"/>
                <w:szCs w:val="20"/>
                <w:color w:val="auto"/>
              </w:rPr>
            </w:pPr>
            <w:r>
              <w:rPr>
                <w:rFonts w:ascii="Arial" w:cs="Arial" w:eastAsia="Arial" w:hAnsi="Arial"/>
                <w:sz w:val="16"/>
                <w:szCs w:val="16"/>
                <w:b w:val="1"/>
                <w:bCs w:val="1"/>
                <w:color w:val="auto"/>
              </w:rPr>
              <w:t>ASSETS</w:t>
            </w:r>
          </w:p>
        </w:tc>
        <w:tc>
          <w:tcPr>
            <w:tcW w:w="180" w:type="dxa"/>
            <w:vAlign w:val="bottom"/>
            <w:shd w:val="clear" w:color="auto" w:fill="CFF0FC"/>
          </w:tcPr>
          <w:p>
            <w:pPr>
              <w:spacing w:after="0"/>
              <w:rPr>
                <w:sz w:val="17"/>
                <w:szCs w:val="17"/>
                <w:color w:val="auto"/>
              </w:rPr>
            </w:pPr>
          </w:p>
        </w:tc>
        <w:tc>
          <w:tcPr>
            <w:tcW w:w="1380" w:type="dxa"/>
            <w:vAlign w:val="bottom"/>
            <w:shd w:val="clear" w:color="auto" w:fill="CFF0FC"/>
          </w:tcPr>
          <w:p>
            <w:pPr>
              <w:spacing w:after="0"/>
              <w:rPr>
                <w:sz w:val="17"/>
                <w:szCs w:val="17"/>
                <w:color w:val="auto"/>
              </w:rPr>
            </w:pPr>
          </w:p>
        </w:tc>
        <w:tc>
          <w:tcPr>
            <w:tcW w:w="260" w:type="dxa"/>
            <w:vAlign w:val="bottom"/>
            <w:shd w:val="clear" w:color="auto" w:fill="CFF0FC"/>
          </w:tcPr>
          <w:p>
            <w:pPr>
              <w:spacing w:after="0"/>
              <w:rPr>
                <w:sz w:val="17"/>
                <w:szCs w:val="17"/>
                <w:color w:val="auto"/>
              </w:rPr>
            </w:pPr>
          </w:p>
        </w:tc>
        <w:tc>
          <w:tcPr>
            <w:tcW w:w="200" w:type="dxa"/>
            <w:vAlign w:val="bottom"/>
            <w:shd w:val="clear" w:color="auto" w:fill="CFF0FC"/>
          </w:tcPr>
          <w:p>
            <w:pPr>
              <w:spacing w:after="0"/>
              <w:rPr>
                <w:sz w:val="17"/>
                <w:szCs w:val="17"/>
                <w:color w:val="auto"/>
              </w:rPr>
            </w:pPr>
          </w:p>
        </w:tc>
        <w:tc>
          <w:tcPr>
            <w:tcW w:w="1440" w:type="dxa"/>
            <w:vAlign w:val="bottom"/>
            <w:shd w:val="clear" w:color="auto" w:fill="CFF0FC"/>
          </w:tcPr>
          <w:p>
            <w:pPr>
              <w:spacing w:after="0"/>
              <w:rPr>
                <w:sz w:val="17"/>
                <w:szCs w:val="17"/>
                <w:color w:val="auto"/>
              </w:rPr>
            </w:pPr>
          </w:p>
        </w:tc>
        <w:tc>
          <w:tcPr>
            <w:tcW w:w="100" w:type="dxa"/>
            <w:vAlign w:val="bottom"/>
            <w:shd w:val="clear" w:color="auto" w:fill="CFF0FC"/>
          </w:tcPr>
          <w:p>
            <w:pPr>
              <w:spacing w:after="0"/>
              <w:rPr>
                <w:sz w:val="17"/>
                <w:szCs w:val="17"/>
                <w:color w:val="auto"/>
              </w:rPr>
            </w:pPr>
          </w:p>
        </w:tc>
        <w:tc>
          <w:tcPr>
            <w:tcW w:w="0" w:type="dxa"/>
            <w:vAlign w:val="bottom"/>
          </w:tcPr>
          <w:p>
            <w:pPr>
              <w:spacing w:after="0"/>
              <w:rPr>
                <w:sz w:val="1"/>
                <w:szCs w:val="1"/>
                <w:color w:val="auto"/>
              </w:rPr>
            </w:pPr>
          </w:p>
        </w:tc>
      </w:tr>
      <w:tr>
        <w:trPr>
          <w:trHeight w:val="202"/>
        </w:trPr>
        <w:tc>
          <w:tcPr>
            <w:tcW w:w="7680" w:type="dxa"/>
            <w:vAlign w:val="bottom"/>
          </w:tcPr>
          <w:p>
            <w:pPr>
              <w:ind w:left="20"/>
              <w:spacing w:after="0"/>
              <w:rPr>
                <w:sz w:val="20"/>
                <w:szCs w:val="20"/>
                <w:color w:val="auto"/>
              </w:rPr>
            </w:pPr>
            <w:r>
              <w:rPr>
                <w:rFonts w:ascii="Arial" w:cs="Arial" w:eastAsia="Arial" w:hAnsi="Arial"/>
                <w:sz w:val="16"/>
                <w:szCs w:val="16"/>
                <w:color w:val="auto"/>
              </w:rPr>
              <w:t>Current assets:</w:t>
            </w:r>
          </w:p>
        </w:tc>
        <w:tc>
          <w:tcPr>
            <w:tcW w:w="180" w:type="dxa"/>
            <w:vAlign w:val="bottom"/>
          </w:tcPr>
          <w:p>
            <w:pPr>
              <w:spacing w:after="0"/>
              <w:rPr>
                <w:sz w:val="17"/>
                <w:szCs w:val="17"/>
                <w:color w:val="auto"/>
              </w:rPr>
            </w:pPr>
          </w:p>
        </w:tc>
        <w:tc>
          <w:tcPr>
            <w:tcW w:w="138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4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2"/>
        </w:trPr>
        <w:tc>
          <w:tcPr>
            <w:tcW w:w="7680" w:type="dxa"/>
            <w:vAlign w:val="bottom"/>
            <w:shd w:val="clear" w:color="auto" w:fill="CFF0FC"/>
          </w:tcPr>
          <w:p>
            <w:pPr>
              <w:ind w:left="200"/>
              <w:spacing w:after="0"/>
              <w:rPr>
                <w:sz w:val="20"/>
                <w:szCs w:val="20"/>
                <w:color w:val="auto"/>
              </w:rPr>
            </w:pPr>
            <w:r>
              <w:rPr>
                <w:rFonts w:ascii="Arial" w:cs="Arial" w:eastAsia="Arial" w:hAnsi="Arial"/>
                <w:sz w:val="16"/>
                <w:szCs w:val="16"/>
                <w:color w:val="auto"/>
              </w:rPr>
              <w:t>Cash and cash equivalents</w:t>
            </w:r>
          </w:p>
        </w:tc>
        <w:tc>
          <w:tcPr>
            <w:tcW w:w="180" w:type="dxa"/>
            <w:vAlign w:val="bottom"/>
            <w:shd w:val="clear" w:color="auto" w:fill="CFF0FC"/>
          </w:tcPr>
          <w:p>
            <w:pPr>
              <w:jc w:val="right"/>
              <w:spacing w:after="0"/>
              <w:rPr>
                <w:sz w:val="20"/>
                <w:szCs w:val="20"/>
                <w:color w:val="auto"/>
              </w:rPr>
            </w:pPr>
            <w:r>
              <w:rPr>
                <w:rFonts w:ascii="Arial" w:cs="Arial" w:eastAsia="Arial" w:hAnsi="Arial"/>
                <w:sz w:val="16"/>
                <w:szCs w:val="16"/>
                <w:color w:val="auto"/>
                <w:w w:val="89"/>
              </w:rPr>
              <w:t>$</w:t>
            </w:r>
          </w:p>
        </w:tc>
        <w:tc>
          <w:tcPr>
            <w:tcW w:w="1380" w:type="dxa"/>
            <w:vAlign w:val="bottom"/>
            <w:shd w:val="clear" w:color="auto" w:fill="CFF0FC"/>
          </w:tcPr>
          <w:p>
            <w:pPr>
              <w:jc w:val="right"/>
              <w:spacing w:after="0"/>
              <w:rPr>
                <w:sz w:val="20"/>
                <w:szCs w:val="20"/>
                <w:color w:val="auto"/>
              </w:rPr>
            </w:pPr>
            <w:r>
              <w:rPr>
                <w:rFonts w:ascii="Arial" w:cs="Arial" w:eastAsia="Arial" w:hAnsi="Arial"/>
                <w:sz w:val="16"/>
                <w:szCs w:val="16"/>
                <w:color w:val="auto"/>
              </w:rPr>
              <w:t>247,248</w:t>
            </w:r>
          </w:p>
        </w:tc>
        <w:tc>
          <w:tcPr>
            <w:tcW w:w="260" w:type="dxa"/>
            <w:vAlign w:val="bottom"/>
            <w:shd w:val="clear" w:color="auto" w:fill="CFF0FC"/>
          </w:tcPr>
          <w:p>
            <w:pPr>
              <w:spacing w:after="0"/>
              <w:rPr>
                <w:sz w:val="17"/>
                <w:szCs w:val="17"/>
                <w:color w:val="auto"/>
              </w:rPr>
            </w:pPr>
          </w:p>
        </w:tc>
        <w:tc>
          <w:tcPr>
            <w:tcW w:w="200" w:type="dxa"/>
            <w:vAlign w:val="bottom"/>
            <w:shd w:val="clear" w:color="auto" w:fill="CFF0FC"/>
          </w:tcPr>
          <w:p>
            <w:pPr>
              <w:jc w:val="right"/>
              <w:ind w:right="19"/>
              <w:spacing w:after="0"/>
              <w:rPr>
                <w:sz w:val="20"/>
                <w:szCs w:val="20"/>
                <w:color w:val="auto"/>
              </w:rPr>
            </w:pPr>
            <w:r>
              <w:rPr>
                <w:rFonts w:ascii="Arial" w:cs="Arial" w:eastAsia="Arial" w:hAnsi="Arial"/>
                <w:sz w:val="16"/>
                <w:szCs w:val="16"/>
                <w:color w:val="auto"/>
                <w:w w:val="89"/>
              </w:rPr>
              <w:t>$</w:t>
            </w:r>
          </w:p>
        </w:tc>
        <w:tc>
          <w:tcPr>
            <w:tcW w:w="1440" w:type="dxa"/>
            <w:vAlign w:val="bottom"/>
            <w:shd w:val="clear" w:color="auto" w:fill="CFF0FC"/>
          </w:tcPr>
          <w:p>
            <w:pPr>
              <w:jc w:val="right"/>
              <w:spacing w:after="0"/>
              <w:rPr>
                <w:sz w:val="20"/>
                <w:szCs w:val="20"/>
                <w:color w:val="auto"/>
              </w:rPr>
            </w:pPr>
            <w:r>
              <w:rPr>
                <w:rFonts w:ascii="Arial" w:cs="Arial" w:eastAsia="Arial" w:hAnsi="Arial"/>
                <w:sz w:val="16"/>
                <w:szCs w:val="16"/>
                <w:color w:val="auto"/>
              </w:rPr>
              <w:t>307,445</w:t>
            </w:r>
          </w:p>
        </w:tc>
        <w:tc>
          <w:tcPr>
            <w:tcW w:w="100" w:type="dxa"/>
            <w:vAlign w:val="bottom"/>
            <w:shd w:val="clear" w:color="auto" w:fill="CFF0FC"/>
          </w:tcPr>
          <w:p>
            <w:pPr>
              <w:spacing w:after="0"/>
              <w:rPr>
                <w:sz w:val="17"/>
                <w:szCs w:val="17"/>
                <w:color w:val="auto"/>
              </w:rPr>
            </w:pPr>
          </w:p>
        </w:tc>
        <w:tc>
          <w:tcPr>
            <w:tcW w:w="0" w:type="dxa"/>
            <w:vAlign w:val="bottom"/>
          </w:tcPr>
          <w:p>
            <w:pPr>
              <w:spacing w:after="0"/>
              <w:rPr>
                <w:sz w:val="1"/>
                <w:szCs w:val="1"/>
                <w:color w:val="auto"/>
              </w:rPr>
            </w:pPr>
          </w:p>
        </w:tc>
      </w:tr>
      <w:tr>
        <w:trPr>
          <w:trHeight w:val="152"/>
        </w:trPr>
        <w:tc>
          <w:tcPr>
            <w:tcW w:w="7680" w:type="dxa"/>
            <w:vAlign w:val="bottom"/>
          </w:tcPr>
          <w:p>
            <w:pPr>
              <w:ind w:left="200"/>
              <w:spacing w:after="0" w:line="152" w:lineRule="exact"/>
              <w:rPr>
                <w:sz w:val="20"/>
                <w:szCs w:val="20"/>
                <w:color w:val="auto"/>
              </w:rPr>
            </w:pPr>
            <w:r>
              <w:rPr>
                <w:rFonts w:ascii="Arial" w:cs="Arial" w:eastAsia="Arial" w:hAnsi="Arial"/>
                <w:sz w:val="16"/>
                <w:szCs w:val="16"/>
                <w:color w:val="auto"/>
              </w:rPr>
              <w:t>Accounts receivable, net of allowance for doubtful accounts of $466</w:t>
            </w:r>
          </w:p>
        </w:tc>
        <w:tc>
          <w:tcPr>
            <w:tcW w:w="180" w:type="dxa"/>
            <w:vAlign w:val="bottom"/>
          </w:tcPr>
          <w:p>
            <w:pPr>
              <w:spacing w:after="0"/>
              <w:rPr>
                <w:sz w:val="13"/>
                <w:szCs w:val="13"/>
                <w:color w:val="auto"/>
              </w:rPr>
            </w:pPr>
          </w:p>
        </w:tc>
        <w:tc>
          <w:tcPr>
            <w:tcW w:w="1380" w:type="dxa"/>
            <w:vAlign w:val="bottom"/>
            <w:vMerge w:val="restart"/>
          </w:tcPr>
          <w:p>
            <w:pPr>
              <w:jc w:val="right"/>
              <w:spacing w:after="0"/>
              <w:rPr>
                <w:sz w:val="20"/>
                <w:szCs w:val="20"/>
                <w:color w:val="auto"/>
              </w:rPr>
            </w:pPr>
            <w:r>
              <w:rPr>
                <w:rFonts w:ascii="Arial" w:cs="Arial" w:eastAsia="Arial" w:hAnsi="Arial"/>
                <w:sz w:val="16"/>
                <w:szCs w:val="16"/>
                <w:color w:val="auto"/>
              </w:rPr>
              <w:t>31,384</w:t>
            </w:r>
          </w:p>
        </w:tc>
        <w:tc>
          <w:tcPr>
            <w:tcW w:w="26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1440" w:type="dxa"/>
            <w:vAlign w:val="bottom"/>
            <w:vMerge w:val="restart"/>
          </w:tcPr>
          <w:p>
            <w:pPr>
              <w:jc w:val="right"/>
              <w:spacing w:after="0"/>
              <w:rPr>
                <w:sz w:val="20"/>
                <w:szCs w:val="20"/>
                <w:color w:val="auto"/>
              </w:rPr>
            </w:pPr>
            <w:r>
              <w:rPr>
                <w:rFonts w:ascii="Arial" w:cs="Arial" w:eastAsia="Arial" w:hAnsi="Arial"/>
                <w:sz w:val="16"/>
                <w:szCs w:val="16"/>
                <w:color w:val="auto"/>
              </w:rPr>
              <w:t>20,444</w:t>
            </w: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09"/>
        </w:trPr>
        <w:tc>
          <w:tcPr>
            <w:tcW w:w="7680" w:type="dxa"/>
            <w:vAlign w:val="bottom"/>
          </w:tcPr>
          <w:p>
            <w:pPr>
              <w:ind w:left="320"/>
              <w:spacing w:after="0"/>
              <w:rPr>
                <w:sz w:val="20"/>
                <w:szCs w:val="20"/>
                <w:color w:val="auto"/>
              </w:rPr>
            </w:pPr>
            <w:r>
              <w:rPr>
                <w:rFonts w:ascii="Arial" w:cs="Arial" w:eastAsia="Arial" w:hAnsi="Arial"/>
                <w:sz w:val="16"/>
                <w:szCs w:val="16"/>
                <w:color w:val="auto"/>
              </w:rPr>
              <w:t>and $85 as of September 30, 2022 and December 31, 2021, respectively</w:t>
            </w:r>
          </w:p>
        </w:tc>
        <w:tc>
          <w:tcPr>
            <w:tcW w:w="180" w:type="dxa"/>
            <w:vAlign w:val="bottom"/>
          </w:tcPr>
          <w:p>
            <w:pPr>
              <w:spacing w:after="0"/>
              <w:rPr>
                <w:sz w:val="18"/>
                <w:szCs w:val="18"/>
                <w:color w:val="auto"/>
              </w:rPr>
            </w:pPr>
          </w:p>
        </w:tc>
        <w:tc>
          <w:tcPr>
            <w:tcW w:w="1380" w:type="dxa"/>
            <w:vAlign w:val="bottom"/>
            <w:vMerge w:val="continue"/>
          </w:tcPr>
          <w:p>
            <w:pPr>
              <w:spacing w:after="0"/>
              <w:rPr>
                <w:sz w:val="18"/>
                <w:szCs w:val="18"/>
                <w:color w:val="auto"/>
              </w:rPr>
            </w:pPr>
          </w:p>
        </w:tc>
        <w:tc>
          <w:tcPr>
            <w:tcW w:w="2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440" w:type="dxa"/>
            <w:vAlign w:val="bottom"/>
            <w:vMerge w:val="continue"/>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5"/>
        </w:trPr>
        <w:tc>
          <w:tcPr>
            <w:tcW w:w="7680" w:type="dxa"/>
            <w:vAlign w:val="bottom"/>
            <w:shd w:val="clear" w:color="auto" w:fill="CFF0FC"/>
          </w:tcPr>
          <w:p>
            <w:pPr>
              <w:ind w:left="200"/>
              <w:spacing w:after="0"/>
              <w:rPr>
                <w:sz w:val="20"/>
                <w:szCs w:val="20"/>
                <w:color w:val="auto"/>
              </w:rPr>
            </w:pPr>
            <w:r>
              <w:rPr>
                <w:rFonts w:ascii="Arial" w:cs="Arial" w:eastAsia="Arial" w:hAnsi="Arial"/>
                <w:sz w:val="16"/>
                <w:szCs w:val="16"/>
                <w:color w:val="auto"/>
              </w:rPr>
              <w:t>Prepaid expenses and other current assets</w:t>
            </w:r>
          </w:p>
        </w:tc>
        <w:tc>
          <w:tcPr>
            <w:tcW w:w="180" w:type="dxa"/>
            <w:vAlign w:val="bottom"/>
            <w:shd w:val="clear" w:color="auto" w:fill="CFF0FC"/>
          </w:tcPr>
          <w:p>
            <w:pPr>
              <w:spacing w:after="0"/>
              <w:rPr>
                <w:sz w:val="17"/>
                <w:szCs w:val="17"/>
                <w:color w:val="auto"/>
              </w:rPr>
            </w:pPr>
          </w:p>
        </w:tc>
        <w:tc>
          <w:tcPr>
            <w:tcW w:w="1380" w:type="dxa"/>
            <w:vAlign w:val="bottom"/>
            <w:shd w:val="clear" w:color="auto" w:fill="CFF0FC"/>
          </w:tcPr>
          <w:p>
            <w:pPr>
              <w:jc w:val="right"/>
              <w:spacing w:after="0"/>
              <w:rPr>
                <w:sz w:val="20"/>
                <w:szCs w:val="20"/>
                <w:color w:val="auto"/>
              </w:rPr>
            </w:pPr>
            <w:r>
              <w:rPr>
                <w:rFonts w:ascii="Arial" w:cs="Arial" w:eastAsia="Arial" w:hAnsi="Arial"/>
                <w:sz w:val="16"/>
                <w:szCs w:val="16"/>
                <w:color w:val="auto"/>
              </w:rPr>
              <w:t>19,909</w:t>
            </w:r>
          </w:p>
        </w:tc>
        <w:tc>
          <w:tcPr>
            <w:tcW w:w="260" w:type="dxa"/>
            <w:vAlign w:val="bottom"/>
            <w:shd w:val="clear" w:color="auto" w:fill="CFF0FC"/>
          </w:tcPr>
          <w:p>
            <w:pPr>
              <w:spacing w:after="0"/>
              <w:rPr>
                <w:sz w:val="17"/>
                <w:szCs w:val="17"/>
                <w:color w:val="auto"/>
              </w:rPr>
            </w:pPr>
          </w:p>
        </w:tc>
        <w:tc>
          <w:tcPr>
            <w:tcW w:w="200" w:type="dxa"/>
            <w:vAlign w:val="bottom"/>
            <w:shd w:val="clear" w:color="auto" w:fill="CFF0FC"/>
          </w:tcPr>
          <w:p>
            <w:pPr>
              <w:spacing w:after="0"/>
              <w:rPr>
                <w:sz w:val="17"/>
                <w:szCs w:val="17"/>
                <w:color w:val="auto"/>
              </w:rPr>
            </w:pPr>
          </w:p>
        </w:tc>
        <w:tc>
          <w:tcPr>
            <w:tcW w:w="1440" w:type="dxa"/>
            <w:vAlign w:val="bottom"/>
            <w:shd w:val="clear" w:color="auto" w:fill="CFF0FC"/>
          </w:tcPr>
          <w:p>
            <w:pPr>
              <w:jc w:val="right"/>
              <w:spacing w:after="0"/>
              <w:rPr>
                <w:sz w:val="20"/>
                <w:szCs w:val="20"/>
                <w:color w:val="auto"/>
              </w:rPr>
            </w:pPr>
            <w:r>
              <w:rPr>
                <w:rFonts w:ascii="Arial" w:cs="Arial" w:eastAsia="Arial" w:hAnsi="Arial"/>
                <w:sz w:val="16"/>
                <w:szCs w:val="16"/>
                <w:color w:val="auto"/>
              </w:rPr>
              <w:t>19,116</w:t>
            </w:r>
          </w:p>
        </w:tc>
        <w:tc>
          <w:tcPr>
            <w:tcW w:w="100" w:type="dxa"/>
            <w:vAlign w:val="bottom"/>
            <w:shd w:val="clear" w:color="auto" w:fill="CFF0FC"/>
          </w:tcPr>
          <w:p>
            <w:pPr>
              <w:spacing w:after="0"/>
              <w:rPr>
                <w:sz w:val="17"/>
                <w:szCs w:val="17"/>
                <w:color w:val="auto"/>
              </w:rPr>
            </w:pPr>
          </w:p>
        </w:tc>
        <w:tc>
          <w:tcPr>
            <w:tcW w:w="0" w:type="dxa"/>
            <w:vAlign w:val="bottom"/>
          </w:tcPr>
          <w:p>
            <w:pPr>
              <w:spacing w:after="0"/>
              <w:rPr>
                <w:sz w:val="1"/>
                <w:szCs w:val="1"/>
                <w:color w:val="auto"/>
              </w:rPr>
            </w:pPr>
          </w:p>
        </w:tc>
      </w:tr>
      <w:tr>
        <w:trPr>
          <w:trHeight w:val="202"/>
        </w:trPr>
        <w:tc>
          <w:tcPr>
            <w:tcW w:w="7680" w:type="dxa"/>
            <w:vAlign w:val="bottom"/>
          </w:tcPr>
          <w:p>
            <w:pPr>
              <w:ind w:left="200"/>
              <w:spacing w:after="0"/>
              <w:rPr>
                <w:sz w:val="20"/>
                <w:szCs w:val="20"/>
                <w:color w:val="auto"/>
              </w:rPr>
            </w:pPr>
            <w:r>
              <w:rPr>
                <w:rFonts w:ascii="Arial" w:cs="Arial" w:eastAsia="Arial" w:hAnsi="Arial"/>
                <w:sz w:val="16"/>
                <w:szCs w:val="16"/>
                <w:color w:val="auto"/>
              </w:rPr>
              <w:t>Deferred commissions, current</w:t>
            </w:r>
          </w:p>
        </w:tc>
        <w:tc>
          <w:tcPr>
            <w:tcW w:w="180" w:type="dxa"/>
            <w:vAlign w:val="bottom"/>
            <w:tcBorders>
              <w:bottom w:val="single" w:sz="8" w:color="auto"/>
            </w:tcBorders>
          </w:tcPr>
          <w:p>
            <w:pPr>
              <w:spacing w:after="0"/>
              <w:rPr>
                <w:sz w:val="17"/>
                <w:szCs w:val="17"/>
                <w:color w:val="auto"/>
              </w:rPr>
            </w:pPr>
          </w:p>
        </w:tc>
        <w:tc>
          <w:tcPr>
            <w:tcW w:w="13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10,526</w:t>
            </w:r>
          </w:p>
        </w:tc>
        <w:tc>
          <w:tcPr>
            <w:tcW w:w="260" w:type="dxa"/>
            <w:vAlign w:val="bottom"/>
          </w:tcPr>
          <w:p>
            <w:pPr>
              <w:spacing w:after="0"/>
              <w:rPr>
                <w:sz w:val="17"/>
                <w:szCs w:val="17"/>
                <w:color w:val="auto"/>
              </w:rPr>
            </w:pPr>
          </w:p>
        </w:tc>
        <w:tc>
          <w:tcPr>
            <w:tcW w:w="200" w:type="dxa"/>
            <w:vAlign w:val="bottom"/>
            <w:tcBorders>
              <w:bottom w:val="single" w:sz="8" w:color="auto"/>
            </w:tcBorders>
          </w:tcPr>
          <w:p>
            <w:pPr>
              <w:spacing w:after="0"/>
              <w:rPr>
                <w:sz w:val="17"/>
                <w:szCs w:val="17"/>
                <w:color w:val="auto"/>
              </w:rPr>
            </w:pPr>
          </w:p>
        </w:tc>
        <w:tc>
          <w:tcPr>
            <w:tcW w:w="14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8,112</w:t>
            </w: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7680" w:type="dxa"/>
            <w:vAlign w:val="bottom"/>
            <w:shd w:val="clear" w:color="auto" w:fill="CFF0FC"/>
          </w:tcPr>
          <w:p>
            <w:pPr>
              <w:ind w:left="380"/>
              <w:spacing w:after="0"/>
              <w:rPr>
                <w:sz w:val="20"/>
                <w:szCs w:val="20"/>
                <w:color w:val="auto"/>
              </w:rPr>
            </w:pPr>
            <w:r>
              <w:rPr>
                <w:rFonts w:ascii="Arial" w:cs="Arial" w:eastAsia="Arial" w:hAnsi="Arial"/>
                <w:sz w:val="16"/>
                <w:szCs w:val="16"/>
                <w:color w:val="auto"/>
              </w:rPr>
              <w:t>Total current assets</w:t>
            </w:r>
          </w:p>
        </w:tc>
        <w:tc>
          <w:tcPr>
            <w:tcW w:w="180" w:type="dxa"/>
            <w:vAlign w:val="bottom"/>
            <w:shd w:val="clear" w:color="auto" w:fill="CFF0FC"/>
          </w:tcPr>
          <w:p>
            <w:pPr>
              <w:spacing w:after="0"/>
              <w:rPr>
                <w:sz w:val="17"/>
                <w:szCs w:val="17"/>
                <w:color w:val="auto"/>
              </w:rPr>
            </w:pPr>
          </w:p>
        </w:tc>
        <w:tc>
          <w:tcPr>
            <w:tcW w:w="1380" w:type="dxa"/>
            <w:vAlign w:val="bottom"/>
            <w:shd w:val="clear" w:color="auto" w:fill="CFF0FC"/>
          </w:tcPr>
          <w:p>
            <w:pPr>
              <w:jc w:val="right"/>
              <w:spacing w:after="0"/>
              <w:rPr>
                <w:sz w:val="20"/>
                <w:szCs w:val="20"/>
                <w:color w:val="auto"/>
              </w:rPr>
            </w:pPr>
            <w:r>
              <w:rPr>
                <w:rFonts w:ascii="Arial" w:cs="Arial" w:eastAsia="Arial" w:hAnsi="Arial"/>
                <w:sz w:val="16"/>
                <w:szCs w:val="16"/>
                <w:color w:val="auto"/>
              </w:rPr>
              <w:t>309,067</w:t>
            </w:r>
          </w:p>
        </w:tc>
        <w:tc>
          <w:tcPr>
            <w:tcW w:w="260" w:type="dxa"/>
            <w:vAlign w:val="bottom"/>
            <w:shd w:val="clear" w:color="auto" w:fill="CFF0FC"/>
          </w:tcPr>
          <w:p>
            <w:pPr>
              <w:spacing w:after="0"/>
              <w:rPr>
                <w:sz w:val="17"/>
                <w:szCs w:val="17"/>
                <w:color w:val="auto"/>
              </w:rPr>
            </w:pPr>
          </w:p>
        </w:tc>
        <w:tc>
          <w:tcPr>
            <w:tcW w:w="200" w:type="dxa"/>
            <w:vAlign w:val="bottom"/>
            <w:shd w:val="clear" w:color="auto" w:fill="CFF0FC"/>
          </w:tcPr>
          <w:p>
            <w:pPr>
              <w:spacing w:after="0"/>
              <w:rPr>
                <w:sz w:val="17"/>
                <w:szCs w:val="17"/>
                <w:color w:val="auto"/>
              </w:rPr>
            </w:pPr>
          </w:p>
        </w:tc>
        <w:tc>
          <w:tcPr>
            <w:tcW w:w="1440" w:type="dxa"/>
            <w:vAlign w:val="bottom"/>
            <w:shd w:val="clear" w:color="auto" w:fill="CFF0FC"/>
          </w:tcPr>
          <w:p>
            <w:pPr>
              <w:jc w:val="right"/>
              <w:spacing w:after="0"/>
              <w:rPr>
                <w:sz w:val="20"/>
                <w:szCs w:val="20"/>
                <w:color w:val="auto"/>
              </w:rPr>
            </w:pPr>
            <w:r>
              <w:rPr>
                <w:rFonts w:ascii="Arial" w:cs="Arial" w:eastAsia="Arial" w:hAnsi="Arial"/>
                <w:sz w:val="16"/>
                <w:szCs w:val="16"/>
                <w:color w:val="auto"/>
              </w:rPr>
              <w:t>355,117</w:t>
            </w:r>
          </w:p>
        </w:tc>
        <w:tc>
          <w:tcPr>
            <w:tcW w:w="100" w:type="dxa"/>
            <w:vAlign w:val="bottom"/>
            <w:shd w:val="clear" w:color="auto" w:fill="CFF0FC"/>
          </w:tcPr>
          <w:p>
            <w:pPr>
              <w:spacing w:after="0"/>
              <w:rPr>
                <w:sz w:val="17"/>
                <w:szCs w:val="17"/>
                <w:color w:val="auto"/>
              </w:rPr>
            </w:pPr>
          </w:p>
        </w:tc>
        <w:tc>
          <w:tcPr>
            <w:tcW w:w="0" w:type="dxa"/>
            <w:vAlign w:val="bottom"/>
          </w:tcPr>
          <w:p>
            <w:pPr>
              <w:spacing w:after="0"/>
              <w:rPr>
                <w:sz w:val="1"/>
                <w:szCs w:val="1"/>
                <w:color w:val="auto"/>
              </w:rPr>
            </w:pPr>
          </w:p>
        </w:tc>
      </w:tr>
      <w:tr>
        <w:trPr>
          <w:trHeight w:val="202"/>
        </w:trPr>
        <w:tc>
          <w:tcPr>
            <w:tcW w:w="7680" w:type="dxa"/>
            <w:vAlign w:val="bottom"/>
          </w:tcPr>
          <w:p>
            <w:pPr>
              <w:ind w:left="200"/>
              <w:spacing w:after="0"/>
              <w:rPr>
                <w:sz w:val="20"/>
                <w:szCs w:val="20"/>
                <w:color w:val="auto"/>
              </w:rPr>
            </w:pPr>
            <w:r>
              <w:rPr>
                <w:rFonts w:ascii="Arial" w:cs="Arial" w:eastAsia="Arial" w:hAnsi="Arial"/>
                <w:sz w:val="16"/>
                <w:szCs w:val="16"/>
                <w:color w:val="auto"/>
              </w:rPr>
              <w:t>Marketable securities, noncurrent</w:t>
            </w:r>
          </w:p>
        </w:tc>
        <w:tc>
          <w:tcPr>
            <w:tcW w:w="180" w:type="dxa"/>
            <w:vAlign w:val="bottom"/>
          </w:tcPr>
          <w:p>
            <w:pPr>
              <w:spacing w:after="0"/>
              <w:rPr>
                <w:sz w:val="17"/>
                <w:szCs w:val="17"/>
                <w:color w:val="auto"/>
              </w:rPr>
            </w:pPr>
          </w:p>
        </w:tc>
        <w:tc>
          <w:tcPr>
            <w:tcW w:w="1380" w:type="dxa"/>
            <w:vAlign w:val="bottom"/>
          </w:tcPr>
          <w:p>
            <w:pPr>
              <w:jc w:val="right"/>
              <w:spacing w:after="0"/>
              <w:rPr>
                <w:sz w:val="20"/>
                <w:szCs w:val="20"/>
                <w:color w:val="auto"/>
              </w:rPr>
            </w:pPr>
            <w:r>
              <w:rPr>
                <w:rFonts w:ascii="Arial" w:cs="Arial" w:eastAsia="Arial" w:hAnsi="Arial"/>
                <w:sz w:val="16"/>
                <w:szCs w:val="16"/>
                <w:color w:val="auto"/>
              </w:rPr>
              <w:t>59,348</w:t>
            </w:r>
          </w:p>
        </w:tc>
        <w:tc>
          <w:tcPr>
            <w:tcW w:w="26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540" w:type="dxa"/>
            <w:vAlign w:val="bottom"/>
            <w:gridSpan w:val="2"/>
          </w:tcPr>
          <w:p>
            <w:pPr>
              <w:jc w:val="right"/>
              <w:ind w:right="120"/>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02"/>
        </w:trPr>
        <w:tc>
          <w:tcPr>
            <w:tcW w:w="7680" w:type="dxa"/>
            <w:vAlign w:val="bottom"/>
            <w:shd w:val="clear" w:color="auto" w:fill="CFF0FC"/>
          </w:tcPr>
          <w:p>
            <w:pPr>
              <w:ind w:left="200"/>
              <w:spacing w:after="0"/>
              <w:rPr>
                <w:sz w:val="20"/>
                <w:szCs w:val="20"/>
                <w:color w:val="auto"/>
              </w:rPr>
            </w:pPr>
            <w:r>
              <w:rPr>
                <w:rFonts w:ascii="Arial" w:cs="Arial" w:eastAsia="Arial" w:hAnsi="Arial"/>
                <w:sz w:val="16"/>
                <w:szCs w:val="16"/>
                <w:color w:val="auto"/>
              </w:rPr>
              <w:t>Property and equipment, net</w:t>
            </w:r>
          </w:p>
        </w:tc>
        <w:tc>
          <w:tcPr>
            <w:tcW w:w="180" w:type="dxa"/>
            <w:vAlign w:val="bottom"/>
            <w:shd w:val="clear" w:color="auto" w:fill="CFF0FC"/>
          </w:tcPr>
          <w:p>
            <w:pPr>
              <w:spacing w:after="0"/>
              <w:rPr>
                <w:sz w:val="17"/>
                <w:szCs w:val="17"/>
                <w:color w:val="auto"/>
              </w:rPr>
            </w:pPr>
          </w:p>
        </w:tc>
        <w:tc>
          <w:tcPr>
            <w:tcW w:w="1380" w:type="dxa"/>
            <w:vAlign w:val="bottom"/>
            <w:shd w:val="clear" w:color="auto" w:fill="CFF0FC"/>
          </w:tcPr>
          <w:p>
            <w:pPr>
              <w:jc w:val="right"/>
              <w:spacing w:after="0"/>
              <w:rPr>
                <w:sz w:val="20"/>
                <w:szCs w:val="20"/>
                <w:color w:val="auto"/>
              </w:rPr>
            </w:pPr>
            <w:r>
              <w:rPr>
                <w:rFonts w:ascii="Arial" w:cs="Arial" w:eastAsia="Arial" w:hAnsi="Arial"/>
                <w:sz w:val="16"/>
                <w:szCs w:val="16"/>
                <w:color w:val="auto"/>
              </w:rPr>
              <w:t>8,773</w:t>
            </w:r>
          </w:p>
        </w:tc>
        <w:tc>
          <w:tcPr>
            <w:tcW w:w="260" w:type="dxa"/>
            <w:vAlign w:val="bottom"/>
            <w:shd w:val="clear" w:color="auto" w:fill="CFF0FC"/>
          </w:tcPr>
          <w:p>
            <w:pPr>
              <w:spacing w:after="0"/>
              <w:rPr>
                <w:sz w:val="17"/>
                <w:szCs w:val="17"/>
                <w:color w:val="auto"/>
              </w:rPr>
            </w:pPr>
          </w:p>
        </w:tc>
        <w:tc>
          <w:tcPr>
            <w:tcW w:w="200" w:type="dxa"/>
            <w:vAlign w:val="bottom"/>
            <w:shd w:val="clear" w:color="auto" w:fill="CFF0FC"/>
          </w:tcPr>
          <w:p>
            <w:pPr>
              <w:spacing w:after="0"/>
              <w:rPr>
                <w:sz w:val="17"/>
                <w:szCs w:val="17"/>
                <w:color w:val="auto"/>
              </w:rPr>
            </w:pPr>
          </w:p>
        </w:tc>
        <w:tc>
          <w:tcPr>
            <w:tcW w:w="1440" w:type="dxa"/>
            <w:vAlign w:val="bottom"/>
            <w:shd w:val="clear" w:color="auto" w:fill="CFF0FC"/>
          </w:tcPr>
          <w:p>
            <w:pPr>
              <w:jc w:val="right"/>
              <w:spacing w:after="0"/>
              <w:rPr>
                <w:sz w:val="20"/>
                <w:szCs w:val="20"/>
                <w:color w:val="auto"/>
              </w:rPr>
            </w:pPr>
            <w:r>
              <w:rPr>
                <w:rFonts w:ascii="Arial" w:cs="Arial" w:eastAsia="Arial" w:hAnsi="Arial"/>
                <w:sz w:val="16"/>
                <w:szCs w:val="16"/>
                <w:color w:val="auto"/>
              </w:rPr>
              <w:t>4,832</w:t>
            </w:r>
          </w:p>
        </w:tc>
        <w:tc>
          <w:tcPr>
            <w:tcW w:w="100" w:type="dxa"/>
            <w:vAlign w:val="bottom"/>
            <w:shd w:val="clear" w:color="auto" w:fill="CFF0FC"/>
          </w:tcPr>
          <w:p>
            <w:pPr>
              <w:spacing w:after="0"/>
              <w:rPr>
                <w:sz w:val="17"/>
                <w:szCs w:val="17"/>
                <w:color w:val="auto"/>
              </w:rPr>
            </w:pPr>
          </w:p>
        </w:tc>
        <w:tc>
          <w:tcPr>
            <w:tcW w:w="0" w:type="dxa"/>
            <w:vAlign w:val="bottom"/>
          </w:tcPr>
          <w:p>
            <w:pPr>
              <w:spacing w:after="0"/>
              <w:rPr>
                <w:sz w:val="1"/>
                <w:szCs w:val="1"/>
                <w:color w:val="auto"/>
              </w:rPr>
            </w:pPr>
          </w:p>
        </w:tc>
      </w:tr>
      <w:tr>
        <w:trPr>
          <w:trHeight w:val="202"/>
        </w:trPr>
        <w:tc>
          <w:tcPr>
            <w:tcW w:w="7680" w:type="dxa"/>
            <w:vAlign w:val="bottom"/>
          </w:tcPr>
          <w:p>
            <w:pPr>
              <w:ind w:left="200"/>
              <w:spacing w:after="0"/>
              <w:rPr>
                <w:sz w:val="20"/>
                <w:szCs w:val="20"/>
                <w:color w:val="auto"/>
              </w:rPr>
            </w:pPr>
            <w:r>
              <w:rPr>
                <w:rFonts w:ascii="Arial" w:cs="Arial" w:eastAsia="Arial" w:hAnsi="Arial"/>
                <w:sz w:val="16"/>
                <w:szCs w:val="16"/>
                <w:color w:val="auto"/>
              </w:rPr>
              <w:t>Intangible assets, net</w:t>
            </w:r>
          </w:p>
        </w:tc>
        <w:tc>
          <w:tcPr>
            <w:tcW w:w="180" w:type="dxa"/>
            <w:vAlign w:val="bottom"/>
          </w:tcPr>
          <w:p>
            <w:pPr>
              <w:spacing w:after="0"/>
              <w:rPr>
                <w:sz w:val="17"/>
                <w:szCs w:val="17"/>
                <w:color w:val="auto"/>
              </w:rPr>
            </w:pPr>
          </w:p>
        </w:tc>
        <w:tc>
          <w:tcPr>
            <w:tcW w:w="1380" w:type="dxa"/>
            <w:vAlign w:val="bottom"/>
          </w:tcPr>
          <w:p>
            <w:pPr>
              <w:jc w:val="right"/>
              <w:spacing w:after="0"/>
              <w:rPr>
                <w:sz w:val="20"/>
                <w:szCs w:val="20"/>
                <w:color w:val="auto"/>
              </w:rPr>
            </w:pPr>
            <w:r>
              <w:rPr>
                <w:rFonts w:ascii="Arial" w:cs="Arial" w:eastAsia="Arial" w:hAnsi="Arial"/>
                <w:sz w:val="16"/>
                <w:szCs w:val="16"/>
                <w:color w:val="auto"/>
              </w:rPr>
              <w:t>2,595</w:t>
            </w:r>
          </w:p>
        </w:tc>
        <w:tc>
          <w:tcPr>
            <w:tcW w:w="26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440" w:type="dxa"/>
            <w:vAlign w:val="bottom"/>
          </w:tcPr>
          <w:p>
            <w:pPr>
              <w:jc w:val="right"/>
              <w:spacing w:after="0"/>
              <w:rPr>
                <w:sz w:val="20"/>
                <w:szCs w:val="20"/>
                <w:color w:val="auto"/>
              </w:rPr>
            </w:pPr>
            <w:r>
              <w:rPr>
                <w:rFonts w:ascii="Arial" w:cs="Arial" w:eastAsia="Arial" w:hAnsi="Arial"/>
                <w:sz w:val="16"/>
                <w:szCs w:val="16"/>
                <w:color w:val="auto"/>
              </w:rPr>
              <w:t>3,554</w:t>
            </w: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2"/>
        </w:trPr>
        <w:tc>
          <w:tcPr>
            <w:tcW w:w="7680" w:type="dxa"/>
            <w:vAlign w:val="bottom"/>
            <w:shd w:val="clear" w:color="auto" w:fill="CFF0FC"/>
          </w:tcPr>
          <w:p>
            <w:pPr>
              <w:ind w:left="200"/>
              <w:spacing w:after="0"/>
              <w:rPr>
                <w:sz w:val="20"/>
                <w:szCs w:val="20"/>
                <w:color w:val="auto"/>
              </w:rPr>
            </w:pPr>
            <w:r>
              <w:rPr>
                <w:rFonts w:ascii="Arial" w:cs="Arial" w:eastAsia="Arial" w:hAnsi="Arial"/>
                <w:sz w:val="16"/>
                <w:szCs w:val="16"/>
                <w:color w:val="auto"/>
              </w:rPr>
              <w:t>Goodwill</w:t>
            </w:r>
          </w:p>
        </w:tc>
        <w:tc>
          <w:tcPr>
            <w:tcW w:w="180" w:type="dxa"/>
            <w:vAlign w:val="bottom"/>
            <w:shd w:val="clear" w:color="auto" w:fill="CFF0FC"/>
          </w:tcPr>
          <w:p>
            <w:pPr>
              <w:spacing w:after="0"/>
              <w:rPr>
                <w:sz w:val="17"/>
                <w:szCs w:val="17"/>
                <w:color w:val="auto"/>
              </w:rPr>
            </w:pPr>
          </w:p>
        </w:tc>
        <w:tc>
          <w:tcPr>
            <w:tcW w:w="1380" w:type="dxa"/>
            <w:vAlign w:val="bottom"/>
            <w:shd w:val="clear" w:color="auto" w:fill="CFF0FC"/>
          </w:tcPr>
          <w:p>
            <w:pPr>
              <w:jc w:val="right"/>
              <w:spacing w:after="0"/>
              <w:rPr>
                <w:sz w:val="20"/>
                <w:szCs w:val="20"/>
                <w:color w:val="auto"/>
              </w:rPr>
            </w:pPr>
            <w:r>
              <w:rPr>
                <w:rFonts w:ascii="Arial" w:cs="Arial" w:eastAsia="Arial" w:hAnsi="Arial"/>
                <w:sz w:val="16"/>
                <w:szCs w:val="16"/>
                <w:color w:val="auto"/>
              </w:rPr>
              <w:t>4,073</w:t>
            </w:r>
          </w:p>
        </w:tc>
        <w:tc>
          <w:tcPr>
            <w:tcW w:w="260" w:type="dxa"/>
            <w:vAlign w:val="bottom"/>
            <w:shd w:val="clear" w:color="auto" w:fill="CFF0FC"/>
          </w:tcPr>
          <w:p>
            <w:pPr>
              <w:spacing w:after="0"/>
              <w:rPr>
                <w:sz w:val="17"/>
                <w:szCs w:val="17"/>
                <w:color w:val="auto"/>
              </w:rPr>
            </w:pPr>
          </w:p>
        </w:tc>
        <w:tc>
          <w:tcPr>
            <w:tcW w:w="200" w:type="dxa"/>
            <w:vAlign w:val="bottom"/>
            <w:shd w:val="clear" w:color="auto" w:fill="CFF0FC"/>
          </w:tcPr>
          <w:p>
            <w:pPr>
              <w:spacing w:after="0"/>
              <w:rPr>
                <w:sz w:val="17"/>
                <w:szCs w:val="17"/>
                <w:color w:val="auto"/>
              </w:rPr>
            </w:pPr>
          </w:p>
        </w:tc>
        <w:tc>
          <w:tcPr>
            <w:tcW w:w="1440" w:type="dxa"/>
            <w:vAlign w:val="bottom"/>
            <w:shd w:val="clear" w:color="auto" w:fill="CFF0FC"/>
          </w:tcPr>
          <w:p>
            <w:pPr>
              <w:jc w:val="right"/>
              <w:spacing w:after="0"/>
              <w:rPr>
                <w:sz w:val="20"/>
                <w:szCs w:val="20"/>
                <w:color w:val="auto"/>
              </w:rPr>
            </w:pPr>
            <w:r>
              <w:rPr>
                <w:rFonts w:ascii="Arial" w:cs="Arial" w:eastAsia="Arial" w:hAnsi="Arial"/>
                <w:sz w:val="16"/>
                <w:szCs w:val="16"/>
                <w:color w:val="auto"/>
              </w:rPr>
              <w:t>4,073</w:t>
            </w:r>
          </w:p>
        </w:tc>
        <w:tc>
          <w:tcPr>
            <w:tcW w:w="100" w:type="dxa"/>
            <w:vAlign w:val="bottom"/>
            <w:shd w:val="clear" w:color="auto" w:fill="CFF0FC"/>
          </w:tcPr>
          <w:p>
            <w:pPr>
              <w:spacing w:after="0"/>
              <w:rPr>
                <w:sz w:val="17"/>
                <w:szCs w:val="17"/>
                <w:color w:val="auto"/>
              </w:rPr>
            </w:pPr>
          </w:p>
        </w:tc>
        <w:tc>
          <w:tcPr>
            <w:tcW w:w="0" w:type="dxa"/>
            <w:vAlign w:val="bottom"/>
          </w:tcPr>
          <w:p>
            <w:pPr>
              <w:spacing w:after="0"/>
              <w:rPr>
                <w:sz w:val="1"/>
                <w:szCs w:val="1"/>
                <w:color w:val="auto"/>
              </w:rPr>
            </w:pPr>
          </w:p>
        </w:tc>
      </w:tr>
      <w:tr>
        <w:trPr>
          <w:trHeight w:val="202"/>
        </w:trPr>
        <w:tc>
          <w:tcPr>
            <w:tcW w:w="7680" w:type="dxa"/>
            <w:vAlign w:val="bottom"/>
          </w:tcPr>
          <w:p>
            <w:pPr>
              <w:ind w:left="200"/>
              <w:spacing w:after="0"/>
              <w:rPr>
                <w:sz w:val="20"/>
                <w:szCs w:val="20"/>
                <w:color w:val="auto"/>
              </w:rPr>
            </w:pPr>
            <w:r>
              <w:rPr>
                <w:rFonts w:ascii="Arial" w:cs="Arial" w:eastAsia="Arial" w:hAnsi="Arial"/>
                <w:sz w:val="16"/>
                <w:szCs w:val="16"/>
                <w:color w:val="auto"/>
              </w:rPr>
              <w:t>Restricted cash, noncurrent</w:t>
            </w:r>
          </w:p>
        </w:tc>
        <w:tc>
          <w:tcPr>
            <w:tcW w:w="180" w:type="dxa"/>
            <w:vAlign w:val="bottom"/>
          </w:tcPr>
          <w:p>
            <w:pPr>
              <w:spacing w:after="0"/>
              <w:rPr>
                <w:sz w:val="17"/>
                <w:szCs w:val="17"/>
                <w:color w:val="auto"/>
              </w:rPr>
            </w:pPr>
          </w:p>
        </w:tc>
        <w:tc>
          <w:tcPr>
            <w:tcW w:w="1380" w:type="dxa"/>
            <w:vAlign w:val="bottom"/>
          </w:tcPr>
          <w:p>
            <w:pPr>
              <w:jc w:val="right"/>
              <w:spacing w:after="0"/>
              <w:rPr>
                <w:sz w:val="20"/>
                <w:szCs w:val="20"/>
                <w:color w:val="auto"/>
              </w:rPr>
            </w:pPr>
            <w:r>
              <w:rPr>
                <w:rFonts w:ascii="Arial" w:cs="Arial" w:eastAsia="Arial" w:hAnsi="Arial"/>
                <w:sz w:val="16"/>
                <w:szCs w:val="16"/>
                <w:color w:val="auto"/>
              </w:rPr>
              <w:t>852</w:t>
            </w:r>
          </w:p>
        </w:tc>
        <w:tc>
          <w:tcPr>
            <w:tcW w:w="26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440" w:type="dxa"/>
            <w:vAlign w:val="bottom"/>
          </w:tcPr>
          <w:p>
            <w:pPr>
              <w:jc w:val="right"/>
              <w:spacing w:after="0"/>
              <w:rPr>
                <w:sz w:val="20"/>
                <w:szCs w:val="20"/>
                <w:color w:val="auto"/>
              </w:rPr>
            </w:pPr>
            <w:r>
              <w:rPr>
                <w:rFonts w:ascii="Arial" w:cs="Arial" w:eastAsia="Arial" w:hAnsi="Arial"/>
                <w:sz w:val="16"/>
                <w:szCs w:val="16"/>
                <w:color w:val="auto"/>
              </w:rPr>
              <w:t>850</w:t>
            </w: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2"/>
        </w:trPr>
        <w:tc>
          <w:tcPr>
            <w:tcW w:w="7680" w:type="dxa"/>
            <w:vAlign w:val="bottom"/>
            <w:shd w:val="clear" w:color="auto" w:fill="CFF0FC"/>
          </w:tcPr>
          <w:p>
            <w:pPr>
              <w:ind w:left="200"/>
              <w:spacing w:after="0"/>
              <w:rPr>
                <w:sz w:val="20"/>
                <w:szCs w:val="20"/>
                <w:color w:val="auto"/>
              </w:rPr>
            </w:pPr>
            <w:r>
              <w:rPr>
                <w:rFonts w:ascii="Arial" w:cs="Arial" w:eastAsia="Arial" w:hAnsi="Arial"/>
                <w:sz w:val="16"/>
                <w:szCs w:val="16"/>
                <w:color w:val="auto"/>
              </w:rPr>
              <w:t>Deferred commissions, noncurrent</w:t>
            </w:r>
          </w:p>
        </w:tc>
        <w:tc>
          <w:tcPr>
            <w:tcW w:w="180" w:type="dxa"/>
            <w:vAlign w:val="bottom"/>
            <w:shd w:val="clear" w:color="auto" w:fill="CFF0FC"/>
          </w:tcPr>
          <w:p>
            <w:pPr>
              <w:spacing w:after="0"/>
              <w:rPr>
                <w:sz w:val="17"/>
                <w:szCs w:val="17"/>
                <w:color w:val="auto"/>
              </w:rPr>
            </w:pPr>
          </w:p>
        </w:tc>
        <w:tc>
          <w:tcPr>
            <w:tcW w:w="1380" w:type="dxa"/>
            <w:vAlign w:val="bottom"/>
            <w:shd w:val="clear" w:color="auto" w:fill="CFF0FC"/>
          </w:tcPr>
          <w:p>
            <w:pPr>
              <w:jc w:val="right"/>
              <w:spacing w:after="0"/>
              <w:rPr>
                <w:sz w:val="20"/>
                <w:szCs w:val="20"/>
                <w:color w:val="auto"/>
              </w:rPr>
            </w:pPr>
            <w:r>
              <w:rPr>
                <w:rFonts w:ascii="Arial" w:cs="Arial" w:eastAsia="Arial" w:hAnsi="Arial"/>
                <w:sz w:val="16"/>
                <w:szCs w:val="16"/>
                <w:color w:val="auto"/>
              </w:rPr>
              <w:t>25,747</w:t>
            </w:r>
          </w:p>
        </w:tc>
        <w:tc>
          <w:tcPr>
            <w:tcW w:w="260" w:type="dxa"/>
            <w:vAlign w:val="bottom"/>
            <w:shd w:val="clear" w:color="auto" w:fill="CFF0FC"/>
          </w:tcPr>
          <w:p>
            <w:pPr>
              <w:spacing w:after="0"/>
              <w:rPr>
                <w:sz w:val="17"/>
                <w:szCs w:val="17"/>
                <w:color w:val="auto"/>
              </w:rPr>
            </w:pPr>
          </w:p>
        </w:tc>
        <w:tc>
          <w:tcPr>
            <w:tcW w:w="200" w:type="dxa"/>
            <w:vAlign w:val="bottom"/>
            <w:shd w:val="clear" w:color="auto" w:fill="CFF0FC"/>
          </w:tcPr>
          <w:p>
            <w:pPr>
              <w:spacing w:after="0"/>
              <w:rPr>
                <w:sz w:val="17"/>
                <w:szCs w:val="17"/>
                <w:color w:val="auto"/>
              </w:rPr>
            </w:pPr>
          </w:p>
        </w:tc>
        <w:tc>
          <w:tcPr>
            <w:tcW w:w="1440" w:type="dxa"/>
            <w:vAlign w:val="bottom"/>
            <w:shd w:val="clear" w:color="auto" w:fill="CFF0FC"/>
          </w:tcPr>
          <w:p>
            <w:pPr>
              <w:jc w:val="right"/>
              <w:spacing w:after="0"/>
              <w:rPr>
                <w:sz w:val="20"/>
                <w:szCs w:val="20"/>
                <w:color w:val="auto"/>
              </w:rPr>
            </w:pPr>
            <w:r>
              <w:rPr>
                <w:rFonts w:ascii="Arial" w:cs="Arial" w:eastAsia="Arial" w:hAnsi="Arial"/>
                <w:sz w:val="16"/>
                <w:szCs w:val="16"/>
                <w:color w:val="auto"/>
              </w:rPr>
              <w:t>20,573</w:t>
            </w:r>
          </w:p>
        </w:tc>
        <w:tc>
          <w:tcPr>
            <w:tcW w:w="100" w:type="dxa"/>
            <w:vAlign w:val="bottom"/>
            <w:shd w:val="clear" w:color="auto" w:fill="CFF0FC"/>
          </w:tcPr>
          <w:p>
            <w:pPr>
              <w:spacing w:after="0"/>
              <w:rPr>
                <w:sz w:val="17"/>
                <w:szCs w:val="17"/>
                <w:color w:val="auto"/>
              </w:rPr>
            </w:pPr>
          </w:p>
        </w:tc>
        <w:tc>
          <w:tcPr>
            <w:tcW w:w="0" w:type="dxa"/>
            <w:vAlign w:val="bottom"/>
          </w:tcPr>
          <w:p>
            <w:pPr>
              <w:spacing w:after="0"/>
              <w:rPr>
                <w:sz w:val="1"/>
                <w:szCs w:val="1"/>
                <w:color w:val="auto"/>
              </w:rPr>
            </w:pPr>
          </w:p>
        </w:tc>
      </w:tr>
      <w:tr>
        <w:trPr>
          <w:trHeight w:val="202"/>
        </w:trPr>
        <w:tc>
          <w:tcPr>
            <w:tcW w:w="7680" w:type="dxa"/>
            <w:vAlign w:val="bottom"/>
          </w:tcPr>
          <w:p>
            <w:pPr>
              <w:ind w:left="200"/>
              <w:spacing w:after="0"/>
              <w:rPr>
                <w:sz w:val="20"/>
                <w:szCs w:val="20"/>
                <w:color w:val="auto"/>
              </w:rPr>
            </w:pPr>
            <w:r>
              <w:rPr>
                <w:rFonts w:ascii="Arial" w:cs="Arial" w:eastAsia="Arial" w:hAnsi="Arial"/>
                <w:sz w:val="16"/>
                <w:szCs w:val="16"/>
                <w:color w:val="auto"/>
              </w:rPr>
              <w:t>Operating lease right-of-use assets</w:t>
            </w:r>
          </w:p>
        </w:tc>
        <w:tc>
          <w:tcPr>
            <w:tcW w:w="180" w:type="dxa"/>
            <w:vAlign w:val="bottom"/>
          </w:tcPr>
          <w:p>
            <w:pPr>
              <w:spacing w:after="0"/>
              <w:rPr>
                <w:sz w:val="17"/>
                <w:szCs w:val="17"/>
                <w:color w:val="auto"/>
              </w:rPr>
            </w:pPr>
          </w:p>
        </w:tc>
        <w:tc>
          <w:tcPr>
            <w:tcW w:w="1380" w:type="dxa"/>
            <w:vAlign w:val="bottom"/>
          </w:tcPr>
          <w:p>
            <w:pPr>
              <w:jc w:val="right"/>
              <w:spacing w:after="0"/>
              <w:rPr>
                <w:sz w:val="20"/>
                <w:szCs w:val="20"/>
                <w:color w:val="auto"/>
              </w:rPr>
            </w:pPr>
            <w:r>
              <w:rPr>
                <w:rFonts w:ascii="Arial" w:cs="Arial" w:eastAsia="Arial" w:hAnsi="Arial"/>
                <w:sz w:val="16"/>
                <w:szCs w:val="16"/>
                <w:color w:val="auto"/>
              </w:rPr>
              <w:t>10,053</w:t>
            </w:r>
          </w:p>
        </w:tc>
        <w:tc>
          <w:tcPr>
            <w:tcW w:w="26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540" w:type="dxa"/>
            <w:vAlign w:val="bottom"/>
            <w:gridSpan w:val="2"/>
          </w:tcPr>
          <w:p>
            <w:pPr>
              <w:jc w:val="right"/>
              <w:ind w:right="120"/>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02"/>
        </w:trPr>
        <w:tc>
          <w:tcPr>
            <w:tcW w:w="7680" w:type="dxa"/>
            <w:vAlign w:val="bottom"/>
            <w:tcBorders>
              <w:bottom w:val="single" w:sz="8" w:color="CFF0FC"/>
            </w:tcBorders>
            <w:shd w:val="clear" w:color="auto" w:fill="CFF0FC"/>
          </w:tcPr>
          <w:p>
            <w:pPr>
              <w:ind w:left="200"/>
              <w:spacing w:after="0"/>
              <w:rPr>
                <w:sz w:val="20"/>
                <w:szCs w:val="20"/>
                <w:color w:val="auto"/>
              </w:rPr>
            </w:pPr>
            <w:r>
              <w:rPr>
                <w:rFonts w:ascii="Arial" w:cs="Arial" w:eastAsia="Arial" w:hAnsi="Arial"/>
                <w:sz w:val="16"/>
                <w:szCs w:val="16"/>
                <w:color w:val="auto"/>
              </w:rPr>
              <w:t>Other noncurrent assets</w:t>
            </w:r>
          </w:p>
        </w:tc>
        <w:tc>
          <w:tcPr>
            <w:tcW w:w="180" w:type="dxa"/>
            <w:vAlign w:val="bottom"/>
            <w:tcBorders>
              <w:bottom w:val="single" w:sz="8" w:color="auto"/>
            </w:tcBorders>
            <w:shd w:val="clear" w:color="auto" w:fill="CFF0FC"/>
          </w:tcPr>
          <w:p>
            <w:pPr>
              <w:spacing w:after="0"/>
              <w:rPr>
                <w:sz w:val="17"/>
                <w:szCs w:val="17"/>
                <w:color w:val="auto"/>
              </w:rPr>
            </w:pPr>
          </w:p>
        </w:tc>
        <w:tc>
          <w:tcPr>
            <w:tcW w:w="13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6"/>
                <w:szCs w:val="16"/>
                <w:color w:val="auto"/>
              </w:rPr>
              <w:t>7,753</w:t>
            </w:r>
          </w:p>
        </w:tc>
        <w:tc>
          <w:tcPr>
            <w:tcW w:w="260" w:type="dxa"/>
            <w:vAlign w:val="bottom"/>
            <w:tcBorders>
              <w:bottom w:val="single" w:sz="8" w:color="CFF0FC"/>
            </w:tcBorders>
            <w:shd w:val="clear" w:color="auto" w:fill="CFF0FC"/>
          </w:tcPr>
          <w:p>
            <w:pPr>
              <w:spacing w:after="0"/>
              <w:rPr>
                <w:sz w:val="17"/>
                <w:szCs w:val="17"/>
                <w:color w:val="auto"/>
              </w:rPr>
            </w:pPr>
          </w:p>
        </w:tc>
        <w:tc>
          <w:tcPr>
            <w:tcW w:w="200" w:type="dxa"/>
            <w:vAlign w:val="bottom"/>
            <w:tcBorders>
              <w:bottom w:val="single" w:sz="8" w:color="auto"/>
            </w:tcBorders>
            <w:shd w:val="clear" w:color="auto" w:fill="CFF0FC"/>
          </w:tcPr>
          <w:p>
            <w:pPr>
              <w:spacing w:after="0"/>
              <w:rPr>
                <w:sz w:val="17"/>
                <w:szCs w:val="17"/>
                <w:color w:val="auto"/>
              </w:rPr>
            </w:pPr>
          </w:p>
        </w:tc>
        <w:tc>
          <w:tcPr>
            <w:tcW w:w="14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6"/>
                <w:szCs w:val="16"/>
                <w:color w:val="auto"/>
              </w:rPr>
              <w:t>11,389</w:t>
            </w:r>
          </w:p>
        </w:tc>
        <w:tc>
          <w:tcPr>
            <w:tcW w:w="100" w:type="dxa"/>
            <w:vAlign w:val="bottom"/>
            <w:tcBorders>
              <w:bottom w:val="single" w:sz="8" w:color="CFF0FC"/>
            </w:tcBorders>
            <w:shd w:val="clear" w:color="auto" w:fill="CFF0FC"/>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7680" w:type="dxa"/>
            <w:vAlign w:val="bottom"/>
          </w:tcPr>
          <w:p>
            <w:pPr>
              <w:ind w:left="380"/>
              <w:spacing w:after="0"/>
              <w:rPr>
                <w:sz w:val="20"/>
                <w:szCs w:val="20"/>
                <w:color w:val="auto"/>
              </w:rPr>
            </w:pPr>
            <w:r>
              <w:rPr>
                <w:rFonts w:ascii="Arial" w:cs="Arial" w:eastAsia="Arial" w:hAnsi="Arial"/>
                <w:sz w:val="16"/>
                <w:szCs w:val="16"/>
                <w:color w:val="auto"/>
              </w:rPr>
              <w:t>Total assets</w:t>
            </w:r>
          </w:p>
        </w:tc>
        <w:tc>
          <w:tcPr>
            <w:tcW w:w="1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w w:val="89"/>
              </w:rPr>
              <w:t>$</w:t>
            </w:r>
          </w:p>
        </w:tc>
        <w:tc>
          <w:tcPr>
            <w:tcW w:w="13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428,261</w:t>
            </w:r>
          </w:p>
        </w:tc>
        <w:tc>
          <w:tcPr>
            <w:tcW w:w="260" w:type="dxa"/>
            <w:vAlign w:val="bottom"/>
          </w:tcPr>
          <w:p>
            <w:pPr>
              <w:spacing w:after="0"/>
              <w:rPr>
                <w:sz w:val="17"/>
                <w:szCs w:val="17"/>
                <w:color w:val="auto"/>
              </w:rPr>
            </w:pPr>
          </w:p>
        </w:tc>
        <w:tc>
          <w:tcPr>
            <w:tcW w:w="20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color w:val="auto"/>
                <w:w w:val="89"/>
              </w:rPr>
              <w:t>$</w:t>
            </w:r>
          </w:p>
        </w:tc>
        <w:tc>
          <w:tcPr>
            <w:tcW w:w="14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400,388</w:t>
            </w: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768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380" w:type="dxa"/>
            <w:vAlign w:val="bottom"/>
            <w:tcBorders>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4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3"/>
        </w:trPr>
        <w:tc>
          <w:tcPr>
            <w:tcW w:w="7680" w:type="dxa"/>
            <w:vAlign w:val="bottom"/>
            <w:shd w:val="clear" w:color="auto" w:fill="CFF0FC"/>
          </w:tcPr>
          <w:p>
            <w:pPr>
              <w:ind w:left="20"/>
              <w:spacing w:after="0" w:line="183" w:lineRule="exact"/>
              <w:rPr>
                <w:sz w:val="20"/>
                <w:szCs w:val="20"/>
                <w:color w:val="auto"/>
              </w:rPr>
            </w:pPr>
            <w:r>
              <w:rPr>
                <w:rFonts w:ascii="Arial" w:cs="Arial" w:eastAsia="Arial" w:hAnsi="Arial"/>
                <w:sz w:val="16"/>
                <w:szCs w:val="16"/>
                <w:b w:val="1"/>
                <w:bCs w:val="1"/>
                <w:color w:val="auto"/>
              </w:rPr>
              <w:t>LIABILITIES AND STOCKHOLDERS' EQUITY</w:t>
            </w:r>
          </w:p>
        </w:tc>
        <w:tc>
          <w:tcPr>
            <w:tcW w:w="180" w:type="dxa"/>
            <w:vAlign w:val="bottom"/>
            <w:shd w:val="clear" w:color="auto" w:fill="CFF0FC"/>
          </w:tcPr>
          <w:p>
            <w:pPr>
              <w:spacing w:after="0"/>
              <w:rPr>
                <w:sz w:val="15"/>
                <w:szCs w:val="15"/>
                <w:color w:val="auto"/>
              </w:rPr>
            </w:pPr>
          </w:p>
        </w:tc>
        <w:tc>
          <w:tcPr>
            <w:tcW w:w="1380" w:type="dxa"/>
            <w:vAlign w:val="bottom"/>
            <w:shd w:val="clear" w:color="auto" w:fill="CFF0FC"/>
          </w:tcPr>
          <w:p>
            <w:pPr>
              <w:spacing w:after="0"/>
              <w:rPr>
                <w:sz w:val="15"/>
                <w:szCs w:val="15"/>
                <w:color w:val="auto"/>
              </w:rPr>
            </w:pPr>
          </w:p>
        </w:tc>
        <w:tc>
          <w:tcPr>
            <w:tcW w:w="260" w:type="dxa"/>
            <w:vAlign w:val="bottom"/>
            <w:shd w:val="clear" w:color="auto" w:fill="CFF0FC"/>
          </w:tcPr>
          <w:p>
            <w:pPr>
              <w:spacing w:after="0"/>
              <w:rPr>
                <w:sz w:val="15"/>
                <w:szCs w:val="15"/>
                <w:color w:val="auto"/>
              </w:rPr>
            </w:pPr>
          </w:p>
        </w:tc>
        <w:tc>
          <w:tcPr>
            <w:tcW w:w="200" w:type="dxa"/>
            <w:vAlign w:val="bottom"/>
            <w:shd w:val="clear" w:color="auto" w:fill="CFF0FC"/>
          </w:tcPr>
          <w:p>
            <w:pPr>
              <w:spacing w:after="0"/>
              <w:rPr>
                <w:sz w:val="15"/>
                <w:szCs w:val="15"/>
                <w:color w:val="auto"/>
              </w:rPr>
            </w:pPr>
          </w:p>
        </w:tc>
        <w:tc>
          <w:tcPr>
            <w:tcW w:w="1440" w:type="dxa"/>
            <w:vAlign w:val="bottom"/>
            <w:shd w:val="clear" w:color="auto" w:fill="CFF0FC"/>
          </w:tcPr>
          <w:p>
            <w:pPr>
              <w:spacing w:after="0"/>
              <w:rPr>
                <w:sz w:val="15"/>
                <w:szCs w:val="15"/>
                <w:color w:val="auto"/>
              </w:rPr>
            </w:pPr>
          </w:p>
        </w:tc>
        <w:tc>
          <w:tcPr>
            <w:tcW w:w="100" w:type="dxa"/>
            <w:vAlign w:val="bottom"/>
            <w:shd w:val="clear" w:color="auto" w:fill="CFF0FC"/>
          </w:tcPr>
          <w:p>
            <w:pPr>
              <w:spacing w:after="0"/>
              <w:rPr>
                <w:sz w:val="15"/>
                <w:szCs w:val="15"/>
                <w:color w:val="auto"/>
              </w:rPr>
            </w:pPr>
          </w:p>
        </w:tc>
        <w:tc>
          <w:tcPr>
            <w:tcW w:w="0" w:type="dxa"/>
            <w:vAlign w:val="bottom"/>
          </w:tcPr>
          <w:p>
            <w:pPr>
              <w:spacing w:after="0"/>
              <w:rPr>
                <w:sz w:val="1"/>
                <w:szCs w:val="1"/>
                <w:color w:val="auto"/>
              </w:rPr>
            </w:pPr>
          </w:p>
        </w:tc>
      </w:tr>
      <w:tr>
        <w:trPr>
          <w:trHeight w:val="202"/>
        </w:trPr>
        <w:tc>
          <w:tcPr>
            <w:tcW w:w="7680" w:type="dxa"/>
            <w:vAlign w:val="bottom"/>
          </w:tcPr>
          <w:p>
            <w:pPr>
              <w:ind w:left="20"/>
              <w:spacing w:after="0"/>
              <w:rPr>
                <w:sz w:val="20"/>
                <w:szCs w:val="20"/>
                <w:color w:val="auto"/>
              </w:rPr>
            </w:pPr>
            <w:r>
              <w:rPr>
                <w:rFonts w:ascii="Arial" w:cs="Arial" w:eastAsia="Arial" w:hAnsi="Arial"/>
                <w:sz w:val="16"/>
                <w:szCs w:val="16"/>
                <w:color w:val="auto"/>
              </w:rPr>
              <w:t>Current liabilities:</w:t>
            </w:r>
          </w:p>
        </w:tc>
        <w:tc>
          <w:tcPr>
            <w:tcW w:w="180" w:type="dxa"/>
            <w:vAlign w:val="bottom"/>
          </w:tcPr>
          <w:p>
            <w:pPr>
              <w:spacing w:after="0"/>
              <w:rPr>
                <w:sz w:val="17"/>
                <w:szCs w:val="17"/>
                <w:color w:val="auto"/>
              </w:rPr>
            </w:pPr>
          </w:p>
        </w:tc>
        <w:tc>
          <w:tcPr>
            <w:tcW w:w="138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4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2"/>
        </w:trPr>
        <w:tc>
          <w:tcPr>
            <w:tcW w:w="7680" w:type="dxa"/>
            <w:vAlign w:val="bottom"/>
            <w:shd w:val="clear" w:color="auto" w:fill="CFF0FC"/>
          </w:tcPr>
          <w:p>
            <w:pPr>
              <w:ind w:left="200"/>
              <w:spacing w:after="0"/>
              <w:rPr>
                <w:sz w:val="20"/>
                <w:szCs w:val="20"/>
                <w:color w:val="auto"/>
              </w:rPr>
            </w:pPr>
            <w:r>
              <w:rPr>
                <w:rFonts w:ascii="Arial" w:cs="Arial" w:eastAsia="Arial" w:hAnsi="Arial"/>
                <w:sz w:val="16"/>
                <w:szCs w:val="16"/>
                <w:color w:val="auto"/>
              </w:rPr>
              <w:t>Accounts payable</w:t>
            </w:r>
          </w:p>
        </w:tc>
        <w:tc>
          <w:tcPr>
            <w:tcW w:w="180" w:type="dxa"/>
            <w:vAlign w:val="bottom"/>
            <w:shd w:val="clear" w:color="auto" w:fill="CFF0FC"/>
          </w:tcPr>
          <w:p>
            <w:pPr>
              <w:jc w:val="right"/>
              <w:spacing w:after="0"/>
              <w:rPr>
                <w:sz w:val="20"/>
                <w:szCs w:val="20"/>
                <w:color w:val="auto"/>
              </w:rPr>
            </w:pPr>
            <w:r>
              <w:rPr>
                <w:rFonts w:ascii="Arial" w:cs="Arial" w:eastAsia="Arial" w:hAnsi="Arial"/>
                <w:sz w:val="16"/>
                <w:szCs w:val="16"/>
                <w:color w:val="auto"/>
                <w:w w:val="89"/>
              </w:rPr>
              <w:t>$</w:t>
            </w:r>
          </w:p>
        </w:tc>
        <w:tc>
          <w:tcPr>
            <w:tcW w:w="1380" w:type="dxa"/>
            <w:vAlign w:val="bottom"/>
            <w:shd w:val="clear" w:color="auto" w:fill="CFF0FC"/>
          </w:tcPr>
          <w:p>
            <w:pPr>
              <w:jc w:val="right"/>
              <w:spacing w:after="0"/>
              <w:rPr>
                <w:sz w:val="20"/>
                <w:szCs w:val="20"/>
                <w:color w:val="auto"/>
              </w:rPr>
            </w:pPr>
            <w:r>
              <w:rPr>
                <w:rFonts w:ascii="Arial" w:cs="Arial" w:eastAsia="Arial" w:hAnsi="Arial"/>
                <w:sz w:val="16"/>
                <w:szCs w:val="16"/>
                <w:color w:val="auto"/>
              </w:rPr>
              <w:t>2,493</w:t>
            </w:r>
          </w:p>
        </w:tc>
        <w:tc>
          <w:tcPr>
            <w:tcW w:w="260" w:type="dxa"/>
            <w:vAlign w:val="bottom"/>
            <w:shd w:val="clear" w:color="auto" w:fill="CFF0FC"/>
          </w:tcPr>
          <w:p>
            <w:pPr>
              <w:spacing w:after="0"/>
              <w:rPr>
                <w:sz w:val="17"/>
                <w:szCs w:val="17"/>
                <w:color w:val="auto"/>
              </w:rPr>
            </w:pPr>
          </w:p>
        </w:tc>
        <w:tc>
          <w:tcPr>
            <w:tcW w:w="200" w:type="dxa"/>
            <w:vAlign w:val="bottom"/>
            <w:shd w:val="clear" w:color="auto" w:fill="CFF0FC"/>
          </w:tcPr>
          <w:p>
            <w:pPr>
              <w:jc w:val="right"/>
              <w:ind w:right="19"/>
              <w:spacing w:after="0"/>
              <w:rPr>
                <w:sz w:val="20"/>
                <w:szCs w:val="20"/>
                <w:color w:val="auto"/>
              </w:rPr>
            </w:pPr>
            <w:r>
              <w:rPr>
                <w:rFonts w:ascii="Arial" w:cs="Arial" w:eastAsia="Arial" w:hAnsi="Arial"/>
                <w:sz w:val="16"/>
                <w:szCs w:val="16"/>
                <w:color w:val="auto"/>
                <w:w w:val="89"/>
              </w:rPr>
              <w:t>$</w:t>
            </w:r>
          </w:p>
        </w:tc>
        <w:tc>
          <w:tcPr>
            <w:tcW w:w="1440" w:type="dxa"/>
            <w:vAlign w:val="bottom"/>
            <w:shd w:val="clear" w:color="auto" w:fill="CFF0FC"/>
          </w:tcPr>
          <w:p>
            <w:pPr>
              <w:jc w:val="right"/>
              <w:spacing w:after="0"/>
              <w:rPr>
                <w:sz w:val="20"/>
                <w:szCs w:val="20"/>
                <w:color w:val="auto"/>
              </w:rPr>
            </w:pPr>
            <w:r>
              <w:rPr>
                <w:rFonts w:ascii="Arial" w:cs="Arial" w:eastAsia="Arial" w:hAnsi="Arial"/>
                <w:sz w:val="16"/>
                <w:szCs w:val="16"/>
                <w:color w:val="auto"/>
              </w:rPr>
              <w:t>3,363</w:t>
            </w:r>
          </w:p>
        </w:tc>
        <w:tc>
          <w:tcPr>
            <w:tcW w:w="100" w:type="dxa"/>
            <w:vAlign w:val="bottom"/>
            <w:shd w:val="clear" w:color="auto" w:fill="CFF0FC"/>
          </w:tcPr>
          <w:p>
            <w:pPr>
              <w:spacing w:after="0"/>
              <w:rPr>
                <w:sz w:val="17"/>
                <w:szCs w:val="17"/>
                <w:color w:val="auto"/>
              </w:rPr>
            </w:pPr>
          </w:p>
        </w:tc>
        <w:tc>
          <w:tcPr>
            <w:tcW w:w="0" w:type="dxa"/>
            <w:vAlign w:val="bottom"/>
          </w:tcPr>
          <w:p>
            <w:pPr>
              <w:spacing w:after="0"/>
              <w:rPr>
                <w:sz w:val="1"/>
                <w:szCs w:val="1"/>
                <w:color w:val="auto"/>
              </w:rPr>
            </w:pPr>
          </w:p>
        </w:tc>
      </w:tr>
      <w:tr>
        <w:trPr>
          <w:trHeight w:val="202"/>
        </w:trPr>
        <w:tc>
          <w:tcPr>
            <w:tcW w:w="7680" w:type="dxa"/>
            <w:vAlign w:val="bottom"/>
          </w:tcPr>
          <w:p>
            <w:pPr>
              <w:ind w:left="200"/>
              <w:spacing w:after="0"/>
              <w:rPr>
                <w:sz w:val="20"/>
                <w:szCs w:val="20"/>
                <w:color w:val="auto"/>
              </w:rPr>
            </w:pPr>
            <w:r>
              <w:rPr>
                <w:rFonts w:ascii="Arial" w:cs="Arial" w:eastAsia="Arial" w:hAnsi="Arial"/>
                <w:sz w:val="16"/>
                <w:szCs w:val="16"/>
                <w:color w:val="auto"/>
              </w:rPr>
              <w:t>Accrued expenses</w:t>
            </w:r>
          </w:p>
        </w:tc>
        <w:tc>
          <w:tcPr>
            <w:tcW w:w="180" w:type="dxa"/>
            <w:vAlign w:val="bottom"/>
          </w:tcPr>
          <w:p>
            <w:pPr>
              <w:spacing w:after="0"/>
              <w:rPr>
                <w:sz w:val="17"/>
                <w:szCs w:val="17"/>
                <w:color w:val="auto"/>
              </w:rPr>
            </w:pPr>
          </w:p>
        </w:tc>
        <w:tc>
          <w:tcPr>
            <w:tcW w:w="1380" w:type="dxa"/>
            <w:vAlign w:val="bottom"/>
          </w:tcPr>
          <w:p>
            <w:pPr>
              <w:jc w:val="right"/>
              <w:spacing w:after="0"/>
              <w:rPr>
                <w:sz w:val="20"/>
                <w:szCs w:val="20"/>
                <w:color w:val="auto"/>
              </w:rPr>
            </w:pPr>
            <w:r>
              <w:rPr>
                <w:rFonts w:ascii="Arial" w:cs="Arial" w:eastAsia="Arial" w:hAnsi="Arial"/>
                <w:sz w:val="16"/>
                <w:szCs w:val="16"/>
                <w:color w:val="auto"/>
              </w:rPr>
              <w:t>25,571</w:t>
            </w:r>
          </w:p>
        </w:tc>
        <w:tc>
          <w:tcPr>
            <w:tcW w:w="26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440" w:type="dxa"/>
            <w:vAlign w:val="bottom"/>
          </w:tcPr>
          <w:p>
            <w:pPr>
              <w:jc w:val="right"/>
              <w:spacing w:after="0"/>
              <w:rPr>
                <w:sz w:val="20"/>
                <w:szCs w:val="20"/>
                <w:color w:val="auto"/>
              </w:rPr>
            </w:pPr>
            <w:r>
              <w:rPr>
                <w:rFonts w:ascii="Arial" w:cs="Arial" w:eastAsia="Arial" w:hAnsi="Arial"/>
                <w:sz w:val="16"/>
                <w:szCs w:val="16"/>
                <w:color w:val="auto"/>
              </w:rPr>
              <w:t>17,936</w:t>
            </w: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2"/>
        </w:trPr>
        <w:tc>
          <w:tcPr>
            <w:tcW w:w="7680" w:type="dxa"/>
            <w:vAlign w:val="bottom"/>
            <w:tcBorders>
              <w:bottom w:val="single" w:sz="8" w:color="CFF0FC"/>
            </w:tcBorders>
            <w:shd w:val="clear" w:color="auto" w:fill="CFF0FC"/>
          </w:tcPr>
          <w:p>
            <w:pPr>
              <w:ind w:left="200"/>
              <w:spacing w:after="0"/>
              <w:rPr>
                <w:sz w:val="20"/>
                <w:szCs w:val="20"/>
                <w:color w:val="auto"/>
              </w:rPr>
            </w:pPr>
            <w:r>
              <w:rPr>
                <w:rFonts w:ascii="Arial" w:cs="Arial" w:eastAsia="Arial" w:hAnsi="Arial"/>
                <w:sz w:val="16"/>
                <w:szCs w:val="16"/>
                <w:color w:val="auto"/>
              </w:rPr>
              <w:t>Deferred revenue</w:t>
            </w:r>
          </w:p>
        </w:tc>
        <w:tc>
          <w:tcPr>
            <w:tcW w:w="180" w:type="dxa"/>
            <w:vAlign w:val="bottom"/>
            <w:tcBorders>
              <w:bottom w:val="single" w:sz="8" w:color="auto"/>
            </w:tcBorders>
            <w:shd w:val="clear" w:color="auto" w:fill="CFF0FC"/>
          </w:tcPr>
          <w:p>
            <w:pPr>
              <w:spacing w:after="0"/>
              <w:rPr>
                <w:sz w:val="17"/>
                <w:szCs w:val="17"/>
                <w:color w:val="auto"/>
              </w:rPr>
            </w:pPr>
          </w:p>
        </w:tc>
        <w:tc>
          <w:tcPr>
            <w:tcW w:w="13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6"/>
                <w:szCs w:val="16"/>
                <w:color w:val="auto"/>
              </w:rPr>
              <w:t>95,460</w:t>
            </w:r>
          </w:p>
        </w:tc>
        <w:tc>
          <w:tcPr>
            <w:tcW w:w="260" w:type="dxa"/>
            <w:vAlign w:val="bottom"/>
            <w:tcBorders>
              <w:bottom w:val="single" w:sz="8" w:color="CFF0FC"/>
            </w:tcBorders>
            <w:shd w:val="clear" w:color="auto" w:fill="CFF0FC"/>
          </w:tcPr>
          <w:p>
            <w:pPr>
              <w:spacing w:after="0"/>
              <w:rPr>
                <w:sz w:val="17"/>
                <w:szCs w:val="17"/>
                <w:color w:val="auto"/>
              </w:rPr>
            </w:pPr>
          </w:p>
        </w:tc>
        <w:tc>
          <w:tcPr>
            <w:tcW w:w="200" w:type="dxa"/>
            <w:vAlign w:val="bottom"/>
            <w:tcBorders>
              <w:bottom w:val="single" w:sz="8" w:color="auto"/>
            </w:tcBorders>
            <w:shd w:val="clear" w:color="auto" w:fill="CFF0FC"/>
          </w:tcPr>
          <w:p>
            <w:pPr>
              <w:spacing w:after="0"/>
              <w:rPr>
                <w:sz w:val="17"/>
                <w:szCs w:val="17"/>
                <w:color w:val="auto"/>
              </w:rPr>
            </w:pPr>
          </w:p>
        </w:tc>
        <w:tc>
          <w:tcPr>
            <w:tcW w:w="14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6"/>
                <w:szCs w:val="16"/>
                <w:color w:val="auto"/>
              </w:rPr>
              <w:t>69,294</w:t>
            </w:r>
          </w:p>
        </w:tc>
        <w:tc>
          <w:tcPr>
            <w:tcW w:w="100" w:type="dxa"/>
            <w:vAlign w:val="bottom"/>
            <w:tcBorders>
              <w:bottom w:val="single" w:sz="8" w:color="CFF0FC"/>
            </w:tcBorders>
            <w:shd w:val="clear" w:color="auto" w:fill="CFF0FC"/>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7680" w:type="dxa"/>
            <w:vAlign w:val="bottom"/>
          </w:tcPr>
          <w:p>
            <w:pPr>
              <w:ind w:left="380"/>
              <w:spacing w:after="0"/>
              <w:rPr>
                <w:sz w:val="20"/>
                <w:szCs w:val="20"/>
                <w:color w:val="auto"/>
              </w:rPr>
            </w:pPr>
            <w:r>
              <w:rPr>
                <w:rFonts w:ascii="Arial" w:cs="Arial" w:eastAsia="Arial" w:hAnsi="Arial"/>
                <w:sz w:val="16"/>
                <w:szCs w:val="16"/>
                <w:color w:val="auto"/>
              </w:rPr>
              <w:t>Total current liabilities</w:t>
            </w:r>
          </w:p>
        </w:tc>
        <w:tc>
          <w:tcPr>
            <w:tcW w:w="180" w:type="dxa"/>
            <w:vAlign w:val="bottom"/>
          </w:tcPr>
          <w:p>
            <w:pPr>
              <w:spacing w:after="0"/>
              <w:rPr>
                <w:sz w:val="17"/>
                <w:szCs w:val="17"/>
                <w:color w:val="auto"/>
              </w:rPr>
            </w:pPr>
          </w:p>
        </w:tc>
        <w:tc>
          <w:tcPr>
            <w:tcW w:w="1380" w:type="dxa"/>
            <w:vAlign w:val="bottom"/>
          </w:tcPr>
          <w:p>
            <w:pPr>
              <w:jc w:val="right"/>
              <w:spacing w:after="0"/>
              <w:rPr>
                <w:sz w:val="20"/>
                <w:szCs w:val="20"/>
                <w:color w:val="auto"/>
              </w:rPr>
            </w:pPr>
            <w:r>
              <w:rPr>
                <w:rFonts w:ascii="Arial" w:cs="Arial" w:eastAsia="Arial" w:hAnsi="Arial"/>
                <w:sz w:val="16"/>
                <w:szCs w:val="16"/>
                <w:color w:val="auto"/>
              </w:rPr>
              <w:t>123,524</w:t>
            </w:r>
          </w:p>
        </w:tc>
        <w:tc>
          <w:tcPr>
            <w:tcW w:w="26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440" w:type="dxa"/>
            <w:vAlign w:val="bottom"/>
          </w:tcPr>
          <w:p>
            <w:pPr>
              <w:jc w:val="right"/>
              <w:spacing w:after="0"/>
              <w:rPr>
                <w:sz w:val="20"/>
                <w:szCs w:val="20"/>
                <w:color w:val="auto"/>
              </w:rPr>
            </w:pPr>
            <w:r>
              <w:rPr>
                <w:rFonts w:ascii="Arial" w:cs="Arial" w:eastAsia="Arial" w:hAnsi="Arial"/>
                <w:sz w:val="16"/>
                <w:szCs w:val="16"/>
                <w:color w:val="auto"/>
              </w:rPr>
              <w:t>90,593</w:t>
            </w: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2"/>
        </w:trPr>
        <w:tc>
          <w:tcPr>
            <w:tcW w:w="7680" w:type="dxa"/>
            <w:vAlign w:val="bottom"/>
            <w:shd w:val="clear" w:color="auto" w:fill="CFF0FC"/>
          </w:tcPr>
          <w:p>
            <w:pPr>
              <w:ind w:left="20"/>
              <w:spacing w:after="0"/>
              <w:rPr>
                <w:sz w:val="20"/>
                <w:szCs w:val="20"/>
                <w:color w:val="auto"/>
              </w:rPr>
            </w:pPr>
            <w:r>
              <w:rPr>
                <w:rFonts w:ascii="Arial" w:cs="Arial" w:eastAsia="Arial" w:hAnsi="Arial"/>
                <w:sz w:val="16"/>
                <w:szCs w:val="16"/>
                <w:color w:val="auto"/>
              </w:rPr>
              <w:t>Operating lease liabilities, noncurrent</w:t>
            </w:r>
          </w:p>
        </w:tc>
        <w:tc>
          <w:tcPr>
            <w:tcW w:w="180" w:type="dxa"/>
            <w:vAlign w:val="bottom"/>
            <w:shd w:val="clear" w:color="auto" w:fill="CFF0FC"/>
          </w:tcPr>
          <w:p>
            <w:pPr>
              <w:spacing w:after="0"/>
              <w:rPr>
                <w:sz w:val="17"/>
                <w:szCs w:val="17"/>
                <w:color w:val="auto"/>
              </w:rPr>
            </w:pPr>
          </w:p>
        </w:tc>
        <w:tc>
          <w:tcPr>
            <w:tcW w:w="1380" w:type="dxa"/>
            <w:vAlign w:val="bottom"/>
            <w:shd w:val="clear" w:color="auto" w:fill="CFF0FC"/>
          </w:tcPr>
          <w:p>
            <w:pPr>
              <w:jc w:val="right"/>
              <w:spacing w:after="0"/>
              <w:rPr>
                <w:sz w:val="20"/>
                <w:szCs w:val="20"/>
                <w:color w:val="auto"/>
              </w:rPr>
            </w:pPr>
            <w:r>
              <w:rPr>
                <w:rFonts w:ascii="Arial" w:cs="Arial" w:eastAsia="Arial" w:hAnsi="Arial"/>
                <w:sz w:val="16"/>
                <w:szCs w:val="16"/>
                <w:color w:val="auto"/>
              </w:rPr>
              <w:t>7,741</w:t>
            </w:r>
          </w:p>
        </w:tc>
        <w:tc>
          <w:tcPr>
            <w:tcW w:w="260" w:type="dxa"/>
            <w:vAlign w:val="bottom"/>
            <w:shd w:val="clear" w:color="auto" w:fill="CFF0FC"/>
          </w:tcPr>
          <w:p>
            <w:pPr>
              <w:spacing w:after="0"/>
              <w:rPr>
                <w:sz w:val="17"/>
                <w:szCs w:val="17"/>
                <w:color w:val="auto"/>
              </w:rPr>
            </w:pPr>
          </w:p>
        </w:tc>
        <w:tc>
          <w:tcPr>
            <w:tcW w:w="200" w:type="dxa"/>
            <w:vAlign w:val="bottom"/>
            <w:shd w:val="clear" w:color="auto" w:fill="CFF0FC"/>
          </w:tcPr>
          <w:p>
            <w:pPr>
              <w:spacing w:after="0"/>
              <w:rPr>
                <w:sz w:val="17"/>
                <w:szCs w:val="17"/>
                <w:color w:val="auto"/>
              </w:rPr>
            </w:pPr>
          </w:p>
        </w:tc>
        <w:tc>
          <w:tcPr>
            <w:tcW w:w="1540" w:type="dxa"/>
            <w:vAlign w:val="bottom"/>
            <w:gridSpan w:val="2"/>
            <w:shd w:val="clear" w:color="auto" w:fill="CFF0FC"/>
          </w:tcPr>
          <w:p>
            <w:pPr>
              <w:jc w:val="right"/>
              <w:ind w:right="120"/>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02"/>
        </w:trPr>
        <w:tc>
          <w:tcPr>
            <w:tcW w:w="7680" w:type="dxa"/>
            <w:vAlign w:val="bottom"/>
          </w:tcPr>
          <w:p>
            <w:pPr>
              <w:ind w:left="20"/>
              <w:spacing w:after="0"/>
              <w:rPr>
                <w:sz w:val="20"/>
                <w:szCs w:val="20"/>
                <w:color w:val="auto"/>
              </w:rPr>
            </w:pPr>
            <w:r>
              <w:rPr>
                <w:rFonts w:ascii="Arial" w:cs="Arial" w:eastAsia="Arial" w:hAnsi="Arial"/>
                <w:sz w:val="16"/>
                <w:szCs w:val="16"/>
                <w:color w:val="auto"/>
              </w:rPr>
              <w:t>Noncurrent liabilities</w:t>
            </w:r>
          </w:p>
        </w:tc>
        <w:tc>
          <w:tcPr>
            <w:tcW w:w="180" w:type="dxa"/>
            <w:vAlign w:val="bottom"/>
            <w:tcBorders>
              <w:bottom w:val="single" w:sz="8" w:color="auto"/>
            </w:tcBorders>
          </w:tcPr>
          <w:p>
            <w:pPr>
              <w:spacing w:after="0"/>
              <w:rPr>
                <w:sz w:val="17"/>
                <w:szCs w:val="17"/>
                <w:color w:val="auto"/>
              </w:rPr>
            </w:pPr>
          </w:p>
        </w:tc>
        <w:tc>
          <w:tcPr>
            <w:tcW w:w="13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1,960</w:t>
            </w:r>
          </w:p>
        </w:tc>
        <w:tc>
          <w:tcPr>
            <w:tcW w:w="260" w:type="dxa"/>
            <w:vAlign w:val="bottom"/>
          </w:tcPr>
          <w:p>
            <w:pPr>
              <w:spacing w:after="0"/>
              <w:rPr>
                <w:sz w:val="17"/>
                <w:szCs w:val="17"/>
                <w:color w:val="auto"/>
              </w:rPr>
            </w:pPr>
          </w:p>
        </w:tc>
        <w:tc>
          <w:tcPr>
            <w:tcW w:w="200" w:type="dxa"/>
            <w:vAlign w:val="bottom"/>
            <w:tcBorders>
              <w:bottom w:val="single" w:sz="8" w:color="auto"/>
            </w:tcBorders>
          </w:tcPr>
          <w:p>
            <w:pPr>
              <w:spacing w:after="0"/>
              <w:rPr>
                <w:sz w:val="17"/>
                <w:szCs w:val="17"/>
                <w:color w:val="auto"/>
              </w:rPr>
            </w:pPr>
          </w:p>
        </w:tc>
        <w:tc>
          <w:tcPr>
            <w:tcW w:w="14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3,247</w:t>
            </w: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7680" w:type="dxa"/>
            <w:vAlign w:val="bottom"/>
            <w:tcBorders>
              <w:bottom w:val="single" w:sz="8" w:color="CFF0FC"/>
            </w:tcBorders>
            <w:shd w:val="clear" w:color="auto" w:fill="CFF0FC"/>
          </w:tcPr>
          <w:p>
            <w:pPr>
              <w:ind w:left="380"/>
              <w:spacing w:after="0"/>
              <w:rPr>
                <w:sz w:val="20"/>
                <w:szCs w:val="20"/>
                <w:color w:val="auto"/>
              </w:rPr>
            </w:pPr>
            <w:r>
              <w:rPr>
                <w:rFonts w:ascii="Arial" w:cs="Arial" w:eastAsia="Arial" w:hAnsi="Arial"/>
                <w:sz w:val="16"/>
                <w:szCs w:val="16"/>
                <w:color w:val="auto"/>
              </w:rPr>
              <w:t>Total liabilities</w:t>
            </w:r>
          </w:p>
        </w:tc>
        <w:tc>
          <w:tcPr>
            <w:tcW w:w="180" w:type="dxa"/>
            <w:vAlign w:val="bottom"/>
            <w:tcBorders>
              <w:bottom w:val="single" w:sz="8" w:color="auto"/>
            </w:tcBorders>
            <w:shd w:val="clear" w:color="auto" w:fill="CFF0FC"/>
          </w:tcPr>
          <w:p>
            <w:pPr>
              <w:spacing w:after="0"/>
              <w:rPr>
                <w:sz w:val="17"/>
                <w:szCs w:val="17"/>
                <w:color w:val="auto"/>
              </w:rPr>
            </w:pPr>
          </w:p>
        </w:tc>
        <w:tc>
          <w:tcPr>
            <w:tcW w:w="13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6"/>
                <w:szCs w:val="16"/>
                <w:color w:val="auto"/>
              </w:rPr>
              <w:t>133,225</w:t>
            </w:r>
          </w:p>
        </w:tc>
        <w:tc>
          <w:tcPr>
            <w:tcW w:w="260" w:type="dxa"/>
            <w:vAlign w:val="bottom"/>
            <w:tcBorders>
              <w:bottom w:val="single" w:sz="8" w:color="CFF0FC"/>
            </w:tcBorders>
            <w:shd w:val="clear" w:color="auto" w:fill="CFF0FC"/>
          </w:tcPr>
          <w:p>
            <w:pPr>
              <w:spacing w:after="0"/>
              <w:rPr>
                <w:sz w:val="17"/>
                <w:szCs w:val="17"/>
                <w:color w:val="auto"/>
              </w:rPr>
            </w:pPr>
          </w:p>
        </w:tc>
        <w:tc>
          <w:tcPr>
            <w:tcW w:w="200" w:type="dxa"/>
            <w:vAlign w:val="bottom"/>
            <w:tcBorders>
              <w:bottom w:val="single" w:sz="8" w:color="auto"/>
            </w:tcBorders>
            <w:shd w:val="clear" w:color="auto" w:fill="CFF0FC"/>
          </w:tcPr>
          <w:p>
            <w:pPr>
              <w:spacing w:after="0"/>
              <w:rPr>
                <w:sz w:val="17"/>
                <w:szCs w:val="17"/>
                <w:color w:val="auto"/>
              </w:rPr>
            </w:pPr>
          </w:p>
        </w:tc>
        <w:tc>
          <w:tcPr>
            <w:tcW w:w="14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6"/>
                <w:szCs w:val="16"/>
                <w:color w:val="auto"/>
              </w:rPr>
              <w:t>93,840</w:t>
            </w:r>
          </w:p>
        </w:tc>
        <w:tc>
          <w:tcPr>
            <w:tcW w:w="100" w:type="dxa"/>
            <w:vAlign w:val="bottom"/>
            <w:tcBorders>
              <w:bottom w:val="single" w:sz="8" w:color="CFF0FC"/>
            </w:tcBorders>
            <w:shd w:val="clear" w:color="auto" w:fill="CFF0FC"/>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7680" w:type="dxa"/>
            <w:vAlign w:val="bottom"/>
          </w:tcPr>
          <w:p>
            <w:pPr>
              <w:ind w:left="20"/>
              <w:spacing w:after="0"/>
              <w:rPr>
                <w:sz w:val="20"/>
                <w:szCs w:val="20"/>
                <w:color w:val="auto"/>
              </w:rPr>
            </w:pPr>
            <w:r>
              <w:rPr>
                <w:rFonts w:ascii="Arial" w:cs="Arial" w:eastAsia="Arial" w:hAnsi="Arial"/>
                <w:sz w:val="16"/>
                <w:szCs w:val="16"/>
                <w:color w:val="auto"/>
              </w:rPr>
              <w:t>Commitments and contingencies (Note 9)</w:t>
            </w:r>
          </w:p>
        </w:tc>
        <w:tc>
          <w:tcPr>
            <w:tcW w:w="180" w:type="dxa"/>
            <w:vAlign w:val="bottom"/>
          </w:tcPr>
          <w:p>
            <w:pPr>
              <w:spacing w:after="0"/>
              <w:rPr>
                <w:sz w:val="17"/>
                <w:szCs w:val="17"/>
                <w:color w:val="auto"/>
              </w:rPr>
            </w:pPr>
          </w:p>
        </w:tc>
        <w:tc>
          <w:tcPr>
            <w:tcW w:w="138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4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2"/>
        </w:trPr>
        <w:tc>
          <w:tcPr>
            <w:tcW w:w="7680" w:type="dxa"/>
            <w:vAlign w:val="bottom"/>
            <w:shd w:val="clear" w:color="auto" w:fill="CFF0FC"/>
          </w:tcPr>
          <w:p>
            <w:pPr>
              <w:ind w:left="20"/>
              <w:spacing w:after="0"/>
              <w:rPr>
                <w:sz w:val="20"/>
                <w:szCs w:val="20"/>
                <w:color w:val="auto"/>
              </w:rPr>
            </w:pPr>
            <w:r>
              <w:rPr>
                <w:rFonts w:ascii="Arial" w:cs="Arial" w:eastAsia="Arial" w:hAnsi="Arial"/>
                <w:sz w:val="16"/>
                <w:szCs w:val="16"/>
                <w:color w:val="auto"/>
              </w:rPr>
              <w:t>Stockholders’ equity:</w:t>
            </w:r>
          </w:p>
        </w:tc>
        <w:tc>
          <w:tcPr>
            <w:tcW w:w="180" w:type="dxa"/>
            <w:vAlign w:val="bottom"/>
            <w:shd w:val="clear" w:color="auto" w:fill="CFF0FC"/>
          </w:tcPr>
          <w:p>
            <w:pPr>
              <w:spacing w:after="0"/>
              <w:rPr>
                <w:sz w:val="17"/>
                <w:szCs w:val="17"/>
                <w:color w:val="auto"/>
              </w:rPr>
            </w:pPr>
          </w:p>
        </w:tc>
        <w:tc>
          <w:tcPr>
            <w:tcW w:w="1380" w:type="dxa"/>
            <w:vAlign w:val="bottom"/>
            <w:shd w:val="clear" w:color="auto" w:fill="CFF0FC"/>
          </w:tcPr>
          <w:p>
            <w:pPr>
              <w:spacing w:after="0"/>
              <w:rPr>
                <w:sz w:val="17"/>
                <w:szCs w:val="17"/>
                <w:color w:val="auto"/>
              </w:rPr>
            </w:pPr>
          </w:p>
        </w:tc>
        <w:tc>
          <w:tcPr>
            <w:tcW w:w="260" w:type="dxa"/>
            <w:vAlign w:val="bottom"/>
            <w:shd w:val="clear" w:color="auto" w:fill="CFF0FC"/>
          </w:tcPr>
          <w:p>
            <w:pPr>
              <w:spacing w:after="0"/>
              <w:rPr>
                <w:sz w:val="17"/>
                <w:szCs w:val="17"/>
                <w:color w:val="auto"/>
              </w:rPr>
            </w:pPr>
          </w:p>
        </w:tc>
        <w:tc>
          <w:tcPr>
            <w:tcW w:w="200" w:type="dxa"/>
            <w:vAlign w:val="bottom"/>
            <w:shd w:val="clear" w:color="auto" w:fill="CFF0FC"/>
          </w:tcPr>
          <w:p>
            <w:pPr>
              <w:spacing w:after="0"/>
              <w:rPr>
                <w:sz w:val="17"/>
                <w:szCs w:val="17"/>
                <w:color w:val="auto"/>
              </w:rPr>
            </w:pPr>
          </w:p>
        </w:tc>
        <w:tc>
          <w:tcPr>
            <w:tcW w:w="1440" w:type="dxa"/>
            <w:vAlign w:val="bottom"/>
            <w:shd w:val="clear" w:color="auto" w:fill="CFF0FC"/>
          </w:tcPr>
          <w:p>
            <w:pPr>
              <w:spacing w:after="0"/>
              <w:rPr>
                <w:sz w:val="17"/>
                <w:szCs w:val="17"/>
                <w:color w:val="auto"/>
              </w:rPr>
            </w:pPr>
          </w:p>
        </w:tc>
        <w:tc>
          <w:tcPr>
            <w:tcW w:w="100" w:type="dxa"/>
            <w:vAlign w:val="bottom"/>
            <w:shd w:val="clear" w:color="auto" w:fill="CFF0FC"/>
          </w:tcPr>
          <w:p>
            <w:pPr>
              <w:spacing w:after="0"/>
              <w:rPr>
                <w:sz w:val="17"/>
                <w:szCs w:val="17"/>
                <w:color w:val="auto"/>
              </w:rPr>
            </w:pPr>
          </w:p>
        </w:tc>
        <w:tc>
          <w:tcPr>
            <w:tcW w:w="0" w:type="dxa"/>
            <w:vAlign w:val="bottom"/>
          </w:tcPr>
          <w:p>
            <w:pPr>
              <w:spacing w:after="0"/>
              <w:rPr>
                <w:sz w:val="1"/>
                <w:szCs w:val="1"/>
                <w:color w:val="auto"/>
              </w:rPr>
            </w:pPr>
          </w:p>
        </w:tc>
      </w:tr>
      <w:tr>
        <w:trPr>
          <w:trHeight w:val="152"/>
        </w:trPr>
        <w:tc>
          <w:tcPr>
            <w:tcW w:w="7680" w:type="dxa"/>
            <w:vAlign w:val="bottom"/>
          </w:tcPr>
          <w:p>
            <w:pPr>
              <w:ind w:left="200"/>
              <w:spacing w:after="0" w:line="152" w:lineRule="exact"/>
              <w:rPr>
                <w:sz w:val="20"/>
                <w:szCs w:val="20"/>
                <w:color w:val="auto"/>
              </w:rPr>
            </w:pPr>
            <w:r>
              <w:rPr>
                <w:rFonts w:ascii="Arial" w:cs="Arial" w:eastAsia="Arial" w:hAnsi="Arial"/>
                <w:sz w:val="16"/>
                <w:szCs w:val="16"/>
                <w:color w:val="auto"/>
              </w:rPr>
              <w:t>Preferred stock, $0.00001 par value per share; 20,000 shares authorized</w:t>
            </w:r>
          </w:p>
        </w:tc>
        <w:tc>
          <w:tcPr>
            <w:tcW w:w="180" w:type="dxa"/>
            <w:vAlign w:val="bottom"/>
          </w:tcPr>
          <w:p>
            <w:pPr>
              <w:spacing w:after="0"/>
              <w:rPr>
                <w:sz w:val="13"/>
                <w:szCs w:val="13"/>
                <w:color w:val="auto"/>
              </w:rPr>
            </w:pPr>
          </w:p>
        </w:tc>
        <w:tc>
          <w:tcPr>
            <w:tcW w:w="138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14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75"/>
        </w:trPr>
        <w:tc>
          <w:tcPr>
            <w:tcW w:w="7680" w:type="dxa"/>
            <w:vAlign w:val="bottom"/>
          </w:tcPr>
          <w:p>
            <w:pPr>
              <w:ind w:left="320"/>
              <w:spacing w:after="0" w:line="175" w:lineRule="exact"/>
              <w:rPr>
                <w:sz w:val="20"/>
                <w:szCs w:val="20"/>
                <w:color w:val="auto"/>
              </w:rPr>
            </w:pPr>
            <w:r>
              <w:rPr>
                <w:rFonts w:ascii="Arial" w:cs="Arial" w:eastAsia="Arial" w:hAnsi="Arial"/>
                <w:sz w:val="16"/>
                <w:szCs w:val="16"/>
                <w:color w:val="auto"/>
              </w:rPr>
              <w:t>as of September 30, 2022 and December 31, 2021; zero shares issued and</w:t>
            </w:r>
          </w:p>
        </w:tc>
        <w:tc>
          <w:tcPr>
            <w:tcW w:w="180" w:type="dxa"/>
            <w:vAlign w:val="bottom"/>
          </w:tcPr>
          <w:p>
            <w:pPr>
              <w:spacing w:after="0"/>
              <w:rPr>
                <w:sz w:val="15"/>
                <w:szCs w:val="15"/>
                <w:color w:val="auto"/>
              </w:rPr>
            </w:pPr>
          </w:p>
        </w:tc>
        <w:tc>
          <w:tcPr>
            <w:tcW w:w="138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4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09"/>
        </w:trPr>
        <w:tc>
          <w:tcPr>
            <w:tcW w:w="7680" w:type="dxa"/>
            <w:vAlign w:val="bottom"/>
          </w:tcPr>
          <w:p>
            <w:pPr>
              <w:ind w:left="320"/>
              <w:spacing w:after="0"/>
              <w:rPr>
                <w:sz w:val="20"/>
                <w:szCs w:val="20"/>
                <w:color w:val="auto"/>
              </w:rPr>
            </w:pPr>
            <w:r>
              <w:rPr>
                <w:rFonts w:ascii="Arial" w:cs="Arial" w:eastAsia="Arial" w:hAnsi="Arial"/>
                <w:sz w:val="16"/>
                <w:szCs w:val="16"/>
                <w:color w:val="auto"/>
              </w:rPr>
              <w:t>outstanding as of September 30, 2022 and December 31, 2021</w:t>
            </w:r>
          </w:p>
        </w:tc>
        <w:tc>
          <w:tcPr>
            <w:tcW w:w="180" w:type="dxa"/>
            <w:vAlign w:val="bottom"/>
          </w:tcPr>
          <w:p>
            <w:pPr>
              <w:spacing w:after="0"/>
              <w:rPr>
                <w:sz w:val="18"/>
                <w:szCs w:val="18"/>
                <w:color w:val="auto"/>
              </w:rPr>
            </w:pPr>
          </w:p>
        </w:tc>
        <w:tc>
          <w:tcPr>
            <w:tcW w:w="1640" w:type="dxa"/>
            <w:vAlign w:val="bottom"/>
            <w:gridSpan w:val="2"/>
          </w:tcPr>
          <w:p>
            <w:pPr>
              <w:jc w:val="right"/>
              <w:ind w:right="260"/>
              <w:spacing w:after="0"/>
              <w:rPr>
                <w:sz w:val="20"/>
                <w:szCs w:val="20"/>
                <w:color w:val="auto"/>
              </w:rPr>
            </w:pPr>
            <w:r>
              <w:rPr>
                <w:rFonts w:ascii="Arial" w:cs="Arial" w:eastAsia="Arial" w:hAnsi="Arial"/>
                <w:sz w:val="16"/>
                <w:szCs w:val="16"/>
                <w:color w:val="auto"/>
              </w:rPr>
              <w:t>—</w:t>
            </w:r>
          </w:p>
        </w:tc>
        <w:tc>
          <w:tcPr>
            <w:tcW w:w="200" w:type="dxa"/>
            <w:vAlign w:val="bottom"/>
          </w:tcPr>
          <w:p>
            <w:pPr>
              <w:spacing w:after="0"/>
              <w:rPr>
                <w:sz w:val="18"/>
                <w:szCs w:val="18"/>
                <w:color w:val="auto"/>
              </w:rPr>
            </w:pPr>
          </w:p>
        </w:tc>
        <w:tc>
          <w:tcPr>
            <w:tcW w:w="1540" w:type="dxa"/>
            <w:vAlign w:val="bottom"/>
            <w:gridSpan w:val="2"/>
          </w:tcPr>
          <w:p>
            <w:pPr>
              <w:jc w:val="right"/>
              <w:ind w:right="120"/>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155"/>
        </w:trPr>
        <w:tc>
          <w:tcPr>
            <w:tcW w:w="7680" w:type="dxa"/>
            <w:vAlign w:val="bottom"/>
            <w:shd w:val="clear" w:color="auto" w:fill="CFF0FC"/>
          </w:tcPr>
          <w:p>
            <w:pPr>
              <w:ind w:left="200"/>
              <w:spacing w:after="0" w:line="155" w:lineRule="exact"/>
              <w:rPr>
                <w:sz w:val="20"/>
                <w:szCs w:val="20"/>
                <w:color w:val="auto"/>
              </w:rPr>
            </w:pPr>
            <w:r>
              <w:rPr>
                <w:rFonts w:ascii="Arial" w:cs="Arial" w:eastAsia="Arial" w:hAnsi="Arial"/>
                <w:sz w:val="16"/>
                <w:szCs w:val="16"/>
                <w:color w:val="auto"/>
              </w:rPr>
              <w:t>Class A common stock, $0.00001 par value per share; 600,000 shares</w:t>
            </w:r>
          </w:p>
        </w:tc>
        <w:tc>
          <w:tcPr>
            <w:tcW w:w="180" w:type="dxa"/>
            <w:vAlign w:val="bottom"/>
            <w:shd w:val="clear" w:color="auto" w:fill="CFF0FC"/>
          </w:tcPr>
          <w:p>
            <w:pPr>
              <w:spacing w:after="0"/>
              <w:rPr>
                <w:sz w:val="13"/>
                <w:szCs w:val="13"/>
                <w:color w:val="auto"/>
              </w:rPr>
            </w:pPr>
          </w:p>
        </w:tc>
        <w:tc>
          <w:tcPr>
            <w:tcW w:w="1380" w:type="dxa"/>
            <w:vAlign w:val="bottom"/>
            <w:shd w:val="clear" w:color="auto" w:fill="CFF0FC"/>
          </w:tcPr>
          <w:p>
            <w:pPr>
              <w:spacing w:after="0"/>
              <w:rPr>
                <w:sz w:val="13"/>
                <w:szCs w:val="13"/>
                <w:color w:val="auto"/>
              </w:rPr>
            </w:pPr>
          </w:p>
        </w:tc>
        <w:tc>
          <w:tcPr>
            <w:tcW w:w="260" w:type="dxa"/>
            <w:vAlign w:val="bottom"/>
            <w:shd w:val="clear" w:color="auto" w:fill="CFF0FC"/>
          </w:tcPr>
          <w:p>
            <w:pPr>
              <w:spacing w:after="0"/>
              <w:rPr>
                <w:sz w:val="13"/>
                <w:szCs w:val="13"/>
                <w:color w:val="auto"/>
              </w:rPr>
            </w:pPr>
          </w:p>
        </w:tc>
        <w:tc>
          <w:tcPr>
            <w:tcW w:w="200" w:type="dxa"/>
            <w:vAlign w:val="bottom"/>
            <w:shd w:val="clear" w:color="auto" w:fill="CFF0FC"/>
          </w:tcPr>
          <w:p>
            <w:pPr>
              <w:spacing w:after="0"/>
              <w:rPr>
                <w:sz w:val="13"/>
                <w:szCs w:val="13"/>
                <w:color w:val="auto"/>
              </w:rPr>
            </w:pPr>
          </w:p>
        </w:tc>
        <w:tc>
          <w:tcPr>
            <w:tcW w:w="1440" w:type="dxa"/>
            <w:vAlign w:val="bottom"/>
            <w:shd w:val="clear" w:color="auto" w:fill="CFF0FC"/>
          </w:tcPr>
          <w:p>
            <w:pPr>
              <w:spacing w:after="0"/>
              <w:rPr>
                <w:sz w:val="13"/>
                <w:szCs w:val="13"/>
                <w:color w:val="auto"/>
              </w:rPr>
            </w:pPr>
          </w:p>
        </w:tc>
        <w:tc>
          <w:tcPr>
            <w:tcW w:w="100" w:type="dxa"/>
            <w:vAlign w:val="bottom"/>
            <w:shd w:val="clear" w:color="auto" w:fill="CFF0FC"/>
          </w:tcPr>
          <w:p>
            <w:pPr>
              <w:spacing w:after="0"/>
              <w:rPr>
                <w:sz w:val="13"/>
                <w:szCs w:val="13"/>
                <w:color w:val="auto"/>
              </w:rPr>
            </w:pPr>
          </w:p>
        </w:tc>
        <w:tc>
          <w:tcPr>
            <w:tcW w:w="0" w:type="dxa"/>
            <w:vAlign w:val="bottom"/>
          </w:tcPr>
          <w:p>
            <w:pPr>
              <w:spacing w:after="0"/>
              <w:rPr>
                <w:sz w:val="1"/>
                <w:szCs w:val="1"/>
                <w:color w:val="auto"/>
              </w:rPr>
            </w:pPr>
          </w:p>
        </w:tc>
      </w:tr>
      <w:tr>
        <w:trPr>
          <w:trHeight w:val="175"/>
        </w:trPr>
        <w:tc>
          <w:tcPr>
            <w:tcW w:w="7680" w:type="dxa"/>
            <w:vAlign w:val="bottom"/>
            <w:shd w:val="clear" w:color="auto" w:fill="CFF0FC"/>
          </w:tcPr>
          <w:p>
            <w:pPr>
              <w:ind w:left="320"/>
              <w:spacing w:after="0" w:line="175" w:lineRule="exact"/>
              <w:rPr>
                <w:sz w:val="20"/>
                <w:szCs w:val="20"/>
                <w:color w:val="auto"/>
              </w:rPr>
            </w:pPr>
            <w:r>
              <w:rPr>
                <w:rFonts w:ascii="Arial" w:cs="Arial" w:eastAsia="Arial" w:hAnsi="Arial"/>
                <w:sz w:val="16"/>
                <w:szCs w:val="16"/>
                <w:color w:val="auto"/>
              </w:rPr>
              <w:t>authorized as of September 30, 2022 and December 31, 2021; 68,497 and 58,725</w:t>
            </w:r>
          </w:p>
        </w:tc>
        <w:tc>
          <w:tcPr>
            <w:tcW w:w="180" w:type="dxa"/>
            <w:vAlign w:val="bottom"/>
            <w:shd w:val="clear" w:color="auto" w:fill="CFF0FC"/>
          </w:tcPr>
          <w:p>
            <w:pPr>
              <w:spacing w:after="0"/>
              <w:rPr>
                <w:sz w:val="15"/>
                <w:szCs w:val="15"/>
                <w:color w:val="auto"/>
              </w:rPr>
            </w:pPr>
          </w:p>
        </w:tc>
        <w:tc>
          <w:tcPr>
            <w:tcW w:w="1380" w:type="dxa"/>
            <w:vAlign w:val="bottom"/>
            <w:shd w:val="clear" w:color="auto" w:fill="CFF0FC"/>
          </w:tcPr>
          <w:p>
            <w:pPr>
              <w:spacing w:after="0"/>
              <w:rPr>
                <w:sz w:val="15"/>
                <w:szCs w:val="15"/>
                <w:color w:val="auto"/>
              </w:rPr>
            </w:pPr>
          </w:p>
        </w:tc>
        <w:tc>
          <w:tcPr>
            <w:tcW w:w="260" w:type="dxa"/>
            <w:vAlign w:val="bottom"/>
            <w:shd w:val="clear" w:color="auto" w:fill="CFF0FC"/>
          </w:tcPr>
          <w:p>
            <w:pPr>
              <w:spacing w:after="0"/>
              <w:rPr>
                <w:sz w:val="15"/>
                <w:szCs w:val="15"/>
                <w:color w:val="auto"/>
              </w:rPr>
            </w:pPr>
          </w:p>
        </w:tc>
        <w:tc>
          <w:tcPr>
            <w:tcW w:w="200" w:type="dxa"/>
            <w:vAlign w:val="bottom"/>
            <w:shd w:val="clear" w:color="auto" w:fill="CFF0FC"/>
          </w:tcPr>
          <w:p>
            <w:pPr>
              <w:spacing w:after="0"/>
              <w:rPr>
                <w:sz w:val="15"/>
                <w:szCs w:val="15"/>
                <w:color w:val="auto"/>
              </w:rPr>
            </w:pPr>
          </w:p>
        </w:tc>
        <w:tc>
          <w:tcPr>
            <w:tcW w:w="1440" w:type="dxa"/>
            <w:vAlign w:val="bottom"/>
            <w:shd w:val="clear" w:color="auto" w:fill="CFF0FC"/>
          </w:tcPr>
          <w:p>
            <w:pPr>
              <w:spacing w:after="0"/>
              <w:rPr>
                <w:sz w:val="15"/>
                <w:szCs w:val="15"/>
                <w:color w:val="auto"/>
              </w:rPr>
            </w:pPr>
          </w:p>
        </w:tc>
        <w:tc>
          <w:tcPr>
            <w:tcW w:w="100" w:type="dxa"/>
            <w:vAlign w:val="bottom"/>
            <w:shd w:val="clear" w:color="auto" w:fill="CFF0FC"/>
          </w:tcPr>
          <w:p>
            <w:pPr>
              <w:spacing w:after="0"/>
              <w:rPr>
                <w:sz w:val="15"/>
                <w:szCs w:val="15"/>
                <w:color w:val="auto"/>
              </w:rPr>
            </w:pPr>
          </w:p>
        </w:tc>
        <w:tc>
          <w:tcPr>
            <w:tcW w:w="0" w:type="dxa"/>
            <w:vAlign w:val="bottom"/>
          </w:tcPr>
          <w:p>
            <w:pPr>
              <w:spacing w:after="0"/>
              <w:rPr>
                <w:sz w:val="1"/>
                <w:szCs w:val="1"/>
                <w:color w:val="auto"/>
              </w:rPr>
            </w:pPr>
          </w:p>
        </w:tc>
      </w:tr>
      <w:tr>
        <w:trPr>
          <w:trHeight w:val="212"/>
        </w:trPr>
        <w:tc>
          <w:tcPr>
            <w:tcW w:w="7680" w:type="dxa"/>
            <w:vAlign w:val="bottom"/>
            <w:shd w:val="clear" w:color="auto" w:fill="CFF0FC"/>
          </w:tcPr>
          <w:p>
            <w:pPr>
              <w:ind w:left="320"/>
              <w:spacing w:after="0"/>
              <w:rPr>
                <w:sz w:val="20"/>
                <w:szCs w:val="20"/>
                <w:color w:val="auto"/>
              </w:rPr>
            </w:pPr>
            <w:r>
              <w:rPr>
                <w:rFonts w:ascii="Arial" w:cs="Arial" w:eastAsia="Arial" w:hAnsi="Arial"/>
                <w:sz w:val="16"/>
                <w:szCs w:val="16"/>
                <w:color w:val="auto"/>
              </w:rPr>
              <w:t>shares issued and outstanding as of September 30, 2022 and December 31, 2021, respectively</w:t>
            </w:r>
          </w:p>
        </w:tc>
        <w:tc>
          <w:tcPr>
            <w:tcW w:w="180" w:type="dxa"/>
            <w:vAlign w:val="bottom"/>
            <w:shd w:val="clear" w:color="auto" w:fill="CFF0FC"/>
          </w:tcPr>
          <w:p>
            <w:pPr>
              <w:spacing w:after="0"/>
              <w:rPr>
                <w:sz w:val="18"/>
                <w:szCs w:val="18"/>
                <w:color w:val="auto"/>
              </w:rPr>
            </w:pPr>
          </w:p>
        </w:tc>
        <w:tc>
          <w:tcPr>
            <w:tcW w:w="1380" w:type="dxa"/>
            <w:vAlign w:val="bottom"/>
            <w:shd w:val="clear" w:color="auto" w:fill="CFF0FC"/>
          </w:tcPr>
          <w:p>
            <w:pPr>
              <w:jc w:val="right"/>
              <w:spacing w:after="0"/>
              <w:rPr>
                <w:sz w:val="20"/>
                <w:szCs w:val="20"/>
                <w:color w:val="auto"/>
              </w:rPr>
            </w:pPr>
            <w:r>
              <w:rPr>
                <w:rFonts w:ascii="Arial" w:cs="Arial" w:eastAsia="Arial" w:hAnsi="Arial"/>
                <w:sz w:val="16"/>
                <w:szCs w:val="16"/>
                <w:color w:val="auto"/>
              </w:rPr>
              <w:t>1</w:t>
            </w:r>
          </w:p>
        </w:tc>
        <w:tc>
          <w:tcPr>
            <w:tcW w:w="26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1440" w:type="dxa"/>
            <w:vAlign w:val="bottom"/>
            <w:shd w:val="clear" w:color="auto" w:fill="CFF0FC"/>
          </w:tcPr>
          <w:p>
            <w:pPr>
              <w:jc w:val="right"/>
              <w:spacing w:after="0"/>
              <w:rPr>
                <w:sz w:val="20"/>
                <w:szCs w:val="20"/>
                <w:color w:val="auto"/>
              </w:rPr>
            </w:pPr>
            <w:r>
              <w:rPr>
                <w:rFonts w:ascii="Arial" w:cs="Arial" w:eastAsia="Arial" w:hAnsi="Arial"/>
                <w:sz w:val="16"/>
                <w:szCs w:val="16"/>
                <w:color w:val="auto"/>
              </w:rPr>
              <w:t>1</w:t>
            </w:r>
          </w:p>
        </w:tc>
        <w:tc>
          <w:tcPr>
            <w:tcW w:w="10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152"/>
        </w:trPr>
        <w:tc>
          <w:tcPr>
            <w:tcW w:w="7680" w:type="dxa"/>
            <w:vAlign w:val="bottom"/>
          </w:tcPr>
          <w:p>
            <w:pPr>
              <w:ind w:left="200"/>
              <w:spacing w:after="0" w:line="152" w:lineRule="exact"/>
              <w:rPr>
                <w:sz w:val="20"/>
                <w:szCs w:val="20"/>
                <w:color w:val="auto"/>
              </w:rPr>
            </w:pPr>
            <w:r>
              <w:rPr>
                <w:rFonts w:ascii="Arial" w:cs="Arial" w:eastAsia="Arial" w:hAnsi="Arial"/>
                <w:sz w:val="16"/>
                <w:szCs w:val="16"/>
                <w:color w:val="auto"/>
              </w:rPr>
              <w:t>Class B common stock, $0.00001 par value per share; 600,000</w:t>
            </w:r>
          </w:p>
        </w:tc>
        <w:tc>
          <w:tcPr>
            <w:tcW w:w="180" w:type="dxa"/>
            <w:vAlign w:val="bottom"/>
          </w:tcPr>
          <w:p>
            <w:pPr>
              <w:spacing w:after="0"/>
              <w:rPr>
                <w:sz w:val="13"/>
                <w:szCs w:val="13"/>
                <w:color w:val="auto"/>
              </w:rPr>
            </w:pPr>
          </w:p>
        </w:tc>
        <w:tc>
          <w:tcPr>
            <w:tcW w:w="138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14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75"/>
        </w:trPr>
        <w:tc>
          <w:tcPr>
            <w:tcW w:w="7680" w:type="dxa"/>
            <w:vAlign w:val="bottom"/>
          </w:tcPr>
          <w:p>
            <w:pPr>
              <w:ind w:left="320"/>
              <w:spacing w:after="0" w:line="175" w:lineRule="exact"/>
              <w:rPr>
                <w:sz w:val="20"/>
                <w:szCs w:val="20"/>
                <w:color w:val="auto"/>
              </w:rPr>
            </w:pPr>
            <w:r>
              <w:rPr>
                <w:rFonts w:ascii="Arial" w:cs="Arial" w:eastAsia="Arial" w:hAnsi="Arial"/>
                <w:sz w:val="16"/>
                <w:szCs w:val="16"/>
                <w:color w:val="auto"/>
              </w:rPr>
              <w:t>shares authorized as of September 30, 2022 and December 31, 2021; 44,608</w:t>
            </w:r>
          </w:p>
        </w:tc>
        <w:tc>
          <w:tcPr>
            <w:tcW w:w="180" w:type="dxa"/>
            <w:vAlign w:val="bottom"/>
          </w:tcPr>
          <w:p>
            <w:pPr>
              <w:spacing w:after="0"/>
              <w:rPr>
                <w:sz w:val="15"/>
                <w:szCs w:val="15"/>
                <w:color w:val="auto"/>
              </w:rPr>
            </w:pPr>
          </w:p>
        </w:tc>
        <w:tc>
          <w:tcPr>
            <w:tcW w:w="138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4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62"/>
        </w:trPr>
        <w:tc>
          <w:tcPr>
            <w:tcW w:w="7680" w:type="dxa"/>
            <w:vAlign w:val="bottom"/>
          </w:tcPr>
          <w:p>
            <w:pPr>
              <w:ind w:left="320"/>
              <w:spacing w:after="0" w:line="162" w:lineRule="exact"/>
              <w:rPr>
                <w:sz w:val="20"/>
                <w:szCs w:val="20"/>
                <w:color w:val="auto"/>
              </w:rPr>
            </w:pPr>
            <w:r>
              <w:rPr>
                <w:rFonts w:ascii="Arial" w:cs="Arial" w:eastAsia="Arial" w:hAnsi="Arial"/>
                <w:sz w:val="16"/>
                <w:szCs w:val="16"/>
                <w:color w:val="auto"/>
              </w:rPr>
              <w:t>and 51,151 shares issued and outstanding as of September 30, 2022 and</w:t>
            </w:r>
          </w:p>
        </w:tc>
        <w:tc>
          <w:tcPr>
            <w:tcW w:w="180" w:type="dxa"/>
            <w:vAlign w:val="bottom"/>
          </w:tcPr>
          <w:p>
            <w:pPr>
              <w:spacing w:after="0"/>
              <w:rPr>
                <w:sz w:val="14"/>
                <w:szCs w:val="14"/>
                <w:color w:val="auto"/>
              </w:rPr>
            </w:pPr>
          </w:p>
        </w:tc>
        <w:tc>
          <w:tcPr>
            <w:tcW w:w="1640" w:type="dxa"/>
            <w:vAlign w:val="bottom"/>
            <w:gridSpan w:val="2"/>
            <w:vMerge w:val="restart"/>
          </w:tcPr>
          <w:p>
            <w:pPr>
              <w:jc w:val="right"/>
              <w:ind w:right="260"/>
              <w:spacing w:after="0"/>
              <w:rPr>
                <w:sz w:val="20"/>
                <w:szCs w:val="20"/>
                <w:color w:val="auto"/>
              </w:rPr>
            </w:pPr>
            <w:r>
              <w:rPr>
                <w:rFonts w:ascii="Arial" w:cs="Arial" w:eastAsia="Arial" w:hAnsi="Arial"/>
                <w:sz w:val="16"/>
                <w:szCs w:val="16"/>
                <w:color w:val="auto"/>
              </w:rPr>
              <w:t>—</w:t>
            </w:r>
          </w:p>
        </w:tc>
        <w:tc>
          <w:tcPr>
            <w:tcW w:w="200" w:type="dxa"/>
            <w:vAlign w:val="bottom"/>
          </w:tcPr>
          <w:p>
            <w:pPr>
              <w:spacing w:after="0"/>
              <w:rPr>
                <w:sz w:val="14"/>
                <w:szCs w:val="14"/>
                <w:color w:val="auto"/>
              </w:rPr>
            </w:pPr>
          </w:p>
        </w:tc>
        <w:tc>
          <w:tcPr>
            <w:tcW w:w="1540" w:type="dxa"/>
            <w:vAlign w:val="bottom"/>
            <w:gridSpan w:val="2"/>
            <w:vMerge w:val="restart"/>
          </w:tcPr>
          <w:p>
            <w:pPr>
              <w:jc w:val="right"/>
              <w:ind w:right="120"/>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09"/>
        </w:trPr>
        <w:tc>
          <w:tcPr>
            <w:tcW w:w="7680" w:type="dxa"/>
            <w:vAlign w:val="bottom"/>
          </w:tcPr>
          <w:p>
            <w:pPr>
              <w:ind w:left="320"/>
              <w:spacing w:after="0"/>
              <w:rPr>
                <w:sz w:val="20"/>
                <w:szCs w:val="20"/>
                <w:color w:val="auto"/>
              </w:rPr>
            </w:pPr>
            <w:r>
              <w:rPr>
                <w:rFonts w:ascii="Arial" w:cs="Arial" w:eastAsia="Arial" w:hAnsi="Arial"/>
                <w:sz w:val="16"/>
                <w:szCs w:val="16"/>
                <w:color w:val="auto"/>
              </w:rPr>
              <w:t>December 31, 2021, respectively</w:t>
            </w:r>
          </w:p>
        </w:tc>
        <w:tc>
          <w:tcPr>
            <w:tcW w:w="180" w:type="dxa"/>
            <w:vAlign w:val="bottom"/>
          </w:tcPr>
          <w:p>
            <w:pPr>
              <w:spacing w:after="0"/>
              <w:rPr>
                <w:sz w:val="18"/>
                <w:szCs w:val="18"/>
                <w:color w:val="auto"/>
              </w:rPr>
            </w:pPr>
          </w:p>
        </w:tc>
        <w:tc>
          <w:tcPr>
            <w:tcW w:w="1640" w:type="dxa"/>
            <w:vAlign w:val="bottom"/>
            <w:gridSpan w:val="2"/>
            <w:vMerge w:val="continue"/>
          </w:tcPr>
          <w:p>
            <w:pPr>
              <w:spacing w:after="0"/>
              <w:rPr>
                <w:sz w:val="18"/>
                <w:szCs w:val="18"/>
                <w:color w:val="auto"/>
              </w:rPr>
            </w:pPr>
          </w:p>
        </w:tc>
        <w:tc>
          <w:tcPr>
            <w:tcW w:w="200" w:type="dxa"/>
            <w:vAlign w:val="bottom"/>
          </w:tcPr>
          <w:p>
            <w:pPr>
              <w:spacing w:after="0"/>
              <w:rPr>
                <w:sz w:val="18"/>
                <w:szCs w:val="18"/>
                <w:color w:val="auto"/>
              </w:rPr>
            </w:pPr>
          </w:p>
        </w:tc>
        <w:tc>
          <w:tcPr>
            <w:tcW w:w="1540" w:type="dxa"/>
            <w:vAlign w:val="bottom"/>
            <w:gridSpan w:val="2"/>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05"/>
        </w:trPr>
        <w:tc>
          <w:tcPr>
            <w:tcW w:w="7680" w:type="dxa"/>
            <w:vAlign w:val="bottom"/>
            <w:shd w:val="clear" w:color="auto" w:fill="CFF0FC"/>
          </w:tcPr>
          <w:p>
            <w:pPr>
              <w:ind w:left="20"/>
              <w:spacing w:after="0"/>
              <w:rPr>
                <w:sz w:val="20"/>
                <w:szCs w:val="20"/>
                <w:color w:val="auto"/>
              </w:rPr>
            </w:pPr>
            <w:r>
              <w:rPr>
                <w:rFonts w:ascii="Arial" w:cs="Arial" w:eastAsia="Arial" w:hAnsi="Arial"/>
                <w:sz w:val="16"/>
                <w:szCs w:val="16"/>
                <w:color w:val="auto"/>
              </w:rPr>
              <w:t>Additional paid-in capital</w:t>
            </w:r>
          </w:p>
        </w:tc>
        <w:tc>
          <w:tcPr>
            <w:tcW w:w="180" w:type="dxa"/>
            <w:vAlign w:val="bottom"/>
            <w:shd w:val="clear" w:color="auto" w:fill="CFF0FC"/>
          </w:tcPr>
          <w:p>
            <w:pPr>
              <w:spacing w:after="0"/>
              <w:rPr>
                <w:sz w:val="17"/>
                <w:szCs w:val="17"/>
                <w:color w:val="auto"/>
              </w:rPr>
            </w:pPr>
          </w:p>
        </w:tc>
        <w:tc>
          <w:tcPr>
            <w:tcW w:w="1380" w:type="dxa"/>
            <w:vAlign w:val="bottom"/>
            <w:shd w:val="clear" w:color="auto" w:fill="CFF0FC"/>
          </w:tcPr>
          <w:p>
            <w:pPr>
              <w:jc w:val="right"/>
              <w:spacing w:after="0"/>
              <w:rPr>
                <w:sz w:val="20"/>
                <w:szCs w:val="20"/>
                <w:color w:val="auto"/>
              </w:rPr>
            </w:pPr>
            <w:r>
              <w:rPr>
                <w:rFonts w:ascii="Arial" w:cs="Arial" w:eastAsia="Arial" w:hAnsi="Arial"/>
                <w:sz w:val="16"/>
                <w:szCs w:val="16"/>
                <w:color w:val="auto"/>
              </w:rPr>
              <w:t>544,738</w:t>
            </w:r>
          </w:p>
        </w:tc>
        <w:tc>
          <w:tcPr>
            <w:tcW w:w="260" w:type="dxa"/>
            <w:vAlign w:val="bottom"/>
            <w:shd w:val="clear" w:color="auto" w:fill="CFF0FC"/>
          </w:tcPr>
          <w:p>
            <w:pPr>
              <w:spacing w:after="0"/>
              <w:rPr>
                <w:sz w:val="17"/>
                <w:szCs w:val="17"/>
                <w:color w:val="auto"/>
              </w:rPr>
            </w:pPr>
          </w:p>
        </w:tc>
        <w:tc>
          <w:tcPr>
            <w:tcW w:w="200" w:type="dxa"/>
            <w:vAlign w:val="bottom"/>
            <w:shd w:val="clear" w:color="auto" w:fill="CFF0FC"/>
          </w:tcPr>
          <w:p>
            <w:pPr>
              <w:spacing w:after="0"/>
              <w:rPr>
                <w:sz w:val="17"/>
                <w:szCs w:val="17"/>
                <w:color w:val="auto"/>
              </w:rPr>
            </w:pPr>
          </w:p>
        </w:tc>
        <w:tc>
          <w:tcPr>
            <w:tcW w:w="1440" w:type="dxa"/>
            <w:vAlign w:val="bottom"/>
            <w:shd w:val="clear" w:color="auto" w:fill="CFF0FC"/>
          </w:tcPr>
          <w:p>
            <w:pPr>
              <w:jc w:val="right"/>
              <w:spacing w:after="0"/>
              <w:rPr>
                <w:sz w:val="20"/>
                <w:szCs w:val="20"/>
                <w:color w:val="auto"/>
              </w:rPr>
            </w:pPr>
            <w:r>
              <w:rPr>
                <w:rFonts w:ascii="Arial" w:cs="Arial" w:eastAsia="Arial" w:hAnsi="Arial"/>
                <w:sz w:val="16"/>
                <w:szCs w:val="16"/>
                <w:color w:val="auto"/>
              </w:rPr>
              <w:t>486,354</w:t>
            </w:r>
          </w:p>
        </w:tc>
        <w:tc>
          <w:tcPr>
            <w:tcW w:w="100" w:type="dxa"/>
            <w:vAlign w:val="bottom"/>
            <w:shd w:val="clear" w:color="auto" w:fill="CFF0FC"/>
          </w:tcPr>
          <w:p>
            <w:pPr>
              <w:spacing w:after="0"/>
              <w:rPr>
                <w:sz w:val="17"/>
                <w:szCs w:val="17"/>
                <w:color w:val="auto"/>
              </w:rPr>
            </w:pPr>
          </w:p>
        </w:tc>
        <w:tc>
          <w:tcPr>
            <w:tcW w:w="0" w:type="dxa"/>
            <w:vAlign w:val="bottom"/>
          </w:tcPr>
          <w:p>
            <w:pPr>
              <w:spacing w:after="0"/>
              <w:rPr>
                <w:sz w:val="1"/>
                <w:szCs w:val="1"/>
                <w:color w:val="auto"/>
              </w:rPr>
            </w:pPr>
          </w:p>
        </w:tc>
      </w:tr>
      <w:tr>
        <w:trPr>
          <w:trHeight w:val="202"/>
        </w:trPr>
        <w:tc>
          <w:tcPr>
            <w:tcW w:w="7680" w:type="dxa"/>
            <w:vAlign w:val="bottom"/>
          </w:tcPr>
          <w:p>
            <w:pPr>
              <w:ind w:left="20"/>
              <w:spacing w:after="0"/>
              <w:rPr>
                <w:sz w:val="20"/>
                <w:szCs w:val="20"/>
                <w:color w:val="auto"/>
              </w:rPr>
            </w:pPr>
            <w:r>
              <w:rPr>
                <w:rFonts w:ascii="Arial" w:cs="Arial" w:eastAsia="Arial" w:hAnsi="Arial"/>
                <w:sz w:val="16"/>
                <w:szCs w:val="16"/>
                <w:color w:val="auto"/>
              </w:rPr>
              <w:t>Accumulated other comprehensive loss</w:t>
            </w:r>
          </w:p>
        </w:tc>
        <w:tc>
          <w:tcPr>
            <w:tcW w:w="180" w:type="dxa"/>
            <w:vAlign w:val="bottom"/>
          </w:tcPr>
          <w:p>
            <w:pPr>
              <w:spacing w:after="0"/>
              <w:rPr>
                <w:sz w:val="17"/>
                <w:szCs w:val="17"/>
                <w:color w:val="auto"/>
              </w:rPr>
            </w:pPr>
          </w:p>
        </w:tc>
        <w:tc>
          <w:tcPr>
            <w:tcW w:w="1640" w:type="dxa"/>
            <w:vAlign w:val="bottom"/>
            <w:gridSpan w:val="2"/>
          </w:tcPr>
          <w:p>
            <w:pPr>
              <w:jc w:val="right"/>
              <w:ind w:right="180"/>
              <w:spacing w:after="0"/>
              <w:rPr>
                <w:sz w:val="20"/>
                <w:szCs w:val="20"/>
                <w:color w:val="auto"/>
              </w:rPr>
            </w:pPr>
            <w:r>
              <w:rPr>
                <w:rFonts w:ascii="Arial" w:cs="Arial" w:eastAsia="Arial" w:hAnsi="Arial"/>
                <w:sz w:val="16"/>
                <w:szCs w:val="16"/>
                <w:color w:val="auto"/>
              </w:rPr>
              <w:t>(580 )</w:t>
            </w:r>
          </w:p>
        </w:tc>
        <w:tc>
          <w:tcPr>
            <w:tcW w:w="200" w:type="dxa"/>
            <w:vAlign w:val="bottom"/>
          </w:tcPr>
          <w:p>
            <w:pPr>
              <w:spacing w:after="0"/>
              <w:rPr>
                <w:sz w:val="17"/>
                <w:szCs w:val="17"/>
                <w:color w:val="auto"/>
              </w:rPr>
            </w:pPr>
          </w:p>
        </w:tc>
        <w:tc>
          <w:tcPr>
            <w:tcW w:w="1540" w:type="dxa"/>
            <w:vAlign w:val="bottom"/>
            <w:gridSpan w:val="2"/>
          </w:tcPr>
          <w:p>
            <w:pPr>
              <w:jc w:val="right"/>
              <w:ind w:right="120"/>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02"/>
        </w:trPr>
        <w:tc>
          <w:tcPr>
            <w:tcW w:w="7680" w:type="dxa"/>
            <w:vAlign w:val="bottom"/>
            <w:shd w:val="clear" w:color="auto" w:fill="CFF0FC"/>
          </w:tcPr>
          <w:p>
            <w:pPr>
              <w:ind w:left="20"/>
              <w:spacing w:after="0"/>
              <w:rPr>
                <w:sz w:val="20"/>
                <w:szCs w:val="20"/>
                <w:color w:val="auto"/>
              </w:rPr>
            </w:pPr>
            <w:r>
              <w:rPr>
                <w:rFonts w:ascii="Arial" w:cs="Arial" w:eastAsia="Arial" w:hAnsi="Arial"/>
                <w:sz w:val="16"/>
                <w:szCs w:val="16"/>
                <w:color w:val="auto"/>
              </w:rPr>
              <w:t>Accumulated deficit</w:t>
            </w:r>
          </w:p>
        </w:tc>
        <w:tc>
          <w:tcPr>
            <w:tcW w:w="180" w:type="dxa"/>
            <w:vAlign w:val="bottom"/>
            <w:shd w:val="clear" w:color="auto" w:fill="CFF0FC"/>
          </w:tcPr>
          <w:p>
            <w:pPr>
              <w:spacing w:after="0"/>
              <w:rPr>
                <w:sz w:val="17"/>
                <w:szCs w:val="17"/>
                <w:color w:val="auto"/>
              </w:rPr>
            </w:pPr>
          </w:p>
        </w:tc>
        <w:tc>
          <w:tcPr>
            <w:tcW w:w="1640" w:type="dxa"/>
            <w:vAlign w:val="bottom"/>
            <w:gridSpan w:val="2"/>
            <w:shd w:val="clear" w:color="auto" w:fill="CFF0FC"/>
          </w:tcPr>
          <w:p>
            <w:pPr>
              <w:jc w:val="right"/>
              <w:ind w:right="180"/>
              <w:spacing w:after="0"/>
              <w:rPr>
                <w:sz w:val="20"/>
                <w:szCs w:val="20"/>
                <w:color w:val="auto"/>
              </w:rPr>
            </w:pPr>
            <w:r>
              <w:rPr>
                <w:rFonts w:ascii="Arial" w:cs="Arial" w:eastAsia="Arial" w:hAnsi="Arial"/>
                <w:sz w:val="16"/>
                <w:szCs w:val="16"/>
                <w:color w:val="auto"/>
              </w:rPr>
              <w:t>(249,123 )</w:t>
            </w:r>
          </w:p>
        </w:tc>
        <w:tc>
          <w:tcPr>
            <w:tcW w:w="200" w:type="dxa"/>
            <w:vAlign w:val="bottom"/>
            <w:shd w:val="clear" w:color="auto" w:fill="CFF0FC"/>
          </w:tcPr>
          <w:p>
            <w:pPr>
              <w:spacing w:after="0"/>
              <w:rPr>
                <w:sz w:val="17"/>
                <w:szCs w:val="17"/>
                <w:color w:val="auto"/>
              </w:rPr>
            </w:pPr>
          </w:p>
        </w:tc>
        <w:tc>
          <w:tcPr>
            <w:tcW w:w="1540" w:type="dxa"/>
            <w:vAlign w:val="bottom"/>
            <w:gridSpan w:val="2"/>
            <w:shd w:val="clear" w:color="auto" w:fill="CFF0FC"/>
          </w:tcPr>
          <w:p>
            <w:pPr>
              <w:jc w:val="right"/>
              <w:ind w:right="40"/>
              <w:spacing w:after="0"/>
              <w:rPr>
                <w:sz w:val="20"/>
                <w:szCs w:val="20"/>
                <w:color w:val="auto"/>
              </w:rPr>
            </w:pPr>
            <w:r>
              <w:rPr>
                <w:rFonts w:ascii="Arial" w:cs="Arial" w:eastAsia="Arial" w:hAnsi="Arial"/>
                <w:sz w:val="16"/>
                <w:szCs w:val="16"/>
                <w:color w:val="auto"/>
              </w:rPr>
              <w:t>(179,807 )</w:t>
            </w:r>
          </w:p>
        </w:tc>
        <w:tc>
          <w:tcPr>
            <w:tcW w:w="0" w:type="dxa"/>
            <w:vAlign w:val="bottom"/>
          </w:tcPr>
          <w:p>
            <w:pPr>
              <w:spacing w:after="0"/>
              <w:rPr>
                <w:sz w:val="1"/>
                <w:szCs w:val="1"/>
                <w:color w:val="auto"/>
              </w:rPr>
            </w:pPr>
          </w:p>
        </w:tc>
      </w:tr>
      <w:tr>
        <w:trPr>
          <w:trHeight w:val="196"/>
        </w:trPr>
        <w:tc>
          <w:tcPr>
            <w:tcW w:w="7680" w:type="dxa"/>
            <w:vAlign w:val="bottom"/>
            <w:tcBorders>
              <w:top w:val="single" w:sz="8" w:color="CFF0FC"/>
            </w:tcBorders>
          </w:tcPr>
          <w:p>
            <w:pPr>
              <w:ind w:left="380"/>
              <w:spacing w:after="0"/>
              <w:rPr>
                <w:sz w:val="20"/>
                <w:szCs w:val="20"/>
                <w:color w:val="auto"/>
              </w:rPr>
            </w:pPr>
            <w:r>
              <w:rPr>
                <w:rFonts w:ascii="Arial" w:cs="Arial" w:eastAsia="Arial" w:hAnsi="Arial"/>
                <w:sz w:val="16"/>
                <w:szCs w:val="16"/>
                <w:color w:val="auto"/>
              </w:rPr>
              <w:t>Total stockholders’ equity</w:t>
            </w:r>
          </w:p>
        </w:tc>
        <w:tc>
          <w:tcPr>
            <w:tcW w:w="180" w:type="dxa"/>
            <w:vAlign w:val="bottom"/>
            <w:tcBorders>
              <w:top w:val="single" w:sz="8" w:color="auto"/>
              <w:bottom w:val="single" w:sz="8" w:color="auto"/>
            </w:tcBorders>
          </w:tcPr>
          <w:p>
            <w:pPr>
              <w:spacing w:after="0"/>
              <w:rPr>
                <w:sz w:val="17"/>
                <w:szCs w:val="17"/>
                <w:color w:val="auto"/>
              </w:rPr>
            </w:pPr>
          </w:p>
        </w:tc>
        <w:tc>
          <w:tcPr>
            <w:tcW w:w="13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rPr>
              <w:t>295,036</w:t>
            </w:r>
          </w:p>
        </w:tc>
        <w:tc>
          <w:tcPr>
            <w:tcW w:w="260" w:type="dxa"/>
            <w:vAlign w:val="bottom"/>
            <w:tcBorders>
              <w:top w:val="single" w:sz="8" w:color="CFF0FC"/>
            </w:tcBorders>
          </w:tcPr>
          <w:p>
            <w:pPr>
              <w:spacing w:after="0"/>
              <w:rPr>
                <w:sz w:val="17"/>
                <w:szCs w:val="17"/>
                <w:color w:val="auto"/>
              </w:rPr>
            </w:pPr>
          </w:p>
        </w:tc>
        <w:tc>
          <w:tcPr>
            <w:tcW w:w="200" w:type="dxa"/>
            <w:vAlign w:val="bottom"/>
            <w:tcBorders>
              <w:top w:val="single" w:sz="8" w:color="auto"/>
              <w:bottom w:val="single" w:sz="8" w:color="auto"/>
            </w:tcBorders>
          </w:tcPr>
          <w:p>
            <w:pPr>
              <w:spacing w:after="0"/>
              <w:rPr>
                <w:sz w:val="17"/>
                <w:szCs w:val="17"/>
                <w:color w:val="auto"/>
              </w:rPr>
            </w:pPr>
          </w:p>
        </w:tc>
        <w:tc>
          <w:tcPr>
            <w:tcW w:w="14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rPr>
              <w:t>306,548</w:t>
            </w:r>
          </w:p>
        </w:tc>
        <w:tc>
          <w:tcPr>
            <w:tcW w:w="100" w:type="dxa"/>
            <w:vAlign w:val="bottom"/>
            <w:tcBorders>
              <w:top w:val="single" w:sz="8" w:color="CFF0FC"/>
            </w:tcBorders>
          </w:tcPr>
          <w:p>
            <w:pPr>
              <w:spacing w:after="0"/>
              <w:rPr>
                <w:sz w:val="17"/>
                <w:szCs w:val="17"/>
                <w:color w:val="auto"/>
              </w:rPr>
            </w:pPr>
          </w:p>
        </w:tc>
        <w:tc>
          <w:tcPr>
            <w:tcW w:w="0" w:type="dxa"/>
            <w:vAlign w:val="bottom"/>
          </w:tcPr>
          <w:p>
            <w:pPr>
              <w:spacing w:after="0"/>
              <w:rPr>
                <w:sz w:val="1"/>
                <w:szCs w:val="1"/>
                <w:color w:val="auto"/>
              </w:rPr>
            </w:pPr>
          </w:p>
        </w:tc>
      </w:tr>
      <w:tr>
        <w:trPr>
          <w:trHeight w:val="236"/>
        </w:trPr>
        <w:tc>
          <w:tcPr>
            <w:tcW w:w="7680" w:type="dxa"/>
            <w:vAlign w:val="bottom"/>
            <w:tcBorders>
              <w:bottom w:val="single" w:sz="8" w:color="CFF0FC"/>
            </w:tcBorders>
            <w:shd w:val="clear" w:color="auto" w:fill="CFF0FC"/>
          </w:tcPr>
          <w:p>
            <w:pPr>
              <w:ind w:left="380"/>
              <w:spacing w:after="0"/>
              <w:rPr>
                <w:sz w:val="20"/>
                <w:szCs w:val="20"/>
                <w:color w:val="auto"/>
              </w:rPr>
            </w:pPr>
            <w:r>
              <w:rPr>
                <w:rFonts w:ascii="Arial" w:cs="Arial" w:eastAsia="Arial" w:hAnsi="Arial"/>
                <w:sz w:val="16"/>
                <w:szCs w:val="16"/>
                <w:color w:val="auto"/>
              </w:rPr>
              <w:t>Total liabilities and stockholders’ equity</w:t>
            </w:r>
          </w:p>
        </w:tc>
        <w:tc>
          <w:tcPr>
            <w:tcW w:w="1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6"/>
                <w:szCs w:val="16"/>
                <w:color w:val="auto"/>
                <w:w w:val="89"/>
              </w:rPr>
              <w:t>$</w:t>
            </w:r>
          </w:p>
        </w:tc>
        <w:tc>
          <w:tcPr>
            <w:tcW w:w="13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6"/>
                <w:szCs w:val="16"/>
                <w:color w:val="auto"/>
              </w:rPr>
              <w:t>428,261</w:t>
            </w:r>
          </w:p>
        </w:tc>
        <w:tc>
          <w:tcPr>
            <w:tcW w:w="260" w:type="dxa"/>
            <w:vAlign w:val="bottom"/>
            <w:tcBorders>
              <w:bottom w:val="single" w:sz="8" w:color="CFF0FC"/>
            </w:tcBorders>
            <w:shd w:val="clear" w:color="auto" w:fill="CFF0FC"/>
          </w:tcPr>
          <w:p>
            <w:pPr>
              <w:spacing w:after="0"/>
              <w:rPr>
                <w:sz w:val="20"/>
                <w:szCs w:val="20"/>
                <w:color w:val="auto"/>
              </w:rPr>
            </w:pPr>
          </w:p>
        </w:tc>
        <w:tc>
          <w:tcPr>
            <w:tcW w:w="200" w:type="dxa"/>
            <w:vAlign w:val="bottom"/>
            <w:tcBorders>
              <w:bottom w:val="single" w:sz="8" w:color="auto"/>
            </w:tcBorders>
            <w:shd w:val="clear" w:color="auto" w:fill="CFF0FC"/>
          </w:tcPr>
          <w:p>
            <w:pPr>
              <w:jc w:val="right"/>
              <w:ind w:right="19"/>
              <w:spacing w:after="0"/>
              <w:rPr>
                <w:sz w:val="20"/>
                <w:szCs w:val="20"/>
                <w:color w:val="auto"/>
              </w:rPr>
            </w:pPr>
            <w:r>
              <w:rPr>
                <w:rFonts w:ascii="Arial" w:cs="Arial" w:eastAsia="Arial" w:hAnsi="Arial"/>
                <w:sz w:val="16"/>
                <w:szCs w:val="16"/>
                <w:color w:val="auto"/>
                <w:w w:val="89"/>
              </w:rPr>
              <w:t>$</w:t>
            </w:r>
          </w:p>
        </w:tc>
        <w:tc>
          <w:tcPr>
            <w:tcW w:w="14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6"/>
                <w:szCs w:val="16"/>
                <w:color w:val="auto"/>
              </w:rPr>
              <w:t>400,388</w:t>
            </w:r>
          </w:p>
        </w:tc>
        <w:tc>
          <w:tcPr>
            <w:tcW w:w="100" w:type="dxa"/>
            <w:vAlign w:val="bottom"/>
            <w:tcBorders>
              <w:bottom w:val="single" w:sz="8" w:color="CFF0FC"/>
            </w:tcBorders>
            <w:shd w:val="clear" w:color="auto" w:fill="CFF0FC"/>
          </w:tcPr>
          <w:p>
            <w:pPr>
              <w:spacing w:after="0"/>
              <w:rPr>
                <w:sz w:val="20"/>
                <w:szCs w:val="20"/>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5869940</wp:posOffset>
            </wp:positionH>
            <wp:positionV relativeFrom="paragraph">
              <wp:posOffset>-3415665</wp:posOffset>
            </wp:positionV>
            <wp:extent cx="68580" cy="162560"/>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68580" cy="162560"/>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-3415665</wp:posOffset>
            </wp:positionV>
            <wp:extent cx="68580" cy="162560"/>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68580" cy="162560"/>
                    </a:xfrm>
                    <a:prstGeom prst="rect">
                      <a:avLst/>
                    </a:prstGeom>
                    <a:noFill/>
                  </pic:spPr>
                </pic:pic>
              </a:graphicData>
            </a:graphic>
          </wp:anchor>
        </w:drawing>
        <w:drawing>
          <wp:anchor simplePos="0" relativeHeight="251657728" behindDoc="1" locked="0" layoutInCell="0" allowOverlap="1">
            <wp:simplePos x="0" y="0"/>
            <wp:positionH relativeFrom="column">
              <wp:posOffset>5869940</wp:posOffset>
            </wp:positionH>
            <wp:positionV relativeFrom="paragraph">
              <wp:posOffset>-2611120</wp:posOffset>
            </wp:positionV>
            <wp:extent cx="68580" cy="137160"/>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68580" cy="137160"/>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-2611120</wp:posOffset>
            </wp:positionV>
            <wp:extent cx="68580" cy="137160"/>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68580" cy="137160"/>
                    </a:xfrm>
                    <a:prstGeom prst="rect">
                      <a:avLst/>
                    </a:prstGeom>
                    <a:noFill/>
                  </pic:spPr>
                </pic:pic>
              </a:graphicData>
            </a:graphic>
          </wp:anchor>
        </w:drawing>
        <w:drawing>
          <wp:anchor simplePos="0" relativeHeight="251657728" behindDoc="1" locked="0" layoutInCell="0" allowOverlap="1">
            <wp:simplePos x="0" y="0"/>
            <wp:positionH relativeFrom="column">
              <wp:posOffset>5869940</wp:posOffset>
            </wp:positionH>
            <wp:positionV relativeFrom="paragraph">
              <wp:posOffset>-2080260</wp:posOffset>
            </wp:positionV>
            <wp:extent cx="68580" cy="137160"/>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68580" cy="137160"/>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-2080260</wp:posOffset>
            </wp:positionV>
            <wp:extent cx="68580" cy="137160"/>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68580" cy="137160"/>
                    </a:xfrm>
                    <a:prstGeom prst="rect">
                      <a:avLst/>
                    </a:prstGeom>
                    <a:noFill/>
                  </pic:spPr>
                </pic:pic>
              </a:graphicData>
            </a:graphic>
          </wp:anchor>
        </w:drawing>
        <w:drawing>
          <wp:anchor simplePos="0" relativeHeight="251657728" behindDoc="1" locked="0" layoutInCell="0" allowOverlap="1">
            <wp:simplePos x="0" y="0"/>
            <wp:positionH relativeFrom="column">
              <wp:posOffset>5869940</wp:posOffset>
            </wp:positionH>
            <wp:positionV relativeFrom="paragraph">
              <wp:posOffset>-299085</wp:posOffset>
            </wp:positionV>
            <wp:extent cx="68580" cy="14541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68580" cy="14541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-299085</wp:posOffset>
            </wp:positionV>
            <wp:extent cx="68580" cy="14541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68580" cy="145415"/>
                    </a:xfrm>
                    <a:prstGeom prst="rect">
                      <a:avLst/>
                    </a:prstGeom>
                    <a:noFill/>
                  </pic:spPr>
                </pic:pic>
              </a:graphicData>
            </a:graphic>
          </wp:anchor>
        </w:drawing>
        <w:drawing>
          <wp:anchor simplePos="0" relativeHeight="251657728" behindDoc="1" locked="0" layoutInCell="0" allowOverlap="1">
            <wp:simplePos x="0" y="0"/>
            <wp:positionH relativeFrom="column">
              <wp:posOffset>5869940</wp:posOffset>
            </wp:positionH>
            <wp:positionV relativeFrom="paragraph">
              <wp:posOffset>-24765</wp:posOffset>
            </wp:positionV>
            <wp:extent cx="68580" cy="825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5869940</wp:posOffset>
            </wp:positionH>
            <wp:positionV relativeFrom="paragraph">
              <wp:posOffset>-7620</wp:posOffset>
            </wp:positionV>
            <wp:extent cx="68580" cy="825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-24765</wp:posOffset>
            </wp:positionV>
            <wp:extent cx="68580" cy="825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-7620</wp:posOffset>
            </wp:positionV>
            <wp:extent cx="68580" cy="825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68580" cy="8255"/>
                    </a:xfrm>
                    <a:prstGeom prst="rect">
                      <a:avLst/>
                    </a:prstGeom>
                    <a:noFill/>
                  </pic:spPr>
                </pic:pic>
              </a:graphicData>
            </a:graphic>
          </wp:anchor>
        </w:drawing>
      </w:r>
    </w:p>
    <w:p>
      <w:pPr>
        <w:spacing w:after="0" w:line="16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See accompanying notes to condensed consolidated financial statements.</w:t>
      </w:r>
    </w:p>
    <w:p>
      <w:pPr>
        <w:spacing w:after="0" w:line="10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23" w:right="339" w:bottom="1440" w:gutter="0" w:footer="0" w:header="0"/>
        </w:sectPr>
      </w:pPr>
    </w:p>
    <w:bookmarkStart w:id="6" w:name="page7"/>
    <w:bookmarkEnd w:id="6"/>
    <w:p>
      <w:pPr>
        <w:ind w:left="4820"/>
        <w:spacing w:after="0"/>
        <w:rPr>
          <w:sz w:val="20"/>
          <w:szCs w:val="20"/>
          <w:color w:val="auto"/>
        </w:rPr>
      </w:pPr>
      <w:r>
        <w:rPr>
          <w:rFonts w:ascii="Arial" w:cs="Arial" w:eastAsia="Arial" w:hAnsi="Arial"/>
          <w:sz w:val="18"/>
          <w:szCs w:val="18"/>
          <w:b w:val="1"/>
          <w:bCs w:val="1"/>
          <w:color w:val="auto"/>
        </w:rPr>
        <w:t>AMPLITUDE, INC.</w:t>
      </w:r>
    </w:p>
    <w:p>
      <w:pPr>
        <w:spacing w:after="0" w:line="24" w:lineRule="exact"/>
        <w:rPr>
          <w:sz w:val="20"/>
          <w:szCs w:val="20"/>
          <w:color w:val="auto"/>
        </w:rPr>
      </w:pPr>
    </w:p>
    <w:p>
      <w:pPr>
        <w:ind w:left="2700"/>
        <w:spacing w:after="0"/>
        <w:rPr>
          <w:sz w:val="20"/>
          <w:szCs w:val="20"/>
          <w:color w:val="auto"/>
        </w:rPr>
      </w:pPr>
      <w:r>
        <w:rPr>
          <w:rFonts w:ascii="Arial" w:cs="Arial" w:eastAsia="Arial" w:hAnsi="Arial"/>
          <w:sz w:val="18"/>
          <w:szCs w:val="18"/>
          <w:b w:val="1"/>
          <w:bCs w:val="1"/>
          <w:color w:val="auto"/>
        </w:rPr>
        <w:t>Condensed Consolidated Statements of Operations and Comprehensive Loss</w:t>
      </w:r>
    </w:p>
    <w:p>
      <w:pPr>
        <w:jc w:val="center"/>
        <w:ind w:right="40"/>
        <w:spacing w:after="0" w:line="234" w:lineRule="auto"/>
        <w:rPr>
          <w:sz w:val="20"/>
          <w:szCs w:val="20"/>
          <w:color w:val="auto"/>
        </w:rPr>
      </w:pPr>
      <w:r>
        <w:rPr>
          <w:rFonts w:ascii="Arial" w:cs="Arial" w:eastAsia="Arial" w:hAnsi="Arial"/>
          <w:sz w:val="18"/>
          <w:szCs w:val="18"/>
          <w:b w:val="1"/>
          <w:bCs w:val="1"/>
          <w:color w:val="auto"/>
        </w:rPr>
        <w:t>(In thousands, except per share amounts)</w:t>
      </w:r>
    </w:p>
    <w:p>
      <w:pPr>
        <w:jc w:val="center"/>
        <w:spacing w:after="0"/>
        <w:rPr>
          <w:sz w:val="20"/>
          <w:szCs w:val="20"/>
          <w:color w:val="auto"/>
        </w:rPr>
      </w:pPr>
      <w:r>
        <w:rPr>
          <w:rFonts w:ascii="Arial" w:cs="Arial" w:eastAsia="Arial" w:hAnsi="Arial"/>
          <w:sz w:val="18"/>
          <w:szCs w:val="18"/>
          <w:b w:val="1"/>
          <w:bCs w:val="1"/>
          <w:color w:val="auto"/>
        </w:rPr>
        <w:t>(unaudited)</w:t>
      </w:r>
    </w:p>
    <w:p>
      <w:pPr>
        <w:spacing w:after="0" w:line="213"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5760" w:type="dxa"/>
            <w:vAlign w:val="bottom"/>
          </w:tcPr>
          <w:p>
            <w:pPr>
              <w:spacing w:after="0"/>
              <w:rPr>
                <w:sz w:val="17"/>
                <w:szCs w:val="17"/>
                <w:color w:val="auto"/>
              </w:rPr>
            </w:pPr>
          </w:p>
        </w:tc>
        <w:tc>
          <w:tcPr>
            <w:tcW w:w="2800" w:type="dxa"/>
            <w:vAlign w:val="bottom"/>
            <w:gridSpan w:val="6"/>
          </w:tcPr>
          <w:p>
            <w:pPr>
              <w:ind w:left="20"/>
              <w:spacing w:after="0"/>
              <w:rPr>
                <w:sz w:val="20"/>
                <w:szCs w:val="20"/>
                <w:color w:val="auto"/>
              </w:rPr>
            </w:pPr>
            <w:r>
              <w:rPr>
                <w:rFonts w:ascii="Arial" w:cs="Arial" w:eastAsia="Arial" w:hAnsi="Arial"/>
                <w:sz w:val="18"/>
                <w:szCs w:val="18"/>
                <w:b w:val="1"/>
                <w:bCs w:val="1"/>
                <w:color w:val="auto"/>
                <w:w w:val="99"/>
              </w:rPr>
              <w:t>Three Months Ended September</w:t>
            </w:r>
          </w:p>
        </w:tc>
        <w:tc>
          <w:tcPr>
            <w:tcW w:w="240" w:type="dxa"/>
            <w:vAlign w:val="bottom"/>
          </w:tcPr>
          <w:p>
            <w:pPr>
              <w:spacing w:after="0"/>
              <w:rPr>
                <w:sz w:val="17"/>
                <w:szCs w:val="17"/>
                <w:color w:val="auto"/>
              </w:rPr>
            </w:pPr>
          </w:p>
        </w:tc>
        <w:tc>
          <w:tcPr>
            <w:tcW w:w="2440" w:type="dxa"/>
            <w:vAlign w:val="bottom"/>
            <w:gridSpan w:val="5"/>
          </w:tcPr>
          <w:p>
            <w:pPr>
              <w:jc w:val="right"/>
              <w:ind w:right="541"/>
              <w:spacing w:after="0"/>
              <w:rPr>
                <w:sz w:val="20"/>
                <w:szCs w:val="20"/>
                <w:color w:val="auto"/>
              </w:rPr>
            </w:pPr>
            <w:r>
              <w:rPr>
                <w:rFonts w:ascii="Arial" w:cs="Arial" w:eastAsia="Arial" w:hAnsi="Arial"/>
                <w:sz w:val="18"/>
                <w:szCs w:val="18"/>
                <w:b w:val="1"/>
                <w:bCs w:val="1"/>
                <w:color w:val="auto"/>
              </w:rPr>
              <w:t>Nine Months Ended</w:t>
            </w:r>
          </w:p>
        </w:tc>
      </w:tr>
      <w:tr>
        <w:trPr>
          <w:trHeight w:val="234"/>
        </w:trPr>
        <w:tc>
          <w:tcPr>
            <w:tcW w:w="576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140" w:type="dxa"/>
            <w:vAlign w:val="bottom"/>
            <w:gridSpan w:val="2"/>
          </w:tcPr>
          <w:p>
            <w:pPr>
              <w:jc w:val="right"/>
              <w:spacing w:after="0"/>
              <w:rPr>
                <w:sz w:val="20"/>
                <w:szCs w:val="20"/>
                <w:color w:val="auto"/>
              </w:rPr>
            </w:pPr>
            <w:r>
              <w:rPr>
                <w:rFonts w:ascii="Arial" w:cs="Arial" w:eastAsia="Arial" w:hAnsi="Arial"/>
                <w:sz w:val="18"/>
                <w:szCs w:val="18"/>
                <w:b w:val="1"/>
                <w:bCs w:val="1"/>
                <w:color w:val="auto"/>
              </w:rPr>
              <w:t>30,</w:t>
            </w:r>
          </w:p>
        </w:tc>
        <w:tc>
          <w:tcPr>
            <w:tcW w:w="260" w:type="dxa"/>
            <w:vAlign w:val="bottom"/>
          </w:tcPr>
          <w:p>
            <w:pPr>
              <w:spacing w:after="0"/>
              <w:rPr>
                <w:sz w:val="20"/>
                <w:szCs w:val="20"/>
                <w:color w:val="auto"/>
              </w:rPr>
            </w:pPr>
          </w:p>
        </w:tc>
        <w:tc>
          <w:tcPr>
            <w:tcW w:w="9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2440" w:type="dxa"/>
            <w:vAlign w:val="bottom"/>
            <w:gridSpan w:val="5"/>
          </w:tcPr>
          <w:p>
            <w:pPr>
              <w:jc w:val="right"/>
              <w:ind w:right="761"/>
              <w:spacing w:after="0"/>
              <w:rPr>
                <w:sz w:val="20"/>
                <w:szCs w:val="20"/>
                <w:color w:val="auto"/>
              </w:rPr>
            </w:pPr>
            <w:r>
              <w:rPr>
                <w:rFonts w:ascii="Arial" w:cs="Arial" w:eastAsia="Arial" w:hAnsi="Arial"/>
                <w:sz w:val="18"/>
                <w:szCs w:val="18"/>
                <w:b w:val="1"/>
                <w:bCs w:val="1"/>
                <w:color w:val="auto"/>
              </w:rPr>
              <w:t>September 30,</w:t>
            </w:r>
          </w:p>
        </w:tc>
      </w:tr>
      <w:tr>
        <w:trPr>
          <w:trHeight w:val="209"/>
        </w:trPr>
        <w:tc>
          <w:tcPr>
            <w:tcW w:w="5760" w:type="dxa"/>
            <w:vAlign w:val="bottom"/>
          </w:tcPr>
          <w:p>
            <w:pPr>
              <w:spacing w:after="0"/>
              <w:rPr>
                <w:sz w:val="18"/>
                <w:szCs w:val="18"/>
                <w:color w:val="auto"/>
              </w:rPr>
            </w:pPr>
          </w:p>
        </w:tc>
        <w:tc>
          <w:tcPr>
            <w:tcW w:w="260" w:type="dxa"/>
            <w:vAlign w:val="bottom"/>
            <w:tcBorders>
              <w:top w:val="single" w:sz="8" w:color="auto"/>
              <w:bottom w:val="single" w:sz="8" w:color="auto"/>
            </w:tcBorders>
          </w:tcPr>
          <w:p>
            <w:pPr>
              <w:spacing w:after="0"/>
              <w:rPr>
                <w:sz w:val="18"/>
                <w:szCs w:val="18"/>
                <w:color w:val="auto"/>
              </w:rPr>
            </w:pPr>
          </w:p>
        </w:tc>
        <w:tc>
          <w:tcPr>
            <w:tcW w:w="900" w:type="dxa"/>
            <w:vAlign w:val="bottom"/>
            <w:tcBorders>
              <w:top w:val="single" w:sz="8" w:color="auto"/>
              <w:bottom w:val="single" w:sz="8" w:color="auto"/>
            </w:tcBorders>
          </w:tcPr>
          <w:p>
            <w:pPr>
              <w:jc w:val="right"/>
              <w:ind w:right="310"/>
              <w:spacing w:after="0"/>
              <w:rPr>
                <w:sz w:val="20"/>
                <w:szCs w:val="20"/>
                <w:color w:val="auto"/>
              </w:rPr>
            </w:pPr>
            <w:r>
              <w:rPr>
                <w:rFonts w:ascii="Arial" w:cs="Arial" w:eastAsia="Arial" w:hAnsi="Arial"/>
                <w:sz w:val="18"/>
                <w:szCs w:val="18"/>
                <w:b w:val="1"/>
                <w:bCs w:val="1"/>
                <w:color w:val="auto"/>
              </w:rPr>
              <w:t>2022</w:t>
            </w:r>
          </w:p>
        </w:tc>
        <w:tc>
          <w:tcPr>
            <w:tcW w:w="240" w:type="dxa"/>
            <w:vAlign w:val="bottom"/>
            <w:tcBorders>
              <w:top w:val="single" w:sz="8" w:color="auto"/>
            </w:tcBorders>
          </w:tcPr>
          <w:p>
            <w:pPr>
              <w:spacing w:after="0"/>
              <w:rPr>
                <w:sz w:val="18"/>
                <w:szCs w:val="18"/>
                <w:color w:val="auto"/>
              </w:rPr>
            </w:pPr>
          </w:p>
        </w:tc>
        <w:tc>
          <w:tcPr>
            <w:tcW w:w="260" w:type="dxa"/>
            <w:vAlign w:val="bottom"/>
            <w:tcBorders>
              <w:top w:val="single" w:sz="8" w:color="auto"/>
              <w:bottom w:val="single" w:sz="8" w:color="auto"/>
            </w:tcBorders>
          </w:tcPr>
          <w:p>
            <w:pPr>
              <w:spacing w:after="0"/>
              <w:rPr>
                <w:sz w:val="18"/>
                <w:szCs w:val="18"/>
                <w:color w:val="auto"/>
              </w:rPr>
            </w:pPr>
          </w:p>
        </w:tc>
        <w:tc>
          <w:tcPr>
            <w:tcW w:w="900" w:type="dxa"/>
            <w:vAlign w:val="bottom"/>
            <w:tcBorders>
              <w:top w:val="single" w:sz="8" w:color="auto"/>
              <w:bottom w:val="single" w:sz="8" w:color="auto"/>
            </w:tcBorders>
          </w:tcPr>
          <w:p>
            <w:pPr>
              <w:jc w:val="right"/>
              <w:ind w:right="310"/>
              <w:spacing w:after="0"/>
              <w:rPr>
                <w:sz w:val="20"/>
                <w:szCs w:val="20"/>
                <w:color w:val="auto"/>
              </w:rPr>
            </w:pPr>
            <w:r>
              <w:rPr>
                <w:rFonts w:ascii="Arial" w:cs="Arial" w:eastAsia="Arial" w:hAnsi="Arial"/>
                <w:sz w:val="18"/>
                <w:szCs w:val="18"/>
                <w:b w:val="1"/>
                <w:bCs w:val="1"/>
                <w:color w:val="auto"/>
              </w:rPr>
              <w:t>2021</w:t>
            </w:r>
          </w:p>
        </w:tc>
        <w:tc>
          <w:tcPr>
            <w:tcW w:w="240" w:type="dxa"/>
            <w:vAlign w:val="bottom"/>
          </w:tcPr>
          <w:p>
            <w:pPr>
              <w:spacing w:after="0"/>
              <w:rPr>
                <w:sz w:val="18"/>
                <w:szCs w:val="18"/>
                <w:color w:val="auto"/>
              </w:rPr>
            </w:pPr>
          </w:p>
        </w:tc>
        <w:tc>
          <w:tcPr>
            <w:tcW w:w="240" w:type="dxa"/>
            <w:vAlign w:val="bottom"/>
            <w:tcBorders>
              <w:top w:val="single" w:sz="8" w:color="auto"/>
              <w:bottom w:val="single" w:sz="8" w:color="auto"/>
            </w:tcBorders>
          </w:tcPr>
          <w:p>
            <w:pPr>
              <w:spacing w:after="0"/>
              <w:rPr>
                <w:sz w:val="18"/>
                <w:szCs w:val="18"/>
                <w:color w:val="auto"/>
              </w:rPr>
            </w:pPr>
          </w:p>
        </w:tc>
        <w:tc>
          <w:tcPr>
            <w:tcW w:w="880" w:type="dxa"/>
            <w:vAlign w:val="bottom"/>
            <w:tcBorders>
              <w:top w:val="single" w:sz="8" w:color="auto"/>
              <w:bottom w:val="single" w:sz="8" w:color="auto"/>
            </w:tcBorders>
          </w:tcPr>
          <w:p>
            <w:pPr>
              <w:jc w:val="right"/>
              <w:ind w:right="290"/>
              <w:spacing w:after="0"/>
              <w:rPr>
                <w:sz w:val="20"/>
                <w:szCs w:val="20"/>
                <w:color w:val="auto"/>
              </w:rPr>
            </w:pPr>
            <w:r>
              <w:rPr>
                <w:rFonts w:ascii="Arial" w:cs="Arial" w:eastAsia="Arial" w:hAnsi="Arial"/>
                <w:sz w:val="18"/>
                <w:szCs w:val="18"/>
                <w:b w:val="1"/>
                <w:bCs w:val="1"/>
                <w:color w:val="auto"/>
              </w:rPr>
              <w:t>2022</w:t>
            </w:r>
          </w:p>
        </w:tc>
        <w:tc>
          <w:tcPr>
            <w:tcW w:w="300" w:type="dxa"/>
            <w:vAlign w:val="bottom"/>
            <w:tcBorders>
              <w:top w:val="single" w:sz="8" w:color="auto"/>
            </w:tcBorders>
          </w:tcPr>
          <w:p>
            <w:pPr>
              <w:spacing w:after="0"/>
              <w:rPr>
                <w:sz w:val="18"/>
                <w:szCs w:val="18"/>
                <w:color w:val="auto"/>
              </w:rPr>
            </w:pPr>
          </w:p>
        </w:tc>
        <w:tc>
          <w:tcPr>
            <w:tcW w:w="260" w:type="dxa"/>
            <w:vAlign w:val="bottom"/>
            <w:tcBorders>
              <w:top w:val="single" w:sz="8" w:color="auto"/>
              <w:bottom w:val="single" w:sz="8" w:color="auto"/>
            </w:tcBorders>
          </w:tcPr>
          <w:p>
            <w:pPr>
              <w:spacing w:after="0"/>
              <w:rPr>
                <w:sz w:val="18"/>
                <w:szCs w:val="18"/>
                <w:color w:val="auto"/>
              </w:rPr>
            </w:pPr>
          </w:p>
        </w:tc>
        <w:tc>
          <w:tcPr>
            <w:tcW w:w="900" w:type="dxa"/>
            <w:vAlign w:val="bottom"/>
            <w:tcBorders>
              <w:top w:val="single" w:sz="8" w:color="auto"/>
              <w:bottom w:val="single" w:sz="8" w:color="auto"/>
            </w:tcBorders>
          </w:tcPr>
          <w:p>
            <w:pPr>
              <w:jc w:val="right"/>
              <w:ind w:right="310"/>
              <w:spacing w:after="0"/>
              <w:rPr>
                <w:sz w:val="20"/>
                <w:szCs w:val="20"/>
                <w:color w:val="auto"/>
              </w:rPr>
            </w:pPr>
            <w:r>
              <w:rPr>
                <w:rFonts w:ascii="Arial" w:cs="Arial" w:eastAsia="Arial" w:hAnsi="Arial"/>
                <w:sz w:val="18"/>
                <w:szCs w:val="18"/>
                <w:b w:val="1"/>
                <w:bCs w:val="1"/>
                <w:color w:val="auto"/>
              </w:rPr>
              <w:t>2021</w:t>
            </w:r>
          </w:p>
        </w:tc>
        <w:tc>
          <w:tcPr>
            <w:tcW w:w="100" w:type="dxa"/>
            <w:vAlign w:val="bottom"/>
          </w:tcPr>
          <w:p>
            <w:pPr>
              <w:spacing w:after="0"/>
              <w:rPr>
                <w:sz w:val="18"/>
                <w:szCs w:val="18"/>
                <w:color w:val="auto"/>
              </w:rPr>
            </w:pPr>
          </w:p>
        </w:tc>
      </w:tr>
      <w:tr>
        <w:trPr>
          <w:trHeight w:val="209"/>
        </w:trPr>
        <w:tc>
          <w:tcPr>
            <w:tcW w:w="57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5760" w:type="dxa"/>
            <w:vAlign w:val="bottom"/>
            <w:shd w:val="clear" w:color="auto" w:fill="CFF0FC"/>
          </w:tcPr>
          <w:p>
            <w:pPr>
              <w:ind w:left="20"/>
              <w:spacing w:after="0"/>
              <w:rPr>
                <w:sz w:val="20"/>
                <w:szCs w:val="20"/>
                <w:color w:val="auto"/>
              </w:rPr>
            </w:pPr>
            <w:r>
              <w:rPr>
                <w:rFonts w:ascii="Arial" w:cs="Arial" w:eastAsia="Arial" w:hAnsi="Arial"/>
                <w:sz w:val="18"/>
                <w:szCs w:val="18"/>
                <w:color w:val="auto"/>
              </w:rPr>
              <w:t>Revenue</w:t>
            </w:r>
          </w:p>
        </w:tc>
        <w:tc>
          <w:tcPr>
            <w:tcW w:w="260" w:type="dxa"/>
            <w:vAlign w:val="bottom"/>
            <w:shd w:val="clear" w:color="auto" w:fill="CFF0FC"/>
          </w:tcPr>
          <w:p>
            <w:pPr>
              <w:ind w:left="20"/>
              <w:spacing w:after="0"/>
              <w:rPr>
                <w:sz w:val="20"/>
                <w:szCs w:val="20"/>
                <w:color w:val="auto"/>
              </w:rPr>
            </w:pPr>
            <w:r>
              <w:rPr>
                <w:rFonts w:ascii="Arial" w:cs="Arial" w:eastAsia="Arial" w:hAnsi="Arial"/>
                <w:sz w:val="18"/>
                <w:szCs w:val="18"/>
                <w:color w:val="auto"/>
              </w:rPr>
              <w:t>$</w:t>
            </w:r>
          </w:p>
        </w:tc>
        <w:tc>
          <w:tcPr>
            <w:tcW w:w="9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61,614</w:t>
            </w:r>
          </w:p>
        </w:tc>
        <w:tc>
          <w:tcPr>
            <w:tcW w:w="240" w:type="dxa"/>
            <w:vAlign w:val="bottom"/>
            <w:shd w:val="clear" w:color="auto" w:fill="CFF0FC"/>
          </w:tcPr>
          <w:p>
            <w:pPr>
              <w:spacing w:after="0"/>
              <w:rPr>
                <w:sz w:val="18"/>
                <w:szCs w:val="18"/>
                <w:color w:val="auto"/>
              </w:rPr>
            </w:pPr>
          </w:p>
        </w:tc>
        <w:tc>
          <w:tcPr>
            <w:tcW w:w="260" w:type="dxa"/>
            <w:vAlign w:val="bottom"/>
            <w:shd w:val="clear" w:color="auto" w:fill="CFF0FC"/>
          </w:tcPr>
          <w:p>
            <w:pPr>
              <w:jc w:val="right"/>
              <w:ind w:right="50"/>
              <w:spacing w:after="0"/>
              <w:rPr>
                <w:sz w:val="20"/>
                <w:szCs w:val="20"/>
                <w:color w:val="auto"/>
              </w:rPr>
            </w:pPr>
            <w:r>
              <w:rPr>
                <w:rFonts w:ascii="Arial" w:cs="Arial" w:eastAsia="Arial" w:hAnsi="Arial"/>
                <w:sz w:val="18"/>
                <w:szCs w:val="18"/>
                <w:color w:val="auto"/>
                <w:w w:val="99"/>
              </w:rPr>
              <w:t>$</w:t>
            </w:r>
          </w:p>
        </w:tc>
        <w:tc>
          <w:tcPr>
            <w:tcW w:w="9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45,473</w:t>
            </w:r>
          </w:p>
        </w:tc>
        <w:tc>
          <w:tcPr>
            <w:tcW w:w="240" w:type="dxa"/>
            <w:vAlign w:val="bottom"/>
            <w:shd w:val="clear" w:color="auto" w:fill="CFF0FC"/>
          </w:tcPr>
          <w:p>
            <w:pPr>
              <w:spacing w:after="0"/>
              <w:rPr>
                <w:sz w:val="18"/>
                <w:szCs w:val="18"/>
                <w:color w:val="auto"/>
              </w:rPr>
            </w:pPr>
          </w:p>
        </w:tc>
        <w:tc>
          <w:tcPr>
            <w:tcW w:w="240" w:type="dxa"/>
            <w:vAlign w:val="bottom"/>
            <w:shd w:val="clear" w:color="auto" w:fill="CFF0FC"/>
          </w:tcPr>
          <w:p>
            <w:pPr>
              <w:jc w:val="right"/>
              <w:ind w:right="50"/>
              <w:spacing w:after="0"/>
              <w:rPr>
                <w:sz w:val="20"/>
                <w:szCs w:val="20"/>
                <w:color w:val="auto"/>
              </w:rPr>
            </w:pPr>
            <w:r>
              <w:rPr>
                <w:rFonts w:ascii="Arial" w:cs="Arial" w:eastAsia="Arial" w:hAnsi="Arial"/>
                <w:sz w:val="18"/>
                <w:szCs w:val="18"/>
                <w:color w:val="auto"/>
                <w:w w:val="79"/>
              </w:rPr>
              <w:t>$</w:t>
            </w:r>
          </w:p>
        </w:tc>
        <w:tc>
          <w:tcPr>
            <w:tcW w:w="8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172,809</w:t>
            </w:r>
          </w:p>
        </w:tc>
        <w:tc>
          <w:tcPr>
            <w:tcW w:w="300" w:type="dxa"/>
            <w:vAlign w:val="bottom"/>
            <w:shd w:val="clear" w:color="auto" w:fill="CFF0FC"/>
          </w:tcPr>
          <w:p>
            <w:pPr>
              <w:spacing w:after="0"/>
              <w:rPr>
                <w:sz w:val="18"/>
                <w:szCs w:val="18"/>
                <w:color w:val="auto"/>
              </w:rPr>
            </w:pPr>
          </w:p>
        </w:tc>
        <w:tc>
          <w:tcPr>
            <w:tcW w:w="260" w:type="dxa"/>
            <w:vAlign w:val="bottom"/>
            <w:shd w:val="clear" w:color="auto" w:fill="CFF0FC"/>
          </w:tcPr>
          <w:p>
            <w:pPr>
              <w:jc w:val="right"/>
              <w:ind w:right="70"/>
              <w:spacing w:after="0"/>
              <w:rPr>
                <w:sz w:val="20"/>
                <w:szCs w:val="20"/>
                <w:color w:val="auto"/>
              </w:rPr>
            </w:pPr>
            <w:r>
              <w:rPr>
                <w:rFonts w:ascii="Arial" w:cs="Arial" w:eastAsia="Arial" w:hAnsi="Arial"/>
                <w:sz w:val="18"/>
                <w:szCs w:val="18"/>
                <w:color w:val="auto"/>
                <w:w w:val="79"/>
              </w:rPr>
              <w:t>$</w:t>
            </w:r>
          </w:p>
        </w:tc>
        <w:tc>
          <w:tcPr>
            <w:tcW w:w="9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117,837</w:t>
            </w:r>
          </w:p>
        </w:tc>
        <w:tc>
          <w:tcPr>
            <w:tcW w:w="100" w:type="dxa"/>
            <w:vAlign w:val="bottom"/>
            <w:shd w:val="clear" w:color="auto" w:fill="CFF0FC"/>
          </w:tcPr>
          <w:p>
            <w:pPr>
              <w:spacing w:after="0"/>
              <w:rPr>
                <w:sz w:val="18"/>
                <w:szCs w:val="18"/>
                <w:color w:val="auto"/>
              </w:rPr>
            </w:pPr>
          </w:p>
        </w:tc>
      </w:tr>
      <w:tr>
        <w:trPr>
          <w:trHeight w:val="216"/>
        </w:trPr>
        <w:tc>
          <w:tcPr>
            <w:tcW w:w="5760" w:type="dxa"/>
            <w:vAlign w:val="bottom"/>
          </w:tcPr>
          <w:p>
            <w:pPr>
              <w:ind w:left="20"/>
              <w:spacing w:after="0"/>
              <w:rPr>
                <w:sz w:val="20"/>
                <w:szCs w:val="20"/>
                <w:color w:val="auto"/>
              </w:rPr>
            </w:pPr>
            <w:r>
              <w:rPr>
                <w:rFonts w:ascii="Arial" w:cs="Arial" w:eastAsia="Arial" w:hAnsi="Arial"/>
                <w:sz w:val="18"/>
                <w:szCs w:val="18"/>
                <w:color w:val="auto"/>
              </w:rPr>
              <w:t>Cost of revenue</w:t>
            </w:r>
          </w:p>
        </w:tc>
        <w:tc>
          <w:tcPr>
            <w:tcW w:w="260" w:type="dxa"/>
            <w:vAlign w:val="bottom"/>
            <w:tcBorders>
              <w:bottom w:val="single" w:sz="8" w:color="auto"/>
            </w:tcBorders>
          </w:tcPr>
          <w:p>
            <w:pPr>
              <w:spacing w:after="0"/>
              <w:rPr>
                <w:sz w:val="18"/>
                <w:szCs w:val="18"/>
                <w:color w:val="auto"/>
              </w:rPr>
            </w:pP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18,076</w:t>
            </w:r>
          </w:p>
        </w:tc>
        <w:tc>
          <w:tcPr>
            <w:tcW w:w="240" w:type="dxa"/>
            <w:vAlign w:val="bottom"/>
          </w:tcPr>
          <w:p>
            <w:pPr>
              <w:spacing w:after="0"/>
              <w:rPr>
                <w:sz w:val="18"/>
                <w:szCs w:val="18"/>
                <w:color w:val="auto"/>
              </w:rPr>
            </w:pPr>
          </w:p>
        </w:tc>
        <w:tc>
          <w:tcPr>
            <w:tcW w:w="260" w:type="dxa"/>
            <w:vAlign w:val="bottom"/>
            <w:tcBorders>
              <w:bottom w:val="single" w:sz="8" w:color="auto"/>
            </w:tcBorders>
          </w:tcPr>
          <w:p>
            <w:pPr>
              <w:spacing w:after="0"/>
              <w:rPr>
                <w:sz w:val="18"/>
                <w:szCs w:val="18"/>
                <w:color w:val="auto"/>
              </w:rPr>
            </w:pP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13,982</w:t>
            </w:r>
          </w:p>
        </w:tc>
        <w:tc>
          <w:tcPr>
            <w:tcW w:w="240" w:type="dxa"/>
            <w:vAlign w:val="bottom"/>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51,199</w:t>
            </w:r>
          </w:p>
        </w:tc>
        <w:tc>
          <w:tcPr>
            <w:tcW w:w="300" w:type="dxa"/>
            <w:vAlign w:val="bottom"/>
          </w:tcPr>
          <w:p>
            <w:pPr>
              <w:spacing w:after="0"/>
              <w:rPr>
                <w:sz w:val="18"/>
                <w:szCs w:val="18"/>
                <w:color w:val="auto"/>
              </w:rPr>
            </w:pPr>
          </w:p>
        </w:tc>
        <w:tc>
          <w:tcPr>
            <w:tcW w:w="260" w:type="dxa"/>
            <w:vAlign w:val="bottom"/>
            <w:tcBorders>
              <w:bottom w:val="single" w:sz="8" w:color="auto"/>
            </w:tcBorders>
          </w:tcPr>
          <w:p>
            <w:pPr>
              <w:spacing w:after="0"/>
              <w:rPr>
                <w:sz w:val="18"/>
                <w:szCs w:val="18"/>
                <w:color w:val="auto"/>
              </w:rPr>
            </w:pP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36,372</w:t>
            </w:r>
          </w:p>
        </w:tc>
        <w:tc>
          <w:tcPr>
            <w:tcW w:w="100" w:type="dxa"/>
            <w:vAlign w:val="bottom"/>
          </w:tcPr>
          <w:p>
            <w:pPr>
              <w:spacing w:after="0"/>
              <w:rPr>
                <w:sz w:val="18"/>
                <w:szCs w:val="18"/>
                <w:color w:val="auto"/>
              </w:rPr>
            </w:pPr>
          </w:p>
        </w:tc>
      </w:tr>
      <w:tr>
        <w:trPr>
          <w:trHeight w:val="209"/>
        </w:trPr>
        <w:tc>
          <w:tcPr>
            <w:tcW w:w="5760" w:type="dxa"/>
            <w:vAlign w:val="bottom"/>
            <w:tcBorders>
              <w:bottom w:val="single" w:sz="8" w:color="CFF0FC"/>
            </w:tcBorders>
            <w:shd w:val="clear" w:color="auto" w:fill="CFF0FC"/>
          </w:tcPr>
          <w:p>
            <w:pPr>
              <w:ind w:left="20"/>
              <w:spacing w:after="0"/>
              <w:rPr>
                <w:sz w:val="20"/>
                <w:szCs w:val="20"/>
                <w:color w:val="auto"/>
              </w:rPr>
            </w:pPr>
            <w:r>
              <w:rPr>
                <w:rFonts w:ascii="Arial" w:cs="Arial" w:eastAsia="Arial" w:hAnsi="Arial"/>
                <w:sz w:val="18"/>
                <w:szCs w:val="18"/>
                <w:color w:val="auto"/>
              </w:rPr>
              <w:t>Gross profit</w:t>
            </w:r>
          </w:p>
        </w:tc>
        <w:tc>
          <w:tcPr>
            <w:tcW w:w="260" w:type="dxa"/>
            <w:vAlign w:val="bottom"/>
            <w:tcBorders>
              <w:bottom w:val="single" w:sz="8" w:color="auto"/>
            </w:tcBorders>
            <w:shd w:val="clear" w:color="auto" w:fill="CFF0FC"/>
          </w:tcPr>
          <w:p>
            <w:pPr>
              <w:spacing w:after="0"/>
              <w:rPr>
                <w:sz w:val="18"/>
                <w:szCs w:val="18"/>
                <w:color w:val="auto"/>
              </w:rPr>
            </w:pPr>
          </w:p>
        </w:tc>
        <w:tc>
          <w:tcPr>
            <w:tcW w:w="9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43,538</w:t>
            </w:r>
          </w:p>
        </w:tc>
        <w:tc>
          <w:tcPr>
            <w:tcW w:w="240" w:type="dxa"/>
            <w:vAlign w:val="bottom"/>
            <w:tcBorders>
              <w:bottom w:val="single" w:sz="8" w:color="CFF0FC"/>
            </w:tcBorders>
            <w:shd w:val="clear" w:color="auto" w:fill="CFF0FC"/>
          </w:tcPr>
          <w:p>
            <w:pPr>
              <w:spacing w:after="0"/>
              <w:rPr>
                <w:sz w:val="18"/>
                <w:szCs w:val="18"/>
                <w:color w:val="auto"/>
              </w:rPr>
            </w:pPr>
          </w:p>
        </w:tc>
        <w:tc>
          <w:tcPr>
            <w:tcW w:w="260" w:type="dxa"/>
            <w:vAlign w:val="bottom"/>
            <w:tcBorders>
              <w:bottom w:val="single" w:sz="8" w:color="auto"/>
            </w:tcBorders>
            <w:shd w:val="clear" w:color="auto" w:fill="CFF0FC"/>
          </w:tcPr>
          <w:p>
            <w:pPr>
              <w:spacing w:after="0"/>
              <w:rPr>
                <w:sz w:val="18"/>
                <w:szCs w:val="18"/>
                <w:color w:val="auto"/>
              </w:rPr>
            </w:pPr>
          </w:p>
        </w:tc>
        <w:tc>
          <w:tcPr>
            <w:tcW w:w="9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31,491</w:t>
            </w:r>
          </w:p>
        </w:tc>
        <w:tc>
          <w:tcPr>
            <w:tcW w:w="240" w:type="dxa"/>
            <w:vAlign w:val="bottom"/>
            <w:tcBorders>
              <w:bottom w:val="single" w:sz="8" w:color="CFF0FC"/>
            </w:tcBorders>
            <w:shd w:val="clear" w:color="auto" w:fill="CFF0FC"/>
          </w:tcPr>
          <w:p>
            <w:pPr>
              <w:spacing w:after="0"/>
              <w:rPr>
                <w:sz w:val="18"/>
                <w:szCs w:val="18"/>
                <w:color w:val="auto"/>
              </w:rPr>
            </w:pPr>
          </w:p>
        </w:tc>
        <w:tc>
          <w:tcPr>
            <w:tcW w:w="240" w:type="dxa"/>
            <w:vAlign w:val="bottom"/>
            <w:tcBorders>
              <w:bottom w:val="single" w:sz="8" w:color="auto"/>
            </w:tcBorders>
            <w:shd w:val="clear" w:color="auto" w:fill="CFF0FC"/>
          </w:tcPr>
          <w:p>
            <w:pPr>
              <w:spacing w:after="0"/>
              <w:rPr>
                <w:sz w:val="18"/>
                <w:szCs w:val="18"/>
                <w:color w:val="auto"/>
              </w:rPr>
            </w:pPr>
          </w:p>
        </w:tc>
        <w:tc>
          <w:tcPr>
            <w:tcW w:w="8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121,610</w:t>
            </w:r>
          </w:p>
        </w:tc>
        <w:tc>
          <w:tcPr>
            <w:tcW w:w="300" w:type="dxa"/>
            <w:vAlign w:val="bottom"/>
            <w:tcBorders>
              <w:bottom w:val="single" w:sz="8" w:color="CFF0FC"/>
            </w:tcBorders>
            <w:shd w:val="clear" w:color="auto" w:fill="CFF0FC"/>
          </w:tcPr>
          <w:p>
            <w:pPr>
              <w:spacing w:after="0"/>
              <w:rPr>
                <w:sz w:val="18"/>
                <w:szCs w:val="18"/>
                <w:color w:val="auto"/>
              </w:rPr>
            </w:pPr>
          </w:p>
        </w:tc>
        <w:tc>
          <w:tcPr>
            <w:tcW w:w="260" w:type="dxa"/>
            <w:vAlign w:val="bottom"/>
            <w:tcBorders>
              <w:bottom w:val="single" w:sz="8" w:color="auto"/>
            </w:tcBorders>
            <w:shd w:val="clear" w:color="auto" w:fill="CFF0FC"/>
          </w:tcPr>
          <w:p>
            <w:pPr>
              <w:spacing w:after="0"/>
              <w:rPr>
                <w:sz w:val="18"/>
                <w:szCs w:val="18"/>
                <w:color w:val="auto"/>
              </w:rPr>
            </w:pPr>
          </w:p>
        </w:tc>
        <w:tc>
          <w:tcPr>
            <w:tcW w:w="9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81,465</w:t>
            </w:r>
          </w:p>
        </w:tc>
        <w:tc>
          <w:tcPr>
            <w:tcW w:w="100" w:type="dxa"/>
            <w:vAlign w:val="bottom"/>
            <w:tcBorders>
              <w:bottom w:val="single" w:sz="8" w:color="CFF0FC"/>
            </w:tcBorders>
            <w:shd w:val="clear" w:color="auto" w:fill="CFF0FC"/>
          </w:tcPr>
          <w:p>
            <w:pPr>
              <w:spacing w:after="0"/>
              <w:rPr>
                <w:sz w:val="18"/>
                <w:szCs w:val="18"/>
                <w:color w:val="auto"/>
              </w:rPr>
            </w:pPr>
          </w:p>
        </w:tc>
      </w:tr>
      <w:tr>
        <w:trPr>
          <w:trHeight w:val="209"/>
        </w:trPr>
        <w:tc>
          <w:tcPr>
            <w:tcW w:w="5760" w:type="dxa"/>
            <w:vAlign w:val="bottom"/>
          </w:tcPr>
          <w:p>
            <w:pPr>
              <w:ind w:left="20"/>
              <w:spacing w:after="0"/>
              <w:rPr>
                <w:sz w:val="20"/>
                <w:szCs w:val="20"/>
                <w:color w:val="auto"/>
              </w:rPr>
            </w:pPr>
            <w:r>
              <w:rPr>
                <w:rFonts w:ascii="Arial" w:cs="Arial" w:eastAsia="Arial" w:hAnsi="Arial"/>
                <w:sz w:val="18"/>
                <w:szCs w:val="18"/>
                <w:color w:val="auto"/>
              </w:rPr>
              <w:t>Operating expenses:</w:t>
            </w:r>
          </w:p>
        </w:tc>
        <w:tc>
          <w:tcPr>
            <w:tcW w:w="26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5760" w:type="dxa"/>
            <w:vAlign w:val="bottom"/>
            <w:shd w:val="clear" w:color="auto" w:fill="CFF0FC"/>
          </w:tcPr>
          <w:p>
            <w:pPr>
              <w:ind w:left="200"/>
              <w:spacing w:after="0"/>
              <w:rPr>
                <w:sz w:val="20"/>
                <w:szCs w:val="20"/>
                <w:color w:val="auto"/>
              </w:rPr>
            </w:pPr>
            <w:r>
              <w:rPr>
                <w:rFonts w:ascii="Arial" w:cs="Arial" w:eastAsia="Arial" w:hAnsi="Arial"/>
                <w:sz w:val="18"/>
                <w:szCs w:val="18"/>
                <w:color w:val="auto"/>
              </w:rPr>
              <w:t>Research and development</w:t>
            </w:r>
          </w:p>
        </w:tc>
        <w:tc>
          <w:tcPr>
            <w:tcW w:w="260" w:type="dxa"/>
            <w:vAlign w:val="bottom"/>
            <w:shd w:val="clear" w:color="auto" w:fill="CFF0FC"/>
          </w:tcPr>
          <w:p>
            <w:pPr>
              <w:spacing w:after="0"/>
              <w:rPr>
                <w:sz w:val="18"/>
                <w:szCs w:val="18"/>
                <w:color w:val="auto"/>
              </w:rPr>
            </w:pPr>
          </w:p>
        </w:tc>
        <w:tc>
          <w:tcPr>
            <w:tcW w:w="9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21,590</w:t>
            </w:r>
          </w:p>
        </w:tc>
        <w:tc>
          <w:tcPr>
            <w:tcW w:w="240" w:type="dxa"/>
            <w:vAlign w:val="bottom"/>
            <w:shd w:val="clear" w:color="auto" w:fill="CFF0FC"/>
          </w:tcPr>
          <w:p>
            <w:pPr>
              <w:spacing w:after="0"/>
              <w:rPr>
                <w:sz w:val="18"/>
                <w:szCs w:val="18"/>
                <w:color w:val="auto"/>
              </w:rPr>
            </w:pPr>
          </w:p>
        </w:tc>
        <w:tc>
          <w:tcPr>
            <w:tcW w:w="260" w:type="dxa"/>
            <w:vAlign w:val="bottom"/>
            <w:shd w:val="clear" w:color="auto" w:fill="CFF0FC"/>
          </w:tcPr>
          <w:p>
            <w:pPr>
              <w:spacing w:after="0"/>
              <w:rPr>
                <w:sz w:val="18"/>
                <w:szCs w:val="18"/>
                <w:color w:val="auto"/>
              </w:rPr>
            </w:pPr>
          </w:p>
        </w:tc>
        <w:tc>
          <w:tcPr>
            <w:tcW w:w="9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18,493</w:t>
            </w:r>
          </w:p>
        </w:tc>
        <w:tc>
          <w:tcPr>
            <w:tcW w:w="240" w:type="dxa"/>
            <w:vAlign w:val="bottom"/>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8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58,397</w:t>
            </w:r>
          </w:p>
        </w:tc>
        <w:tc>
          <w:tcPr>
            <w:tcW w:w="300" w:type="dxa"/>
            <w:vAlign w:val="bottom"/>
            <w:shd w:val="clear" w:color="auto" w:fill="CFF0FC"/>
          </w:tcPr>
          <w:p>
            <w:pPr>
              <w:spacing w:after="0"/>
              <w:rPr>
                <w:sz w:val="18"/>
                <w:szCs w:val="18"/>
                <w:color w:val="auto"/>
              </w:rPr>
            </w:pPr>
          </w:p>
        </w:tc>
        <w:tc>
          <w:tcPr>
            <w:tcW w:w="260" w:type="dxa"/>
            <w:vAlign w:val="bottom"/>
            <w:shd w:val="clear" w:color="auto" w:fill="CFF0FC"/>
          </w:tcPr>
          <w:p>
            <w:pPr>
              <w:spacing w:after="0"/>
              <w:rPr>
                <w:sz w:val="18"/>
                <w:szCs w:val="18"/>
                <w:color w:val="auto"/>
              </w:rPr>
            </w:pPr>
          </w:p>
        </w:tc>
        <w:tc>
          <w:tcPr>
            <w:tcW w:w="9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34,022</w:t>
            </w:r>
          </w:p>
        </w:tc>
        <w:tc>
          <w:tcPr>
            <w:tcW w:w="100" w:type="dxa"/>
            <w:vAlign w:val="bottom"/>
            <w:shd w:val="clear" w:color="auto" w:fill="CFF0FC"/>
          </w:tcPr>
          <w:p>
            <w:pPr>
              <w:spacing w:after="0"/>
              <w:rPr>
                <w:sz w:val="18"/>
                <w:szCs w:val="18"/>
                <w:color w:val="auto"/>
              </w:rPr>
            </w:pPr>
          </w:p>
        </w:tc>
      </w:tr>
      <w:tr>
        <w:trPr>
          <w:trHeight w:val="216"/>
        </w:trPr>
        <w:tc>
          <w:tcPr>
            <w:tcW w:w="5760" w:type="dxa"/>
            <w:vAlign w:val="bottom"/>
          </w:tcPr>
          <w:p>
            <w:pPr>
              <w:ind w:left="200"/>
              <w:spacing w:after="0"/>
              <w:rPr>
                <w:sz w:val="20"/>
                <w:szCs w:val="20"/>
                <w:color w:val="auto"/>
              </w:rPr>
            </w:pPr>
            <w:r>
              <w:rPr>
                <w:rFonts w:ascii="Arial" w:cs="Arial" w:eastAsia="Arial" w:hAnsi="Arial"/>
                <w:sz w:val="18"/>
                <w:szCs w:val="18"/>
                <w:color w:val="auto"/>
              </w:rPr>
              <w:t>Sales and marketing</w:t>
            </w:r>
          </w:p>
        </w:tc>
        <w:tc>
          <w:tcPr>
            <w:tcW w:w="26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32,528</w:t>
            </w:r>
          </w:p>
        </w:tc>
        <w:tc>
          <w:tcPr>
            <w:tcW w:w="2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22,199</w:t>
            </w:r>
          </w:p>
        </w:tc>
        <w:tc>
          <w:tcPr>
            <w:tcW w:w="2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94,793</w:t>
            </w:r>
          </w:p>
        </w:tc>
        <w:tc>
          <w:tcPr>
            <w:tcW w:w="3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59,009</w:t>
            </w:r>
          </w:p>
        </w:tc>
        <w:tc>
          <w:tcPr>
            <w:tcW w:w="100" w:type="dxa"/>
            <w:vAlign w:val="bottom"/>
          </w:tcPr>
          <w:p>
            <w:pPr>
              <w:spacing w:after="0"/>
              <w:rPr>
                <w:sz w:val="18"/>
                <w:szCs w:val="18"/>
                <w:color w:val="auto"/>
              </w:rPr>
            </w:pPr>
          </w:p>
        </w:tc>
      </w:tr>
      <w:tr>
        <w:trPr>
          <w:trHeight w:val="216"/>
        </w:trPr>
        <w:tc>
          <w:tcPr>
            <w:tcW w:w="5760" w:type="dxa"/>
            <w:vAlign w:val="bottom"/>
            <w:tcBorders>
              <w:bottom w:val="single" w:sz="8" w:color="CFF0FC"/>
            </w:tcBorders>
            <w:shd w:val="clear" w:color="auto" w:fill="CFF0FC"/>
          </w:tcPr>
          <w:p>
            <w:pPr>
              <w:ind w:left="200"/>
              <w:spacing w:after="0"/>
              <w:rPr>
                <w:sz w:val="20"/>
                <w:szCs w:val="20"/>
                <w:color w:val="auto"/>
              </w:rPr>
            </w:pPr>
            <w:r>
              <w:rPr>
                <w:rFonts w:ascii="Arial" w:cs="Arial" w:eastAsia="Arial" w:hAnsi="Arial"/>
                <w:sz w:val="18"/>
                <w:szCs w:val="18"/>
                <w:color w:val="auto"/>
              </w:rPr>
              <w:t>General and administrative</w:t>
            </w:r>
          </w:p>
        </w:tc>
        <w:tc>
          <w:tcPr>
            <w:tcW w:w="260" w:type="dxa"/>
            <w:vAlign w:val="bottom"/>
            <w:tcBorders>
              <w:bottom w:val="single" w:sz="8" w:color="auto"/>
            </w:tcBorders>
            <w:shd w:val="clear" w:color="auto" w:fill="CFF0FC"/>
          </w:tcPr>
          <w:p>
            <w:pPr>
              <w:spacing w:after="0"/>
              <w:rPr>
                <w:sz w:val="18"/>
                <w:szCs w:val="18"/>
                <w:color w:val="auto"/>
              </w:rPr>
            </w:pPr>
          </w:p>
        </w:tc>
        <w:tc>
          <w:tcPr>
            <w:tcW w:w="9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13,610</w:t>
            </w:r>
          </w:p>
        </w:tc>
        <w:tc>
          <w:tcPr>
            <w:tcW w:w="240" w:type="dxa"/>
            <w:vAlign w:val="bottom"/>
            <w:tcBorders>
              <w:bottom w:val="single" w:sz="8" w:color="CFF0FC"/>
            </w:tcBorders>
            <w:shd w:val="clear" w:color="auto" w:fill="CFF0FC"/>
          </w:tcPr>
          <w:p>
            <w:pPr>
              <w:spacing w:after="0"/>
              <w:rPr>
                <w:sz w:val="18"/>
                <w:szCs w:val="18"/>
                <w:color w:val="auto"/>
              </w:rPr>
            </w:pPr>
          </w:p>
        </w:tc>
        <w:tc>
          <w:tcPr>
            <w:tcW w:w="260" w:type="dxa"/>
            <w:vAlign w:val="bottom"/>
            <w:tcBorders>
              <w:bottom w:val="single" w:sz="8" w:color="auto"/>
            </w:tcBorders>
            <w:shd w:val="clear" w:color="auto" w:fill="CFF0FC"/>
          </w:tcPr>
          <w:p>
            <w:pPr>
              <w:spacing w:after="0"/>
              <w:rPr>
                <w:sz w:val="18"/>
                <w:szCs w:val="18"/>
                <w:color w:val="auto"/>
              </w:rPr>
            </w:pPr>
          </w:p>
        </w:tc>
        <w:tc>
          <w:tcPr>
            <w:tcW w:w="9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27,567</w:t>
            </w:r>
          </w:p>
        </w:tc>
        <w:tc>
          <w:tcPr>
            <w:tcW w:w="240" w:type="dxa"/>
            <w:vAlign w:val="bottom"/>
            <w:tcBorders>
              <w:bottom w:val="single" w:sz="8" w:color="CFF0FC"/>
            </w:tcBorders>
            <w:shd w:val="clear" w:color="auto" w:fill="CFF0FC"/>
          </w:tcPr>
          <w:p>
            <w:pPr>
              <w:spacing w:after="0"/>
              <w:rPr>
                <w:sz w:val="18"/>
                <w:szCs w:val="18"/>
                <w:color w:val="auto"/>
              </w:rPr>
            </w:pPr>
          </w:p>
        </w:tc>
        <w:tc>
          <w:tcPr>
            <w:tcW w:w="240" w:type="dxa"/>
            <w:vAlign w:val="bottom"/>
            <w:tcBorders>
              <w:bottom w:val="single" w:sz="8" w:color="auto"/>
            </w:tcBorders>
            <w:shd w:val="clear" w:color="auto" w:fill="CFF0FC"/>
          </w:tcPr>
          <w:p>
            <w:pPr>
              <w:spacing w:after="0"/>
              <w:rPr>
                <w:sz w:val="18"/>
                <w:szCs w:val="18"/>
                <w:color w:val="auto"/>
              </w:rPr>
            </w:pPr>
          </w:p>
        </w:tc>
        <w:tc>
          <w:tcPr>
            <w:tcW w:w="8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39,184</w:t>
            </w:r>
          </w:p>
        </w:tc>
        <w:tc>
          <w:tcPr>
            <w:tcW w:w="300" w:type="dxa"/>
            <w:vAlign w:val="bottom"/>
            <w:tcBorders>
              <w:bottom w:val="single" w:sz="8" w:color="CFF0FC"/>
            </w:tcBorders>
            <w:shd w:val="clear" w:color="auto" w:fill="CFF0FC"/>
          </w:tcPr>
          <w:p>
            <w:pPr>
              <w:spacing w:after="0"/>
              <w:rPr>
                <w:sz w:val="18"/>
                <w:szCs w:val="18"/>
                <w:color w:val="auto"/>
              </w:rPr>
            </w:pPr>
          </w:p>
        </w:tc>
        <w:tc>
          <w:tcPr>
            <w:tcW w:w="260" w:type="dxa"/>
            <w:vAlign w:val="bottom"/>
            <w:tcBorders>
              <w:bottom w:val="single" w:sz="8" w:color="auto"/>
            </w:tcBorders>
            <w:shd w:val="clear" w:color="auto" w:fill="CFF0FC"/>
          </w:tcPr>
          <w:p>
            <w:pPr>
              <w:spacing w:after="0"/>
              <w:rPr>
                <w:sz w:val="18"/>
                <w:szCs w:val="18"/>
                <w:color w:val="auto"/>
              </w:rPr>
            </w:pPr>
          </w:p>
        </w:tc>
        <w:tc>
          <w:tcPr>
            <w:tcW w:w="9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41,098</w:t>
            </w:r>
          </w:p>
        </w:tc>
        <w:tc>
          <w:tcPr>
            <w:tcW w:w="100" w:type="dxa"/>
            <w:vAlign w:val="bottom"/>
            <w:tcBorders>
              <w:bottom w:val="single" w:sz="8" w:color="CFF0FC"/>
            </w:tcBorders>
            <w:shd w:val="clear" w:color="auto" w:fill="CFF0FC"/>
          </w:tcPr>
          <w:p>
            <w:pPr>
              <w:spacing w:after="0"/>
              <w:rPr>
                <w:sz w:val="18"/>
                <w:szCs w:val="18"/>
                <w:color w:val="auto"/>
              </w:rPr>
            </w:pPr>
          </w:p>
        </w:tc>
      </w:tr>
      <w:tr>
        <w:trPr>
          <w:trHeight w:val="209"/>
        </w:trPr>
        <w:tc>
          <w:tcPr>
            <w:tcW w:w="5760" w:type="dxa"/>
            <w:vAlign w:val="bottom"/>
          </w:tcPr>
          <w:p>
            <w:pPr>
              <w:ind w:left="380"/>
              <w:spacing w:after="0"/>
              <w:rPr>
                <w:sz w:val="20"/>
                <w:szCs w:val="20"/>
                <w:color w:val="auto"/>
              </w:rPr>
            </w:pPr>
            <w:r>
              <w:rPr>
                <w:rFonts w:ascii="Arial" w:cs="Arial" w:eastAsia="Arial" w:hAnsi="Arial"/>
                <w:sz w:val="18"/>
                <w:szCs w:val="18"/>
                <w:color w:val="auto"/>
              </w:rPr>
              <w:t>Total operating expenses</w:t>
            </w:r>
          </w:p>
        </w:tc>
        <w:tc>
          <w:tcPr>
            <w:tcW w:w="260" w:type="dxa"/>
            <w:vAlign w:val="bottom"/>
            <w:tcBorders>
              <w:bottom w:val="single" w:sz="8" w:color="auto"/>
            </w:tcBorders>
          </w:tcPr>
          <w:p>
            <w:pPr>
              <w:spacing w:after="0"/>
              <w:rPr>
                <w:sz w:val="18"/>
                <w:szCs w:val="18"/>
                <w:color w:val="auto"/>
              </w:rPr>
            </w:pP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67,728</w:t>
            </w:r>
          </w:p>
        </w:tc>
        <w:tc>
          <w:tcPr>
            <w:tcW w:w="240" w:type="dxa"/>
            <w:vAlign w:val="bottom"/>
          </w:tcPr>
          <w:p>
            <w:pPr>
              <w:spacing w:after="0"/>
              <w:rPr>
                <w:sz w:val="18"/>
                <w:szCs w:val="18"/>
                <w:color w:val="auto"/>
              </w:rPr>
            </w:pPr>
          </w:p>
        </w:tc>
        <w:tc>
          <w:tcPr>
            <w:tcW w:w="260" w:type="dxa"/>
            <w:vAlign w:val="bottom"/>
            <w:tcBorders>
              <w:bottom w:val="single" w:sz="8" w:color="auto"/>
            </w:tcBorders>
          </w:tcPr>
          <w:p>
            <w:pPr>
              <w:spacing w:after="0"/>
              <w:rPr>
                <w:sz w:val="18"/>
                <w:szCs w:val="18"/>
                <w:color w:val="auto"/>
              </w:rPr>
            </w:pP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68,259</w:t>
            </w:r>
          </w:p>
        </w:tc>
        <w:tc>
          <w:tcPr>
            <w:tcW w:w="240" w:type="dxa"/>
            <w:vAlign w:val="bottom"/>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192,374</w:t>
            </w:r>
          </w:p>
        </w:tc>
        <w:tc>
          <w:tcPr>
            <w:tcW w:w="300" w:type="dxa"/>
            <w:vAlign w:val="bottom"/>
          </w:tcPr>
          <w:p>
            <w:pPr>
              <w:spacing w:after="0"/>
              <w:rPr>
                <w:sz w:val="18"/>
                <w:szCs w:val="18"/>
                <w:color w:val="auto"/>
              </w:rPr>
            </w:pPr>
          </w:p>
        </w:tc>
        <w:tc>
          <w:tcPr>
            <w:tcW w:w="260" w:type="dxa"/>
            <w:vAlign w:val="bottom"/>
            <w:tcBorders>
              <w:bottom w:val="single" w:sz="8" w:color="auto"/>
            </w:tcBorders>
          </w:tcPr>
          <w:p>
            <w:pPr>
              <w:spacing w:after="0"/>
              <w:rPr>
                <w:sz w:val="18"/>
                <w:szCs w:val="18"/>
                <w:color w:val="auto"/>
              </w:rPr>
            </w:pP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134,129</w:t>
            </w:r>
          </w:p>
        </w:tc>
        <w:tc>
          <w:tcPr>
            <w:tcW w:w="100" w:type="dxa"/>
            <w:vAlign w:val="bottom"/>
          </w:tcPr>
          <w:p>
            <w:pPr>
              <w:spacing w:after="0"/>
              <w:rPr>
                <w:sz w:val="18"/>
                <w:szCs w:val="18"/>
                <w:color w:val="auto"/>
              </w:rPr>
            </w:pPr>
          </w:p>
        </w:tc>
      </w:tr>
      <w:tr>
        <w:trPr>
          <w:trHeight w:val="209"/>
        </w:trPr>
        <w:tc>
          <w:tcPr>
            <w:tcW w:w="5760" w:type="dxa"/>
            <w:vAlign w:val="bottom"/>
            <w:tcBorders>
              <w:bottom w:val="single" w:sz="8" w:color="CFF0FC"/>
            </w:tcBorders>
            <w:shd w:val="clear" w:color="auto" w:fill="CFF0FC"/>
          </w:tcPr>
          <w:p>
            <w:pPr>
              <w:ind w:left="20"/>
              <w:spacing w:after="0"/>
              <w:rPr>
                <w:sz w:val="20"/>
                <w:szCs w:val="20"/>
                <w:color w:val="auto"/>
              </w:rPr>
            </w:pPr>
            <w:r>
              <w:rPr>
                <w:rFonts w:ascii="Arial" w:cs="Arial" w:eastAsia="Arial" w:hAnsi="Arial"/>
                <w:sz w:val="18"/>
                <w:szCs w:val="18"/>
                <w:color w:val="auto"/>
              </w:rPr>
              <w:t>Other income, net</w:t>
            </w:r>
          </w:p>
        </w:tc>
        <w:tc>
          <w:tcPr>
            <w:tcW w:w="260" w:type="dxa"/>
            <w:vAlign w:val="bottom"/>
            <w:tcBorders>
              <w:bottom w:val="single" w:sz="8" w:color="auto"/>
            </w:tcBorders>
            <w:shd w:val="clear" w:color="auto" w:fill="CFF0FC"/>
          </w:tcPr>
          <w:p>
            <w:pPr>
              <w:spacing w:after="0"/>
              <w:rPr>
                <w:sz w:val="18"/>
                <w:szCs w:val="18"/>
                <w:color w:val="auto"/>
              </w:rPr>
            </w:pPr>
          </w:p>
        </w:tc>
        <w:tc>
          <w:tcPr>
            <w:tcW w:w="9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1,442</w:t>
            </w:r>
          </w:p>
        </w:tc>
        <w:tc>
          <w:tcPr>
            <w:tcW w:w="240" w:type="dxa"/>
            <w:vAlign w:val="bottom"/>
            <w:tcBorders>
              <w:bottom w:val="single" w:sz="8" w:color="CFF0FC"/>
            </w:tcBorders>
            <w:shd w:val="clear" w:color="auto" w:fill="CFF0FC"/>
          </w:tcPr>
          <w:p>
            <w:pPr>
              <w:spacing w:after="0"/>
              <w:rPr>
                <w:sz w:val="18"/>
                <w:szCs w:val="18"/>
                <w:color w:val="auto"/>
              </w:rPr>
            </w:pPr>
          </w:p>
        </w:tc>
        <w:tc>
          <w:tcPr>
            <w:tcW w:w="260" w:type="dxa"/>
            <w:vAlign w:val="bottom"/>
            <w:tcBorders>
              <w:bottom w:val="single" w:sz="8" w:color="auto"/>
            </w:tcBorders>
            <w:shd w:val="clear" w:color="auto" w:fill="CFF0FC"/>
          </w:tcPr>
          <w:p>
            <w:pPr>
              <w:spacing w:after="0"/>
              <w:rPr>
                <w:sz w:val="18"/>
                <w:szCs w:val="18"/>
                <w:color w:val="auto"/>
              </w:rPr>
            </w:pPr>
          </w:p>
        </w:tc>
        <w:tc>
          <w:tcPr>
            <w:tcW w:w="9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123</w:t>
            </w:r>
          </w:p>
        </w:tc>
        <w:tc>
          <w:tcPr>
            <w:tcW w:w="240" w:type="dxa"/>
            <w:vAlign w:val="bottom"/>
            <w:tcBorders>
              <w:bottom w:val="single" w:sz="8" w:color="CFF0FC"/>
            </w:tcBorders>
            <w:shd w:val="clear" w:color="auto" w:fill="CFF0FC"/>
          </w:tcPr>
          <w:p>
            <w:pPr>
              <w:spacing w:after="0"/>
              <w:rPr>
                <w:sz w:val="18"/>
                <w:szCs w:val="18"/>
                <w:color w:val="auto"/>
              </w:rPr>
            </w:pPr>
          </w:p>
        </w:tc>
        <w:tc>
          <w:tcPr>
            <w:tcW w:w="240" w:type="dxa"/>
            <w:vAlign w:val="bottom"/>
            <w:tcBorders>
              <w:bottom w:val="single" w:sz="8" w:color="auto"/>
            </w:tcBorders>
            <w:shd w:val="clear" w:color="auto" w:fill="CFF0FC"/>
          </w:tcPr>
          <w:p>
            <w:pPr>
              <w:spacing w:after="0"/>
              <w:rPr>
                <w:sz w:val="18"/>
                <w:szCs w:val="18"/>
                <w:color w:val="auto"/>
              </w:rPr>
            </w:pPr>
          </w:p>
        </w:tc>
        <w:tc>
          <w:tcPr>
            <w:tcW w:w="8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1,821</w:t>
            </w:r>
          </w:p>
        </w:tc>
        <w:tc>
          <w:tcPr>
            <w:tcW w:w="300" w:type="dxa"/>
            <w:vAlign w:val="bottom"/>
            <w:tcBorders>
              <w:bottom w:val="single" w:sz="8" w:color="CFF0FC"/>
            </w:tcBorders>
            <w:shd w:val="clear" w:color="auto" w:fill="CFF0FC"/>
          </w:tcPr>
          <w:p>
            <w:pPr>
              <w:spacing w:after="0"/>
              <w:rPr>
                <w:sz w:val="18"/>
                <w:szCs w:val="18"/>
                <w:color w:val="auto"/>
              </w:rPr>
            </w:pPr>
          </w:p>
        </w:tc>
        <w:tc>
          <w:tcPr>
            <w:tcW w:w="260" w:type="dxa"/>
            <w:vAlign w:val="bottom"/>
            <w:tcBorders>
              <w:bottom w:val="single" w:sz="8" w:color="auto"/>
            </w:tcBorders>
            <w:shd w:val="clear" w:color="auto" w:fill="CFF0FC"/>
          </w:tcPr>
          <w:p>
            <w:pPr>
              <w:spacing w:after="0"/>
              <w:rPr>
                <w:sz w:val="18"/>
                <w:szCs w:val="18"/>
                <w:color w:val="auto"/>
              </w:rPr>
            </w:pPr>
          </w:p>
        </w:tc>
        <w:tc>
          <w:tcPr>
            <w:tcW w:w="9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143</w:t>
            </w:r>
          </w:p>
        </w:tc>
        <w:tc>
          <w:tcPr>
            <w:tcW w:w="100" w:type="dxa"/>
            <w:vAlign w:val="bottom"/>
            <w:tcBorders>
              <w:bottom w:val="single" w:sz="8" w:color="CFF0FC"/>
            </w:tcBorders>
            <w:shd w:val="clear" w:color="auto" w:fill="CFF0FC"/>
          </w:tcPr>
          <w:p>
            <w:pPr>
              <w:spacing w:after="0"/>
              <w:rPr>
                <w:sz w:val="18"/>
                <w:szCs w:val="18"/>
                <w:color w:val="auto"/>
              </w:rPr>
            </w:pPr>
          </w:p>
        </w:tc>
      </w:tr>
      <w:tr>
        <w:trPr>
          <w:trHeight w:val="209"/>
        </w:trPr>
        <w:tc>
          <w:tcPr>
            <w:tcW w:w="5760" w:type="dxa"/>
            <w:vAlign w:val="bottom"/>
          </w:tcPr>
          <w:p>
            <w:pPr>
              <w:ind w:left="380"/>
              <w:spacing w:after="0"/>
              <w:rPr>
                <w:sz w:val="20"/>
                <w:szCs w:val="20"/>
                <w:color w:val="auto"/>
              </w:rPr>
            </w:pPr>
            <w:r>
              <w:rPr>
                <w:rFonts w:ascii="Arial" w:cs="Arial" w:eastAsia="Arial" w:hAnsi="Arial"/>
                <w:sz w:val="18"/>
                <w:szCs w:val="18"/>
                <w:color w:val="auto"/>
              </w:rPr>
              <w:t>Loss before provision for (benefit from) income taxes</w:t>
            </w:r>
          </w:p>
        </w:tc>
        <w:tc>
          <w:tcPr>
            <w:tcW w:w="260" w:type="dxa"/>
            <w:vAlign w:val="bottom"/>
          </w:tcPr>
          <w:p>
            <w:pPr>
              <w:spacing w:after="0"/>
              <w:rPr>
                <w:sz w:val="18"/>
                <w:szCs w:val="18"/>
                <w:color w:val="auto"/>
              </w:rPr>
            </w:pPr>
          </w:p>
        </w:tc>
        <w:tc>
          <w:tcPr>
            <w:tcW w:w="1140" w:type="dxa"/>
            <w:vAlign w:val="bottom"/>
            <w:gridSpan w:val="2"/>
          </w:tcPr>
          <w:p>
            <w:pPr>
              <w:jc w:val="right"/>
              <w:ind w:right="101"/>
              <w:spacing w:after="0"/>
              <w:rPr>
                <w:sz w:val="20"/>
                <w:szCs w:val="20"/>
                <w:color w:val="auto"/>
              </w:rPr>
            </w:pPr>
            <w:r>
              <w:rPr>
                <w:rFonts w:ascii="Arial" w:cs="Arial" w:eastAsia="Arial" w:hAnsi="Arial"/>
                <w:sz w:val="18"/>
                <w:szCs w:val="18"/>
                <w:color w:val="auto"/>
              </w:rPr>
              <w:t>(22,748 )</w:t>
            </w:r>
          </w:p>
        </w:tc>
        <w:tc>
          <w:tcPr>
            <w:tcW w:w="260" w:type="dxa"/>
            <w:vAlign w:val="bottom"/>
          </w:tcPr>
          <w:p>
            <w:pPr>
              <w:spacing w:after="0"/>
              <w:rPr>
                <w:sz w:val="18"/>
                <w:szCs w:val="18"/>
                <w:color w:val="auto"/>
              </w:rPr>
            </w:pPr>
          </w:p>
        </w:tc>
        <w:tc>
          <w:tcPr>
            <w:tcW w:w="1140" w:type="dxa"/>
            <w:vAlign w:val="bottom"/>
            <w:gridSpan w:val="2"/>
          </w:tcPr>
          <w:p>
            <w:pPr>
              <w:jc w:val="right"/>
              <w:ind w:right="70"/>
              <w:spacing w:after="0"/>
              <w:rPr>
                <w:sz w:val="20"/>
                <w:szCs w:val="20"/>
                <w:color w:val="auto"/>
              </w:rPr>
            </w:pPr>
            <w:r>
              <w:rPr>
                <w:rFonts w:ascii="Arial" w:cs="Arial" w:eastAsia="Arial" w:hAnsi="Arial"/>
                <w:sz w:val="18"/>
                <w:szCs w:val="18"/>
                <w:color w:val="auto"/>
              </w:rPr>
              <w:t>(36,645 )</w:t>
            </w:r>
          </w:p>
        </w:tc>
        <w:tc>
          <w:tcPr>
            <w:tcW w:w="240" w:type="dxa"/>
            <w:vAlign w:val="bottom"/>
          </w:tcPr>
          <w:p>
            <w:pPr>
              <w:spacing w:after="0"/>
              <w:rPr>
                <w:sz w:val="18"/>
                <w:szCs w:val="18"/>
                <w:color w:val="auto"/>
              </w:rPr>
            </w:pPr>
          </w:p>
        </w:tc>
        <w:tc>
          <w:tcPr>
            <w:tcW w:w="1180" w:type="dxa"/>
            <w:vAlign w:val="bottom"/>
            <w:gridSpan w:val="2"/>
          </w:tcPr>
          <w:p>
            <w:pPr>
              <w:jc w:val="right"/>
              <w:ind w:right="161"/>
              <w:spacing w:after="0"/>
              <w:rPr>
                <w:sz w:val="20"/>
                <w:szCs w:val="20"/>
                <w:color w:val="auto"/>
              </w:rPr>
            </w:pPr>
            <w:r>
              <w:rPr>
                <w:rFonts w:ascii="Arial" w:cs="Arial" w:eastAsia="Arial" w:hAnsi="Arial"/>
                <w:sz w:val="18"/>
                <w:szCs w:val="18"/>
                <w:color w:val="auto"/>
              </w:rPr>
              <w:t>(68,943 )</w:t>
            </w:r>
          </w:p>
        </w:tc>
        <w:tc>
          <w:tcPr>
            <w:tcW w:w="260" w:type="dxa"/>
            <w:vAlign w:val="bottom"/>
          </w:tcPr>
          <w:p>
            <w:pPr>
              <w:spacing w:after="0"/>
              <w:rPr>
                <w:sz w:val="18"/>
                <w:szCs w:val="18"/>
                <w:color w:val="auto"/>
              </w:rPr>
            </w:pPr>
          </w:p>
        </w:tc>
        <w:tc>
          <w:tcPr>
            <w:tcW w:w="1000" w:type="dxa"/>
            <w:vAlign w:val="bottom"/>
            <w:gridSpan w:val="2"/>
          </w:tcPr>
          <w:p>
            <w:pPr>
              <w:jc w:val="right"/>
              <w:spacing w:after="0"/>
              <w:rPr>
                <w:sz w:val="20"/>
                <w:szCs w:val="20"/>
                <w:color w:val="auto"/>
              </w:rPr>
            </w:pPr>
            <w:r>
              <w:rPr>
                <w:rFonts w:ascii="Arial" w:cs="Arial" w:eastAsia="Arial" w:hAnsi="Arial"/>
                <w:sz w:val="18"/>
                <w:szCs w:val="18"/>
                <w:color w:val="auto"/>
              </w:rPr>
              <w:t>(52,521 )</w:t>
            </w:r>
          </w:p>
        </w:tc>
      </w:tr>
      <w:tr>
        <w:trPr>
          <w:trHeight w:val="216"/>
        </w:trPr>
        <w:tc>
          <w:tcPr>
            <w:tcW w:w="5760" w:type="dxa"/>
            <w:vAlign w:val="bottom"/>
            <w:shd w:val="clear" w:color="auto" w:fill="CFF0FC"/>
          </w:tcPr>
          <w:p>
            <w:pPr>
              <w:ind w:left="20"/>
              <w:spacing w:after="0"/>
              <w:rPr>
                <w:sz w:val="20"/>
                <w:szCs w:val="20"/>
                <w:color w:val="auto"/>
              </w:rPr>
            </w:pPr>
            <w:r>
              <w:rPr>
                <w:rFonts w:ascii="Arial" w:cs="Arial" w:eastAsia="Arial" w:hAnsi="Arial"/>
                <w:sz w:val="18"/>
                <w:szCs w:val="18"/>
                <w:color w:val="auto"/>
              </w:rPr>
              <w:t>Provision for (benefit from) income taxes</w:t>
            </w:r>
          </w:p>
        </w:tc>
        <w:tc>
          <w:tcPr>
            <w:tcW w:w="260" w:type="dxa"/>
            <w:vAlign w:val="bottom"/>
            <w:shd w:val="clear" w:color="auto" w:fill="CFF0FC"/>
          </w:tcPr>
          <w:p>
            <w:pPr>
              <w:spacing w:after="0"/>
              <w:rPr>
                <w:sz w:val="18"/>
                <w:szCs w:val="18"/>
                <w:color w:val="auto"/>
              </w:rPr>
            </w:pPr>
          </w:p>
        </w:tc>
        <w:tc>
          <w:tcPr>
            <w:tcW w:w="1140" w:type="dxa"/>
            <w:vAlign w:val="bottom"/>
            <w:gridSpan w:val="2"/>
            <w:shd w:val="clear" w:color="auto" w:fill="CFF0FC"/>
          </w:tcPr>
          <w:p>
            <w:pPr>
              <w:jc w:val="right"/>
              <w:ind w:right="101"/>
              <w:spacing w:after="0"/>
              <w:rPr>
                <w:sz w:val="20"/>
                <w:szCs w:val="20"/>
                <w:color w:val="auto"/>
              </w:rPr>
            </w:pPr>
            <w:r>
              <w:rPr>
                <w:rFonts w:ascii="Arial" w:cs="Arial" w:eastAsia="Arial" w:hAnsi="Arial"/>
                <w:sz w:val="18"/>
                <w:szCs w:val="18"/>
                <w:color w:val="auto"/>
              </w:rPr>
              <w:t>(204 )</w:t>
            </w:r>
          </w:p>
        </w:tc>
        <w:tc>
          <w:tcPr>
            <w:tcW w:w="260" w:type="dxa"/>
            <w:vAlign w:val="bottom"/>
            <w:shd w:val="clear" w:color="auto" w:fill="CFF0FC"/>
          </w:tcPr>
          <w:p>
            <w:pPr>
              <w:spacing w:after="0"/>
              <w:rPr>
                <w:sz w:val="18"/>
                <w:szCs w:val="18"/>
                <w:color w:val="auto"/>
              </w:rPr>
            </w:pPr>
          </w:p>
        </w:tc>
        <w:tc>
          <w:tcPr>
            <w:tcW w:w="1140" w:type="dxa"/>
            <w:vAlign w:val="bottom"/>
            <w:gridSpan w:val="2"/>
            <w:shd w:val="clear" w:color="auto" w:fill="CFF0FC"/>
          </w:tcPr>
          <w:p>
            <w:pPr>
              <w:jc w:val="right"/>
              <w:ind w:right="70"/>
              <w:spacing w:after="0"/>
              <w:rPr>
                <w:sz w:val="20"/>
                <w:szCs w:val="20"/>
                <w:color w:val="auto"/>
              </w:rPr>
            </w:pPr>
            <w:r>
              <w:rPr>
                <w:rFonts w:ascii="Arial" w:cs="Arial" w:eastAsia="Arial" w:hAnsi="Arial"/>
                <w:sz w:val="18"/>
                <w:szCs w:val="18"/>
                <w:color w:val="auto"/>
              </w:rPr>
              <w:t>(86 )</w:t>
            </w:r>
          </w:p>
        </w:tc>
        <w:tc>
          <w:tcPr>
            <w:tcW w:w="240" w:type="dxa"/>
            <w:vAlign w:val="bottom"/>
            <w:shd w:val="clear" w:color="auto" w:fill="CFF0FC"/>
          </w:tcPr>
          <w:p>
            <w:pPr>
              <w:spacing w:after="0"/>
              <w:rPr>
                <w:sz w:val="18"/>
                <w:szCs w:val="18"/>
                <w:color w:val="auto"/>
              </w:rPr>
            </w:pPr>
          </w:p>
        </w:tc>
        <w:tc>
          <w:tcPr>
            <w:tcW w:w="8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389</w:t>
            </w:r>
          </w:p>
        </w:tc>
        <w:tc>
          <w:tcPr>
            <w:tcW w:w="300" w:type="dxa"/>
            <w:vAlign w:val="bottom"/>
            <w:shd w:val="clear" w:color="auto" w:fill="CFF0FC"/>
          </w:tcPr>
          <w:p>
            <w:pPr>
              <w:spacing w:after="0"/>
              <w:rPr>
                <w:sz w:val="18"/>
                <w:szCs w:val="18"/>
                <w:color w:val="auto"/>
              </w:rPr>
            </w:pPr>
          </w:p>
        </w:tc>
        <w:tc>
          <w:tcPr>
            <w:tcW w:w="260" w:type="dxa"/>
            <w:vAlign w:val="bottom"/>
            <w:shd w:val="clear" w:color="auto" w:fill="CFF0FC"/>
          </w:tcPr>
          <w:p>
            <w:pPr>
              <w:spacing w:after="0"/>
              <w:rPr>
                <w:sz w:val="18"/>
                <w:szCs w:val="18"/>
                <w:color w:val="auto"/>
              </w:rPr>
            </w:pPr>
          </w:p>
        </w:tc>
        <w:tc>
          <w:tcPr>
            <w:tcW w:w="9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560</w:t>
            </w:r>
          </w:p>
        </w:tc>
        <w:tc>
          <w:tcPr>
            <w:tcW w:w="100" w:type="dxa"/>
            <w:vAlign w:val="bottom"/>
            <w:shd w:val="clear" w:color="auto" w:fill="CFF0FC"/>
          </w:tcPr>
          <w:p>
            <w:pPr>
              <w:spacing w:after="0"/>
              <w:rPr>
                <w:sz w:val="18"/>
                <w:szCs w:val="18"/>
                <w:color w:val="auto"/>
              </w:rPr>
            </w:pPr>
          </w:p>
        </w:tc>
      </w:tr>
      <w:tr>
        <w:trPr>
          <w:trHeight w:val="20"/>
        </w:trPr>
        <w:tc>
          <w:tcPr>
            <w:tcW w:w="5760" w:type="dxa"/>
            <w:vAlign w:val="bottom"/>
            <w:shd w:val="clear" w:color="auto" w:fill="CFF0FC"/>
          </w:tcPr>
          <w:p>
            <w:pPr>
              <w:spacing w:after="0" w:line="20" w:lineRule="exact"/>
              <w:rPr>
                <w:sz w:val="1"/>
                <w:szCs w:val="1"/>
                <w:color w:val="auto"/>
              </w:rPr>
            </w:pPr>
          </w:p>
        </w:tc>
        <w:tc>
          <w:tcPr>
            <w:tcW w:w="260" w:type="dxa"/>
            <w:vAlign w:val="bottom"/>
            <w:shd w:val="clear" w:color="auto" w:fill="000000"/>
          </w:tcPr>
          <w:p>
            <w:pPr>
              <w:spacing w:after="0" w:line="20" w:lineRule="exact"/>
              <w:rPr>
                <w:sz w:val="1"/>
                <w:szCs w:val="1"/>
                <w:color w:val="auto"/>
              </w:rPr>
            </w:pPr>
          </w:p>
        </w:tc>
        <w:tc>
          <w:tcPr>
            <w:tcW w:w="900" w:type="dxa"/>
            <w:vAlign w:val="bottom"/>
            <w:shd w:val="clear" w:color="auto" w:fill="000000"/>
          </w:tcPr>
          <w:p>
            <w:pPr>
              <w:spacing w:after="0" w:line="20" w:lineRule="exact"/>
              <w:rPr>
                <w:sz w:val="1"/>
                <w:szCs w:val="1"/>
                <w:color w:val="auto"/>
              </w:rPr>
            </w:pPr>
          </w:p>
        </w:tc>
        <w:tc>
          <w:tcPr>
            <w:tcW w:w="240" w:type="dxa"/>
            <w:vAlign w:val="bottom"/>
            <w:shd w:val="clear" w:color="auto" w:fill="CFF0FC"/>
          </w:tcPr>
          <w:p>
            <w:pPr>
              <w:spacing w:after="0" w:line="20" w:lineRule="exact"/>
              <w:rPr>
                <w:sz w:val="1"/>
                <w:szCs w:val="1"/>
                <w:color w:val="auto"/>
              </w:rPr>
            </w:pPr>
          </w:p>
        </w:tc>
        <w:tc>
          <w:tcPr>
            <w:tcW w:w="260" w:type="dxa"/>
            <w:vAlign w:val="bottom"/>
            <w:shd w:val="clear" w:color="auto" w:fill="000000"/>
          </w:tcPr>
          <w:p>
            <w:pPr>
              <w:spacing w:after="0" w:line="20" w:lineRule="exact"/>
              <w:rPr>
                <w:sz w:val="1"/>
                <w:szCs w:val="1"/>
                <w:color w:val="auto"/>
              </w:rPr>
            </w:pPr>
          </w:p>
        </w:tc>
        <w:tc>
          <w:tcPr>
            <w:tcW w:w="900" w:type="dxa"/>
            <w:vAlign w:val="bottom"/>
            <w:shd w:val="clear" w:color="auto" w:fill="000000"/>
          </w:tcPr>
          <w:p>
            <w:pPr>
              <w:spacing w:after="0" w:line="20" w:lineRule="exact"/>
              <w:rPr>
                <w:sz w:val="1"/>
                <w:szCs w:val="1"/>
                <w:color w:val="auto"/>
              </w:rPr>
            </w:pPr>
          </w:p>
        </w:tc>
        <w:tc>
          <w:tcPr>
            <w:tcW w:w="240" w:type="dxa"/>
            <w:vAlign w:val="bottom"/>
            <w:shd w:val="clear" w:color="auto" w:fill="CFF0FC"/>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880" w:type="dxa"/>
            <w:vAlign w:val="bottom"/>
            <w:shd w:val="clear" w:color="auto" w:fill="000000"/>
          </w:tcPr>
          <w:p>
            <w:pPr>
              <w:spacing w:after="0" w:line="20" w:lineRule="exact"/>
              <w:rPr>
                <w:sz w:val="1"/>
                <w:szCs w:val="1"/>
                <w:color w:val="auto"/>
              </w:rPr>
            </w:pPr>
          </w:p>
        </w:tc>
        <w:tc>
          <w:tcPr>
            <w:tcW w:w="300" w:type="dxa"/>
            <w:vAlign w:val="bottom"/>
            <w:shd w:val="clear" w:color="auto" w:fill="CFF0FC"/>
          </w:tcPr>
          <w:p>
            <w:pPr>
              <w:spacing w:after="0" w:line="20" w:lineRule="exact"/>
              <w:rPr>
                <w:sz w:val="1"/>
                <w:szCs w:val="1"/>
                <w:color w:val="auto"/>
              </w:rPr>
            </w:pPr>
          </w:p>
        </w:tc>
        <w:tc>
          <w:tcPr>
            <w:tcW w:w="260" w:type="dxa"/>
            <w:vAlign w:val="bottom"/>
            <w:shd w:val="clear" w:color="auto" w:fill="000000"/>
          </w:tcPr>
          <w:p>
            <w:pPr>
              <w:spacing w:after="0" w:line="20" w:lineRule="exact"/>
              <w:rPr>
                <w:sz w:val="1"/>
                <w:szCs w:val="1"/>
                <w:color w:val="auto"/>
              </w:rPr>
            </w:pPr>
          </w:p>
        </w:tc>
        <w:tc>
          <w:tcPr>
            <w:tcW w:w="900" w:type="dxa"/>
            <w:vAlign w:val="bottom"/>
            <w:shd w:val="clear" w:color="auto" w:fill="000000"/>
          </w:tcPr>
          <w:p>
            <w:pPr>
              <w:spacing w:after="0" w:line="20" w:lineRule="exact"/>
              <w:rPr>
                <w:sz w:val="1"/>
                <w:szCs w:val="1"/>
                <w:color w:val="auto"/>
              </w:rPr>
            </w:pPr>
          </w:p>
        </w:tc>
        <w:tc>
          <w:tcPr>
            <w:tcW w:w="100" w:type="dxa"/>
            <w:vAlign w:val="bottom"/>
            <w:shd w:val="clear" w:color="auto" w:fill="CFF0FC"/>
          </w:tcPr>
          <w:p>
            <w:pPr>
              <w:spacing w:after="0" w:line="20" w:lineRule="exact"/>
              <w:rPr>
                <w:sz w:val="1"/>
                <w:szCs w:val="1"/>
                <w:color w:val="auto"/>
              </w:rPr>
            </w:pPr>
          </w:p>
        </w:tc>
      </w:tr>
      <w:tr>
        <w:trPr>
          <w:trHeight w:val="209"/>
        </w:trPr>
        <w:tc>
          <w:tcPr>
            <w:tcW w:w="5760" w:type="dxa"/>
            <w:vAlign w:val="bottom"/>
          </w:tcPr>
          <w:p>
            <w:pPr>
              <w:ind w:left="380"/>
              <w:spacing w:after="0"/>
              <w:rPr>
                <w:sz w:val="20"/>
                <w:szCs w:val="20"/>
                <w:color w:val="auto"/>
              </w:rPr>
            </w:pPr>
            <w:r>
              <w:rPr>
                <w:rFonts w:ascii="Arial" w:cs="Arial" w:eastAsia="Arial" w:hAnsi="Arial"/>
                <w:sz w:val="18"/>
                <w:szCs w:val="18"/>
                <w:color w:val="auto"/>
              </w:rPr>
              <w:t>Net loss</w:t>
            </w:r>
          </w:p>
        </w:tc>
        <w:tc>
          <w:tcPr>
            <w:tcW w:w="260" w:type="dxa"/>
            <w:vAlign w:val="bottom"/>
          </w:tcPr>
          <w:p>
            <w:pPr>
              <w:ind w:left="20"/>
              <w:spacing w:after="0"/>
              <w:rPr>
                <w:sz w:val="20"/>
                <w:szCs w:val="20"/>
                <w:color w:val="auto"/>
              </w:rPr>
            </w:pPr>
            <w:r>
              <w:rPr>
                <w:rFonts w:ascii="Arial" w:cs="Arial" w:eastAsia="Arial" w:hAnsi="Arial"/>
                <w:sz w:val="18"/>
                <w:szCs w:val="18"/>
                <w:color w:val="auto"/>
              </w:rPr>
              <w:t>$</w:t>
            </w:r>
          </w:p>
        </w:tc>
        <w:tc>
          <w:tcPr>
            <w:tcW w:w="1140" w:type="dxa"/>
            <w:vAlign w:val="bottom"/>
            <w:gridSpan w:val="2"/>
          </w:tcPr>
          <w:p>
            <w:pPr>
              <w:jc w:val="right"/>
              <w:ind w:right="101"/>
              <w:spacing w:after="0"/>
              <w:rPr>
                <w:sz w:val="20"/>
                <w:szCs w:val="20"/>
                <w:color w:val="auto"/>
              </w:rPr>
            </w:pPr>
            <w:r>
              <w:rPr>
                <w:rFonts w:ascii="Arial" w:cs="Arial" w:eastAsia="Arial" w:hAnsi="Arial"/>
                <w:sz w:val="18"/>
                <w:szCs w:val="18"/>
                <w:color w:val="auto"/>
              </w:rPr>
              <w:t>(22,544 )</w:t>
            </w:r>
          </w:p>
        </w:tc>
        <w:tc>
          <w:tcPr>
            <w:tcW w:w="260" w:type="dxa"/>
            <w:vAlign w:val="bottom"/>
          </w:tcPr>
          <w:p>
            <w:pPr>
              <w:jc w:val="right"/>
              <w:ind w:right="50"/>
              <w:spacing w:after="0"/>
              <w:rPr>
                <w:sz w:val="20"/>
                <w:szCs w:val="20"/>
                <w:color w:val="auto"/>
              </w:rPr>
            </w:pPr>
            <w:r>
              <w:rPr>
                <w:rFonts w:ascii="Arial" w:cs="Arial" w:eastAsia="Arial" w:hAnsi="Arial"/>
                <w:sz w:val="18"/>
                <w:szCs w:val="18"/>
                <w:color w:val="auto"/>
                <w:w w:val="99"/>
              </w:rPr>
              <w:t>$</w:t>
            </w:r>
          </w:p>
        </w:tc>
        <w:tc>
          <w:tcPr>
            <w:tcW w:w="1140" w:type="dxa"/>
            <w:vAlign w:val="bottom"/>
            <w:gridSpan w:val="2"/>
          </w:tcPr>
          <w:p>
            <w:pPr>
              <w:jc w:val="right"/>
              <w:ind w:right="70"/>
              <w:spacing w:after="0"/>
              <w:rPr>
                <w:sz w:val="20"/>
                <w:szCs w:val="20"/>
                <w:color w:val="auto"/>
              </w:rPr>
            </w:pPr>
            <w:r>
              <w:rPr>
                <w:rFonts w:ascii="Arial" w:cs="Arial" w:eastAsia="Arial" w:hAnsi="Arial"/>
                <w:sz w:val="18"/>
                <w:szCs w:val="18"/>
                <w:color w:val="auto"/>
              </w:rPr>
              <w:t>(36,559 )</w:t>
            </w:r>
          </w:p>
        </w:tc>
        <w:tc>
          <w:tcPr>
            <w:tcW w:w="240" w:type="dxa"/>
            <w:vAlign w:val="bottom"/>
          </w:tcPr>
          <w:p>
            <w:pPr>
              <w:jc w:val="right"/>
              <w:ind w:right="50"/>
              <w:spacing w:after="0"/>
              <w:rPr>
                <w:sz w:val="20"/>
                <w:szCs w:val="20"/>
                <w:color w:val="auto"/>
              </w:rPr>
            </w:pPr>
            <w:r>
              <w:rPr>
                <w:rFonts w:ascii="Arial" w:cs="Arial" w:eastAsia="Arial" w:hAnsi="Arial"/>
                <w:sz w:val="18"/>
                <w:szCs w:val="18"/>
                <w:color w:val="auto"/>
                <w:w w:val="79"/>
              </w:rPr>
              <w:t>$</w:t>
            </w:r>
          </w:p>
        </w:tc>
        <w:tc>
          <w:tcPr>
            <w:tcW w:w="1180" w:type="dxa"/>
            <w:vAlign w:val="bottom"/>
            <w:gridSpan w:val="2"/>
          </w:tcPr>
          <w:p>
            <w:pPr>
              <w:jc w:val="right"/>
              <w:ind w:right="161"/>
              <w:spacing w:after="0"/>
              <w:rPr>
                <w:sz w:val="20"/>
                <w:szCs w:val="20"/>
                <w:color w:val="auto"/>
              </w:rPr>
            </w:pPr>
            <w:r>
              <w:rPr>
                <w:rFonts w:ascii="Arial" w:cs="Arial" w:eastAsia="Arial" w:hAnsi="Arial"/>
                <w:sz w:val="18"/>
                <w:szCs w:val="18"/>
                <w:color w:val="auto"/>
              </w:rPr>
              <w:t>(69,332 )</w:t>
            </w:r>
          </w:p>
        </w:tc>
        <w:tc>
          <w:tcPr>
            <w:tcW w:w="260" w:type="dxa"/>
            <w:vAlign w:val="bottom"/>
          </w:tcPr>
          <w:p>
            <w:pPr>
              <w:jc w:val="right"/>
              <w:ind w:right="70"/>
              <w:spacing w:after="0"/>
              <w:rPr>
                <w:sz w:val="20"/>
                <w:szCs w:val="20"/>
                <w:color w:val="auto"/>
              </w:rPr>
            </w:pPr>
            <w:r>
              <w:rPr>
                <w:rFonts w:ascii="Arial" w:cs="Arial" w:eastAsia="Arial" w:hAnsi="Arial"/>
                <w:sz w:val="18"/>
                <w:szCs w:val="18"/>
                <w:color w:val="auto"/>
                <w:w w:val="79"/>
              </w:rPr>
              <w:t>$</w:t>
            </w:r>
          </w:p>
        </w:tc>
        <w:tc>
          <w:tcPr>
            <w:tcW w:w="1000" w:type="dxa"/>
            <w:vAlign w:val="bottom"/>
            <w:gridSpan w:val="2"/>
          </w:tcPr>
          <w:p>
            <w:pPr>
              <w:jc w:val="right"/>
              <w:spacing w:after="0"/>
              <w:rPr>
                <w:sz w:val="20"/>
                <w:szCs w:val="20"/>
                <w:color w:val="auto"/>
              </w:rPr>
            </w:pPr>
            <w:r>
              <w:rPr>
                <w:rFonts w:ascii="Arial" w:cs="Arial" w:eastAsia="Arial" w:hAnsi="Arial"/>
                <w:sz w:val="18"/>
                <w:szCs w:val="18"/>
                <w:color w:val="auto"/>
              </w:rPr>
              <w:t>(53,081 )</w:t>
            </w:r>
          </w:p>
        </w:tc>
      </w:tr>
      <w:tr>
        <w:trPr>
          <w:trHeight w:val="20"/>
        </w:trPr>
        <w:tc>
          <w:tcPr>
            <w:tcW w:w="5760" w:type="dxa"/>
            <w:vAlign w:val="bottom"/>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196"/>
        </w:trPr>
        <w:tc>
          <w:tcPr>
            <w:tcW w:w="5760" w:type="dxa"/>
            <w:vAlign w:val="bottom"/>
            <w:shd w:val="clear" w:color="auto" w:fill="CFF0FC"/>
          </w:tcPr>
          <w:p>
            <w:pPr>
              <w:ind w:left="20"/>
              <w:spacing w:after="0" w:line="196" w:lineRule="exact"/>
              <w:rPr>
                <w:sz w:val="20"/>
                <w:szCs w:val="20"/>
                <w:color w:val="auto"/>
              </w:rPr>
            </w:pPr>
            <w:r>
              <w:rPr>
                <w:rFonts w:ascii="Arial" w:cs="Arial" w:eastAsia="Arial" w:hAnsi="Arial"/>
                <w:sz w:val="18"/>
                <w:szCs w:val="18"/>
                <w:color w:val="auto"/>
                <w:w w:val="93"/>
              </w:rPr>
              <w:t>Net loss per share attributable to Class A and Class B common stockholders:</w:t>
            </w:r>
          </w:p>
        </w:tc>
        <w:tc>
          <w:tcPr>
            <w:tcW w:w="260" w:type="dxa"/>
            <w:vAlign w:val="bottom"/>
            <w:shd w:val="clear" w:color="auto" w:fill="CFF0FC"/>
          </w:tcPr>
          <w:p>
            <w:pPr>
              <w:spacing w:after="0"/>
              <w:rPr>
                <w:sz w:val="17"/>
                <w:szCs w:val="17"/>
                <w:color w:val="auto"/>
              </w:rPr>
            </w:pPr>
          </w:p>
        </w:tc>
        <w:tc>
          <w:tcPr>
            <w:tcW w:w="900" w:type="dxa"/>
            <w:vAlign w:val="bottom"/>
            <w:shd w:val="clear" w:color="auto" w:fill="CFF0FC"/>
          </w:tcPr>
          <w:p>
            <w:pPr>
              <w:spacing w:after="0"/>
              <w:rPr>
                <w:sz w:val="17"/>
                <w:szCs w:val="17"/>
                <w:color w:val="auto"/>
              </w:rPr>
            </w:pPr>
          </w:p>
        </w:tc>
        <w:tc>
          <w:tcPr>
            <w:tcW w:w="240" w:type="dxa"/>
            <w:vAlign w:val="bottom"/>
            <w:shd w:val="clear" w:color="auto" w:fill="CFF0FC"/>
          </w:tcPr>
          <w:p>
            <w:pPr>
              <w:spacing w:after="0"/>
              <w:rPr>
                <w:sz w:val="17"/>
                <w:szCs w:val="17"/>
                <w:color w:val="auto"/>
              </w:rPr>
            </w:pPr>
          </w:p>
        </w:tc>
        <w:tc>
          <w:tcPr>
            <w:tcW w:w="260" w:type="dxa"/>
            <w:vAlign w:val="bottom"/>
            <w:shd w:val="clear" w:color="auto" w:fill="CFF0FC"/>
          </w:tcPr>
          <w:p>
            <w:pPr>
              <w:spacing w:after="0"/>
              <w:rPr>
                <w:sz w:val="17"/>
                <w:szCs w:val="17"/>
                <w:color w:val="auto"/>
              </w:rPr>
            </w:pPr>
          </w:p>
        </w:tc>
        <w:tc>
          <w:tcPr>
            <w:tcW w:w="900" w:type="dxa"/>
            <w:vAlign w:val="bottom"/>
            <w:shd w:val="clear" w:color="auto" w:fill="CFF0FC"/>
          </w:tcPr>
          <w:p>
            <w:pPr>
              <w:spacing w:after="0"/>
              <w:rPr>
                <w:sz w:val="17"/>
                <w:szCs w:val="17"/>
                <w:color w:val="auto"/>
              </w:rPr>
            </w:pPr>
          </w:p>
        </w:tc>
        <w:tc>
          <w:tcPr>
            <w:tcW w:w="240" w:type="dxa"/>
            <w:vAlign w:val="bottom"/>
            <w:shd w:val="clear" w:color="auto" w:fill="CFF0FC"/>
          </w:tcPr>
          <w:p>
            <w:pPr>
              <w:spacing w:after="0"/>
              <w:rPr>
                <w:sz w:val="17"/>
                <w:szCs w:val="17"/>
                <w:color w:val="auto"/>
              </w:rPr>
            </w:pPr>
          </w:p>
        </w:tc>
        <w:tc>
          <w:tcPr>
            <w:tcW w:w="240" w:type="dxa"/>
            <w:vAlign w:val="bottom"/>
            <w:shd w:val="clear" w:color="auto" w:fill="CFF0FC"/>
          </w:tcPr>
          <w:p>
            <w:pPr>
              <w:spacing w:after="0"/>
              <w:rPr>
                <w:sz w:val="17"/>
                <w:szCs w:val="17"/>
                <w:color w:val="auto"/>
              </w:rPr>
            </w:pPr>
          </w:p>
        </w:tc>
        <w:tc>
          <w:tcPr>
            <w:tcW w:w="880" w:type="dxa"/>
            <w:vAlign w:val="bottom"/>
            <w:shd w:val="clear" w:color="auto" w:fill="CFF0FC"/>
          </w:tcPr>
          <w:p>
            <w:pPr>
              <w:spacing w:after="0"/>
              <w:rPr>
                <w:sz w:val="17"/>
                <w:szCs w:val="17"/>
                <w:color w:val="auto"/>
              </w:rPr>
            </w:pPr>
          </w:p>
        </w:tc>
        <w:tc>
          <w:tcPr>
            <w:tcW w:w="300" w:type="dxa"/>
            <w:vAlign w:val="bottom"/>
            <w:shd w:val="clear" w:color="auto" w:fill="CFF0FC"/>
          </w:tcPr>
          <w:p>
            <w:pPr>
              <w:spacing w:after="0"/>
              <w:rPr>
                <w:sz w:val="17"/>
                <w:szCs w:val="17"/>
                <w:color w:val="auto"/>
              </w:rPr>
            </w:pPr>
          </w:p>
        </w:tc>
        <w:tc>
          <w:tcPr>
            <w:tcW w:w="260" w:type="dxa"/>
            <w:vAlign w:val="bottom"/>
            <w:shd w:val="clear" w:color="auto" w:fill="CFF0FC"/>
          </w:tcPr>
          <w:p>
            <w:pPr>
              <w:spacing w:after="0"/>
              <w:rPr>
                <w:sz w:val="17"/>
                <w:szCs w:val="17"/>
                <w:color w:val="auto"/>
              </w:rPr>
            </w:pPr>
          </w:p>
        </w:tc>
        <w:tc>
          <w:tcPr>
            <w:tcW w:w="900" w:type="dxa"/>
            <w:vAlign w:val="bottom"/>
            <w:shd w:val="clear" w:color="auto" w:fill="CFF0FC"/>
          </w:tcPr>
          <w:p>
            <w:pPr>
              <w:spacing w:after="0"/>
              <w:rPr>
                <w:sz w:val="17"/>
                <w:szCs w:val="17"/>
                <w:color w:val="auto"/>
              </w:rPr>
            </w:pPr>
          </w:p>
        </w:tc>
        <w:tc>
          <w:tcPr>
            <w:tcW w:w="100" w:type="dxa"/>
            <w:vAlign w:val="bottom"/>
            <w:shd w:val="clear" w:color="auto" w:fill="CFF0FC"/>
          </w:tcPr>
          <w:p>
            <w:pPr>
              <w:spacing w:after="0"/>
              <w:rPr>
                <w:sz w:val="17"/>
                <w:szCs w:val="17"/>
                <w:color w:val="auto"/>
              </w:rPr>
            </w:pPr>
          </w:p>
        </w:tc>
      </w:tr>
      <w:tr>
        <w:trPr>
          <w:trHeight w:val="216"/>
        </w:trPr>
        <w:tc>
          <w:tcPr>
            <w:tcW w:w="5760" w:type="dxa"/>
            <w:vAlign w:val="bottom"/>
          </w:tcPr>
          <w:p>
            <w:pPr>
              <w:ind w:left="380"/>
              <w:spacing w:after="0"/>
              <w:rPr>
                <w:sz w:val="20"/>
                <w:szCs w:val="20"/>
                <w:color w:val="auto"/>
              </w:rPr>
            </w:pPr>
            <w:r>
              <w:rPr>
                <w:rFonts w:ascii="Arial" w:cs="Arial" w:eastAsia="Arial" w:hAnsi="Arial"/>
                <w:sz w:val="18"/>
                <w:szCs w:val="18"/>
                <w:color w:val="auto"/>
              </w:rPr>
              <w:t>Basic and diluted</w:t>
            </w:r>
          </w:p>
        </w:tc>
        <w:tc>
          <w:tcPr>
            <w:tcW w:w="260" w:type="dxa"/>
            <w:vAlign w:val="bottom"/>
          </w:tcPr>
          <w:p>
            <w:pPr>
              <w:ind w:left="20"/>
              <w:spacing w:after="0"/>
              <w:rPr>
                <w:sz w:val="20"/>
                <w:szCs w:val="20"/>
                <w:color w:val="auto"/>
              </w:rPr>
            </w:pPr>
            <w:r>
              <w:rPr>
                <w:rFonts w:ascii="Arial" w:cs="Arial" w:eastAsia="Arial" w:hAnsi="Arial"/>
                <w:sz w:val="18"/>
                <w:szCs w:val="18"/>
                <w:color w:val="auto"/>
              </w:rPr>
              <w:t>$</w:t>
            </w:r>
          </w:p>
        </w:tc>
        <w:tc>
          <w:tcPr>
            <w:tcW w:w="1140" w:type="dxa"/>
            <w:vAlign w:val="bottom"/>
            <w:gridSpan w:val="2"/>
          </w:tcPr>
          <w:p>
            <w:pPr>
              <w:jc w:val="right"/>
              <w:ind w:right="101"/>
              <w:spacing w:after="0"/>
              <w:rPr>
                <w:sz w:val="20"/>
                <w:szCs w:val="20"/>
                <w:color w:val="auto"/>
              </w:rPr>
            </w:pPr>
            <w:r>
              <w:rPr>
                <w:rFonts w:ascii="Arial" w:cs="Arial" w:eastAsia="Arial" w:hAnsi="Arial"/>
                <w:sz w:val="18"/>
                <w:szCs w:val="18"/>
                <w:color w:val="auto"/>
              </w:rPr>
              <w:t>(0.20 )</w:t>
            </w:r>
          </w:p>
        </w:tc>
        <w:tc>
          <w:tcPr>
            <w:tcW w:w="260" w:type="dxa"/>
            <w:vAlign w:val="bottom"/>
          </w:tcPr>
          <w:p>
            <w:pPr>
              <w:jc w:val="right"/>
              <w:ind w:right="50"/>
              <w:spacing w:after="0"/>
              <w:rPr>
                <w:sz w:val="20"/>
                <w:szCs w:val="20"/>
                <w:color w:val="auto"/>
              </w:rPr>
            </w:pPr>
            <w:r>
              <w:rPr>
                <w:rFonts w:ascii="Arial" w:cs="Arial" w:eastAsia="Arial" w:hAnsi="Arial"/>
                <w:sz w:val="18"/>
                <w:szCs w:val="18"/>
                <w:color w:val="auto"/>
                <w:w w:val="99"/>
              </w:rPr>
              <w:t>$</w:t>
            </w:r>
          </w:p>
        </w:tc>
        <w:tc>
          <w:tcPr>
            <w:tcW w:w="1140" w:type="dxa"/>
            <w:vAlign w:val="bottom"/>
            <w:gridSpan w:val="2"/>
          </w:tcPr>
          <w:p>
            <w:pPr>
              <w:jc w:val="right"/>
              <w:ind w:right="70"/>
              <w:spacing w:after="0"/>
              <w:rPr>
                <w:sz w:val="20"/>
                <w:szCs w:val="20"/>
                <w:color w:val="auto"/>
              </w:rPr>
            </w:pPr>
            <w:r>
              <w:rPr>
                <w:rFonts w:ascii="Arial" w:cs="Arial" w:eastAsia="Arial" w:hAnsi="Arial"/>
                <w:sz w:val="18"/>
                <w:szCs w:val="18"/>
                <w:color w:val="auto"/>
              </w:rPr>
              <w:t>(0.93 )</w:t>
            </w:r>
          </w:p>
        </w:tc>
        <w:tc>
          <w:tcPr>
            <w:tcW w:w="240" w:type="dxa"/>
            <w:vAlign w:val="bottom"/>
          </w:tcPr>
          <w:p>
            <w:pPr>
              <w:jc w:val="right"/>
              <w:ind w:right="50"/>
              <w:spacing w:after="0"/>
              <w:rPr>
                <w:sz w:val="20"/>
                <w:szCs w:val="20"/>
                <w:color w:val="auto"/>
              </w:rPr>
            </w:pPr>
            <w:r>
              <w:rPr>
                <w:rFonts w:ascii="Arial" w:cs="Arial" w:eastAsia="Arial" w:hAnsi="Arial"/>
                <w:sz w:val="18"/>
                <w:szCs w:val="18"/>
                <w:color w:val="auto"/>
                <w:w w:val="79"/>
              </w:rPr>
              <w:t>$</w:t>
            </w:r>
          </w:p>
        </w:tc>
        <w:tc>
          <w:tcPr>
            <w:tcW w:w="1180" w:type="dxa"/>
            <w:vAlign w:val="bottom"/>
            <w:gridSpan w:val="2"/>
          </w:tcPr>
          <w:p>
            <w:pPr>
              <w:jc w:val="right"/>
              <w:ind w:right="161"/>
              <w:spacing w:after="0"/>
              <w:rPr>
                <w:sz w:val="20"/>
                <w:szCs w:val="20"/>
                <w:color w:val="auto"/>
              </w:rPr>
            </w:pPr>
            <w:r>
              <w:rPr>
                <w:rFonts w:ascii="Arial" w:cs="Arial" w:eastAsia="Arial" w:hAnsi="Arial"/>
                <w:sz w:val="18"/>
                <w:szCs w:val="18"/>
                <w:color w:val="auto"/>
              </w:rPr>
              <w:t>(0.63 )</w:t>
            </w:r>
          </w:p>
        </w:tc>
        <w:tc>
          <w:tcPr>
            <w:tcW w:w="260" w:type="dxa"/>
            <w:vAlign w:val="bottom"/>
          </w:tcPr>
          <w:p>
            <w:pPr>
              <w:jc w:val="right"/>
              <w:ind w:right="70"/>
              <w:spacing w:after="0"/>
              <w:rPr>
                <w:sz w:val="20"/>
                <w:szCs w:val="20"/>
                <w:color w:val="auto"/>
              </w:rPr>
            </w:pPr>
            <w:r>
              <w:rPr>
                <w:rFonts w:ascii="Arial" w:cs="Arial" w:eastAsia="Arial" w:hAnsi="Arial"/>
                <w:sz w:val="18"/>
                <w:szCs w:val="18"/>
                <w:color w:val="auto"/>
                <w:w w:val="79"/>
              </w:rPr>
              <w:t>$</w:t>
            </w:r>
          </w:p>
        </w:tc>
        <w:tc>
          <w:tcPr>
            <w:tcW w:w="1000" w:type="dxa"/>
            <w:vAlign w:val="bottom"/>
            <w:gridSpan w:val="2"/>
          </w:tcPr>
          <w:p>
            <w:pPr>
              <w:jc w:val="right"/>
              <w:spacing w:after="0"/>
              <w:rPr>
                <w:sz w:val="20"/>
                <w:szCs w:val="20"/>
                <w:color w:val="auto"/>
              </w:rPr>
            </w:pPr>
            <w:r>
              <w:rPr>
                <w:rFonts w:ascii="Arial" w:cs="Arial" w:eastAsia="Arial" w:hAnsi="Arial"/>
                <w:sz w:val="18"/>
                <w:szCs w:val="18"/>
                <w:color w:val="auto"/>
              </w:rPr>
              <w:t>(1.64 )</w:t>
            </w:r>
          </w:p>
        </w:tc>
      </w:tr>
      <w:tr>
        <w:trPr>
          <w:trHeight w:val="20"/>
        </w:trPr>
        <w:tc>
          <w:tcPr>
            <w:tcW w:w="5760" w:type="dxa"/>
            <w:vAlign w:val="bottom"/>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155"/>
        </w:trPr>
        <w:tc>
          <w:tcPr>
            <w:tcW w:w="5760" w:type="dxa"/>
            <w:vAlign w:val="bottom"/>
            <w:shd w:val="clear" w:color="auto" w:fill="CFF0FC"/>
          </w:tcPr>
          <w:p>
            <w:pPr>
              <w:ind w:left="20"/>
              <w:spacing w:after="0" w:line="155" w:lineRule="exact"/>
              <w:rPr>
                <w:sz w:val="20"/>
                <w:szCs w:val="20"/>
                <w:color w:val="auto"/>
              </w:rPr>
            </w:pPr>
            <w:r>
              <w:rPr>
                <w:rFonts w:ascii="Arial" w:cs="Arial" w:eastAsia="Arial" w:hAnsi="Arial"/>
                <w:sz w:val="17"/>
                <w:szCs w:val="17"/>
                <w:color w:val="auto"/>
                <w:w w:val="97"/>
              </w:rPr>
              <w:t>Weighted-average shares used in computing net loss per share attributable to</w:t>
            </w:r>
          </w:p>
        </w:tc>
        <w:tc>
          <w:tcPr>
            <w:tcW w:w="260" w:type="dxa"/>
            <w:vAlign w:val="bottom"/>
            <w:shd w:val="clear" w:color="auto" w:fill="CFF0FC"/>
          </w:tcPr>
          <w:p>
            <w:pPr>
              <w:spacing w:after="0"/>
              <w:rPr>
                <w:sz w:val="13"/>
                <w:szCs w:val="13"/>
                <w:color w:val="auto"/>
              </w:rPr>
            </w:pPr>
          </w:p>
        </w:tc>
        <w:tc>
          <w:tcPr>
            <w:tcW w:w="900" w:type="dxa"/>
            <w:vAlign w:val="bottom"/>
            <w:shd w:val="clear" w:color="auto" w:fill="CFF0FC"/>
          </w:tcPr>
          <w:p>
            <w:pPr>
              <w:spacing w:after="0"/>
              <w:rPr>
                <w:sz w:val="13"/>
                <w:szCs w:val="13"/>
                <w:color w:val="auto"/>
              </w:rPr>
            </w:pPr>
          </w:p>
        </w:tc>
        <w:tc>
          <w:tcPr>
            <w:tcW w:w="240" w:type="dxa"/>
            <w:vAlign w:val="bottom"/>
            <w:shd w:val="clear" w:color="auto" w:fill="CFF0FC"/>
          </w:tcPr>
          <w:p>
            <w:pPr>
              <w:spacing w:after="0"/>
              <w:rPr>
                <w:sz w:val="13"/>
                <w:szCs w:val="13"/>
                <w:color w:val="auto"/>
              </w:rPr>
            </w:pPr>
          </w:p>
        </w:tc>
        <w:tc>
          <w:tcPr>
            <w:tcW w:w="260" w:type="dxa"/>
            <w:vAlign w:val="bottom"/>
            <w:shd w:val="clear" w:color="auto" w:fill="CFF0FC"/>
          </w:tcPr>
          <w:p>
            <w:pPr>
              <w:spacing w:after="0"/>
              <w:rPr>
                <w:sz w:val="13"/>
                <w:szCs w:val="13"/>
                <w:color w:val="auto"/>
              </w:rPr>
            </w:pPr>
          </w:p>
        </w:tc>
        <w:tc>
          <w:tcPr>
            <w:tcW w:w="900" w:type="dxa"/>
            <w:vAlign w:val="bottom"/>
            <w:shd w:val="clear" w:color="auto" w:fill="CFF0FC"/>
          </w:tcPr>
          <w:p>
            <w:pPr>
              <w:spacing w:after="0"/>
              <w:rPr>
                <w:sz w:val="13"/>
                <w:szCs w:val="13"/>
                <w:color w:val="auto"/>
              </w:rPr>
            </w:pPr>
          </w:p>
        </w:tc>
        <w:tc>
          <w:tcPr>
            <w:tcW w:w="240" w:type="dxa"/>
            <w:vAlign w:val="bottom"/>
            <w:shd w:val="clear" w:color="auto" w:fill="CFF0FC"/>
          </w:tcPr>
          <w:p>
            <w:pPr>
              <w:spacing w:after="0"/>
              <w:rPr>
                <w:sz w:val="13"/>
                <w:szCs w:val="13"/>
                <w:color w:val="auto"/>
              </w:rPr>
            </w:pPr>
          </w:p>
        </w:tc>
        <w:tc>
          <w:tcPr>
            <w:tcW w:w="240" w:type="dxa"/>
            <w:vAlign w:val="bottom"/>
            <w:shd w:val="clear" w:color="auto" w:fill="CFF0FC"/>
          </w:tcPr>
          <w:p>
            <w:pPr>
              <w:spacing w:after="0"/>
              <w:rPr>
                <w:sz w:val="13"/>
                <w:szCs w:val="13"/>
                <w:color w:val="auto"/>
              </w:rPr>
            </w:pPr>
          </w:p>
        </w:tc>
        <w:tc>
          <w:tcPr>
            <w:tcW w:w="880" w:type="dxa"/>
            <w:vAlign w:val="bottom"/>
            <w:shd w:val="clear" w:color="auto" w:fill="CFF0FC"/>
          </w:tcPr>
          <w:p>
            <w:pPr>
              <w:spacing w:after="0"/>
              <w:rPr>
                <w:sz w:val="13"/>
                <w:szCs w:val="13"/>
                <w:color w:val="auto"/>
              </w:rPr>
            </w:pPr>
          </w:p>
        </w:tc>
        <w:tc>
          <w:tcPr>
            <w:tcW w:w="300" w:type="dxa"/>
            <w:vAlign w:val="bottom"/>
            <w:shd w:val="clear" w:color="auto" w:fill="CFF0FC"/>
          </w:tcPr>
          <w:p>
            <w:pPr>
              <w:spacing w:after="0"/>
              <w:rPr>
                <w:sz w:val="13"/>
                <w:szCs w:val="13"/>
                <w:color w:val="auto"/>
              </w:rPr>
            </w:pPr>
          </w:p>
        </w:tc>
        <w:tc>
          <w:tcPr>
            <w:tcW w:w="260" w:type="dxa"/>
            <w:vAlign w:val="bottom"/>
            <w:shd w:val="clear" w:color="auto" w:fill="CFF0FC"/>
          </w:tcPr>
          <w:p>
            <w:pPr>
              <w:spacing w:after="0"/>
              <w:rPr>
                <w:sz w:val="13"/>
                <w:szCs w:val="13"/>
                <w:color w:val="auto"/>
              </w:rPr>
            </w:pPr>
          </w:p>
        </w:tc>
        <w:tc>
          <w:tcPr>
            <w:tcW w:w="900" w:type="dxa"/>
            <w:vAlign w:val="bottom"/>
            <w:shd w:val="clear" w:color="auto" w:fill="CFF0FC"/>
          </w:tcPr>
          <w:p>
            <w:pPr>
              <w:spacing w:after="0"/>
              <w:rPr>
                <w:sz w:val="13"/>
                <w:szCs w:val="13"/>
                <w:color w:val="auto"/>
              </w:rPr>
            </w:pPr>
          </w:p>
        </w:tc>
        <w:tc>
          <w:tcPr>
            <w:tcW w:w="100" w:type="dxa"/>
            <w:vAlign w:val="bottom"/>
            <w:shd w:val="clear" w:color="auto" w:fill="CFF0FC"/>
          </w:tcPr>
          <w:p>
            <w:pPr>
              <w:spacing w:after="0"/>
              <w:rPr>
                <w:sz w:val="13"/>
                <w:szCs w:val="13"/>
                <w:color w:val="auto"/>
              </w:rPr>
            </w:pPr>
          </w:p>
        </w:tc>
      </w:tr>
      <w:tr>
        <w:trPr>
          <w:trHeight w:val="189"/>
        </w:trPr>
        <w:tc>
          <w:tcPr>
            <w:tcW w:w="5760" w:type="dxa"/>
            <w:vAlign w:val="bottom"/>
            <w:shd w:val="clear" w:color="auto" w:fill="CFF0FC"/>
          </w:tcPr>
          <w:p>
            <w:pPr>
              <w:ind w:left="20"/>
              <w:spacing w:after="0" w:line="189" w:lineRule="exact"/>
              <w:rPr>
                <w:sz w:val="20"/>
                <w:szCs w:val="20"/>
                <w:color w:val="auto"/>
              </w:rPr>
            </w:pPr>
            <w:r>
              <w:rPr>
                <w:rFonts w:ascii="Arial" w:cs="Arial" w:eastAsia="Arial" w:hAnsi="Arial"/>
                <w:sz w:val="18"/>
                <w:szCs w:val="18"/>
                <w:color w:val="auto"/>
              </w:rPr>
              <w:t>Class A</w:t>
            </w:r>
          </w:p>
        </w:tc>
        <w:tc>
          <w:tcPr>
            <w:tcW w:w="260" w:type="dxa"/>
            <w:vAlign w:val="bottom"/>
            <w:shd w:val="clear" w:color="auto" w:fill="CFF0FC"/>
          </w:tcPr>
          <w:p>
            <w:pPr>
              <w:spacing w:after="0"/>
              <w:rPr>
                <w:sz w:val="16"/>
                <w:szCs w:val="16"/>
                <w:color w:val="auto"/>
              </w:rPr>
            </w:pPr>
          </w:p>
        </w:tc>
        <w:tc>
          <w:tcPr>
            <w:tcW w:w="900" w:type="dxa"/>
            <w:vAlign w:val="bottom"/>
            <w:shd w:val="clear" w:color="auto" w:fill="CFF0FC"/>
          </w:tcPr>
          <w:p>
            <w:pPr>
              <w:spacing w:after="0"/>
              <w:rPr>
                <w:sz w:val="16"/>
                <w:szCs w:val="16"/>
                <w:color w:val="auto"/>
              </w:rPr>
            </w:pPr>
          </w:p>
        </w:tc>
        <w:tc>
          <w:tcPr>
            <w:tcW w:w="240" w:type="dxa"/>
            <w:vAlign w:val="bottom"/>
            <w:shd w:val="clear" w:color="auto" w:fill="CFF0FC"/>
          </w:tcPr>
          <w:p>
            <w:pPr>
              <w:spacing w:after="0"/>
              <w:rPr>
                <w:sz w:val="16"/>
                <w:szCs w:val="16"/>
                <w:color w:val="auto"/>
              </w:rPr>
            </w:pPr>
          </w:p>
        </w:tc>
        <w:tc>
          <w:tcPr>
            <w:tcW w:w="260" w:type="dxa"/>
            <w:vAlign w:val="bottom"/>
            <w:shd w:val="clear" w:color="auto" w:fill="CFF0FC"/>
          </w:tcPr>
          <w:p>
            <w:pPr>
              <w:spacing w:after="0"/>
              <w:rPr>
                <w:sz w:val="16"/>
                <w:szCs w:val="16"/>
                <w:color w:val="auto"/>
              </w:rPr>
            </w:pPr>
          </w:p>
        </w:tc>
        <w:tc>
          <w:tcPr>
            <w:tcW w:w="900" w:type="dxa"/>
            <w:vAlign w:val="bottom"/>
            <w:shd w:val="clear" w:color="auto" w:fill="CFF0FC"/>
          </w:tcPr>
          <w:p>
            <w:pPr>
              <w:spacing w:after="0"/>
              <w:rPr>
                <w:sz w:val="16"/>
                <w:szCs w:val="16"/>
                <w:color w:val="auto"/>
              </w:rPr>
            </w:pPr>
          </w:p>
        </w:tc>
        <w:tc>
          <w:tcPr>
            <w:tcW w:w="240" w:type="dxa"/>
            <w:vAlign w:val="bottom"/>
            <w:shd w:val="clear" w:color="auto" w:fill="CFF0FC"/>
          </w:tcPr>
          <w:p>
            <w:pPr>
              <w:spacing w:after="0"/>
              <w:rPr>
                <w:sz w:val="16"/>
                <w:szCs w:val="16"/>
                <w:color w:val="auto"/>
              </w:rPr>
            </w:pPr>
          </w:p>
        </w:tc>
        <w:tc>
          <w:tcPr>
            <w:tcW w:w="240" w:type="dxa"/>
            <w:vAlign w:val="bottom"/>
            <w:shd w:val="clear" w:color="auto" w:fill="CFF0FC"/>
          </w:tcPr>
          <w:p>
            <w:pPr>
              <w:spacing w:after="0"/>
              <w:rPr>
                <w:sz w:val="16"/>
                <w:szCs w:val="16"/>
                <w:color w:val="auto"/>
              </w:rPr>
            </w:pPr>
          </w:p>
        </w:tc>
        <w:tc>
          <w:tcPr>
            <w:tcW w:w="880" w:type="dxa"/>
            <w:vAlign w:val="bottom"/>
            <w:shd w:val="clear" w:color="auto" w:fill="CFF0FC"/>
          </w:tcPr>
          <w:p>
            <w:pPr>
              <w:spacing w:after="0"/>
              <w:rPr>
                <w:sz w:val="16"/>
                <w:szCs w:val="16"/>
                <w:color w:val="auto"/>
              </w:rPr>
            </w:pPr>
          </w:p>
        </w:tc>
        <w:tc>
          <w:tcPr>
            <w:tcW w:w="300" w:type="dxa"/>
            <w:vAlign w:val="bottom"/>
            <w:shd w:val="clear" w:color="auto" w:fill="CFF0FC"/>
          </w:tcPr>
          <w:p>
            <w:pPr>
              <w:spacing w:after="0"/>
              <w:rPr>
                <w:sz w:val="16"/>
                <w:szCs w:val="16"/>
                <w:color w:val="auto"/>
              </w:rPr>
            </w:pPr>
          </w:p>
        </w:tc>
        <w:tc>
          <w:tcPr>
            <w:tcW w:w="260" w:type="dxa"/>
            <w:vAlign w:val="bottom"/>
            <w:shd w:val="clear" w:color="auto" w:fill="CFF0FC"/>
          </w:tcPr>
          <w:p>
            <w:pPr>
              <w:spacing w:after="0"/>
              <w:rPr>
                <w:sz w:val="16"/>
                <w:szCs w:val="16"/>
                <w:color w:val="auto"/>
              </w:rPr>
            </w:pPr>
          </w:p>
        </w:tc>
        <w:tc>
          <w:tcPr>
            <w:tcW w:w="900" w:type="dxa"/>
            <w:vAlign w:val="bottom"/>
            <w:shd w:val="clear" w:color="auto" w:fill="CFF0FC"/>
          </w:tcPr>
          <w:p>
            <w:pPr>
              <w:spacing w:after="0"/>
              <w:rPr>
                <w:sz w:val="16"/>
                <w:szCs w:val="16"/>
                <w:color w:val="auto"/>
              </w:rPr>
            </w:pPr>
          </w:p>
        </w:tc>
        <w:tc>
          <w:tcPr>
            <w:tcW w:w="100" w:type="dxa"/>
            <w:vAlign w:val="bottom"/>
            <w:shd w:val="clear" w:color="auto" w:fill="CFF0FC"/>
          </w:tcPr>
          <w:p>
            <w:pPr>
              <w:spacing w:after="0"/>
              <w:rPr>
                <w:sz w:val="16"/>
                <w:szCs w:val="16"/>
                <w:color w:val="auto"/>
              </w:rPr>
            </w:pPr>
          </w:p>
        </w:tc>
      </w:tr>
      <w:tr>
        <w:trPr>
          <w:trHeight w:val="230"/>
        </w:trPr>
        <w:tc>
          <w:tcPr>
            <w:tcW w:w="5760" w:type="dxa"/>
            <w:vAlign w:val="bottom"/>
            <w:shd w:val="clear" w:color="auto" w:fill="CFF0FC"/>
          </w:tcPr>
          <w:p>
            <w:pPr>
              <w:ind w:left="160"/>
              <w:spacing w:after="0"/>
              <w:rPr>
                <w:sz w:val="20"/>
                <w:szCs w:val="20"/>
                <w:color w:val="auto"/>
              </w:rPr>
            </w:pPr>
            <w:r>
              <w:rPr>
                <w:rFonts w:ascii="Arial" w:cs="Arial" w:eastAsia="Arial" w:hAnsi="Arial"/>
                <w:sz w:val="18"/>
                <w:szCs w:val="18"/>
                <w:color w:val="auto"/>
              </w:rPr>
              <w:t>and Class B common stockholders:</w:t>
            </w:r>
          </w:p>
        </w:tc>
        <w:tc>
          <w:tcPr>
            <w:tcW w:w="260" w:type="dxa"/>
            <w:vAlign w:val="bottom"/>
            <w:shd w:val="clear" w:color="auto" w:fill="CFF0FC"/>
          </w:tcPr>
          <w:p>
            <w:pPr>
              <w:spacing w:after="0"/>
              <w:rPr>
                <w:sz w:val="20"/>
                <w:szCs w:val="20"/>
                <w:color w:val="auto"/>
              </w:rPr>
            </w:pPr>
          </w:p>
        </w:tc>
        <w:tc>
          <w:tcPr>
            <w:tcW w:w="900" w:type="dxa"/>
            <w:vAlign w:val="bottom"/>
            <w:shd w:val="clear" w:color="auto" w:fill="CFF0FC"/>
          </w:tcPr>
          <w:p>
            <w:pPr>
              <w:spacing w:after="0"/>
              <w:rPr>
                <w:sz w:val="20"/>
                <w:szCs w:val="20"/>
                <w:color w:val="auto"/>
              </w:rPr>
            </w:pPr>
          </w:p>
        </w:tc>
        <w:tc>
          <w:tcPr>
            <w:tcW w:w="240" w:type="dxa"/>
            <w:vAlign w:val="bottom"/>
            <w:shd w:val="clear" w:color="auto" w:fill="CFF0FC"/>
          </w:tcPr>
          <w:p>
            <w:pPr>
              <w:spacing w:after="0"/>
              <w:rPr>
                <w:sz w:val="20"/>
                <w:szCs w:val="20"/>
                <w:color w:val="auto"/>
              </w:rPr>
            </w:pPr>
          </w:p>
        </w:tc>
        <w:tc>
          <w:tcPr>
            <w:tcW w:w="260" w:type="dxa"/>
            <w:vAlign w:val="bottom"/>
            <w:shd w:val="clear" w:color="auto" w:fill="CFF0FC"/>
          </w:tcPr>
          <w:p>
            <w:pPr>
              <w:spacing w:after="0"/>
              <w:rPr>
                <w:sz w:val="20"/>
                <w:szCs w:val="20"/>
                <w:color w:val="auto"/>
              </w:rPr>
            </w:pPr>
          </w:p>
        </w:tc>
        <w:tc>
          <w:tcPr>
            <w:tcW w:w="900" w:type="dxa"/>
            <w:vAlign w:val="bottom"/>
            <w:shd w:val="clear" w:color="auto" w:fill="CFF0FC"/>
          </w:tcPr>
          <w:p>
            <w:pPr>
              <w:spacing w:after="0"/>
              <w:rPr>
                <w:sz w:val="20"/>
                <w:szCs w:val="20"/>
                <w:color w:val="auto"/>
              </w:rPr>
            </w:pPr>
          </w:p>
        </w:tc>
        <w:tc>
          <w:tcPr>
            <w:tcW w:w="240" w:type="dxa"/>
            <w:vAlign w:val="bottom"/>
            <w:shd w:val="clear" w:color="auto" w:fill="CFF0FC"/>
          </w:tcPr>
          <w:p>
            <w:pPr>
              <w:spacing w:after="0"/>
              <w:rPr>
                <w:sz w:val="20"/>
                <w:szCs w:val="20"/>
                <w:color w:val="auto"/>
              </w:rPr>
            </w:pPr>
          </w:p>
        </w:tc>
        <w:tc>
          <w:tcPr>
            <w:tcW w:w="240" w:type="dxa"/>
            <w:vAlign w:val="bottom"/>
            <w:shd w:val="clear" w:color="auto" w:fill="CFF0FC"/>
          </w:tcPr>
          <w:p>
            <w:pPr>
              <w:spacing w:after="0"/>
              <w:rPr>
                <w:sz w:val="20"/>
                <w:szCs w:val="20"/>
                <w:color w:val="auto"/>
              </w:rPr>
            </w:pPr>
          </w:p>
        </w:tc>
        <w:tc>
          <w:tcPr>
            <w:tcW w:w="880" w:type="dxa"/>
            <w:vAlign w:val="bottom"/>
            <w:shd w:val="clear" w:color="auto" w:fill="CFF0FC"/>
          </w:tcPr>
          <w:p>
            <w:pPr>
              <w:spacing w:after="0"/>
              <w:rPr>
                <w:sz w:val="20"/>
                <w:szCs w:val="20"/>
                <w:color w:val="auto"/>
              </w:rPr>
            </w:pPr>
          </w:p>
        </w:tc>
        <w:tc>
          <w:tcPr>
            <w:tcW w:w="300" w:type="dxa"/>
            <w:vAlign w:val="bottom"/>
            <w:shd w:val="clear" w:color="auto" w:fill="CFF0FC"/>
          </w:tcPr>
          <w:p>
            <w:pPr>
              <w:spacing w:after="0"/>
              <w:rPr>
                <w:sz w:val="20"/>
                <w:szCs w:val="20"/>
                <w:color w:val="auto"/>
              </w:rPr>
            </w:pPr>
          </w:p>
        </w:tc>
        <w:tc>
          <w:tcPr>
            <w:tcW w:w="260" w:type="dxa"/>
            <w:vAlign w:val="bottom"/>
            <w:shd w:val="clear" w:color="auto" w:fill="CFF0FC"/>
          </w:tcPr>
          <w:p>
            <w:pPr>
              <w:spacing w:after="0"/>
              <w:rPr>
                <w:sz w:val="20"/>
                <w:szCs w:val="20"/>
                <w:color w:val="auto"/>
              </w:rPr>
            </w:pPr>
          </w:p>
        </w:tc>
        <w:tc>
          <w:tcPr>
            <w:tcW w:w="900" w:type="dxa"/>
            <w:vAlign w:val="bottom"/>
            <w:shd w:val="clear" w:color="auto" w:fill="CFF0FC"/>
          </w:tcPr>
          <w:p>
            <w:pPr>
              <w:spacing w:after="0"/>
              <w:rPr>
                <w:sz w:val="20"/>
                <w:szCs w:val="20"/>
                <w:color w:val="auto"/>
              </w:rPr>
            </w:pPr>
          </w:p>
        </w:tc>
        <w:tc>
          <w:tcPr>
            <w:tcW w:w="100" w:type="dxa"/>
            <w:vAlign w:val="bottom"/>
            <w:shd w:val="clear" w:color="auto" w:fill="CFF0FC"/>
          </w:tcPr>
          <w:p>
            <w:pPr>
              <w:spacing w:after="0"/>
              <w:rPr>
                <w:sz w:val="20"/>
                <w:szCs w:val="20"/>
                <w:color w:val="auto"/>
              </w:rPr>
            </w:pPr>
          </w:p>
        </w:tc>
      </w:tr>
      <w:tr>
        <w:trPr>
          <w:trHeight w:val="216"/>
        </w:trPr>
        <w:tc>
          <w:tcPr>
            <w:tcW w:w="5760" w:type="dxa"/>
            <w:vAlign w:val="bottom"/>
          </w:tcPr>
          <w:p>
            <w:pPr>
              <w:ind w:left="380"/>
              <w:spacing w:after="0"/>
              <w:rPr>
                <w:sz w:val="20"/>
                <w:szCs w:val="20"/>
                <w:color w:val="auto"/>
              </w:rPr>
            </w:pPr>
            <w:r>
              <w:rPr>
                <w:rFonts w:ascii="Arial" w:cs="Arial" w:eastAsia="Arial" w:hAnsi="Arial"/>
                <w:sz w:val="18"/>
                <w:szCs w:val="18"/>
                <w:color w:val="auto"/>
              </w:rPr>
              <w:t>Basic and diluted</w:t>
            </w:r>
          </w:p>
        </w:tc>
        <w:tc>
          <w:tcPr>
            <w:tcW w:w="260" w:type="dxa"/>
            <w:vAlign w:val="bottom"/>
            <w:tcBorders>
              <w:bottom w:val="single" w:sz="8" w:color="auto"/>
            </w:tcBorders>
          </w:tcPr>
          <w:p>
            <w:pPr>
              <w:spacing w:after="0"/>
              <w:rPr>
                <w:sz w:val="18"/>
                <w:szCs w:val="18"/>
                <w:color w:val="auto"/>
              </w:rPr>
            </w:pP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112,016</w:t>
            </w:r>
          </w:p>
        </w:tc>
        <w:tc>
          <w:tcPr>
            <w:tcW w:w="240" w:type="dxa"/>
            <w:vAlign w:val="bottom"/>
          </w:tcPr>
          <w:p>
            <w:pPr>
              <w:spacing w:after="0"/>
              <w:rPr>
                <w:sz w:val="18"/>
                <w:szCs w:val="18"/>
                <w:color w:val="auto"/>
              </w:rPr>
            </w:pPr>
          </w:p>
        </w:tc>
        <w:tc>
          <w:tcPr>
            <w:tcW w:w="260" w:type="dxa"/>
            <w:vAlign w:val="bottom"/>
            <w:tcBorders>
              <w:bottom w:val="single" w:sz="8" w:color="auto"/>
            </w:tcBorders>
          </w:tcPr>
          <w:p>
            <w:pPr>
              <w:spacing w:after="0"/>
              <w:rPr>
                <w:sz w:val="18"/>
                <w:szCs w:val="18"/>
                <w:color w:val="auto"/>
              </w:rPr>
            </w:pP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39,301</w:t>
            </w:r>
          </w:p>
        </w:tc>
        <w:tc>
          <w:tcPr>
            <w:tcW w:w="240" w:type="dxa"/>
            <w:vAlign w:val="bottom"/>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110,876</w:t>
            </w:r>
          </w:p>
        </w:tc>
        <w:tc>
          <w:tcPr>
            <w:tcW w:w="300" w:type="dxa"/>
            <w:vAlign w:val="bottom"/>
          </w:tcPr>
          <w:p>
            <w:pPr>
              <w:spacing w:after="0"/>
              <w:rPr>
                <w:sz w:val="18"/>
                <w:szCs w:val="18"/>
                <w:color w:val="auto"/>
              </w:rPr>
            </w:pPr>
          </w:p>
        </w:tc>
        <w:tc>
          <w:tcPr>
            <w:tcW w:w="260" w:type="dxa"/>
            <w:vAlign w:val="bottom"/>
            <w:tcBorders>
              <w:bottom w:val="single" w:sz="8" w:color="auto"/>
            </w:tcBorders>
          </w:tcPr>
          <w:p>
            <w:pPr>
              <w:spacing w:after="0"/>
              <w:rPr>
                <w:sz w:val="18"/>
                <w:szCs w:val="18"/>
                <w:color w:val="auto"/>
              </w:rPr>
            </w:pP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32,362</w:t>
            </w:r>
          </w:p>
        </w:tc>
        <w:tc>
          <w:tcPr>
            <w:tcW w:w="100" w:type="dxa"/>
            <w:vAlign w:val="bottom"/>
          </w:tcPr>
          <w:p>
            <w:pPr>
              <w:spacing w:after="0"/>
              <w:rPr>
                <w:sz w:val="18"/>
                <w:szCs w:val="18"/>
                <w:color w:val="auto"/>
              </w:rPr>
            </w:pPr>
          </w:p>
        </w:tc>
      </w:tr>
      <w:tr>
        <w:trPr>
          <w:trHeight w:val="20"/>
        </w:trPr>
        <w:tc>
          <w:tcPr>
            <w:tcW w:w="576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196"/>
        </w:trPr>
        <w:tc>
          <w:tcPr>
            <w:tcW w:w="576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100" w:type="dxa"/>
            <w:vAlign w:val="bottom"/>
          </w:tcPr>
          <w:p>
            <w:pPr>
              <w:spacing w:after="0"/>
              <w:rPr>
                <w:sz w:val="17"/>
                <w:szCs w:val="17"/>
                <w:color w:val="auto"/>
              </w:rPr>
            </w:pPr>
          </w:p>
        </w:tc>
      </w:tr>
      <w:tr>
        <w:trPr>
          <w:trHeight w:val="216"/>
        </w:trPr>
        <w:tc>
          <w:tcPr>
            <w:tcW w:w="5760" w:type="dxa"/>
            <w:vAlign w:val="bottom"/>
            <w:shd w:val="clear" w:color="auto" w:fill="CFF0FC"/>
          </w:tcPr>
          <w:p>
            <w:pPr>
              <w:ind w:left="20"/>
              <w:spacing w:after="0"/>
              <w:rPr>
                <w:sz w:val="20"/>
                <w:szCs w:val="20"/>
                <w:color w:val="auto"/>
              </w:rPr>
            </w:pPr>
            <w:r>
              <w:rPr>
                <w:rFonts w:ascii="Arial" w:cs="Arial" w:eastAsia="Arial" w:hAnsi="Arial"/>
                <w:sz w:val="18"/>
                <w:szCs w:val="18"/>
                <w:color w:val="auto"/>
              </w:rPr>
              <w:t>Other comprehensive loss</w:t>
            </w:r>
          </w:p>
        </w:tc>
        <w:tc>
          <w:tcPr>
            <w:tcW w:w="260" w:type="dxa"/>
            <w:vAlign w:val="bottom"/>
            <w:shd w:val="clear" w:color="auto" w:fill="CFF0FC"/>
          </w:tcPr>
          <w:p>
            <w:pPr>
              <w:spacing w:after="0"/>
              <w:rPr>
                <w:sz w:val="18"/>
                <w:szCs w:val="18"/>
                <w:color w:val="auto"/>
              </w:rPr>
            </w:pPr>
          </w:p>
        </w:tc>
        <w:tc>
          <w:tcPr>
            <w:tcW w:w="900" w:type="dxa"/>
            <w:vAlign w:val="bottom"/>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260" w:type="dxa"/>
            <w:vAlign w:val="bottom"/>
            <w:shd w:val="clear" w:color="auto" w:fill="CFF0FC"/>
          </w:tcPr>
          <w:p>
            <w:pPr>
              <w:spacing w:after="0"/>
              <w:rPr>
                <w:sz w:val="18"/>
                <w:szCs w:val="18"/>
                <w:color w:val="auto"/>
              </w:rPr>
            </w:pPr>
          </w:p>
        </w:tc>
        <w:tc>
          <w:tcPr>
            <w:tcW w:w="900" w:type="dxa"/>
            <w:vAlign w:val="bottom"/>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880" w:type="dxa"/>
            <w:vAlign w:val="bottom"/>
            <w:shd w:val="clear" w:color="auto" w:fill="CFF0FC"/>
          </w:tcPr>
          <w:p>
            <w:pPr>
              <w:spacing w:after="0"/>
              <w:rPr>
                <w:sz w:val="18"/>
                <w:szCs w:val="18"/>
                <w:color w:val="auto"/>
              </w:rPr>
            </w:pPr>
          </w:p>
        </w:tc>
        <w:tc>
          <w:tcPr>
            <w:tcW w:w="300" w:type="dxa"/>
            <w:vAlign w:val="bottom"/>
            <w:shd w:val="clear" w:color="auto" w:fill="CFF0FC"/>
          </w:tcPr>
          <w:p>
            <w:pPr>
              <w:spacing w:after="0"/>
              <w:rPr>
                <w:sz w:val="18"/>
                <w:szCs w:val="18"/>
                <w:color w:val="auto"/>
              </w:rPr>
            </w:pPr>
          </w:p>
        </w:tc>
        <w:tc>
          <w:tcPr>
            <w:tcW w:w="260" w:type="dxa"/>
            <w:vAlign w:val="bottom"/>
            <w:shd w:val="clear" w:color="auto" w:fill="CFF0FC"/>
          </w:tcPr>
          <w:p>
            <w:pPr>
              <w:spacing w:after="0"/>
              <w:rPr>
                <w:sz w:val="18"/>
                <w:szCs w:val="18"/>
                <w:color w:val="auto"/>
              </w:rPr>
            </w:pPr>
          </w:p>
        </w:tc>
        <w:tc>
          <w:tcPr>
            <w:tcW w:w="90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r>
      <w:tr>
        <w:trPr>
          <w:trHeight w:val="216"/>
        </w:trPr>
        <w:tc>
          <w:tcPr>
            <w:tcW w:w="5760" w:type="dxa"/>
            <w:vAlign w:val="bottom"/>
          </w:tcPr>
          <w:p>
            <w:pPr>
              <w:ind w:left="380"/>
              <w:spacing w:after="0"/>
              <w:rPr>
                <w:sz w:val="20"/>
                <w:szCs w:val="20"/>
                <w:color w:val="auto"/>
              </w:rPr>
            </w:pPr>
            <w:r>
              <w:rPr>
                <w:rFonts w:ascii="Arial" w:cs="Arial" w:eastAsia="Arial" w:hAnsi="Arial"/>
                <w:sz w:val="18"/>
                <w:szCs w:val="18"/>
                <w:color w:val="auto"/>
              </w:rPr>
              <w:t>Net unrealized losses on marketable securities</w:t>
            </w:r>
          </w:p>
        </w:tc>
        <w:tc>
          <w:tcPr>
            <w:tcW w:w="260" w:type="dxa"/>
            <w:vAlign w:val="bottom"/>
          </w:tcPr>
          <w:p>
            <w:pPr>
              <w:ind w:left="20"/>
              <w:spacing w:after="0"/>
              <w:rPr>
                <w:sz w:val="20"/>
                <w:szCs w:val="20"/>
                <w:color w:val="auto"/>
              </w:rPr>
            </w:pPr>
            <w:r>
              <w:rPr>
                <w:rFonts w:ascii="Arial" w:cs="Arial" w:eastAsia="Arial" w:hAnsi="Arial"/>
                <w:sz w:val="18"/>
                <w:szCs w:val="18"/>
                <w:color w:val="auto"/>
              </w:rPr>
              <w:t>$</w:t>
            </w:r>
          </w:p>
        </w:tc>
        <w:tc>
          <w:tcPr>
            <w:tcW w:w="1140" w:type="dxa"/>
            <w:vAlign w:val="bottom"/>
            <w:gridSpan w:val="2"/>
          </w:tcPr>
          <w:p>
            <w:pPr>
              <w:jc w:val="right"/>
              <w:ind w:right="101"/>
              <w:spacing w:after="0"/>
              <w:rPr>
                <w:sz w:val="20"/>
                <w:szCs w:val="20"/>
                <w:color w:val="auto"/>
              </w:rPr>
            </w:pPr>
            <w:r>
              <w:rPr>
                <w:rFonts w:ascii="Arial" w:cs="Arial" w:eastAsia="Arial" w:hAnsi="Arial"/>
                <w:sz w:val="18"/>
                <w:szCs w:val="18"/>
                <w:color w:val="auto"/>
              </w:rPr>
              <w:t>(580 )</w:t>
            </w:r>
          </w:p>
        </w:tc>
        <w:tc>
          <w:tcPr>
            <w:tcW w:w="260" w:type="dxa"/>
            <w:vAlign w:val="bottom"/>
          </w:tcPr>
          <w:p>
            <w:pPr>
              <w:jc w:val="right"/>
              <w:ind w:right="50"/>
              <w:spacing w:after="0"/>
              <w:rPr>
                <w:sz w:val="20"/>
                <w:szCs w:val="20"/>
                <w:color w:val="auto"/>
              </w:rPr>
            </w:pPr>
            <w:r>
              <w:rPr>
                <w:rFonts w:ascii="Arial" w:cs="Arial" w:eastAsia="Arial" w:hAnsi="Arial"/>
                <w:sz w:val="18"/>
                <w:szCs w:val="18"/>
                <w:color w:val="auto"/>
                <w:w w:val="99"/>
              </w:rPr>
              <w:t>$</w:t>
            </w:r>
          </w:p>
        </w:tc>
        <w:tc>
          <w:tcPr>
            <w:tcW w:w="1140" w:type="dxa"/>
            <w:vAlign w:val="bottom"/>
            <w:gridSpan w:val="2"/>
          </w:tcPr>
          <w:p>
            <w:pPr>
              <w:jc w:val="right"/>
              <w:ind w:right="150"/>
              <w:spacing w:after="0"/>
              <w:rPr>
                <w:sz w:val="20"/>
                <w:szCs w:val="20"/>
                <w:color w:val="auto"/>
              </w:rPr>
            </w:pPr>
            <w:r>
              <w:rPr>
                <w:rFonts w:ascii="Arial" w:cs="Arial" w:eastAsia="Arial" w:hAnsi="Arial"/>
                <w:sz w:val="18"/>
                <w:szCs w:val="18"/>
                <w:color w:val="auto"/>
              </w:rPr>
              <w:t>—</w:t>
            </w:r>
          </w:p>
        </w:tc>
        <w:tc>
          <w:tcPr>
            <w:tcW w:w="240" w:type="dxa"/>
            <w:vAlign w:val="bottom"/>
          </w:tcPr>
          <w:p>
            <w:pPr>
              <w:jc w:val="right"/>
              <w:ind w:right="50"/>
              <w:spacing w:after="0"/>
              <w:rPr>
                <w:sz w:val="20"/>
                <w:szCs w:val="20"/>
                <w:color w:val="auto"/>
              </w:rPr>
            </w:pPr>
            <w:r>
              <w:rPr>
                <w:rFonts w:ascii="Arial" w:cs="Arial" w:eastAsia="Arial" w:hAnsi="Arial"/>
                <w:sz w:val="18"/>
                <w:szCs w:val="18"/>
                <w:color w:val="auto"/>
                <w:w w:val="79"/>
              </w:rPr>
              <w:t>$</w:t>
            </w:r>
          </w:p>
        </w:tc>
        <w:tc>
          <w:tcPr>
            <w:tcW w:w="1180" w:type="dxa"/>
            <w:vAlign w:val="bottom"/>
            <w:gridSpan w:val="2"/>
          </w:tcPr>
          <w:p>
            <w:pPr>
              <w:jc w:val="right"/>
              <w:ind w:right="161"/>
              <w:spacing w:after="0"/>
              <w:rPr>
                <w:sz w:val="20"/>
                <w:szCs w:val="20"/>
                <w:color w:val="auto"/>
              </w:rPr>
            </w:pPr>
            <w:r>
              <w:rPr>
                <w:rFonts w:ascii="Arial" w:cs="Arial" w:eastAsia="Arial" w:hAnsi="Arial"/>
                <w:sz w:val="18"/>
                <w:szCs w:val="18"/>
                <w:color w:val="auto"/>
              </w:rPr>
              <w:t>(580 )</w:t>
            </w:r>
          </w:p>
        </w:tc>
        <w:tc>
          <w:tcPr>
            <w:tcW w:w="260" w:type="dxa"/>
            <w:vAlign w:val="bottom"/>
          </w:tcPr>
          <w:p>
            <w:pPr>
              <w:jc w:val="right"/>
              <w:ind w:right="70"/>
              <w:spacing w:after="0"/>
              <w:rPr>
                <w:sz w:val="20"/>
                <w:szCs w:val="20"/>
                <w:color w:val="auto"/>
              </w:rPr>
            </w:pPr>
            <w:r>
              <w:rPr>
                <w:rFonts w:ascii="Arial" w:cs="Arial" w:eastAsia="Arial" w:hAnsi="Arial"/>
                <w:sz w:val="18"/>
                <w:szCs w:val="18"/>
                <w:color w:val="auto"/>
                <w:w w:val="79"/>
              </w:rPr>
              <w:t>$</w:t>
            </w:r>
          </w:p>
        </w:tc>
        <w:tc>
          <w:tcPr>
            <w:tcW w:w="1000" w:type="dxa"/>
            <w:vAlign w:val="bottom"/>
            <w:gridSpan w:val="2"/>
          </w:tcPr>
          <w:p>
            <w:pPr>
              <w:jc w:val="right"/>
              <w:ind w:right="41"/>
              <w:spacing w:after="0"/>
              <w:rPr>
                <w:sz w:val="20"/>
                <w:szCs w:val="20"/>
                <w:color w:val="auto"/>
              </w:rPr>
            </w:pPr>
            <w:r>
              <w:rPr>
                <w:rFonts w:ascii="Arial" w:cs="Arial" w:eastAsia="Arial" w:hAnsi="Arial"/>
                <w:sz w:val="18"/>
                <w:szCs w:val="18"/>
                <w:color w:val="auto"/>
              </w:rPr>
              <w:t>—</w:t>
            </w:r>
          </w:p>
        </w:tc>
      </w:tr>
      <w:tr>
        <w:trPr>
          <w:trHeight w:val="249"/>
        </w:trPr>
        <w:tc>
          <w:tcPr>
            <w:tcW w:w="5760" w:type="dxa"/>
            <w:vAlign w:val="bottom"/>
            <w:tcBorders>
              <w:bottom w:val="single" w:sz="8" w:color="CFF0FC"/>
            </w:tcBorders>
            <w:shd w:val="clear" w:color="auto" w:fill="CFF0FC"/>
          </w:tcPr>
          <w:p>
            <w:pPr>
              <w:ind w:left="380"/>
              <w:spacing w:after="0"/>
              <w:rPr>
                <w:sz w:val="20"/>
                <w:szCs w:val="20"/>
                <w:color w:val="auto"/>
              </w:rPr>
            </w:pPr>
            <w:r>
              <w:rPr>
                <w:rFonts w:ascii="Arial" w:cs="Arial" w:eastAsia="Arial" w:hAnsi="Arial"/>
                <w:sz w:val="18"/>
                <w:szCs w:val="18"/>
                <w:color w:val="auto"/>
              </w:rPr>
              <w:t>Comprehensive loss</w:t>
            </w:r>
          </w:p>
        </w:tc>
        <w:tc>
          <w:tcPr>
            <w:tcW w:w="260" w:type="dxa"/>
            <w:vAlign w:val="bottom"/>
            <w:tcBorders>
              <w:top w:val="single" w:sz="8" w:color="auto"/>
              <w:bottom w:val="single" w:sz="8" w:color="auto"/>
            </w:tcBorders>
            <w:shd w:val="clear" w:color="auto" w:fill="CFF0FC"/>
          </w:tcPr>
          <w:p>
            <w:pPr>
              <w:ind w:left="20"/>
              <w:spacing w:after="0"/>
              <w:rPr>
                <w:sz w:val="20"/>
                <w:szCs w:val="20"/>
                <w:color w:val="auto"/>
              </w:rPr>
            </w:pPr>
            <w:r>
              <w:rPr>
                <w:rFonts w:ascii="Arial" w:cs="Arial" w:eastAsia="Arial" w:hAnsi="Arial"/>
                <w:sz w:val="18"/>
                <w:szCs w:val="18"/>
                <w:color w:val="auto"/>
              </w:rPr>
              <w:t>$</w:t>
            </w:r>
          </w:p>
        </w:tc>
        <w:tc>
          <w:tcPr>
            <w:tcW w:w="90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(23,124</w:t>
            </w:r>
          </w:p>
        </w:tc>
        <w:tc>
          <w:tcPr>
            <w:tcW w:w="240" w:type="dxa"/>
            <w:vAlign w:val="bottom"/>
            <w:tcBorders>
              <w:bottom w:val="single" w:sz="8" w:color="CFF0FC"/>
            </w:tcBorders>
            <w:shd w:val="clear" w:color="auto" w:fill="CFF0FC"/>
          </w:tcPr>
          <w:p>
            <w:pPr>
              <w:jc w:val="right"/>
              <w:ind w:right="101"/>
              <w:spacing w:after="0"/>
              <w:rPr>
                <w:sz w:val="20"/>
                <w:szCs w:val="20"/>
                <w:color w:val="auto"/>
              </w:rPr>
            </w:pPr>
            <w:r>
              <w:rPr>
                <w:rFonts w:ascii="Arial" w:cs="Arial" w:eastAsia="Arial" w:hAnsi="Arial"/>
                <w:sz w:val="16"/>
                <w:szCs w:val="16"/>
                <w:color w:val="auto"/>
                <w:w w:val="74"/>
              </w:rPr>
              <w:t>)</w:t>
            </w:r>
          </w:p>
        </w:tc>
        <w:tc>
          <w:tcPr>
            <w:tcW w:w="260" w:type="dxa"/>
            <w:vAlign w:val="bottom"/>
            <w:tcBorders>
              <w:top w:val="single" w:sz="8" w:color="auto"/>
              <w:bottom w:val="single" w:sz="8" w:color="auto"/>
            </w:tcBorders>
            <w:shd w:val="clear" w:color="auto" w:fill="CFF0FC"/>
          </w:tcPr>
          <w:p>
            <w:pPr>
              <w:jc w:val="right"/>
              <w:ind w:right="50"/>
              <w:spacing w:after="0"/>
              <w:rPr>
                <w:sz w:val="20"/>
                <w:szCs w:val="20"/>
                <w:color w:val="auto"/>
              </w:rPr>
            </w:pPr>
            <w:r>
              <w:rPr>
                <w:rFonts w:ascii="Arial" w:cs="Arial" w:eastAsia="Arial" w:hAnsi="Arial"/>
                <w:sz w:val="18"/>
                <w:szCs w:val="18"/>
                <w:color w:val="auto"/>
                <w:w w:val="99"/>
              </w:rPr>
              <w:t>$</w:t>
            </w:r>
          </w:p>
        </w:tc>
        <w:tc>
          <w:tcPr>
            <w:tcW w:w="90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(36,559</w:t>
            </w:r>
          </w:p>
        </w:tc>
        <w:tc>
          <w:tcPr>
            <w:tcW w:w="240" w:type="dxa"/>
            <w:vAlign w:val="bottom"/>
            <w:tcBorders>
              <w:bottom w:val="single" w:sz="8" w:color="CFF0FC"/>
            </w:tcBorders>
            <w:shd w:val="clear" w:color="auto" w:fill="CFF0FC"/>
          </w:tcPr>
          <w:p>
            <w:pPr>
              <w:jc w:val="right"/>
              <w:ind w:right="70"/>
              <w:spacing w:after="0"/>
              <w:rPr>
                <w:sz w:val="20"/>
                <w:szCs w:val="20"/>
                <w:color w:val="auto"/>
              </w:rPr>
            </w:pPr>
            <w:r>
              <w:rPr>
                <w:rFonts w:ascii="Arial" w:cs="Arial" w:eastAsia="Arial" w:hAnsi="Arial"/>
                <w:sz w:val="18"/>
                <w:szCs w:val="18"/>
                <w:color w:val="auto"/>
                <w:w w:val="99"/>
              </w:rPr>
              <w:t>)</w:t>
            </w:r>
          </w:p>
        </w:tc>
        <w:tc>
          <w:tcPr>
            <w:tcW w:w="240" w:type="dxa"/>
            <w:vAlign w:val="bottom"/>
            <w:tcBorders>
              <w:top w:val="single" w:sz="8" w:color="auto"/>
              <w:bottom w:val="single" w:sz="8" w:color="auto"/>
            </w:tcBorders>
            <w:shd w:val="clear" w:color="auto" w:fill="CFF0FC"/>
          </w:tcPr>
          <w:p>
            <w:pPr>
              <w:jc w:val="right"/>
              <w:ind w:right="50"/>
              <w:spacing w:after="0"/>
              <w:rPr>
                <w:sz w:val="20"/>
                <w:szCs w:val="20"/>
                <w:color w:val="auto"/>
              </w:rPr>
            </w:pPr>
            <w:r>
              <w:rPr>
                <w:rFonts w:ascii="Arial" w:cs="Arial" w:eastAsia="Arial" w:hAnsi="Arial"/>
                <w:sz w:val="18"/>
                <w:szCs w:val="18"/>
                <w:color w:val="auto"/>
                <w:w w:val="79"/>
              </w:rPr>
              <w:t>$</w:t>
            </w:r>
          </w:p>
        </w:tc>
        <w:tc>
          <w:tcPr>
            <w:tcW w:w="88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(69,912</w:t>
            </w:r>
          </w:p>
        </w:tc>
        <w:tc>
          <w:tcPr>
            <w:tcW w:w="300" w:type="dxa"/>
            <w:vAlign w:val="bottom"/>
            <w:tcBorders>
              <w:bottom w:val="single" w:sz="8" w:color="CFF0FC"/>
            </w:tcBorders>
            <w:shd w:val="clear" w:color="auto" w:fill="CFF0FC"/>
          </w:tcPr>
          <w:p>
            <w:pPr>
              <w:jc w:val="right"/>
              <w:ind w:right="161"/>
              <w:spacing w:after="0"/>
              <w:rPr>
                <w:sz w:val="20"/>
                <w:szCs w:val="20"/>
                <w:color w:val="auto"/>
              </w:rPr>
            </w:pPr>
            <w:r>
              <w:rPr>
                <w:rFonts w:ascii="Arial" w:cs="Arial" w:eastAsia="Arial" w:hAnsi="Arial"/>
                <w:sz w:val="16"/>
                <w:szCs w:val="16"/>
                <w:color w:val="auto"/>
                <w:w w:val="74"/>
              </w:rPr>
              <w:t>)</w:t>
            </w:r>
          </w:p>
        </w:tc>
        <w:tc>
          <w:tcPr>
            <w:tcW w:w="260" w:type="dxa"/>
            <w:vAlign w:val="bottom"/>
            <w:tcBorders>
              <w:top w:val="single" w:sz="8" w:color="auto"/>
              <w:bottom w:val="single" w:sz="8" w:color="auto"/>
            </w:tcBorders>
            <w:shd w:val="clear" w:color="auto" w:fill="CFF0FC"/>
          </w:tcPr>
          <w:p>
            <w:pPr>
              <w:jc w:val="right"/>
              <w:ind w:right="70"/>
              <w:spacing w:after="0"/>
              <w:rPr>
                <w:sz w:val="20"/>
                <w:szCs w:val="20"/>
                <w:color w:val="auto"/>
              </w:rPr>
            </w:pPr>
            <w:r>
              <w:rPr>
                <w:rFonts w:ascii="Arial" w:cs="Arial" w:eastAsia="Arial" w:hAnsi="Arial"/>
                <w:sz w:val="18"/>
                <w:szCs w:val="18"/>
                <w:color w:val="auto"/>
                <w:w w:val="79"/>
              </w:rPr>
              <w:t>$</w:t>
            </w:r>
          </w:p>
        </w:tc>
        <w:tc>
          <w:tcPr>
            <w:tcW w:w="90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(53,081</w:t>
            </w:r>
          </w:p>
        </w:tc>
        <w:tc>
          <w:tcPr>
            <w:tcW w:w="100" w:type="dxa"/>
            <w:vAlign w:val="bottom"/>
            <w:tcBorders>
              <w:bottom w:val="single" w:sz="8" w:color="CFF0FC"/>
            </w:tcBorders>
            <w:shd w:val="clear" w:color="auto" w:fill="CFF0FC"/>
          </w:tcPr>
          <w:p>
            <w:pPr>
              <w:jc w:val="right"/>
              <w:spacing w:after="0"/>
              <w:rPr>
                <w:sz w:val="20"/>
                <w:szCs w:val="20"/>
                <w:color w:val="auto"/>
              </w:rPr>
            </w:pPr>
            <w:r>
              <w:rPr>
                <w:rFonts w:ascii="Arial" w:cs="Arial" w:eastAsia="Arial" w:hAnsi="Arial"/>
                <w:sz w:val="16"/>
                <w:szCs w:val="16"/>
                <w:color w:val="auto"/>
                <w:w w:val="74"/>
              </w:rPr>
              <w:t>)</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4389120</wp:posOffset>
            </wp:positionH>
            <wp:positionV relativeFrom="paragraph">
              <wp:posOffset>-2722245</wp:posOffset>
            </wp:positionV>
            <wp:extent cx="76835" cy="14541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6835" cy="145415"/>
                    </a:xfrm>
                    <a:prstGeom prst="rect">
                      <a:avLst/>
                    </a:prstGeom>
                    <a:noFill/>
                  </pic:spPr>
                </pic:pic>
              </a:graphicData>
            </a:graphic>
          </wp:anchor>
        </w:drawing>
        <w:drawing>
          <wp:anchor simplePos="0" relativeHeight="251657728" behindDoc="1" locked="0" layoutInCell="0" allowOverlap="1">
            <wp:simplePos x="0" y="0"/>
            <wp:positionH relativeFrom="column">
              <wp:posOffset>5288280</wp:posOffset>
            </wp:positionH>
            <wp:positionV relativeFrom="paragraph">
              <wp:posOffset>-2722245</wp:posOffset>
            </wp:positionV>
            <wp:extent cx="68580" cy="14541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68580" cy="145415"/>
                    </a:xfrm>
                    <a:prstGeom prst="rect">
                      <a:avLst/>
                    </a:prstGeom>
                    <a:noFill/>
                  </pic:spPr>
                </pic:pic>
              </a:graphicData>
            </a:graphic>
          </wp:anchor>
        </w:drawing>
        <w:drawing>
          <wp:anchor simplePos="0" relativeHeight="251657728" behindDoc="1" locked="0" layoutInCell="0" allowOverlap="1">
            <wp:simplePos x="0" y="0"/>
            <wp:positionH relativeFrom="column">
              <wp:posOffset>6144260</wp:posOffset>
            </wp:positionH>
            <wp:positionV relativeFrom="paragraph">
              <wp:posOffset>-2722245</wp:posOffset>
            </wp:positionV>
            <wp:extent cx="68580" cy="14541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68580" cy="14541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-2722245</wp:posOffset>
            </wp:positionV>
            <wp:extent cx="68580" cy="14541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68580" cy="145415"/>
                    </a:xfrm>
                    <a:prstGeom prst="rect">
                      <a:avLst/>
                    </a:prstGeom>
                    <a:noFill/>
                  </pic:spPr>
                </pic:pic>
              </a:graphicData>
            </a:graphic>
          </wp:anchor>
        </w:drawing>
        <w:drawing>
          <wp:anchor simplePos="0" relativeHeight="251657728" behindDoc="1" locked="0" layoutInCell="0" allowOverlap="1">
            <wp:simplePos x="0" y="0"/>
            <wp:positionH relativeFrom="column">
              <wp:posOffset>4389120</wp:posOffset>
            </wp:positionH>
            <wp:positionV relativeFrom="paragraph">
              <wp:posOffset>-2165350</wp:posOffset>
            </wp:positionV>
            <wp:extent cx="76835" cy="15430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76835" cy="154305"/>
                    </a:xfrm>
                    <a:prstGeom prst="rect">
                      <a:avLst/>
                    </a:prstGeom>
                    <a:noFill/>
                  </pic:spPr>
                </pic:pic>
              </a:graphicData>
            </a:graphic>
          </wp:anchor>
        </w:drawing>
        <w:drawing>
          <wp:anchor simplePos="0" relativeHeight="251657728" behindDoc="1" locked="0" layoutInCell="0" allowOverlap="1">
            <wp:simplePos x="0" y="0"/>
            <wp:positionH relativeFrom="column">
              <wp:posOffset>5288280</wp:posOffset>
            </wp:positionH>
            <wp:positionV relativeFrom="paragraph">
              <wp:posOffset>-2165350</wp:posOffset>
            </wp:positionV>
            <wp:extent cx="68580" cy="15430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68580" cy="154305"/>
                    </a:xfrm>
                    <a:prstGeom prst="rect">
                      <a:avLst/>
                    </a:prstGeom>
                    <a:noFill/>
                  </pic:spPr>
                </pic:pic>
              </a:graphicData>
            </a:graphic>
          </wp:anchor>
        </w:drawing>
        <w:drawing>
          <wp:anchor simplePos="0" relativeHeight="251657728" behindDoc="1" locked="0" layoutInCell="0" allowOverlap="1">
            <wp:simplePos x="0" y="0"/>
            <wp:positionH relativeFrom="column">
              <wp:posOffset>6144260</wp:posOffset>
            </wp:positionH>
            <wp:positionV relativeFrom="paragraph">
              <wp:posOffset>-2165350</wp:posOffset>
            </wp:positionV>
            <wp:extent cx="68580" cy="154305"/>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68580" cy="15430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-2165350</wp:posOffset>
            </wp:positionV>
            <wp:extent cx="68580" cy="154305"/>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68580" cy="154305"/>
                    </a:xfrm>
                    <a:prstGeom prst="rect">
                      <a:avLst/>
                    </a:prstGeom>
                    <a:noFill/>
                  </pic:spPr>
                </pic:pic>
              </a:graphicData>
            </a:graphic>
          </wp:anchor>
        </w:drawing>
        <w:drawing>
          <wp:anchor simplePos="0" relativeHeight="251657728" behindDoc="1" locked="0" layoutInCell="0" allowOverlap="1">
            <wp:simplePos x="0" y="0"/>
            <wp:positionH relativeFrom="column">
              <wp:posOffset>4389120</wp:posOffset>
            </wp:positionH>
            <wp:positionV relativeFrom="paragraph">
              <wp:posOffset>-1874520</wp:posOffset>
            </wp:positionV>
            <wp:extent cx="76835" cy="145415"/>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76835" cy="145415"/>
                    </a:xfrm>
                    <a:prstGeom prst="rect">
                      <a:avLst/>
                    </a:prstGeom>
                    <a:noFill/>
                  </pic:spPr>
                </pic:pic>
              </a:graphicData>
            </a:graphic>
          </wp:anchor>
        </w:drawing>
        <w:drawing>
          <wp:anchor simplePos="0" relativeHeight="251657728" behindDoc="1" locked="0" layoutInCell="0" allowOverlap="1">
            <wp:simplePos x="0" y="0"/>
            <wp:positionH relativeFrom="column">
              <wp:posOffset>5288280</wp:posOffset>
            </wp:positionH>
            <wp:positionV relativeFrom="paragraph">
              <wp:posOffset>-1874520</wp:posOffset>
            </wp:positionV>
            <wp:extent cx="68580" cy="145415"/>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68580" cy="145415"/>
                    </a:xfrm>
                    <a:prstGeom prst="rect">
                      <a:avLst/>
                    </a:prstGeom>
                    <a:noFill/>
                  </pic:spPr>
                </pic:pic>
              </a:graphicData>
            </a:graphic>
          </wp:anchor>
        </w:drawing>
        <w:drawing>
          <wp:anchor simplePos="0" relativeHeight="251657728" behindDoc="1" locked="0" layoutInCell="0" allowOverlap="1">
            <wp:simplePos x="0" y="0"/>
            <wp:positionH relativeFrom="column">
              <wp:posOffset>6144260</wp:posOffset>
            </wp:positionH>
            <wp:positionV relativeFrom="paragraph">
              <wp:posOffset>-1874520</wp:posOffset>
            </wp:positionV>
            <wp:extent cx="68580" cy="145415"/>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68580" cy="14541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-1874520</wp:posOffset>
            </wp:positionV>
            <wp:extent cx="68580" cy="145415"/>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68580" cy="145415"/>
                    </a:xfrm>
                    <a:prstGeom prst="rect">
                      <a:avLst/>
                    </a:prstGeom>
                    <a:noFill/>
                  </pic:spPr>
                </pic:pic>
              </a:graphicData>
            </a:graphic>
          </wp:anchor>
        </w:drawing>
        <w:drawing>
          <wp:anchor simplePos="0" relativeHeight="251657728" behindDoc="1" locked="0" layoutInCell="0" allowOverlap="1">
            <wp:simplePos x="0" y="0"/>
            <wp:positionH relativeFrom="column">
              <wp:posOffset>4389120</wp:posOffset>
            </wp:positionH>
            <wp:positionV relativeFrom="paragraph">
              <wp:posOffset>-1591945</wp:posOffset>
            </wp:positionV>
            <wp:extent cx="76835" cy="171450"/>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76835" cy="171450"/>
                    </a:xfrm>
                    <a:prstGeom prst="rect">
                      <a:avLst/>
                    </a:prstGeom>
                    <a:noFill/>
                  </pic:spPr>
                </pic:pic>
              </a:graphicData>
            </a:graphic>
          </wp:anchor>
        </w:drawing>
        <w:drawing>
          <wp:anchor simplePos="0" relativeHeight="251657728" behindDoc="1" locked="0" layoutInCell="0" allowOverlap="1">
            <wp:simplePos x="0" y="0"/>
            <wp:positionH relativeFrom="column">
              <wp:posOffset>5288280</wp:posOffset>
            </wp:positionH>
            <wp:positionV relativeFrom="paragraph">
              <wp:posOffset>-1591945</wp:posOffset>
            </wp:positionV>
            <wp:extent cx="68580" cy="171450"/>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68580" cy="171450"/>
                    </a:xfrm>
                    <a:prstGeom prst="rect">
                      <a:avLst/>
                    </a:prstGeom>
                    <a:noFill/>
                  </pic:spPr>
                </pic:pic>
              </a:graphicData>
            </a:graphic>
          </wp:anchor>
        </w:drawing>
        <w:drawing>
          <wp:anchor simplePos="0" relativeHeight="251657728" behindDoc="1" locked="0" layoutInCell="0" allowOverlap="1">
            <wp:simplePos x="0" y="0"/>
            <wp:positionH relativeFrom="column">
              <wp:posOffset>6144260</wp:posOffset>
            </wp:positionH>
            <wp:positionV relativeFrom="paragraph">
              <wp:posOffset>-1591945</wp:posOffset>
            </wp:positionV>
            <wp:extent cx="68580" cy="171450"/>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68580" cy="171450"/>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-1591945</wp:posOffset>
            </wp:positionV>
            <wp:extent cx="68580" cy="171450"/>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68580" cy="171450"/>
                    </a:xfrm>
                    <a:prstGeom prst="rect">
                      <a:avLst/>
                    </a:prstGeom>
                    <a:noFill/>
                  </pic:spPr>
                </pic:pic>
              </a:graphicData>
            </a:graphic>
          </wp:anchor>
        </w:drawing>
        <w:drawing>
          <wp:anchor simplePos="0" relativeHeight="251657728" behindDoc="1" locked="0" layoutInCell="0" allowOverlap="1">
            <wp:simplePos x="0" y="0"/>
            <wp:positionH relativeFrom="column">
              <wp:posOffset>4389120</wp:posOffset>
            </wp:positionH>
            <wp:positionV relativeFrom="paragraph">
              <wp:posOffset>-24765</wp:posOffset>
            </wp:positionV>
            <wp:extent cx="76835" cy="8255"/>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76835" cy="8255"/>
                    </a:xfrm>
                    <a:prstGeom prst="rect">
                      <a:avLst/>
                    </a:prstGeom>
                    <a:noFill/>
                  </pic:spPr>
                </pic:pic>
              </a:graphicData>
            </a:graphic>
          </wp:anchor>
        </w:drawing>
        <w:drawing>
          <wp:anchor simplePos="0" relativeHeight="251657728" behindDoc="1" locked="0" layoutInCell="0" allowOverlap="1">
            <wp:simplePos x="0" y="0"/>
            <wp:positionH relativeFrom="column">
              <wp:posOffset>4389120</wp:posOffset>
            </wp:positionH>
            <wp:positionV relativeFrom="paragraph">
              <wp:posOffset>-7620</wp:posOffset>
            </wp:positionV>
            <wp:extent cx="76835" cy="8255"/>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76835" cy="8255"/>
                    </a:xfrm>
                    <a:prstGeom prst="rect">
                      <a:avLst/>
                    </a:prstGeom>
                    <a:noFill/>
                  </pic:spPr>
                </pic:pic>
              </a:graphicData>
            </a:graphic>
          </wp:anchor>
        </w:drawing>
        <w:drawing>
          <wp:anchor simplePos="0" relativeHeight="251657728" behindDoc="1" locked="0" layoutInCell="0" allowOverlap="1">
            <wp:simplePos x="0" y="0"/>
            <wp:positionH relativeFrom="column">
              <wp:posOffset>5288280</wp:posOffset>
            </wp:positionH>
            <wp:positionV relativeFrom="paragraph">
              <wp:posOffset>-24765</wp:posOffset>
            </wp:positionV>
            <wp:extent cx="68580" cy="8255"/>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5288280</wp:posOffset>
            </wp:positionH>
            <wp:positionV relativeFrom="paragraph">
              <wp:posOffset>-7620</wp:posOffset>
            </wp:positionV>
            <wp:extent cx="68580" cy="8255"/>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6144260</wp:posOffset>
            </wp:positionH>
            <wp:positionV relativeFrom="paragraph">
              <wp:posOffset>-24765</wp:posOffset>
            </wp:positionV>
            <wp:extent cx="68580" cy="8255"/>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6144260</wp:posOffset>
            </wp:positionH>
            <wp:positionV relativeFrom="paragraph">
              <wp:posOffset>-7620</wp:posOffset>
            </wp:positionV>
            <wp:extent cx="68580" cy="8255"/>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-24765</wp:posOffset>
            </wp:positionV>
            <wp:extent cx="68580" cy="8255"/>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-7620</wp:posOffset>
            </wp:positionV>
            <wp:extent cx="68580" cy="8255"/>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68580" cy="8255"/>
                    </a:xfrm>
                    <a:prstGeom prst="rect">
                      <a:avLst/>
                    </a:prstGeom>
                    <a:noFill/>
                  </pic:spPr>
                </pic:pic>
              </a:graphicData>
            </a:graphic>
          </wp:anchor>
        </w:drawing>
      </w:r>
    </w:p>
    <w:p>
      <w:pPr>
        <w:spacing w:after="0" w:line="168" w:lineRule="exact"/>
        <w:rPr>
          <w:sz w:val="20"/>
          <w:szCs w:val="20"/>
          <w:color w:val="auto"/>
        </w:rPr>
      </w:pPr>
    </w:p>
    <w:p>
      <w:pPr>
        <w:jc w:val="center"/>
        <w:ind w:right="40"/>
        <w:spacing w:after="0"/>
        <w:rPr>
          <w:sz w:val="20"/>
          <w:szCs w:val="20"/>
          <w:color w:val="auto"/>
        </w:rPr>
      </w:pPr>
      <w:r>
        <w:rPr>
          <w:rFonts w:ascii="Arial" w:cs="Arial" w:eastAsia="Arial" w:hAnsi="Arial"/>
          <w:sz w:val="18"/>
          <w:szCs w:val="18"/>
          <w:color w:val="auto"/>
        </w:rPr>
        <w:t>See accompanying notes to condensed consolidated financial statements.</w:t>
      </w:r>
    </w:p>
    <w:p>
      <w:pPr>
        <w:spacing w:after="0" w:line="200" w:lineRule="exact"/>
        <w:rPr>
          <w:sz w:val="20"/>
          <w:szCs w:val="20"/>
          <w:color w:val="auto"/>
        </w:rPr>
      </w:pPr>
    </w:p>
    <w:p>
      <w:pPr>
        <w:spacing w:after="0" w:line="33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61595</wp:posOffset>
            </wp:positionV>
            <wp:extent cx="7157720" cy="42545"/>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23" w:right="339" w:bottom="1440" w:gutter="0" w:footer="0" w:header="0"/>
        </w:sectPr>
      </w:pPr>
    </w:p>
    <w:bookmarkStart w:id="7" w:name="page8"/>
    <w:bookmarkEnd w:id="7"/>
    <w:p>
      <w:pPr>
        <w:jc w:val="center"/>
        <w:ind w:right="40"/>
        <w:spacing w:after="0"/>
        <w:rPr>
          <w:sz w:val="20"/>
          <w:szCs w:val="20"/>
          <w:color w:val="auto"/>
        </w:rPr>
      </w:pPr>
      <w:r>
        <w:rPr>
          <w:rFonts w:ascii="Arial" w:cs="Arial" w:eastAsia="Arial" w:hAnsi="Arial"/>
          <w:sz w:val="18"/>
          <w:szCs w:val="18"/>
          <w:b w:val="1"/>
          <w:bCs w:val="1"/>
          <w:color w:val="auto"/>
        </w:rPr>
        <w:t>AMPLITUDE, INC.</w:t>
      </w:r>
    </w:p>
    <w:p>
      <w:pPr>
        <w:spacing w:after="0" w:line="24" w:lineRule="exact"/>
        <w:rPr>
          <w:sz w:val="20"/>
          <w:szCs w:val="20"/>
          <w:color w:val="auto"/>
        </w:rPr>
      </w:pPr>
    </w:p>
    <w:p>
      <w:pPr>
        <w:jc w:val="center"/>
        <w:ind w:right="40"/>
        <w:spacing w:after="0"/>
        <w:rPr>
          <w:sz w:val="20"/>
          <w:szCs w:val="20"/>
          <w:color w:val="auto"/>
        </w:rPr>
      </w:pPr>
      <w:r>
        <w:rPr>
          <w:rFonts w:ascii="Arial" w:cs="Arial" w:eastAsia="Arial" w:hAnsi="Arial"/>
          <w:sz w:val="18"/>
          <w:szCs w:val="18"/>
          <w:b w:val="1"/>
          <w:bCs w:val="1"/>
          <w:color w:val="auto"/>
        </w:rPr>
        <w:t>Condensed Consolidated Statements of Redeemable Convertible Preferred Stock and Stockholders’ Equity (Deficit)</w:t>
      </w:r>
    </w:p>
    <w:p>
      <w:pPr>
        <w:ind w:left="5040"/>
        <w:spacing w:after="0" w:line="234" w:lineRule="auto"/>
        <w:rPr>
          <w:sz w:val="20"/>
          <w:szCs w:val="20"/>
          <w:color w:val="auto"/>
        </w:rPr>
      </w:pPr>
      <w:r>
        <w:rPr>
          <w:rFonts w:ascii="Arial" w:cs="Arial" w:eastAsia="Arial" w:hAnsi="Arial"/>
          <w:sz w:val="18"/>
          <w:szCs w:val="18"/>
          <w:b w:val="1"/>
          <w:bCs w:val="1"/>
          <w:color w:val="auto"/>
        </w:rPr>
        <w:t>(In thousands)</w:t>
      </w:r>
    </w:p>
    <w:p>
      <w:pPr>
        <w:ind w:left="5180"/>
        <w:spacing w:after="0"/>
        <w:rPr>
          <w:sz w:val="20"/>
          <w:szCs w:val="20"/>
          <w:color w:val="auto"/>
        </w:rPr>
      </w:pPr>
      <w:r>
        <w:rPr>
          <w:rFonts w:ascii="Arial" w:cs="Arial" w:eastAsia="Arial" w:hAnsi="Arial"/>
          <w:sz w:val="18"/>
          <w:szCs w:val="18"/>
          <w:b w:val="1"/>
          <w:bCs w:val="1"/>
          <w:color w:val="auto"/>
        </w:rPr>
        <w:t>(unaudited)</w:t>
      </w:r>
    </w:p>
    <w:p>
      <w:pPr>
        <w:spacing w:after="0" w:line="176" w:lineRule="exact"/>
        <w:rPr>
          <w:sz w:val="20"/>
          <w:szCs w:val="20"/>
          <w:color w:val="auto"/>
        </w:rPr>
      </w:pPr>
    </w:p>
    <w:tbl>
      <w:tblPr>
        <w:tblLayout w:type="fixed"/>
        <w:tblInd w:w="0" w:type="dxa"/>
        <w:tblCellMar>
          <w:top w:w="0" w:type="dxa"/>
          <w:left w:w="0" w:type="dxa"/>
          <w:bottom w:w="0" w:type="dxa"/>
          <w:right w:w="0" w:type="dxa"/>
        </w:tblCellMar>
      </w:tblPr>
      <w:tr>
        <w:trPr>
          <w:trHeight w:val="149"/>
        </w:trPr>
        <w:tc>
          <w:tcPr>
            <w:tcW w:w="2440" w:type="dxa"/>
            <w:vAlign w:val="bottom"/>
          </w:tcPr>
          <w:p>
            <w:pPr>
              <w:spacing w:after="0"/>
              <w:rPr>
                <w:sz w:val="13"/>
                <w:szCs w:val="13"/>
                <w:color w:val="auto"/>
              </w:rPr>
            </w:pPr>
          </w:p>
        </w:tc>
        <w:tc>
          <w:tcPr>
            <w:tcW w:w="1580" w:type="dxa"/>
            <w:vAlign w:val="bottom"/>
            <w:gridSpan w:val="4"/>
            <w:vMerge w:val="restart"/>
          </w:tcPr>
          <w:p>
            <w:pPr>
              <w:ind w:left="140"/>
              <w:spacing w:after="0"/>
              <w:rPr>
                <w:sz w:val="20"/>
                <w:szCs w:val="20"/>
                <w:color w:val="auto"/>
              </w:rPr>
            </w:pPr>
            <w:r>
              <w:rPr>
                <w:rFonts w:ascii="Arial" w:cs="Arial" w:eastAsia="Arial" w:hAnsi="Arial"/>
                <w:sz w:val="13"/>
                <w:szCs w:val="13"/>
                <w:b w:val="1"/>
                <w:bCs w:val="1"/>
                <w:color w:val="auto"/>
                <w:w w:val="94"/>
              </w:rPr>
              <w:t>Redeemable convertible</w:t>
            </w:r>
          </w:p>
        </w:tc>
        <w:tc>
          <w:tcPr>
            <w:tcW w:w="240" w:type="dxa"/>
            <w:vAlign w:val="bottom"/>
          </w:tcPr>
          <w:p>
            <w:pPr>
              <w:spacing w:after="0"/>
              <w:rPr>
                <w:sz w:val="13"/>
                <w:szCs w:val="13"/>
                <w:color w:val="auto"/>
              </w:rPr>
            </w:pPr>
          </w:p>
        </w:tc>
        <w:tc>
          <w:tcPr>
            <w:tcW w:w="1780" w:type="dxa"/>
            <w:vAlign w:val="bottom"/>
            <w:gridSpan w:val="4"/>
            <w:vMerge w:val="restart"/>
          </w:tcPr>
          <w:p>
            <w:pPr>
              <w:jc w:val="right"/>
              <w:ind w:right="57"/>
              <w:spacing w:after="0"/>
              <w:rPr>
                <w:sz w:val="20"/>
                <w:szCs w:val="20"/>
                <w:color w:val="auto"/>
              </w:rPr>
            </w:pPr>
            <w:r>
              <w:rPr>
                <w:rFonts w:ascii="Arial" w:cs="Arial" w:eastAsia="Arial" w:hAnsi="Arial"/>
                <w:sz w:val="13"/>
                <w:szCs w:val="13"/>
                <w:b w:val="1"/>
                <w:bCs w:val="1"/>
                <w:color w:val="auto"/>
                <w:w w:val="89"/>
              </w:rPr>
              <w:t>Class A and Class B common</w:t>
            </w:r>
          </w:p>
        </w:tc>
        <w:tc>
          <w:tcPr>
            <w:tcW w:w="2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860" w:type="dxa"/>
            <w:vAlign w:val="bottom"/>
            <w:vMerge w:val="restart"/>
          </w:tcPr>
          <w:p>
            <w:pPr>
              <w:jc w:val="center"/>
              <w:spacing w:after="0"/>
              <w:rPr>
                <w:sz w:val="20"/>
                <w:szCs w:val="20"/>
                <w:color w:val="auto"/>
              </w:rPr>
            </w:pPr>
            <w:r>
              <w:rPr>
                <w:rFonts w:ascii="Arial" w:cs="Arial" w:eastAsia="Arial" w:hAnsi="Arial"/>
                <w:sz w:val="13"/>
                <w:szCs w:val="13"/>
                <w:b w:val="1"/>
                <w:bCs w:val="1"/>
                <w:color w:val="auto"/>
                <w:w w:val="91"/>
              </w:rPr>
              <w:t>Additional</w:t>
            </w:r>
          </w:p>
        </w:tc>
        <w:tc>
          <w:tcPr>
            <w:tcW w:w="2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280" w:type="dxa"/>
            <w:vAlign w:val="bottom"/>
            <w:gridSpan w:val="2"/>
          </w:tcPr>
          <w:p>
            <w:pPr>
              <w:jc w:val="center"/>
              <w:ind w:right="240"/>
              <w:spacing w:after="0"/>
              <w:rPr>
                <w:sz w:val="20"/>
                <w:szCs w:val="20"/>
                <w:color w:val="auto"/>
              </w:rPr>
            </w:pPr>
            <w:r>
              <w:rPr>
                <w:rFonts w:ascii="Arial" w:cs="Arial" w:eastAsia="Arial" w:hAnsi="Arial"/>
                <w:sz w:val="13"/>
                <w:szCs w:val="13"/>
                <w:b w:val="1"/>
                <w:bCs w:val="1"/>
                <w:color w:val="auto"/>
                <w:w w:val="88"/>
              </w:rPr>
              <w:t>Accumulated</w:t>
            </w:r>
          </w:p>
        </w:tc>
        <w:tc>
          <w:tcPr>
            <w:tcW w:w="100" w:type="dxa"/>
            <w:vAlign w:val="bottom"/>
          </w:tcPr>
          <w:p>
            <w:pPr>
              <w:spacing w:after="0"/>
              <w:rPr>
                <w:sz w:val="13"/>
                <w:szCs w:val="13"/>
                <w:color w:val="auto"/>
              </w:rPr>
            </w:pPr>
          </w:p>
        </w:tc>
        <w:tc>
          <w:tcPr>
            <w:tcW w:w="86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100" w:type="dxa"/>
            <w:vAlign w:val="bottom"/>
            <w:gridSpan w:val="2"/>
            <w:vMerge w:val="restart"/>
          </w:tcPr>
          <w:p>
            <w:pPr>
              <w:jc w:val="center"/>
              <w:ind w:right="100"/>
              <w:spacing w:after="0"/>
              <w:rPr>
                <w:sz w:val="20"/>
                <w:szCs w:val="20"/>
                <w:color w:val="auto"/>
              </w:rPr>
            </w:pPr>
            <w:r>
              <w:rPr>
                <w:rFonts w:ascii="Arial" w:cs="Arial" w:eastAsia="Arial" w:hAnsi="Arial"/>
                <w:sz w:val="13"/>
                <w:szCs w:val="13"/>
                <w:b w:val="1"/>
                <w:bCs w:val="1"/>
                <w:color w:val="auto"/>
                <w:w w:val="89"/>
              </w:rPr>
              <w:t>Total</w:t>
            </w:r>
          </w:p>
        </w:tc>
        <w:tc>
          <w:tcPr>
            <w:tcW w:w="0" w:type="dxa"/>
            <w:vAlign w:val="bottom"/>
          </w:tcPr>
          <w:p>
            <w:pPr>
              <w:spacing w:after="0"/>
              <w:rPr>
                <w:sz w:val="1"/>
                <w:szCs w:val="1"/>
                <w:color w:val="auto"/>
              </w:rPr>
            </w:pPr>
          </w:p>
        </w:tc>
      </w:tr>
      <w:tr>
        <w:trPr>
          <w:trHeight w:val="122"/>
        </w:trPr>
        <w:tc>
          <w:tcPr>
            <w:tcW w:w="2440" w:type="dxa"/>
            <w:vAlign w:val="bottom"/>
          </w:tcPr>
          <w:p>
            <w:pPr>
              <w:spacing w:after="0"/>
              <w:rPr>
                <w:sz w:val="10"/>
                <w:szCs w:val="10"/>
                <w:color w:val="auto"/>
              </w:rPr>
            </w:pPr>
          </w:p>
        </w:tc>
        <w:tc>
          <w:tcPr>
            <w:tcW w:w="1580" w:type="dxa"/>
            <w:vAlign w:val="bottom"/>
            <w:gridSpan w:val="4"/>
            <w:vMerge w:val="continue"/>
          </w:tcPr>
          <w:p>
            <w:pPr>
              <w:spacing w:after="0"/>
              <w:rPr>
                <w:sz w:val="10"/>
                <w:szCs w:val="10"/>
                <w:color w:val="auto"/>
              </w:rPr>
            </w:pPr>
          </w:p>
        </w:tc>
        <w:tc>
          <w:tcPr>
            <w:tcW w:w="240" w:type="dxa"/>
            <w:vAlign w:val="bottom"/>
          </w:tcPr>
          <w:p>
            <w:pPr>
              <w:spacing w:after="0"/>
              <w:rPr>
                <w:sz w:val="10"/>
                <w:szCs w:val="10"/>
                <w:color w:val="auto"/>
              </w:rPr>
            </w:pPr>
          </w:p>
        </w:tc>
        <w:tc>
          <w:tcPr>
            <w:tcW w:w="1780" w:type="dxa"/>
            <w:vAlign w:val="bottom"/>
            <w:gridSpan w:val="4"/>
            <w:vMerge w:val="continue"/>
          </w:tcPr>
          <w:p>
            <w:pPr>
              <w:spacing w:after="0"/>
              <w:rPr>
                <w:sz w:val="10"/>
                <w:szCs w:val="10"/>
                <w:color w:val="auto"/>
              </w:rPr>
            </w:pPr>
          </w:p>
        </w:tc>
        <w:tc>
          <w:tcPr>
            <w:tcW w:w="26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860" w:type="dxa"/>
            <w:vAlign w:val="bottom"/>
            <w:vMerge w:val="continue"/>
          </w:tcPr>
          <w:p>
            <w:pPr>
              <w:spacing w:after="0"/>
              <w:rPr>
                <w:sz w:val="10"/>
                <w:szCs w:val="10"/>
                <w:color w:val="auto"/>
              </w:rPr>
            </w:pPr>
          </w:p>
        </w:tc>
        <w:tc>
          <w:tcPr>
            <w:tcW w:w="2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280" w:type="dxa"/>
            <w:vAlign w:val="bottom"/>
            <w:gridSpan w:val="2"/>
          </w:tcPr>
          <w:p>
            <w:pPr>
              <w:jc w:val="center"/>
              <w:ind w:right="240"/>
              <w:spacing w:after="0" w:line="122" w:lineRule="exact"/>
              <w:rPr>
                <w:sz w:val="20"/>
                <w:szCs w:val="20"/>
                <w:color w:val="auto"/>
              </w:rPr>
            </w:pPr>
            <w:r>
              <w:rPr>
                <w:rFonts w:ascii="Arial" w:cs="Arial" w:eastAsia="Arial" w:hAnsi="Arial"/>
                <w:sz w:val="13"/>
                <w:szCs w:val="13"/>
                <w:b w:val="1"/>
                <w:bCs w:val="1"/>
                <w:color w:val="auto"/>
                <w:w w:val="86"/>
              </w:rPr>
              <w:t>other</w:t>
            </w:r>
          </w:p>
        </w:tc>
        <w:tc>
          <w:tcPr>
            <w:tcW w:w="100" w:type="dxa"/>
            <w:vAlign w:val="bottom"/>
          </w:tcPr>
          <w:p>
            <w:pPr>
              <w:spacing w:after="0"/>
              <w:rPr>
                <w:sz w:val="10"/>
                <w:szCs w:val="10"/>
                <w:color w:val="auto"/>
              </w:rPr>
            </w:pPr>
          </w:p>
        </w:tc>
        <w:tc>
          <w:tcPr>
            <w:tcW w:w="1080" w:type="dxa"/>
            <w:vAlign w:val="bottom"/>
            <w:gridSpan w:val="2"/>
            <w:vMerge w:val="restart"/>
          </w:tcPr>
          <w:p>
            <w:pPr>
              <w:jc w:val="right"/>
              <w:ind w:right="237"/>
              <w:spacing w:after="0"/>
              <w:rPr>
                <w:sz w:val="20"/>
                <w:szCs w:val="20"/>
                <w:color w:val="auto"/>
              </w:rPr>
            </w:pPr>
            <w:r>
              <w:rPr>
                <w:rFonts w:ascii="Arial" w:cs="Arial" w:eastAsia="Arial" w:hAnsi="Arial"/>
                <w:sz w:val="13"/>
                <w:szCs w:val="13"/>
                <w:b w:val="1"/>
                <w:bCs w:val="1"/>
                <w:color w:val="auto"/>
                <w:w w:val="93"/>
              </w:rPr>
              <w:t>Accumulated</w:t>
            </w:r>
          </w:p>
        </w:tc>
        <w:tc>
          <w:tcPr>
            <w:tcW w:w="100" w:type="dxa"/>
            <w:vAlign w:val="bottom"/>
          </w:tcPr>
          <w:p>
            <w:pPr>
              <w:spacing w:after="0"/>
              <w:rPr>
                <w:sz w:val="10"/>
                <w:szCs w:val="10"/>
                <w:color w:val="auto"/>
              </w:rPr>
            </w:pPr>
          </w:p>
        </w:tc>
        <w:tc>
          <w:tcPr>
            <w:tcW w:w="1100" w:type="dxa"/>
            <w:vAlign w:val="bottom"/>
            <w:gridSpan w:val="2"/>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62"/>
        </w:trPr>
        <w:tc>
          <w:tcPr>
            <w:tcW w:w="2440" w:type="dxa"/>
            <w:vAlign w:val="bottom"/>
          </w:tcPr>
          <w:p>
            <w:pPr>
              <w:spacing w:after="0"/>
              <w:rPr>
                <w:sz w:val="14"/>
                <w:szCs w:val="14"/>
                <w:color w:val="auto"/>
              </w:rPr>
            </w:pPr>
          </w:p>
        </w:tc>
        <w:tc>
          <w:tcPr>
            <w:tcW w:w="1580" w:type="dxa"/>
            <w:vAlign w:val="bottom"/>
            <w:tcBorders>
              <w:bottom w:val="single" w:sz="8" w:color="auto"/>
            </w:tcBorders>
            <w:gridSpan w:val="4"/>
          </w:tcPr>
          <w:p>
            <w:pPr>
              <w:ind w:left="380"/>
              <w:spacing w:after="0"/>
              <w:rPr>
                <w:sz w:val="20"/>
                <w:szCs w:val="20"/>
                <w:color w:val="auto"/>
              </w:rPr>
            </w:pPr>
            <w:r>
              <w:rPr>
                <w:rFonts w:ascii="Arial" w:cs="Arial" w:eastAsia="Arial" w:hAnsi="Arial"/>
                <w:sz w:val="13"/>
                <w:szCs w:val="13"/>
                <w:b w:val="1"/>
                <w:bCs w:val="1"/>
                <w:color w:val="auto"/>
              </w:rPr>
              <w:t>preferred stock</w:t>
            </w:r>
          </w:p>
        </w:tc>
        <w:tc>
          <w:tcPr>
            <w:tcW w:w="240" w:type="dxa"/>
            <w:vAlign w:val="bottom"/>
          </w:tcPr>
          <w:p>
            <w:pPr>
              <w:spacing w:after="0"/>
              <w:rPr>
                <w:sz w:val="14"/>
                <w:szCs w:val="14"/>
                <w:color w:val="auto"/>
              </w:rPr>
            </w:pPr>
          </w:p>
        </w:tc>
        <w:tc>
          <w:tcPr>
            <w:tcW w:w="720" w:type="dxa"/>
            <w:vAlign w:val="bottom"/>
            <w:tcBorders>
              <w:bottom w:val="single" w:sz="8" w:color="auto"/>
            </w:tcBorders>
          </w:tcPr>
          <w:p>
            <w:pPr>
              <w:spacing w:after="0"/>
              <w:rPr>
                <w:sz w:val="14"/>
                <w:szCs w:val="14"/>
                <w:color w:val="auto"/>
              </w:rPr>
            </w:pPr>
          </w:p>
        </w:tc>
        <w:tc>
          <w:tcPr>
            <w:tcW w:w="360" w:type="dxa"/>
            <w:vAlign w:val="bottom"/>
            <w:tcBorders>
              <w:bottom w:val="single" w:sz="8" w:color="auto"/>
            </w:tcBorders>
            <w:gridSpan w:val="2"/>
          </w:tcPr>
          <w:p>
            <w:pPr>
              <w:jc w:val="right"/>
              <w:spacing w:after="0"/>
              <w:rPr>
                <w:sz w:val="20"/>
                <w:szCs w:val="20"/>
                <w:color w:val="auto"/>
              </w:rPr>
            </w:pPr>
            <w:r>
              <w:rPr>
                <w:rFonts w:ascii="Arial" w:cs="Arial" w:eastAsia="Arial" w:hAnsi="Arial"/>
                <w:sz w:val="13"/>
                <w:szCs w:val="13"/>
                <w:b w:val="1"/>
                <w:bCs w:val="1"/>
                <w:color w:val="auto"/>
                <w:w w:val="88"/>
              </w:rPr>
              <w:t>stock</w:t>
            </w:r>
          </w:p>
        </w:tc>
        <w:tc>
          <w:tcPr>
            <w:tcW w:w="700" w:type="dxa"/>
            <w:vAlign w:val="bottom"/>
            <w:tcBorders>
              <w:bottom w:val="single" w:sz="8" w:color="auto"/>
            </w:tcBorders>
          </w:tcPr>
          <w:p>
            <w:pPr>
              <w:spacing w:after="0"/>
              <w:rPr>
                <w:sz w:val="14"/>
                <w:szCs w:val="14"/>
                <w:color w:val="auto"/>
              </w:rPr>
            </w:pPr>
          </w:p>
        </w:tc>
        <w:tc>
          <w:tcPr>
            <w:tcW w:w="2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60" w:type="dxa"/>
            <w:vAlign w:val="bottom"/>
          </w:tcPr>
          <w:p>
            <w:pPr>
              <w:jc w:val="center"/>
              <w:spacing w:after="0"/>
              <w:rPr>
                <w:sz w:val="20"/>
                <w:szCs w:val="20"/>
                <w:color w:val="auto"/>
              </w:rPr>
            </w:pPr>
            <w:r>
              <w:rPr>
                <w:rFonts w:ascii="Arial" w:cs="Arial" w:eastAsia="Arial" w:hAnsi="Arial"/>
                <w:sz w:val="13"/>
                <w:szCs w:val="13"/>
                <w:b w:val="1"/>
                <w:bCs w:val="1"/>
                <w:color w:val="auto"/>
                <w:w w:val="89"/>
              </w:rPr>
              <w:t>paid-in</w:t>
            </w:r>
          </w:p>
        </w:tc>
        <w:tc>
          <w:tcPr>
            <w:tcW w:w="2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280" w:type="dxa"/>
            <w:vAlign w:val="bottom"/>
            <w:gridSpan w:val="2"/>
          </w:tcPr>
          <w:p>
            <w:pPr>
              <w:jc w:val="center"/>
              <w:ind w:right="200"/>
              <w:spacing w:after="0"/>
              <w:rPr>
                <w:sz w:val="20"/>
                <w:szCs w:val="20"/>
                <w:color w:val="auto"/>
              </w:rPr>
            </w:pPr>
            <w:r>
              <w:rPr>
                <w:rFonts w:ascii="Arial" w:cs="Arial" w:eastAsia="Arial" w:hAnsi="Arial"/>
                <w:sz w:val="13"/>
                <w:szCs w:val="13"/>
                <w:b w:val="1"/>
                <w:bCs w:val="1"/>
                <w:color w:val="auto"/>
                <w:w w:val="83"/>
              </w:rPr>
              <w:t>comprehensive</w:t>
            </w:r>
          </w:p>
        </w:tc>
        <w:tc>
          <w:tcPr>
            <w:tcW w:w="100" w:type="dxa"/>
            <w:vAlign w:val="bottom"/>
          </w:tcPr>
          <w:p>
            <w:pPr>
              <w:spacing w:after="0"/>
              <w:rPr>
                <w:sz w:val="14"/>
                <w:szCs w:val="14"/>
                <w:color w:val="auto"/>
              </w:rPr>
            </w:pPr>
          </w:p>
        </w:tc>
        <w:tc>
          <w:tcPr>
            <w:tcW w:w="1080" w:type="dxa"/>
            <w:vAlign w:val="bottom"/>
            <w:gridSpan w:val="2"/>
            <w:vMerge w:val="continue"/>
          </w:tcPr>
          <w:p>
            <w:pPr>
              <w:spacing w:after="0"/>
              <w:rPr>
                <w:sz w:val="14"/>
                <w:szCs w:val="14"/>
                <w:color w:val="auto"/>
              </w:rPr>
            </w:pPr>
          </w:p>
        </w:tc>
        <w:tc>
          <w:tcPr>
            <w:tcW w:w="100" w:type="dxa"/>
            <w:vAlign w:val="bottom"/>
          </w:tcPr>
          <w:p>
            <w:pPr>
              <w:spacing w:after="0"/>
              <w:rPr>
                <w:sz w:val="14"/>
                <w:szCs w:val="14"/>
                <w:color w:val="auto"/>
              </w:rPr>
            </w:pPr>
          </w:p>
        </w:tc>
        <w:tc>
          <w:tcPr>
            <w:tcW w:w="1100" w:type="dxa"/>
            <w:vAlign w:val="bottom"/>
            <w:gridSpan w:val="2"/>
          </w:tcPr>
          <w:p>
            <w:pPr>
              <w:jc w:val="center"/>
              <w:ind w:right="100"/>
              <w:spacing w:after="0"/>
              <w:rPr>
                <w:sz w:val="20"/>
                <w:szCs w:val="20"/>
                <w:color w:val="auto"/>
              </w:rPr>
            </w:pPr>
            <w:r>
              <w:rPr>
                <w:rFonts w:ascii="Arial" w:cs="Arial" w:eastAsia="Arial" w:hAnsi="Arial"/>
                <w:sz w:val="13"/>
                <w:szCs w:val="13"/>
                <w:b w:val="1"/>
                <w:bCs w:val="1"/>
                <w:color w:val="auto"/>
                <w:w w:val="85"/>
              </w:rPr>
              <w:t>stockholders’</w:t>
            </w:r>
          </w:p>
        </w:tc>
        <w:tc>
          <w:tcPr>
            <w:tcW w:w="0" w:type="dxa"/>
            <w:vAlign w:val="bottom"/>
          </w:tcPr>
          <w:p>
            <w:pPr>
              <w:spacing w:after="0"/>
              <w:rPr>
                <w:sz w:val="1"/>
                <w:szCs w:val="1"/>
                <w:color w:val="auto"/>
              </w:rPr>
            </w:pPr>
          </w:p>
        </w:tc>
      </w:tr>
      <w:tr>
        <w:trPr>
          <w:trHeight w:val="159"/>
        </w:trPr>
        <w:tc>
          <w:tcPr>
            <w:tcW w:w="2440" w:type="dxa"/>
            <w:vAlign w:val="bottom"/>
          </w:tcPr>
          <w:p>
            <w:pPr>
              <w:spacing w:after="0"/>
              <w:rPr>
                <w:sz w:val="13"/>
                <w:szCs w:val="13"/>
                <w:color w:val="auto"/>
              </w:rPr>
            </w:pPr>
          </w:p>
        </w:tc>
        <w:tc>
          <w:tcPr>
            <w:tcW w:w="500" w:type="dxa"/>
            <w:vAlign w:val="bottom"/>
          </w:tcPr>
          <w:p>
            <w:pPr>
              <w:ind w:left="80"/>
              <w:spacing w:after="0"/>
              <w:rPr>
                <w:sz w:val="20"/>
                <w:szCs w:val="20"/>
                <w:color w:val="auto"/>
              </w:rPr>
            </w:pPr>
            <w:r>
              <w:rPr>
                <w:rFonts w:ascii="Arial" w:cs="Arial" w:eastAsia="Arial" w:hAnsi="Arial"/>
                <w:sz w:val="13"/>
                <w:szCs w:val="13"/>
                <w:b w:val="1"/>
                <w:bCs w:val="1"/>
                <w:color w:val="auto"/>
                <w:w w:val="92"/>
              </w:rPr>
              <w:t>Shares</w:t>
            </w:r>
          </w:p>
        </w:tc>
        <w:tc>
          <w:tcPr>
            <w:tcW w:w="2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700" w:type="dxa"/>
            <w:vAlign w:val="bottom"/>
          </w:tcPr>
          <w:p>
            <w:pPr>
              <w:ind w:left="120"/>
              <w:spacing w:after="0"/>
              <w:rPr>
                <w:sz w:val="20"/>
                <w:szCs w:val="20"/>
                <w:color w:val="auto"/>
              </w:rPr>
            </w:pPr>
            <w:r>
              <w:rPr>
                <w:rFonts w:ascii="Arial" w:cs="Arial" w:eastAsia="Arial" w:hAnsi="Arial"/>
                <w:sz w:val="13"/>
                <w:szCs w:val="13"/>
                <w:b w:val="1"/>
                <w:bCs w:val="1"/>
                <w:color w:val="auto"/>
              </w:rPr>
              <w:t>Amount</w:t>
            </w:r>
          </w:p>
        </w:tc>
        <w:tc>
          <w:tcPr>
            <w:tcW w:w="240" w:type="dxa"/>
            <w:vAlign w:val="bottom"/>
          </w:tcPr>
          <w:p>
            <w:pPr>
              <w:spacing w:after="0"/>
              <w:rPr>
                <w:sz w:val="13"/>
                <w:szCs w:val="13"/>
                <w:color w:val="auto"/>
              </w:rPr>
            </w:pPr>
          </w:p>
        </w:tc>
        <w:tc>
          <w:tcPr>
            <w:tcW w:w="960" w:type="dxa"/>
            <w:vAlign w:val="bottom"/>
            <w:gridSpan w:val="2"/>
          </w:tcPr>
          <w:p>
            <w:pPr>
              <w:jc w:val="right"/>
              <w:ind w:right="357"/>
              <w:spacing w:after="0"/>
              <w:rPr>
                <w:sz w:val="20"/>
                <w:szCs w:val="20"/>
                <w:color w:val="auto"/>
              </w:rPr>
            </w:pPr>
            <w:r>
              <w:rPr>
                <w:rFonts w:ascii="Arial" w:cs="Arial" w:eastAsia="Arial" w:hAnsi="Arial"/>
                <w:sz w:val="13"/>
                <w:szCs w:val="13"/>
                <w:b w:val="1"/>
                <w:bCs w:val="1"/>
                <w:color w:val="auto"/>
              </w:rPr>
              <w:t>Shares</w:t>
            </w:r>
          </w:p>
        </w:tc>
        <w:tc>
          <w:tcPr>
            <w:tcW w:w="120" w:type="dxa"/>
            <w:vAlign w:val="bottom"/>
          </w:tcPr>
          <w:p>
            <w:pPr>
              <w:spacing w:after="0"/>
              <w:rPr>
                <w:sz w:val="13"/>
                <w:szCs w:val="13"/>
                <w:color w:val="auto"/>
              </w:rPr>
            </w:pPr>
          </w:p>
        </w:tc>
        <w:tc>
          <w:tcPr>
            <w:tcW w:w="700" w:type="dxa"/>
            <w:vAlign w:val="bottom"/>
          </w:tcPr>
          <w:p>
            <w:pPr>
              <w:jc w:val="right"/>
              <w:ind w:right="57"/>
              <w:spacing w:after="0"/>
              <w:rPr>
                <w:sz w:val="20"/>
                <w:szCs w:val="20"/>
                <w:color w:val="auto"/>
              </w:rPr>
            </w:pPr>
            <w:r>
              <w:rPr>
                <w:rFonts w:ascii="Arial" w:cs="Arial" w:eastAsia="Arial" w:hAnsi="Arial"/>
                <w:sz w:val="13"/>
                <w:szCs w:val="13"/>
                <w:b w:val="1"/>
                <w:bCs w:val="1"/>
                <w:color w:val="auto"/>
              </w:rPr>
              <w:t>Amount</w:t>
            </w:r>
          </w:p>
        </w:tc>
        <w:tc>
          <w:tcPr>
            <w:tcW w:w="2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860" w:type="dxa"/>
            <w:vAlign w:val="bottom"/>
          </w:tcPr>
          <w:p>
            <w:pPr>
              <w:jc w:val="center"/>
              <w:spacing w:after="0" w:line="143" w:lineRule="exact"/>
              <w:rPr>
                <w:sz w:val="20"/>
                <w:szCs w:val="20"/>
                <w:color w:val="auto"/>
              </w:rPr>
            </w:pPr>
            <w:r>
              <w:rPr>
                <w:rFonts w:ascii="Arial" w:cs="Arial" w:eastAsia="Arial" w:hAnsi="Arial"/>
                <w:sz w:val="13"/>
                <w:szCs w:val="13"/>
                <w:b w:val="1"/>
                <w:bCs w:val="1"/>
                <w:color w:val="auto"/>
                <w:w w:val="92"/>
              </w:rPr>
              <w:t>capital</w:t>
            </w:r>
          </w:p>
        </w:tc>
        <w:tc>
          <w:tcPr>
            <w:tcW w:w="2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280" w:type="dxa"/>
            <w:vAlign w:val="bottom"/>
            <w:gridSpan w:val="2"/>
          </w:tcPr>
          <w:p>
            <w:pPr>
              <w:jc w:val="center"/>
              <w:ind w:right="220"/>
              <w:spacing w:after="0"/>
              <w:rPr>
                <w:sz w:val="20"/>
                <w:szCs w:val="20"/>
                <w:color w:val="auto"/>
              </w:rPr>
            </w:pPr>
            <w:r>
              <w:rPr>
                <w:rFonts w:ascii="Arial" w:cs="Arial" w:eastAsia="Arial" w:hAnsi="Arial"/>
                <w:sz w:val="12"/>
                <w:szCs w:val="12"/>
                <w:b w:val="1"/>
                <w:bCs w:val="1"/>
                <w:color w:val="auto"/>
                <w:w w:val="74"/>
              </w:rPr>
              <w:t>loss</w:t>
            </w:r>
          </w:p>
        </w:tc>
        <w:tc>
          <w:tcPr>
            <w:tcW w:w="100" w:type="dxa"/>
            <w:vAlign w:val="bottom"/>
          </w:tcPr>
          <w:p>
            <w:pPr>
              <w:spacing w:after="0"/>
              <w:rPr>
                <w:sz w:val="13"/>
                <w:szCs w:val="13"/>
                <w:color w:val="auto"/>
              </w:rPr>
            </w:pPr>
          </w:p>
        </w:tc>
        <w:tc>
          <w:tcPr>
            <w:tcW w:w="1080" w:type="dxa"/>
            <w:vAlign w:val="bottom"/>
            <w:gridSpan w:val="2"/>
          </w:tcPr>
          <w:p>
            <w:pPr>
              <w:jc w:val="right"/>
              <w:ind w:right="417"/>
              <w:spacing w:after="0" w:line="143" w:lineRule="exact"/>
              <w:rPr>
                <w:sz w:val="20"/>
                <w:szCs w:val="20"/>
                <w:color w:val="auto"/>
              </w:rPr>
            </w:pPr>
            <w:r>
              <w:rPr>
                <w:rFonts w:ascii="Arial" w:cs="Arial" w:eastAsia="Arial" w:hAnsi="Arial"/>
                <w:sz w:val="13"/>
                <w:szCs w:val="13"/>
                <w:b w:val="1"/>
                <w:bCs w:val="1"/>
                <w:color w:val="auto"/>
              </w:rPr>
              <w:t>deficit</w:t>
            </w:r>
          </w:p>
        </w:tc>
        <w:tc>
          <w:tcPr>
            <w:tcW w:w="100" w:type="dxa"/>
            <w:vAlign w:val="bottom"/>
          </w:tcPr>
          <w:p>
            <w:pPr>
              <w:spacing w:after="0"/>
              <w:rPr>
                <w:sz w:val="13"/>
                <w:szCs w:val="13"/>
                <w:color w:val="auto"/>
              </w:rPr>
            </w:pPr>
          </w:p>
        </w:tc>
        <w:tc>
          <w:tcPr>
            <w:tcW w:w="1100" w:type="dxa"/>
            <w:vAlign w:val="bottom"/>
            <w:gridSpan w:val="2"/>
          </w:tcPr>
          <w:p>
            <w:pPr>
              <w:jc w:val="center"/>
              <w:ind w:right="100"/>
              <w:spacing w:after="0" w:line="143" w:lineRule="exact"/>
              <w:rPr>
                <w:sz w:val="20"/>
                <w:szCs w:val="20"/>
                <w:color w:val="auto"/>
              </w:rPr>
            </w:pPr>
            <w:r>
              <w:rPr>
                <w:rFonts w:ascii="Arial" w:cs="Arial" w:eastAsia="Arial" w:hAnsi="Arial"/>
                <w:sz w:val="13"/>
                <w:szCs w:val="13"/>
                <w:b w:val="1"/>
                <w:bCs w:val="1"/>
                <w:color w:val="auto"/>
                <w:w w:val="89"/>
              </w:rPr>
              <w:t>equity (deficit)</w:t>
            </w:r>
          </w:p>
        </w:tc>
        <w:tc>
          <w:tcPr>
            <w:tcW w:w="0" w:type="dxa"/>
            <w:vAlign w:val="bottom"/>
          </w:tcPr>
          <w:p>
            <w:pPr>
              <w:spacing w:after="0"/>
              <w:rPr>
                <w:sz w:val="1"/>
                <w:szCs w:val="1"/>
                <w:color w:val="auto"/>
              </w:rPr>
            </w:pPr>
          </w:p>
        </w:tc>
      </w:tr>
      <w:tr>
        <w:trPr>
          <w:trHeight w:val="155"/>
        </w:trPr>
        <w:tc>
          <w:tcPr>
            <w:tcW w:w="2440" w:type="dxa"/>
            <w:vAlign w:val="bottom"/>
            <w:shd w:val="clear" w:color="auto" w:fill="CFF0FC"/>
          </w:tcPr>
          <w:p>
            <w:pPr>
              <w:ind w:left="20"/>
              <w:spacing w:after="0"/>
              <w:rPr>
                <w:sz w:val="20"/>
                <w:szCs w:val="20"/>
                <w:color w:val="auto"/>
              </w:rPr>
            </w:pPr>
            <w:r>
              <w:rPr>
                <w:rFonts w:ascii="Arial" w:cs="Arial" w:eastAsia="Arial" w:hAnsi="Arial"/>
                <w:sz w:val="13"/>
                <w:szCs w:val="13"/>
                <w:color w:val="auto"/>
              </w:rPr>
              <w:t>Balance at December 31, 2021</w:t>
            </w:r>
          </w:p>
        </w:tc>
        <w:tc>
          <w:tcPr>
            <w:tcW w:w="500" w:type="dxa"/>
            <w:vAlign w:val="bottom"/>
            <w:tcBorders>
              <w:top w:val="single" w:sz="8" w:color="auto"/>
            </w:tcBorders>
            <w:shd w:val="clear" w:color="auto" w:fill="CFF0FC"/>
          </w:tcPr>
          <w:p>
            <w:pPr>
              <w:ind w:left="360"/>
              <w:spacing w:after="0"/>
              <w:rPr>
                <w:sz w:val="20"/>
                <w:szCs w:val="20"/>
                <w:color w:val="auto"/>
              </w:rPr>
            </w:pPr>
            <w:r>
              <w:rPr>
                <w:rFonts w:ascii="Arial" w:cs="Arial" w:eastAsia="Arial" w:hAnsi="Arial"/>
                <w:sz w:val="13"/>
                <w:szCs w:val="13"/>
                <w:color w:val="auto"/>
                <w:w w:val="91"/>
              </w:rPr>
              <w:t>—</w:t>
            </w:r>
          </w:p>
        </w:tc>
        <w:tc>
          <w:tcPr>
            <w:tcW w:w="260" w:type="dxa"/>
            <w:vAlign w:val="bottom"/>
            <w:shd w:val="clear" w:color="auto" w:fill="CFF0FC"/>
          </w:tcPr>
          <w:p>
            <w:pPr>
              <w:spacing w:after="0"/>
              <w:rPr>
                <w:sz w:val="13"/>
                <w:szCs w:val="13"/>
                <w:color w:val="auto"/>
              </w:rPr>
            </w:pPr>
          </w:p>
        </w:tc>
        <w:tc>
          <w:tcPr>
            <w:tcW w:w="120" w:type="dxa"/>
            <w:vAlign w:val="bottom"/>
            <w:shd w:val="clear" w:color="auto" w:fill="CFF0FC"/>
          </w:tcPr>
          <w:p>
            <w:pPr>
              <w:spacing w:after="0"/>
              <w:rPr>
                <w:sz w:val="13"/>
                <w:szCs w:val="13"/>
                <w:color w:val="auto"/>
              </w:rPr>
            </w:pPr>
          </w:p>
        </w:tc>
        <w:tc>
          <w:tcPr>
            <w:tcW w:w="700" w:type="dxa"/>
            <w:vAlign w:val="bottom"/>
            <w:tcBorders>
              <w:top w:val="single" w:sz="8" w:color="auto"/>
            </w:tcBorders>
            <w:shd w:val="clear" w:color="auto" w:fill="CFF0FC"/>
          </w:tcPr>
          <w:p>
            <w:pPr>
              <w:ind w:left="560"/>
              <w:spacing w:after="0"/>
              <w:rPr>
                <w:sz w:val="20"/>
                <w:szCs w:val="20"/>
                <w:color w:val="auto"/>
              </w:rPr>
            </w:pPr>
            <w:r>
              <w:rPr>
                <w:rFonts w:ascii="Arial" w:cs="Arial" w:eastAsia="Arial" w:hAnsi="Arial"/>
                <w:sz w:val="13"/>
                <w:szCs w:val="13"/>
                <w:color w:val="auto"/>
                <w:w w:val="91"/>
              </w:rPr>
              <w:t>—</w:t>
            </w:r>
          </w:p>
        </w:tc>
        <w:tc>
          <w:tcPr>
            <w:tcW w:w="240" w:type="dxa"/>
            <w:vAlign w:val="bottom"/>
            <w:shd w:val="clear" w:color="auto" w:fill="CFF0FC"/>
          </w:tcPr>
          <w:p>
            <w:pPr>
              <w:spacing w:after="0"/>
              <w:rPr>
                <w:sz w:val="13"/>
                <w:szCs w:val="13"/>
                <w:color w:val="auto"/>
              </w:rPr>
            </w:pPr>
          </w:p>
        </w:tc>
        <w:tc>
          <w:tcPr>
            <w:tcW w:w="72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3"/>
                <w:szCs w:val="13"/>
                <w:color w:val="auto"/>
              </w:rPr>
              <w:t>109,876</w:t>
            </w:r>
          </w:p>
        </w:tc>
        <w:tc>
          <w:tcPr>
            <w:tcW w:w="240" w:type="dxa"/>
            <w:vAlign w:val="bottom"/>
            <w:shd w:val="clear" w:color="auto" w:fill="CFF0FC"/>
          </w:tcPr>
          <w:p>
            <w:pPr>
              <w:spacing w:after="0"/>
              <w:rPr>
                <w:sz w:val="13"/>
                <w:szCs w:val="13"/>
                <w:color w:val="auto"/>
              </w:rPr>
            </w:pPr>
          </w:p>
        </w:tc>
        <w:tc>
          <w:tcPr>
            <w:tcW w:w="120" w:type="dxa"/>
            <w:vAlign w:val="bottom"/>
            <w:shd w:val="clear" w:color="auto" w:fill="CFF0FC"/>
          </w:tcPr>
          <w:p>
            <w:pPr>
              <w:jc w:val="right"/>
              <w:spacing w:after="0"/>
              <w:rPr>
                <w:sz w:val="20"/>
                <w:szCs w:val="20"/>
                <w:color w:val="auto"/>
              </w:rPr>
            </w:pPr>
            <w:r>
              <w:rPr>
                <w:rFonts w:ascii="Arial" w:cs="Arial" w:eastAsia="Arial" w:hAnsi="Arial"/>
                <w:sz w:val="13"/>
                <w:szCs w:val="13"/>
                <w:color w:val="auto"/>
              </w:rPr>
              <w:t>$</w:t>
            </w:r>
          </w:p>
        </w:tc>
        <w:tc>
          <w:tcPr>
            <w:tcW w:w="70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3"/>
                <w:szCs w:val="13"/>
                <w:color w:val="auto"/>
              </w:rPr>
              <w:t>1</w:t>
            </w:r>
          </w:p>
        </w:tc>
        <w:tc>
          <w:tcPr>
            <w:tcW w:w="360" w:type="dxa"/>
            <w:vAlign w:val="bottom"/>
            <w:gridSpan w:val="2"/>
            <w:shd w:val="clear" w:color="auto" w:fill="CFF0FC"/>
          </w:tcPr>
          <w:p>
            <w:pPr>
              <w:jc w:val="right"/>
              <w:spacing w:after="0"/>
              <w:rPr>
                <w:sz w:val="20"/>
                <w:szCs w:val="20"/>
                <w:color w:val="auto"/>
              </w:rPr>
            </w:pPr>
            <w:r>
              <w:rPr>
                <w:rFonts w:ascii="Arial" w:cs="Arial" w:eastAsia="Arial" w:hAnsi="Arial"/>
                <w:sz w:val="13"/>
                <w:szCs w:val="13"/>
                <w:color w:val="auto"/>
              </w:rPr>
              <w:t>$</w:t>
            </w:r>
          </w:p>
        </w:tc>
        <w:tc>
          <w:tcPr>
            <w:tcW w:w="86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3"/>
                <w:szCs w:val="13"/>
                <w:color w:val="auto"/>
              </w:rPr>
              <w:t>486,354</w:t>
            </w:r>
          </w:p>
        </w:tc>
        <w:tc>
          <w:tcPr>
            <w:tcW w:w="320" w:type="dxa"/>
            <w:vAlign w:val="bottom"/>
            <w:gridSpan w:val="2"/>
            <w:shd w:val="clear" w:color="auto" w:fill="CFF0FC"/>
          </w:tcPr>
          <w:p>
            <w:pPr>
              <w:jc w:val="right"/>
              <w:spacing w:after="0"/>
              <w:rPr>
                <w:sz w:val="20"/>
                <w:szCs w:val="20"/>
                <w:color w:val="auto"/>
              </w:rPr>
            </w:pPr>
            <w:r>
              <w:rPr>
                <w:rFonts w:ascii="Arial" w:cs="Arial" w:eastAsia="Arial" w:hAnsi="Arial"/>
                <w:sz w:val="13"/>
                <w:szCs w:val="13"/>
                <w:color w:val="auto"/>
              </w:rPr>
              <w:t>$</w:t>
            </w:r>
          </w:p>
        </w:tc>
        <w:tc>
          <w:tcPr>
            <w:tcW w:w="106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3"/>
                <w:szCs w:val="13"/>
                <w:color w:val="auto"/>
              </w:rPr>
              <w:t>—</w:t>
            </w:r>
          </w:p>
        </w:tc>
        <w:tc>
          <w:tcPr>
            <w:tcW w:w="220" w:type="dxa"/>
            <w:vAlign w:val="bottom"/>
            <w:shd w:val="clear" w:color="auto" w:fill="CFF0FC"/>
          </w:tcPr>
          <w:p>
            <w:pPr>
              <w:spacing w:after="0"/>
              <w:rPr>
                <w:sz w:val="13"/>
                <w:szCs w:val="13"/>
                <w:color w:val="auto"/>
              </w:rPr>
            </w:pPr>
          </w:p>
        </w:tc>
        <w:tc>
          <w:tcPr>
            <w:tcW w:w="100" w:type="dxa"/>
            <w:vAlign w:val="bottom"/>
            <w:shd w:val="clear" w:color="auto" w:fill="CFF0FC"/>
          </w:tcPr>
          <w:p>
            <w:pPr>
              <w:jc w:val="right"/>
              <w:spacing w:after="0"/>
              <w:rPr>
                <w:sz w:val="20"/>
                <w:szCs w:val="20"/>
                <w:color w:val="auto"/>
              </w:rPr>
            </w:pPr>
            <w:r>
              <w:rPr>
                <w:rFonts w:ascii="Arial" w:cs="Arial" w:eastAsia="Arial" w:hAnsi="Arial"/>
                <w:sz w:val="10"/>
                <w:szCs w:val="10"/>
                <w:color w:val="auto"/>
                <w:w w:val="71"/>
              </w:rPr>
              <w:t>$</w:t>
            </w:r>
          </w:p>
        </w:tc>
        <w:tc>
          <w:tcPr>
            <w:tcW w:w="86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3"/>
                <w:szCs w:val="13"/>
                <w:color w:val="auto"/>
              </w:rPr>
              <w:t>(179,807</w:t>
            </w:r>
          </w:p>
        </w:tc>
        <w:tc>
          <w:tcPr>
            <w:tcW w:w="220" w:type="dxa"/>
            <w:vAlign w:val="bottom"/>
            <w:shd w:val="clear" w:color="auto" w:fill="CFF0FC"/>
          </w:tcPr>
          <w:p>
            <w:pPr>
              <w:jc w:val="right"/>
              <w:ind w:right="97"/>
              <w:spacing w:after="0"/>
              <w:rPr>
                <w:sz w:val="20"/>
                <w:szCs w:val="20"/>
                <w:color w:val="auto"/>
              </w:rPr>
            </w:pPr>
            <w:r>
              <w:rPr>
                <w:rFonts w:ascii="Arial" w:cs="Arial" w:eastAsia="Arial" w:hAnsi="Arial"/>
                <w:sz w:val="13"/>
                <w:szCs w:val="13"/>
                <w:color w:val="auto"/>
                <w:w w:val="91"/>
              </w:rPr>
              <w:t>)</w:t>
            </w:r>
          </w:p>
        </w:tc>
        <w:tc>
          <w:tcPr>
            <w:tcW w:w="100" w:type="dxa"/>
            <w:vAlign w:val="bottom"/>
            <w:shd w:val="clear" w:color="auto" w:fill="CFF0FC"/>
          </w:tcPr>
          <w:p>
            <w:pPr>
              <w:jc w:val="right"/>
              <w:spacing w:after="0"/>
              <w:rPr>
                <w:sz w:val="20"/>
                <w:szCs w:val="20"/>
                <w:color w:val="auto"/>
              </w:rPr>
            </w:pPr>
            <w:r>
              <w:rPr>
                <w:rFonts w:ascii="Arial" w:cs="Arial" w:eastAsia="Arial" w:hAnsi="Arial"/>
                <w:sz w:val="13"/>
                <w:szCs w:val="13"/>
                <w:color w:val="auto"/>
              </w:rPr>
              <w:t>$</w:t>
            </w:r>
          </w:p>
        </w:tc>
        <w:tc>
          <w:tcPr>
            <w:tcW w:w="100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3"/>
                <w:szCs w:val="13"/>
                <w:color w:val="auto"/>
              </w:rPr>
              <w:t>306,548</w:t>
            </w:r>
          </w:p>
        </w:tc>
        <w:tc>
          <w:tcPr>
            <w:tcW w:w="100" w:type="dxa"/>
            <w:vAlign w:val="bottom"/>
            <w:shd w:val="clear" w:color="auto" w:fill="CFF0FC"/>
          </w:tcPr>
          <w:p>
            <w:pPr>
              <w:spacing w:after="0"/>
              <w:rPr>
                <w:sz w:val="13"/>
                <w:szCs w:val="13"/>
                <w:color w:val="auto"/>
              </w:rPr>
            </w:pPr>
          </w:p>
        </w:tc>
        <w:tc>
          <w:tcPr>
            <w:tcW w:w="0" w:type="dxa"/>
            <w:vAlign w:val="bottom"/>
          </w:tcPr>
          <w:p>
            <w:pPr>
              <w:spacing w:after="0"/>
              <w:rPr>
                <w:sz w:val="1"/>
                <w:szCs w:val="1"/>
                <w:color w:val="auto"/>
              </w:rPr>
            </w:pPr>
          </w:p>
        </w:tc>
      </w:tr>
      <w:tr>
        <w:trPr>
          <w:trHeight w:val="160"/>
        </w:trPr>
        <w:tc>
          <w:tcPr>
            <w:tcW w:w="2440" w:type="dxa"/>
            <w:vAlign w:val="bottom"/>
          </w:tcPr>
          <w:p>
            <w:pPr>
              <w:ind w:left="20"/>
              <w:spacing w:after="0"/>
              <w:rPr>
                <w:sz w:val="20"/>
                <w:szCs w:val="20"/>
                <w:color w:val="auto"/>
              </w:rPr>
            </w:pPr>
            <w:r>
              <w:rPr>
                <w:rFonts w:ascii="Arial" w:cs="Arial" w:eastAsia="Arial" w:hAnsi="Arial"/>
                <w:sz w:val="13"/>
                <w:szCs w:val="13"/>
                <w:color w:val="auto"/>
              </w:rPr>
              <w:t>Stock-based compensation expense</w:t>
            </w:r>
          </w:p>
        </w:tc>
        <w:tc>
          <w:tcPr>
            <w:tcW w:w="500" w:type="dxa"/>
            <w:vAlign w:val="bottom"/>
          </w:tcPr>
          <w:p>
            <w:pPr>
              <w:ind w:left="360"/>
              <w:spacing w:after="0"/>
              <w:rPr>
                <w:sz w:val="20"/>
                <w:szCs w:val="20"/>
                <w:color w:val="auto"/>
              </w:rPr>
            </w:pPr>
            <w:r>
              <w:rPr>
                <w:rFonts w:ascii="Arial" w:cs="Arial" w:eastAsia="Arial" w:hAnsi="Arial"/>
                <w:sz w:val="13"/>
                <w:szCs w:val="13"/>
                <w:color w:val="auto"/>
                <w:w w:val="91"/>
              </w:rPr>
              <w:t>—</w:t>
            </w:r>
          </w:p>
        </w:tc>
        <w:tc>
          <w:tcPr>
            <w:tcW w:w="2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700" w:type="dxa"/>
            <w:vAlign w:val="bottom"/>
          </w:tcPr>
          <w:p>
            <w:pPr>
              <w:ind w:left="560"/>
              <w:spacing w:after="0"/>
              <w:rPr>
                <w:sz w:val="20"/>
                <w:szCs w:val="20"/>
                <w:color w:val="auto"/>
              </w:rPr>
            </w:pPr>
            <w:r>
              <w:rPr>
                <w:rFonts w:ascii="Arial" w:cs="Arial" w:eastAsia="Arial" w:hAnsi="Arial"/>
                <w:sz w:val="13"/>
                <w:szCs w:val="13"/>
                <w:color w:val="auto"/>
                <w:w w:val="91"/>
              </w:rPr>
              <w:t>—</w:t>
            </w:r>
          </w:p>
        </w:tc>
        <w:tc>
          <w:tcPr>
            <w:tcW w:w="240" w:type="dxa"/>
            <w:vAlign w:val="bottom"/>
          </w:tcPr>
          <w:p>
            <w:pPr>
              <w:spacing w:after="0"/>
              <w:rPr>
                <w:sz w:val="13"/>
                <w:szCs w:val="13"/>
                <w:color w:val="auto"/>
              </w:rPr>
            </w:pPr>
          </w:p>
        </w:tc>
        <w:tc>
          <w:tcPr>
            <w:tcW w:w="960" w:type="dxa"/>
            <w:vAlign w:val="bottom"/>
            <w:gridSpan w:val="2"/>
          </w:tcPr>
          <w:p>
            <w:pPr>
              <w:jc w:val="right"/>
              <w:ind w:right="197"/>
              <w:spacing w:after="0"/>
              <w:rPr>
                <w:sz w:val="20"/>
                <w:szCs w:val="20"/>
                <w:color w:val="auto"/>
              </w:rPr>
            </w:pPr>
            <w:r>
              <w:rPr>
                <w:rFonts w:ascii="Arial" w:cs="Arial" w:eastAsia="Arial" w:hAnsi="Arial"/>
                <w:sz w:val="13"/>
                <w:szCs w:val="13"/>
                <w:color w:val="auto"/>
              </w:rPr>
              <w:t>—</w:t>
            </w:r>
          </w:p>
        </w:tc>
        <w:tc>
          <w:tcPr>
            <w:tcW w:w="120" w:type="dxa"/>
            <w:vAlign w:val="bottom"/>
          </w:tcPr>
          <w:p>
            <w:pPr>
              <w:spacing w:after="0"/>
              <w:rPr>
                <w:sz w:val="13"/>
                <w:szCs w:val="13"/>
                <w:color w:val="auto"/>
              </w:rPr>
            </w:pPr>
          </w:p>
        </w:tc>
        <w:tc>
          <w:tcPr>
            <w:tcW w:w="700" w:type="dxa"/>
            <w:vAlign w:val="bottom"/>
          </w:tcPr>
          <w:p>
            <w:pPr>
              <w:jc w:val="right"/>
              <w:spacing w:after="0"/>
              <w:rPr>
                <w:sz w:val="20"/>
                <w:szCs w:val="20"/>
                <w:color w:val="auto"/>
              </w:rPr>
            </w:pPr>
            <w:r>
              <w:rPr>
                <w:rFonts w:ascii="Arial" w:cs="Arial" w:eastAsia="Arial" w:hAnsi="Arial"/>
                <w:sz w:val="13"/>
                <w:szCs w:val="13"/>
                <w:color w:val="auto"/>
              </w:rPr>
              <w:t>—</w:t>
            </w:r>
          </w:p>
        </w:tc>
        <w:tc>
          <w:tcPr>
            <w:tcW w:w="2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860" w:type="dxa"/>
            <w:vAlign w:val="bottom"/>
          </w:tcPr>
          <w:p>
            <w:pPr>
              <w:jc w:val="right"/>
              <w:spacing w:after="0"/>
              <w:rPr>
                <w:sz w:val="20"/>
                <w:szCs w:val="20"/>
                <w:color w:val="auto"/>
              </w:rPr>
            </w:pPr>
            <w:r>
              <w:rPr>
                <w:rFonts w:ascii="Arial" w:cs="Arial" w:eastAsia="Arial" w:hAnsi="Arial"/>
                <w:sz w:val="13"/>
                <w:szCs w:val="13"/>
                <w:color w:val="auto"/>
              </w:rPr>
              <w:t>13,785</w:t>
            </w:r>
          </w:p>
        </w:tc>
        <w:tc>
          <w:tcPr>
            <w:tcW w:w="2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280" w:type="dxa"/>
            <w:vAlign w:val="bottom"/>
            <w:gridSpan w:val="2"/>
          </w:tcPr>
          <w:p>
            <w:pPr>
              <w:jc w:val="right"/>
              <w:ind w:right="240"/>
              <w:spacing w:after="0"/>
              <w:rPr>
                <w:sz w:val="20"/>
                <w:szCs w:val="20"/>
                <w:color w:val="auto"/>
              </w:rPr>
            </w:pPr>
            <w:r>
              <w:rPr>
                <w:rFonts w:ascii="Arial" w:cs="Arial" w:eastAsia="Arial" w:hAnsi="Arial"/>
                <w:sz w:val="13"/>
                <w:szCs w:val="13"/>
                <w:color w:val="auto"/>
              </w:rPr>
              <w:t>—</w:t>
            </w:r>
          </w:p>
        </w:tc>
        <w:tc>
          <w:tcPr>
            <w:tcW w:w="100" w:type="dxa"/>
            <w:vAlign w:val="bottom"/>
          </w:tcPr>
          <w:p>
            <w:pPr>
              <w:spacing w:after="0"/>
              <w:rPr>
                <w:sz w:val="13"/>
                <w:szCs w:val="13"/>
                <w:color w:val="auto"/>
              </w:rPr>
            </w:pPr>
          </w:p>
        </w:tc>
        <w:tc>
          <w:tcPr>
            <w:tcW w:w="1080" w:type="dxa"/>
            <w:vAlign w:val="bottom"/>
            <w:gridSpan w:val="2"/>
          </w:tcPr>
          <w:p>
            <w:pPr>
              <w:jc w:val="right"/>
              <w:ind w:right="157"/>
              <w:spacing w:after="0"/>
              <w:rPr>
                <w:sz w:val="20"/>
                <w:szCs w:val="20"/>
                <w:color w:val="auto"/>
              </w:rPr>
            </w:pPr>
            <w:r>
              <w:rPr>
                <w:rFonts w:ascii="Arial" w:cs="Arial" w:eastAsia="Arial" w:hAnsi="Arial"/>
                <w:sz w:val="13"/>
                <w:szCs w:val="13"/>
                <w:color w:val="auto"/>
              </w:rPr>
              <w:t>—</w:t>
            </w:r>
          </w:p>
        </w:tc>
        <w:tc>
          <w:tcPr>
            <w:tcW w:w="100" w:type="dxa"/>
            <w:vAlign w:val="bottom"/>
          </w:tcPr>
          <w:p>
            <w:pPr>
              <w:spacing w:after="0"/>
              <w:rPr>
                <w:sz w:val="13"/>
                <w:szCs w:val="13"/>
                <w:color w:val="auto"/>
              </w:rPr>
            </w:pPr>
          </w:p>
        </w:tc>
        <w:tc>
          <w:tcPr>
            <w:tcW w:w="1000" w:type="dxa"/>
            <w:vAlign w:val="bottom"/>
          </w:tcPr>
          <w:p>
            <w:pPr>
              <w:jc w:val="right"/>
              <w:spacing w:after="0"/>
              <w:rPr>
                <w:sz w:val="20"/>
                <w:szCs w:val="20"/>
                <w:color w:val="auto"/>
              </w:rPr>
            </w:pPr>
            <w:r>
              <w:rPr>
                <w:rFonts w:ascii="Arial" w:cs="Arial" w:eastAsia="Arial" w:hAnsi="Arial"/>
                <w:sz w:val="13"/>
                <w:szCs w:val="13"/>
                <w:color w:val="auto"/>
              </w:rPr>
              <w:t>13,785</w:t>
            </w: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64"/>
        </w:trPr>
        <w:tc>
          <w:tcPr>
            <w:tcW w:w="2440" w:type="dxa"/>
            <w:vAlign w:val="bottom"/>
            <w:shd w:val="clear" w:color="auto" w:fill="CFF0FC"/>
          </w:tcPr>
          <w:p>
            <w:pPr>
              <w:ind w:left="20"/>
              <w:spacing w:after="0"/>
              <w:rPr>
                <w:sz w:val="20"/>
                <w:szCs w:val="20"/>
                <w:color w:val="auto"/>
              </w:rPr>
            </w:pPr>
            <w:r>
              <w:rPr>
                <w:rFonts w:ascii="Arial" w:cs="Arial" w:eastAsia="Arial" w:hAnsi="Arial"/>
                <w:sz w:val="13"/>
                <w:szCs w:val="13"/>
                <w:color w:val="auto"/>
              </w:rPr>
              <w:t>Exercise of stock options</w:t>
            </w:r>
          </w:p>
        </w:tc>
        <w:tc>
          <w:tcPr>
            <w:tcW w:w="500" w:type="dxa"/>
            <w:vAlign w:val="bottom"/>
            <w:shd w:val="clear" w:color="auto" w:fill="CFF0FC"/>
          </w:tcPr>
          <w:p>
            <w:pPr>
              <w:ind w:left="360"/>
              <w:spacing w:after="0"/>
              <w:rPr>
                <w:sz w:val="20"/>
                <w:szCs w:val="20"/>
                <w:color w:val="auto"/>
              </w:rPr>
            </w:pPr>
            <w:r>
              <w:rPr>
                <w:rFonts w:ascii="Arial" w:cs="Arial" w:eastAsia="Arial" w:hAnsi="Arial"/>
                <w:sz w:val="13"/>
                <w:szCs w:val="13"/>
                <w:color w:val="auto"/>
                <w:w w:val="91"/>
              </w:rPr>
              <w:t>—</w:t>
            </w:r>
          </w:p>
        </w:tc>
        <w:tc>
          <w:tcPr>
            <w:tcW w:w="260" w:type="dxa"/>
            <w:vAlign w:val="bottom"/>
            <w:shd w:val="clear" w:color="auto" w:fill="CFF0FC"/>
          </w:tcPr>
          <w:p>
            <w:pPr>
              <w:spacing w:after="0"/>
              <w:rPr>
                <w:sz w:val="14"/>
                <w:szCs w:val="14"/>
                <w:color w:val="auto"/>
              </w:rPr>
            </w:pPr>
          </w:p>
        </w:tc>
        <w:tc>
          <w:tcPr>
            <w:tcW w:w="120" w:type="dxa"/>
            <w:vAlign w:val="bottom"/>
            <w:shd w:val="clear" w:color="auto" w:fill="CFF0FC"/>
          </w:tcPr>
          <w:p>
            <w:pPr>
              <w:spacing w:after="0"/>
              <w:rPr>
                <w:sz w:val="14"/>
                <w:szCs w:val="14"/>
                <w:color w:val="auto"/>
              </w:rPr>
            </w:pPr>
          </w:p>
        </w:tc>
        <w:tc>
          <w:tcPr>
            <w:tcW w:w="700" w:type="dxa"/>
            <w:vAlign w:val="bottom"/>
            <w:shd w:val="clear" w:color="auto" w:fill="CFF0FC"/>
          </w:tcPr>
          <w:p>
            <w:pPr>
              <w:ind w:left="560"/>
              <w:spacing w:after="0"/>
              <w:rPr>
                <w:sz w:val="20"/>
                <w:szCs w:val="20"/>
                <w:color w:val="auto"/>
              </w:rPr>
            </w:pPr>
            <w:r>
              <w:rPr>
                <w:rFonts w:ascii="Arial" w:cs="Arial" w:eastAsia="Arial" w:hAnsi="Arial"/>
                <w:sz w:val="13"/>
                <w:szCs w:val="13"/>
                <w:color w:val="auto"/>
                <w:w w:val="91"/>
              </w:rPr>
              <w:t>—</w:t>
            </w:r>
          </w:p>
        </w:tc>
        <w:tc>
          <w:tcPr>
            <w:tcW w:w="960" w:type="dxa"/>
            <w:vAlign w:val="bottom"/>
            <w:gridSpan w:val="2"/>
            <w:shd w:val="clear" w:color="auto" w:fill="CFF0FC"/>
          </w:tcPr>
          <w:p>
            <w:pPr>
              <w:jc w:val="right"/>
              <w:spacing w:after="0"/>
              <w:rPr>
                <w:sz w:val="20"/>
                <w:szCs w:val="20"/>
                <w:color w:val="auto"/>
              </w:rPr>
            </w:pPr>
            <w:r>
              <w:rPr>
                <w:rFonts w:ascii="Arial" w:cs="Arial" w:eastAsia="Arial" w:hAnsi="Arial"/>
                <w:sz w:val="13"/>
                <w:szCs w:val="13"/>
                <w:color w:val="auto"/>
              </w:rPr>
              <w:t>1,603</w:t>
            </w:r>
          </w:p>
        </w:tc>
        <w:tc>
          <w:tcPr>
            <w:tcW w:w="240" w:type="dxa"/>
            <w:vAlign w:val="bottom"/>
            <w:shd w:val="clear" w:color="auto" w:fill="CFF0FC"/>
          </w:tcPr>
          <w:p>
            <w:pPr>
              <w:spacing w:after="0"/>
              <w:rPr>
                <w:sz w:val="14"/>
                <w:szCs w:val="14"/>
                <w:color w:val="auto"/>
              </w:rPr>
            </w:pPr>
          </w:p>
        </w:tc>
        <w:tc>
          <w:tcPr>
            <w:tcW w:w="120" w:type="dxa"/>
            <w:vAlign w:val="bottom"/>
            <w:shd w:val="clear" w:color="auto" w:fill="CFF0FC"/>
          </w:tcPr>
          <w:p>
            <w:pPr>
              <w:spacing w:after="0"/>
              <w:rPr>
                <w:sz w:val="14"/>
                <w:szCs w:val="14"/>
                <w:color w:val="auto"/>
              </w:rPr>
            </w:pPr>
          </w:p>
        </w:tc>
        <w:tc>
          <w:tcPr>
            <w:tcW w:w="700" w:type="dxa"/>
            <w:vAlign w:val="bottom"/>
            <w:shd w:val="clear" w:color="auto" w:fill="CFF0FC"/>
          </w:tcPr>
          <w:p>
            <w:pPr>
              <w:jc w:val="right"/>
              <w:spacing w:after="0"/>
              <w:rPr>
                <w:sz w:val="20"/>
                <w:szCs w:val="20"/>
                <w:color w:val="auto"/>
              </w:rPr>
            </w:pPr>
            <w:r>
              <w:rPr>
                <w:rFonts w:ascii="Arial" w:cs="Arial" w:eastAsia="Arial" w:hAnsi="Arial"/>
                <w:sz w:val="13"/>
                <w:szCs w:val="13"/>
                <w:color w:val="auto"/>
              </w:rPr>
              <w:t>—</w:t>
            </w:r>
          </w:p>
        </w:tc>
        <w:tc>
          <w:tcPr>
            <w:tcW w:w="260" w:type="dxa"/>
            <w:vAlign w:val="bottom"/>
            <w:shd w:val="clear" w:color="auto" w:fill="CFF0FC"/>
          </w:tcPr>
          <w:p>
            <w:pPr>
              <w:spacing w:after="0"/>
              <w:rPr>
                <w:sz w:val="14"/>
                <w:szCs w:val="14"/>
                <w:color w:val="auto"/>
              </w:rPr>
            </w:pPr>
          </w:p>
        </w:tc>
        <w:tc>
          <w:tcPr>
            <w:tcW w:w="100" w:type="dxa"/>
            <w:vAlign w:val="bottom"/>
            <w:shd w:val="clear" w:color="auto" w:fill="CFF0FC"/>
          </w:tcPr>
          <w:p>
            <w:pPr>
              <w:spacing w:after="0"/>
              <w:rPr>
                <w:sz w:val="14"/>
                <w:szCs w:val="14"/>
                <w:color w:val="auto"/>
              </w:rPr>
            </w:pPr>
          </w:p>
        </w:tc>
        <w:tc>
          <w:tcPr>
            <w:tcW w:w="860" w:type="dxa"/>
            <w:vAlign w:val="bottom"/>
            <w:shd w:val="clear" w:color="auto" w:fill="CFF0FC"/>
          </w:tcPr>
          <w:p>
            <w:pPr>
              <w:jc w:val="right"/>
              <w:spacing w:after="0"/>
              <w:rPr>
                <w:sz w:val="20"/>
                <w:szCs w:val="20"/>
                <w:color w:val="auto"/>
              </w:rPr>
            </w:pPr>
            <w:r>
              <w:rPr>
                <w:rFonts w:ascii="Arial" w:cs="Arial" w:eastAsia="Arial" w:hAnsi="Arial"/>
                <w:sz w:val="13"/>
                <w:szCs w:val="13"/>
                <w:color w:val="auto"/>
              </w:rPr>
              <w:t>3,977</w:t>
            </w:r>
          </w:p>
        </w:tc>
        <w:tc>
          <w:tcPr>
            <w:tcW w:w="220" w:type="dxa"/>
            <w:vAlign w:val="bottom"/>
            <w:shd w:val="clear" w:color="auto" w:fill="CFF0FC"/>
          </w:tcPr>
          <w:p>
            <w:pPr>
              <w:spacing w:after="0"/>
              <w:rPr>
                <w:sz w:val="14"/>
                <w:szCs w:val="14"/>
                <w:color w:val="auto"/>
              </w:rPr>
            </w:pPr>
          </w:p>
        </w:tc>
        <w:tc>
          <w:tcPr>
            <w:tcW w:w="100" w:type="dxa"/>
            <w:vAlign w:val="bottom"/>
            <w:shd w:val="clear" w:color="auto" w:fill="CFF0FC"/>
          </w:tcPr>
          <w:p>
            <w:pPr>
              <w:spacing w:after="0"/>
              <w:rPr>
                <w:sz w:val="14"/>
                <w:szCs w:val="14"/>
                <w:color w:val="auto"/>
              </w:rPr>
            </w:pPr>
          </w:p>
        </w:tc>
        <w:tc>
          <w:tcPr>
            <w:tcW w:w="1280" w:type="dxa"/>
            <w:vAlign w:val="bottom"/>
            <w:gridSpan w:val="2"/>
            <w:shd w:val="clear" w:color="auto" w:fill="CFF0FC"/>
          </w:tcPr>
          <w:p>
            <w:pPr>
              <w:jc w:val="right"/>
              <w:ind w:right="240"/>
              <w:spacing w:after="0"/>
              <w:rPr>
                <w:sz w:val="20"/>
                <w:szCs w:val="20"/>
                <w:color w:val="auto"/>
              </w:rPr>
            </w:pPr>
            <w:r>
              <w:rPr>
                <w:rFonts w:ascii="Arial" w:cs="Arial" w:eastAsia="Arial" w:hAnsi="Arial"/>
                <w:sz w:val="13"/>
                <w:szCs w:val="13"/>
                <w:color w:val="auto"/>
              </w:rPr>
              <w:t>—</w:t>
            </w:r>
          </w:p>
        </w:tc>
        <w:tc>
          <w:tcPr>
            <w:tcW w:w="100" w:type="dxa"/>
            <w:vAlign w:val="bottom"/>
            <w:shd w:val="clear" w:color="auto" w:fill="CFF0FC"/>
          </w:tcPr>
          <w:p>
            <w:pPr>
              <w:spacing w:after="0"/>
              <w:rPr>
                <w:sz w:val="14"/>
                <w:szCs w:val="14"/>
                <w:color w:val="auto"/>
              </w:rPr>
            </w:pPr>
          </w:p>
        </w:tc>
        <w:tc>
          <w:tcPr>
            <w:tcW w:w="1080" w:type="dxa"/>
            <w:vAlign w:val="bottom"/>
            <w:gridSpan w:val="2"/>
            <w:shd w:val="clear" w:color="auto" w:fill="CFF0FC"/>
          </w:tcPr>
          <w:p>
            <w:pPr>
              <w:jc w:val="right"/>
              <w:ind w:right="157"/>
              <w:spacing w:after="0"/>
              <w:rPr>
                <w:sz w:val="20"/>
                <w:szCs w:val="20"/>
                <w:color w:val="auto"/>
              </w:rPr>
            </w:pPr>
            <w:r>
              <w:rPr>
                <w:rFonts w:ascii="Arial" w:cs="Arial" w:eastAsia="Arial" w:hAnsi="Arial"/>
                <w:sz w:val="13"/>
                <w:szCs w:val="13"/>
                <w:color w:val="auto"/>
              </w:rPr>
              <w:t>—</w:t>
            </w:r>
          </w:p>
        </w:tc>
        <w:tc>
          <w:tcPr>
            <w:tcW w:w="100" w:type="dxa"/>
            <w:vAlign w:val="bottom"/>
            <w:shd w:val="clear" w:color="auto" w:fill="CFF0FC"/>
          </w:tcPr>
          <w:p>
            <w:pPr>
              <w:spacing w:after="0"/>
              <w:rPr>
                <w:sz w:val="14"/>
                <w:szCs w:val="14"/>
                <w:color w:val="auto"/>
              </w:rPr>
            </w:pPr>
          </w:p>
        </w:tc>
        <w:tc>
          <w:tcPr>
            <w:tcW w:w="1000" w:type="dxa"/>
            <w:vAlign w:val="bottom"/>
            <w:shd w:val="clear" w:color="auto" w:fill="CFF0FC"/>
          </w:tcPr>
          <w:p>
            <w:pPr>
              <w:jc w:val="right"/>
              <w:spacing w:after="0"/>
              <w:rPr>
                <w:sz w:val="20"/>
                <w:szCs w:val="20"/>
                <w:color w:val="auto"/>
              </w:rPr>
            </w:pPr>
            <w:r>
              <w:rPr>
                <w:rFonts w:ascii="Arial" w:cs="Arial" w:eastAsia="Arial" w:hAnsi="Arial"/>
                <w:sz w:val="13"/>
                <w:szCs w:val="13"/>
                <w:color w:val="auto"/>
              </w:rPr>
              <w:t>3,977</w:t>
            </w:r>
          </w:p>
        </w:tc>
        <w:tc>
          <w:tcPr>
            <w:tcW w:w="100" w:type="dxa"/>
            <w:vAlign w:val="bottom"/>
            <w:shd w:val="clear" w:color="auto" w:fill="CFF0FC"/>
          </w:tcPr>
          <w:p>
            <w:pPr>
              <w:spacing w:after="0"/>
              <w:rPr>
                <w:sz w:val="14"/>
                <w:szCs w:val="14"/>
                <w:color w:val="auto"/>
              </w:rPr>
            </w:pPr>
          </w:p>
        </w:tc>
        <w:tc>
          <w:tcPr>
            <w:tcW w:w="0" w:type="dxa"/>
            <w:vAlign w:val="bottom"/>
          </w:tcPr>
          <w:p>
            <w:pPr>
              <w:spacing w:after="0"/>
              <w:rPr>
                <w:sz w:val="1"/>
                <w:szCs w:val="1"/>
                <w:color w:val="auto"/>
              </w:rPr>
            </w:pPr>
          </w:p>
        </w:tc>
      </w:tr>
      <w:tr>
        <w:trPr>
          <w:trHeight w:val="160"/>
        </w:trPr>
        <w:tc>
          <w:tcPr>
            <w:tcW w:w="2440" w:type="dxa"/>
            <w:vAlign w:val="bottom"/>
          </w:tcPr>
          <w:p>
            <w:pPr>
              <w:ind w:left="20"/>
              <w:spacing w:after="0"/>
              <w:rPr>
                <w:sz w:val="20"/>
                <w:szCs w:val="20"/>
                <w:color w:val="auto"/>
              </w:rPr>
            </w:pPr>
            <w:r>
              <w:rPr>
                <w:rFonts w:ascii="Arial" w:cs="Arial" w:eastAsia="Arial" w:hAnsi="Arial"/>
                <w:sz w:val="13"/>
                <w:szCs w:val="13"/>
                <w:color w:val="auto"/>
              </w:rPr>
              <w:t>Vesting of early exercised stock options</w:t>
            </w:r>
          </w:p>
        </w:tc>
        <w:tc>
          <w:tcPr>
            <w:tcW w:w="500" w:type="dxa"/>
            <w:vAlign w:val="bottom"/>
          </w:tcPr>
          <w:p>
            <w:pPr>
              <w:ind w:left="360"/>
              <w:spacing w:after="0"/>
              <w:rPr>
                <w:sz w:val="20"/>
                <w:szCs w:val="20"/>
                <w:color w:val="auto"/>
              </w:rPr>
            </w:pPr>
            <w:r>
              <w:rPr>
                <w:rFonts w:ascii="Arial" w:cs="Arial" w:eastAsia="Arial" w:hAnsi="Arial"/>
                <w:sz w:val="13"/>
                <w:szCs w:val="13"/>
                <w:color w:val="auto"/>
                <w:w w:val="91"/>
              </w:rPr>
              <w:t>—</w:t>
            </w:r>
          </w:p>
        </w:tc>
        <w:tc>
          <w:tcPr>
            <w:tcW w:w="2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700" w:type="dxa"/>
            <w:vAlign w:val="bottom"/>
          </w:tcPr>
          <w:p>
            <w:pPr>
              <w:ind w:left="560"/>
              <w:spacing w:after="0"/>
              <w:rPr>
                <w:sz w:val="20"/>
                <w:szCs w:val="20"/>
                <w:color w:val="auto"/>
              </w:rPr>
            </w:pPr>
            <w:r>
              <w:rPr>
                <w:rFonts w:ascii="Arial" w:cs="Arial" w:eastAsia="Arial" w:hAnsi="Arial"/>
                <w:sz w:val="13"/>
                <w:szCs w:val="13"/>
                <w:color w:val="auto"/>
                <w:w w:val="91"/>
              </w:rPr>
              <w:t>—</w:t>
            </w:r>
          </w:p>
        </w:tc>
        <w:tc>
          <w:tcPr>
            <w:tcW w:w="240" w:type="dxa"/>
            <w:vAlign w:val="bottom"/>
          </w:tcPr>
          <w:p>
            <w:pPr>
              <w:spacing w:after="0"/>
              <w:rPr>
                <w:sz w:val="13"/>
                <w:szCs w:val="13"/>
                <w:color w:val="auto"/>
              </w:rPr>
            </w:pPr>
          </w:p>
        </w:tc>
        <w:tc>
          <w:tcPr>
            <w:tcW w:w="960" w:type="dxa"/>
            <w:vAlign w:val="bottom"/>
            <w:gridSpan w:val="2"/>
          </w:tcPr>
          <w:p>
            <w:pPr>
              <w:jc w:val="right"/>
              <w:ind w:right="197"/>
              <w:spacing w:after="0"/>
              <w:rPr>
                <w:sz w:val="20"/>
                <w:szCs w:val="20"/>
                <w:color w:val="auto"/>
              </w:rPr>
            </w:pPr>
            <w:r>
              <w:rPr>
                <w:rFonts w:ascii="Arial" w:cs="Arial" w:eastAsia="Arial" w:hAnsi="Arial"/>
                <w:sz w:val="13"/>
                <w:szCs w:val="13"/>
                <w:color w:val="auto"/>
              </w:rPr>
              <w:t>—</w:t>
            </w:r>
          </w:p>
        </w:tc>
        <w:tc>
          <w:tcPr>
            <w:tcW w:w="120" w:type="dxa"/>
            <w:vAlign w:val="bottom"/>
          </w:tcPr>
          <w:p>
            <w:pPr>
              <w:spacing w:after="0"/>
              <w:rPr>
                <w:sz w:val="13"/>
                <w:szCs w:val="13"/>
                <w:color w:val="auto"/>
              </w:rPr>
            </w:pPr>
          </w:p>
        </w:tc>
        <w:tc>
          <w:tcPr>
            <w:tcW w:w="700" w:type="dxa"/>
            <w:vAlign w:val="bottom"/>
          </w:tcPr>
          <w:p>
            <w:pPr>
              <w:jc w:val="right"/>
              <w:spacing w:after="0"/>
              <w:rPr>
                <w:sz w:val="20"/>
                <w:szCs w:val="20"/>
                <w:color w:val="auto"/>
              </w:rPr>
            </w:pPr>
            <w:r>
              <w:rPr>
                <w:rFonts w:ascii="Arial" w:cs="Arial" w:eastAsia="Arial" w:hAnsi="Arial"/>
                <w:sz w:val="13"/>
                <w:szCs w:val="13"/>
                <w:color w:val="auto"/>
              </w:rPr>
              <w:t>—</w:t>
            </w:r>
          </w:p>
        </w:tc>
        <w:tc>
          <w:tcPr>
            <w:tcW w:w="2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860" w:type="dxa"/>
            <w:vAlign w:val="bottom"/>
          </w:tcPr>
          <w:p>
            <w:pPr>
              <w:jc w:val="right"/>
              <w:spacing w:after="0"/>
              <w:rPr>
                <w:sz w:val="20"/>
                <w:szCs w:val="20"/>
                <w:color w:val="auto"/>
              </w:rPr>
            </w:pPr>
            <w:r>
              <w:rPr>
                <w:rFonts w:ascii="Arial" w:cs="Arial" w:eastAsia="Arial" w:hAnsi="Arial"/>
                <w:sz w:val="13"/>
                <w:szCs w:val="13"/>
                <w:color w:val="auto"/>
              </w:rPr>
              <w:t>743</w:t>
            </w:r>
          </w:p>
        </w:tc>
        <w:tc>
          <w:tcPr>
            <w:tcW w:w="2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280" w:type="dxa"/>
            <w:vAlign w:val="bottom"/>
            <w:gridSpan w:val="2"/>
          </w:tcPr>
          <w:p>
            <w:pPr>
              <w:jc w:val="right"/>
              <w:ind w:right="240"/>
              <w:spacing w:after="0"/>
              <w:rPr>
                <w:sz w:val="20"/>
                <w:szCs w:val="20"/>
                <w:color w:val="auto"/>
              </w:rPr>
            </w:pPr>
            <w:r>
              <w:rPr>
                <w:rFonts w:ascii="Arial" w:cs="Arial" w:eastAsia="Arial" w:hAnsi="Arial"/>
                <w:sz w:val="13"/>
                <w:szCs w:val="13"/>
                <w:color w:val="auto"/>
              </w:rPr>
              <w:t>—</w:t>
            </w:r>
          </w:p>
        </w:tc>
        <w:tc>
          <w:tcPr>
            <w:tcW w:w="100" w:type="dxa"/>
            <w:vAlign w:val="bottom"/>
          </w:tcPr>
          <w:p>
            <w:pPr>
              <w:spacing w:after="0"/>
              <w:rPr>
                <w:sz w:val="13"/>
                <w:szCs w:val="13"/>
                <w:color w:val="auto"/>
              </w:rPr>
            </w:pPr>
          </w:p>
        </w:tc>
        <w:tc>
          <w:tcPr>
            <w:tcW w:w="1080" w:type="dxa"/>
            <w:vAlign w:val="bottom"/>
            <w:gridSpan w:val="2"/>
          </w:tcPr>
          <w:p>
            <w:pPr>
              <w:jc w:val="right"/>
              <w:ind w:right="157"/>
              <w:spacing w:after="0"/>
              <w:rPr>
                <w:sz w:val="20"/>
                <w:szCs w:val="20"/>
                <w:color w:val="auto"/>
              </w:rPr>
            </w:pPr>
            <w:r>
              <w:rPr>
                <w:rFonts w:ascii="Arial" w:cs="Arial" w:eastAsia="Arial" w:hAnsi="Arial"/>
                <w:sz w:val="13"/>
                <w:szCs w:val="13"/>
                <w:color w:val="auto"/>
              </w:rPr>
              <w:t>—</w:t>
            </w:r>
          </w:p>
        </w:tc>
        <w:tc>
          <w:tcPr>
            <w:tcW w:w="100" w:type="dxa"/>
            <w:vAlign w:val="bottom"/>
          </w:tcPr>
          <w:p>
            <w:pPr>
              <w:spacing w:after="0"/>
              <w:rPr>
                <w:sz w:val="13"/>
                <w:szCs w:val="13"/>
                <w:color w:val="auto"/>
              </w:rPr>
            </w:pPr>
          </w:p>
        </w:tc>
        <w:tc>
          <w:tcPr>
            <w:tcW w:w="1000" w:type="dxa"/>
            <w:vAlign w:val="bottom"/>
          </w:tcPr>
          <w:p>
            <w:pPr>
              <w:jc w:val="right"/>
              <w:spacing w:after="0"/>
              <w:rPr>
                <w:sz w:val="20"/>
                <w:szCs w:val="20"/>
                <w:color w:val="auto"/>
              </w:rPr>
            </w:pPr>
            <w:r>
              <w:rPr>
                <w:rFonts w:ascii="Arial" w:cs="Arial" w:eastAsia="Arial" w:hAnsi="Arial"/>
                <w:sz w:val="13"/>
                <w:szCs w:val="13"/>
                <w:color w:val="auto"/>
              </w:rPr>
              <w:t>743</w:t>
            </w: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64"/>
        </w:trPr>
        <w:tc>
          <w:tcPr>
            <w:tcW w:w="2440" w:type="dxa"/>
            <w:vAlign w:val="bottom"/>
            <w:shd w:val="clear" w:color="auto" w:fill="CFF0FC"/>
          </w:tcPr>
          <w:p>
            <w:pPr>
              <w:ind w:left="20"/>
              <w:spacing w:after="0"/>
              <w:rPr>
                <w:sz w:val="20"/>
                <w:szCs w:val="20"/>
                <w:color w:val="auto"/>
              </w:rPr>
            </w:pPr>
            <w:r>
              <w:rPr>
                <w:rFonts w:ascii="Arial" w:cs="Arial" w:eastAsia="Arial" w:hAnsi="Arial"/>
                <w:sz w:val="13"/>
                <w:szCs w:val="13"/>
                <w:color w:val="auto"/>
              </w:rPr>
              <w:t>Vesting of restricted stock units</w:t>
            </w:r>
          </w:p>
        </w:tc>
        <w:tc>
          <w:tcPr>
            <w:tcW w:w="500" w:type="dxa"/>
            <w:vAlign w:val="bottom"/>
            <w:shd w:val="clear" w:color="auto" w:fill="CFF0FC"/>
          </w:tcPr>
          <w:p>
            <w:pPr>
              <w:ind w:left="360"/>
              <w:spacing w:after="0"/>
              <w:rPr>
                <w:sz w:val="20"/>
                <w:szCs w:val="20"/>
                <w:color w:val="auto"/>
              </w:rPr>
            </w:pPr>
            <w:r>
              <w:rPr>
                <w:rFonts w:ascii="Arial" w:cs="Arial" w:eastAsia="Arial" w:hAnsi="Arial"/>
                <w:sz w:val="13"/>
                <w:szCs w:val="13"/>
                <w:color w:val="auto"/>
                <w:w w:val="91"/>
              </w:rPr>
              <w:t>—</w:t>
            </w:r>
          </w:p>
        </w:tc>
        <w:tc>
          <w:tcPr>
            <w:tcW w:w="260" w:type="dxa"/>
            <w:vAlign w:val="bottom"/>
            <w:shd w:val="clear" w:color="auto" w:fill="CFF0FC"/>
          </w:tcPr>
          <w:p>
            <w:pPr>
              <w:spacing w:after="0"/>
              <w:rPr>
                <w:sz w:val="14"/>
                <w:szCs w:val="14"/>
                <w:color w:val="auto"/>
              </w:rPr>
            </w:pPr>
          </w:p>
        </w:tc>
        <w:tc>
          <w:tcPr>
            <w:tcW w:w="120" w:type="dxa"/>
            <w:vAlign w:val="bottom"/>
            <w:shd w:val="clear" w:color="auto" w:fill="CFF0FC"/>
          </w:tcPr>
          <w:p>
            <w:pPr>
              <w:spacing w:after="0"/>
              <w:rPr>
                <w:sz w:val="14"/>
                <w:szCs w:val="14"/>
                <w:color w:val="auto"/>
              </w:rPr>
            </w:pPr>
          </w:p>
        </w:tc>
        <w:tc>
          <w:tcPr>
            <w:tcW w:w="700" w:type="dxa"/>
            <w:vAlign w:val="bottom"/>
            <w:shd w:val="clear" w:color="auto" w:fill="CFF0FC"/>
          </w:tcPr>
          <w:p>
            <w:pPr>
              <w:ind w:left="560"/>
              <w:spacing w:after="0"/>
              <w:rPr>
                <w:sz w:val="20"/>
                <w:szCs w:val="20"/>
                <w:color w:val="auto"/>
              </w:rPr>
            </w:pPr>
            <w:r>
              <w:rPr>
                <w:rFonts w:ascii="Arial" w:cs="Arial" w:eastAsia="Arial" w:hAnsi="Arial"/>
                <w:sz w:val="13"/>
                <w:szCs w:val="13"/>
                <w:color w:val="auto"/>
                <w:w w:val="91"/>
              </w:rPr>
              <w:t>—</w:t>
            </w:r>
          </w:p>
        </w:tc>
        <w:tc>
          <w:tcPr>
            <w:tcW w:w="960" w:type="dxa"/>
            <w:vAlign w:val="bottom"/>
            <w:gridSpan w:val="2"/>
            <w:shd w:val="clear" w:color="auto" w:fill="CFF0FC"/>
          </w:tcPr>
          <w:p>
            <w:pPr>
              <w:jc w:val="right"/>
              <w:spacing w:after="0"/>
              <w:rPr>
                <w:sz w:val="20"/>
                <w:szCs w:val="20"/>
                <w:color w:val="auto"/>
              </w:rPr>
            </w:pPr>
            <w:r>
              <w:rPr>
                <w:rFonts w:ascii="Arial" w:cs="Arial" w:eastAsia="Arial" w:hAnsi="Arial"/>
                <w:sz w:val="13"/>
                <w:szCs w:val="13"/>
                <w:color w:val="auto"/>
              </w:rPr>
              <w:t>31</w:t>
            </w:r>
          </w:p>
        </w:tc>
        <w:tc>
          <w:tcPr>
            <w:tcW w:w="240" w:type="dxa"/>
            <w:vAlign w:val="bottom"/>
            <w:shd w:val="clear" w:color="auto" w:fill="CFF0FC"/>
          </w:tcPr>
          <w:p>
            <w:pPr>
              <w:spacing w:after="0"/>
              <w:rPr>
                <w:sz w:val="14"/>
                <w:szCs w:val="14"/>
                <w:color w:val="auto"/>
              </w:rPr>
            </w:pPr>
          </w:p>
        </w:tc>
        <w:tc>
          <w:tcPr>
            <w:tcW w:w="120" w:type="dxa"/>
            <w:vAlign w:val="bottom"/>
            <w:shd w:val="clear" w:color="auto" w:fill="CFF0FC"/>
          </w:tcPr>
          <w:p>
            <w:pPr>
              <w:spacing w:after="0"/>
              <w:rPr>
                <w:sz w:val="14"/>
                <w:szCs w:val="14"/>
                <w:color w:val="auto"/>
              </w:rPr>
            </w:pPr>
          </w:p>
        </w:tc>
        <w:tc>
          <w:tcPr>
            <w:tcW w:w="700" w:type="dxa"/>
            <w:vAlign w:val="bottom"/>
            <w:shd w:val="clear" w:color="auto" w:fill="CFF0FC"/>
          </w:tcPr>
          <w:p>
            <w:pPr>
              <w:jc w:val="right"/>
              <w:spacing w:after="0"/>
              <w:rPr>
                <w:sz w:val="20"/>
                <w:szCs w:val="20"/>
                <w:color w:val="auto"/>
              </w:rPr>
            </w:pPr>
            <w:r>
              <w:rPr>
                <w:rFonts w:ascii="Arial" w:cs="Arial" w:eastAsia="Arial" w:hAnsi="Arial"/>
                <w:sz w:val="13"/>
                <w:szCs w:val="13"/>
                <w:color w:val="auto"/>
              </w:rPr>
              <w:t>—</w:t>
            </w:r>
          </w:p>
        </w:tc>
        <w:tc>
          <w:tcPr>
            <w:tcW w:w="260" w:type="dxa"/>
            <w:vAlign w:val="bottom"/>
            <w:shd w:val="clear" w:color="auto" w:fill="CFF0FC"/>
          </w:tcPr>
          <w:p>
            <w:pPr>
              <w:spacing w:after="0"/>
              <w:rPr>
                <w:sz w:val="14"/>
                <w:szCs w:val="14"/>
                <w:color w:val="auto"/>
              </w:rPr>
            </w:pPr>
          </w:p>
        </w:tc>
        <w:tc>
          <w:tcPr>
            <w:tcW w:w="100" w:type="dxa"/>
            <w:vAlign w:val="bottom"/>
            <w:shd w:val="clear" w:color="auto" w:fill="CFF0FC"/>
          </w:tcPr>
          <w:p>
            <w:pPr>
              <w:spacing w:after="0"/>
              <w:rPr>
                <w:sz w:val="14"/>
                <w:szCs w:val="14"/>
                <w:color w:val="auto"/>
              </w:rPr>
            </w:pPr>
          </w:p>
        </w:tc>
        <w:tc>
          <w:tcPr>
            <w:tcW w:w="860" w:type="dxa"/>
            <w:vAlign w:val="bottom"/>
            <w:shd w:val="clear" w:color="auto" w:fill="CFF0FC"/>
          </w:tcPr>
          <w:p>
            <w:pPr>
              <w:jc w:val="right"/>
              <w:spacing w:after="0"/>
              <w:rPr>
                <w:sz w:val="20"/>
                <w:szCs w:val="20"/>
                <w:color w:val="auto"/>
              </w:rPr>
            </w:pPr>
            <w:r>
              <w:rPr>
                <w:rFonts w:ascii="Arial" w:cs="Arial" w:eastAsia="Arial" w:hAnsi="Arial"/>
                <w:sz w:val="13"/>
                <w:szCs w:val="13"/>
                <w:color w:val="auto"/>
              </w:rPr>
              <w:t>—</w:t>
            </w:r>
          </w:p>
        </w:tc>
        <w:tc>
          <w:tcPr>
            <w:tcW w:w="220" w:type="dxa"/>
            <w:vAlign w:val="bottom"/>
            <w:shd w:val="clear" w:color="auto" w:fill="CFF0FC"/>
          </w:tcPr>
          <w:p>
            <w:pPr>
              <w:spacing w:after="0"/>
              <w:rPr>
                <w:sz w:val="14"/>
                <w:szCs w:val="14"/>
                <w:color w:val="auto"/>
              </w:rPr>
            </w:pPr>
          </w:p>
        </w:tc>
        <w:tc>
          <w:tcPr>
            <w:tcW w:w="100" w:type="dxa"/>
            <w:vAlign w:val="bottom"/>
            <w:shd w:val="clear" w:color="auto" w:fill="CFF0FC"/>
          </w:tcPr>
          <w:p>
            <w:pPr>
              <w:spacing w:after="0"/>
              <w:rPr>
                <w:sz w:val="14"/>
                <w:szCs w:val="14"/>
                <w:color w:val="auto"/>
              </w:rPr>
            </w:pPr>
          </w:p>
        </w:tc>
        <w:tc>
          <w:tcPr>
            <w:tcW w:w="1280" w:type="dxa"/>
            <w:vAlign w:val="bottom"/>
            <w:gridSpan w:val="2"/>
            <w:shd w:val="clear" w:color="auto" w:fill="CFF0FC"/>
          </w:tcPr>
          <w:p>
            <w:pPr>
              <w:jc w:val="right"/>
              <w:ind w:right="240"/>
              <w:spacing w:after="0"/>
              <w:rPr>
                <w:sz w:val="20"/>
                <w:szCs w:val="20"/>
                <w:color w:val="auto"/>
              </w:rPr>
            </w:pPr>
            <w:r>
              <w:rPr>
                <w:rFonts w:ascii="Arial" w:cs="Arial" w:eastAsia="Arial" w:hAnsi="Arial"/>
                <w:sz w:val="13"/>
                <w:szCs w:val="13"/>
                <w:color w:val="auto"/>
              </w:rPr>
              <w:t>—</w:t>
            </w:r>
          </w:p>
        </w:tc>
        <w:tc>
          <w:tcPr>
            <w:tcW w:w="100" w:type="dxa"/>
            <w:vAlign w:val="bottom"/>
            <w:shd w:val="clear" w:color="auto" w:fill="CFF0FC"/>
          </w:tcPr>
          <w:p>
            <w:pPr>
              <w:spacing w:after="0"/>
              <w:rPr>
                <w:sz w:val="14"/>
                <w:szCs w:val="14"/>
                <w:color w:val="auto"/>
              </w:rPr>
            </w:pPr>
          </w:p>
        </w:tc>
        <w:tc>
          <w:tcPr>
            <w:tcW w:w="1080" w:type="dxa"/>
            <w:vAlign w:val="bottom"/>
            <w:gridSpan w:val="2"/>
            <w:shd w:val="clear" w:color="auto" w:fill="CFF0FC"/>
          </w:tcPr>
          <w:p>
            <w:pPr>
              <w:jc w:val="right"/>
              <w:ind w:right="157"/>
              <w:spacing w:after="0"/>
              <w:rPr>
                <w:sz w:val="20"/>
                <w:szCs w:val="20"/>
                <w:color w:val="auto"/>
              </w:rPr>
            </w:pPr>
            <w:r>
              <w:rPr>
                <w:rFonts w:ascii="Arial" w:cs="Arial" w:eastAsia="Arial" w:hAnsi="Arial"/>
                <w:sz w:val="13"/>
                <w:szCs w:val="13"/>
                <w:color w:val="auto"/>
              </w:rPr>
              <w:t>—</w:t>
            </w:r>
          </w:p>
        </w:tc>
        <w:tc>
          <w:tcPr>
            <w:tcW w:w="100" w:type="dxa"/>
            <w:vAlign w:val="bottom"/>
            <w:shd w:val="clear" w:color="auto" w:fill="CFF0FC"/>
          </w:tcPr>
          <w:p>
            <w:pPr>
              <w:spacing w:after="0"/>
              <w:rPr>
                <w:sz w:val="14"/>
                <w:szCs w:val="14"/>
                <w:color w:val="auto"/>
              </w:rPr>
            </w:pPr>
          </w:p>
        </w:tc>
        <w:tc>
          <w:tcPr>
            <w:tcW w:w="1100" w:type="dxa"/>
            <w:vAlign w:val="bottom"/>
            <w:gridSpan w:val="2"/>
            <w:shd w:val="clear" w:color="auto" w:fill="CFF0FC"/>
          </w:tcPr>
          <w:p>
            <w:pPr>
              <w:jc w:val="right"/>
              <w:ind w:right="120"/>
              <w:spacing w:after="0"/>
              <w:rPr>
                <w:sz w:val="20"/>
                <w:szCs w:val="20"/>
                <w:color w:val="auto"/>
              </w:rPr>
            </w:pPr>
            <w:r>
              <w:rPr>
                <w:rFonts w:ascii="Arial" w:cs="Arial" w:eastAsia="Arial" w:hAnsi="Arial"/>
                <w:sz w:val="13"/>
                <w:szCs w:val="13"/>
                <w:color w:val="auto"/>
              </w:rPr>
              <w:t>—</w:t>
            </w:r>
          </w:p>
        </w:tc>
        <w:tc>
          <w:tcPr>
            <w:tcW w:w="0" w:type="dxa"/>
            <w:vAlign w:val="bottom"/>
          </w:tcPr>
          <w:p>
            <w:pPr>
              <w:spacing w:after="0"/>
              <w:rPr>
                <w:sz w:val="1"/>
                <w:szCs w:val="1"/>
                <w:color w:val="auto"/>
              </w:rPr>
            </w:pPr>
          </w:p>
        </w:tc>
      </w:tr>
      <w:tr>
        <w:trPr>
          <w:trHeight w:val="121"/>
        </w:trPr>
        <w:tc>
          <w:tcPr>
            <w:tcW w:w="2440" w:type="dxa"/>
            <w:vAlign w:val="bottom"/>
          </w:tcPr>
          <w:p>
            <w:pPr>
              <w:ind w:left="20"/>
              <w:spacing w:after="0" w:line="121" w:lineRule="exact"/>
              <w:rPr>
                <w:sz w:val="20"/>
                <w:szCs w:val="20"/>
                <w:color w:val="auto"/>
              </w:rPr>
            </w:pPr>
            <w:r>
              <w:rPr>
                <w:rFonts w:ascii="Arial" w:cs="Arial" w:eastAsia="Arial" w:hAnsi="Arial"/>
                <w:sz w:val="13"/>
                <w:szCs w:val="13"/>
                <w:color w:val="auto"/>
                <w:w w:val="96"/>
              </w:rPr>
              <w:t>Donation of common stock and repurchase</w:t>
            </w:r>
          </w:p>
        </w:tc>
        <w:tc>
          <w:tcPr>
            <w:tcW w:w="500" w:type="dxa"/>
            <w:vAlign w:val="bottom"/>
          </w:tcPr>
          <w:p>
            <w:pPr>
              <w:spacing w:after="0"/>
              <w:rPr>
                <w:sz w:val="10"/>
                <w:szCs w:val="10"/>
                <w:color w:val="auto"/>
              </w:rPr>
            </w:pPr>
          </w:p>
        </w:tc>
        <w:tc>
          <w:tcPr>
            <w:tcW w:w="26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72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26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86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06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86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0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67"/>
        </w:trPr>
        <w:tc>
          <w:tcPr>
            <w:tcW w:w="2440" w:type="dxa"/>
            <w:vAlign w:val="bottom"/>
          </w:tcPr>
          <w:p>
            <w:pPr>
              <w:ind w:left="20"/>
              <w:spacing w:after="0"/>
              <w:rPr>
                <w:sz w:val="20"/>
                <w:szCs w:val="20"/>
                <w:color w:val="auto"/>
              </w:rPr>
            </w:pPr>
            <w:r>
              <w:rPr>
                <w:rFonts w:ascii="Arial" w:cs="Arial" w:eastAsia="Arial" w:hAnsi="Arial"/>
                <w:sz w:val="13"/>
                <w:szCs w:val="13"/>
                <w:color w:val="auto"/>
              </w:rPr>
              <w:t>of unvested stock options</w:t>
            </w:r>
          </w:p>
        </w:tc>
        <w:tc>
          <w:tcPr>
            <w:tcW w:w="500" w:type="dxa"/>
            <w:vAlign w:val="bottom"/>
          </w:tcPr>
          <w:p>
            <w:pPr>
              <w:ind w:left="360"/>
              <w:spacing w:after="0"/>
              <w:rPr>
                <w:sz w:val="20"/>
                <w:szCs w:val="20"/>
                <w:color w:val="auto"/>
              </w:rPr>
            </w:pPr>
            <w:r>
              <w:rPr>
                <w:rFonts w:ascii="Arial" w:cs="Arial" w:eastAsia="Arial" w:hAnsi="Arial"/>
                <w:sz w:val="13"/>
                <w:szCs w:val="13"/>
                <w:color w:val="auto"/>
                <w:w w:val="91"/>
              </w:rPr>
              <w:t>—</w:t>
            </w:r>
          </w:p>
        </w:tc>
        <w:tc>
          <w:tcPr>
            <w:tcW w:w="2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700" w:type="dxa"/>
            <w:vAlign w:val="bottom"/>
          </w:tcPr>
          <w:p>
            <w:pPr>
              <w:ind w:left="560"/>
              <w:spacing w:after="0"/>
              <w:rPr>
                <w:sz w:val="20"/>
                <w:szCs w:val="20"/>
                <w:color w:val="auto"/>
              </w:rPr>
            </w:pPr>
            <w:r>
              <w:rPr>
                <w:rFonts w:ascii="Arial" w:cs="Arial" w:eastAsia="Arial" w:hAnsi="Arial"/>
                <w:sz w:val="13"/>
                <w:szCs w:val="13"/>
                <w:color w:val="auto"/>
                <w:w w:val="91"/>
              </w:rPr>
              <w:t>—</w:t>
            </w:r>
          </w:p>
        </w:tc>
        <w:tc>
          <w:tcPr>
            <w:tcW w:w="1200" w:type="dxa"/>
            <w:vAlign w:val="bottom"/>
            <w:gridSpan w:val="3"/>
          </w:tcPr>
          <w:p>
            <w:pPr>
              <w:jc w:val="right"/>
              <w:ind w:right="137"/>
              <w:spacing w:after="0"/>
              <w:rPr>
                <w:sz w:val="20"/>
                <w:szCs w:val="20"/>
                <w:color w:val="auto"/>
              </w:rPr>
            </w:pPr>
            <w:r>
              <w:rPr>
                <w:rFonts w:ascii="Arial" w:cs="Arial" w:eastAsia="Arial" w:hAnsi="Arial"/>
                <w:sz w:val="13"/>
                <w:szCs w:val="13"/>
                <w:color w:val="auto"/>
              </w:rPr>
              <w:t>(3 )</w:t>
            </w:r>
          </w:p>
        </w:tc>
        <w:tc>
          <w:tcPr>
            <w:tcW w:w="120" w:type="dxa"/>
            <w:vAlign w:val="bottom"/>
          </w:tcPr>
          <w:p>
            <w:pPr>
              <w:spacing w:after="0"/>
              <w:rPr>
                <w:sz w:val="14"/>
                <w:szCs w:val="14"/>
                <w:color w:val="auto"/>
              </w:rPr>
            </w:pPr>
          </w:p>
        </w:tc>
        <w:tc>
          <w:tcPr>
            <w:tcW w:w="700" w:type="dxa"/>
            <w:vAlign w:val="bottom"/>
          </w:tcPr>
          <w:p>
            <w:pPr>
              <w:jc w:val="right"/>
              <w:spacing w:after="0"/>
              <w:rPr>
                <w:sz w:val="20"/>
                <w:szCs w:val="20"/>
                <w:color w:val="auto"/>
              </w:rPr>
            </w:pPr>
            <w:r>
              <w:rPr>
                <w:rFonts w:ascii="Arial" w:cs="Arial" w:eastAsia="Arial" w:hAnsi="Arial"/>
                <w:sz w:val="13"/>
                <w:szCs w:val="13"/>
                <w:color w:val="auto"/>
              </w:rPr>
              <w:t>—</w:t>
            </w:r>
          </w:p>
        </w:tc>
        <w:tc>
          <w:tcPr>
            <w:tcW w:w="2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60" w:type="dxa"/>
            <w:vAlign w:val="bottom"/>
          </w:tcPr>
          <w:p>
            <w:pPr>
              <w:jc w:val="right"/>
              <w:spacing w:after="0"/>
              <w:rPr>
                <w:sz w:val="20"/>
                <w:szCs w:val="20"/>
                <w:color w:val="auto"/>
              </w:rPr>
            </w:pPr>
            <w:r>
              <w:rPr>
                <w:rFonts w:ascii="Arial" w:cs="Arial" w:eastAsia="Arial" w:hAnsi="Arial"/>
                <w:sz w:val="13"/>
                <w:szCs w:val="13"/>
                <w:color w:val="auto"/>
              </w:rPr>
              <w:t>—</w:t>
            </w:r>
          </w:p>
        </w:tc>
        <w:tc>
          <w:tcPr>
            <w:tcW w:w="2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280" w:type="dxa"/>
            <w:vAlign w:val="bottom"/>
            <w:gridSpan w:val="2"/>
          </w:tcPr>
          <w:p>
            <w:pPr>
              <w:jc w:val="right"/>
              <w:ind w:right="240"/>
              <w:spacing w:after="0"/>
              <w:rPr>
                <w:sz w:val="20"/>
                <w:szCs w:val="20"/>
                <w:color w:val="auto"/>
              </w:rPr>
            </w:pPr>
            <w:r>
              <w:rPr>
                <w:rFonts w:ascii="Arial" w:cs="Arial" w:eastAsia="Arial" w:hAnsi="Arial"/>
                <w:sz w:val="13"/>
                <w:szCs w:val="13"/>
                <w:color w:val="auto"/>
              </w:rPr>
              <w:t>—</w:t>
            </w:r>
          </w:p>
        </w:tc>
        <w:tc>
          <w:tcPr>
            <w:tcW w:w="100" w:type="dxa"/>
            <w:vAlign w:val="bottom"/>
          </w:tcPr>
          <w:p>
            <w:pPr>
              <w:spacing w:after="0"/>
              <w:rPr>
                <w:sz w:val="14"/>
                <w:szCs w:val="14"/>
                <w:color w:val="auto"/>
              </w:rPr>
            </w:pPr>
          </w:p>
        </w:tc>
        <w:tc>
          <w:tcPr>
            <w:tcW w:w="1080" w:type="dxa"/>
            <w:vAlign w:val="bottom"/>
            <w:gridSpan w:val="2"/>
          </w:tcPr>
          <w:p>
            <w:pPr>
              <w:jc w:val="right"/>
              <w:ind w:right="157"/>
              <w:spacing w:after="0"/>
              <w:rPr>
                <w:sz w:val="20"/>
                <w:szCs w:val="20"/>
                <w:color w:val="auto"/>
              </w:rPr>
            </w:pPr>
            <w:r>
              <w:rPr>
                <w:rFonts w:ascii="Arial" w:cs="Arial" w:eastAsia="Arial" w:hAnsi="Arial"/>
                <w:sz w:val="13"/>
                <w:szCs w:val="13"/>
                <w:color w:val="auto"/>
              </w:rPr>
              <w:t>—</w:t>
            </w:r>
          </w:p>
        </w:tc>
        <w:tc>
          <w:tcPr>
            <w:tcW w:w="100" w:type="dxa"/>
            <w:vAlign w:val="bottom"/>
          </w:tcPr>
          <w:p>
            <w:pPr>
              <w:spacing w:after="0"/>
              <w:rPr>
                <w:sz w:val="14"/>
                <w:szCs w:val="14"/>
                <w:color w:val="auto"/>
              </w:rPr>
            </w:pPr>
          </w:p>
        </w:tc>
        <w:tc>
          <w:tcPr>
            <w:tcW w:w="1100" w:type="dxa"/>
            <w:vAlign w:val="bottom"/>
            <w:gridSpan w:val="2"/>
          </w:tcPr>
          <w:p>
            <w:pPr>
              <w:jc w:val="right"/>
              <w:ind w:right="120"/>
              <w:spacing w:after="0"/>
              <w:rPr>
                <w:sz w:val="20"/>
                <w:szCs w:val="20"/>
                <w:color w:val="auto"/>
              </w:rPr>
            </w:pPr>
            <w:r>
              <w:rPr>
                <w:rFonts w:ascii="Arial" w:cs="Arial" w:eastAsia="Arial" w:hAnsi="Arial"/>
                <w:sz w:val="13"/>
                <w:szCs w:val="13"/>
                <w:color w:val="auto"/>
              </w:rPr>
              <w:t>—</w:t>
            </w:r>
          </w:p>
        </w:tc>
        <w:tc>
          <w:tcPr>
            <w:tcW w:w="0" w:type="dxa"/>
            <w:vAlign w:val="bottom"/>
          </w:tcPr>
          <w:p>
            <w:pPr>
              <w:spacing w:after="0"/>
              <w:rPr>
                <w:sz w:val="1"/>
                <w:szCs w:val="1"/>
                <w:color w:val="auto"/>
              </w:rPr>
            </w:pPr>
          </w:p>
        </w:tc>
      </w:tr>
      <w:tr>
        <w:trPr>
          <w:trHeight w:val="171"/>
        </w:trPr>
        <w:tc>
          <w:tcPr>
            <w:tcW w:w="2440" w:type="dxa"/>
            <w:vAlign w:val="bottom"/>
            <w:shd w:val="clear" w:color="auto" w:fill="CFF0FC"/>
          </w:tcPr>
          <w:p>
            <w:pPr>
              <w:ind w:left="20"/>
              <w:spacing w:after="0"/>
              <w:rPr>
                <w:sz w:val="20"/>
                <w:szCs w:val="20"/>
                <w:color w:val="auto"/>
              </w:rPr>
            </w:pPr>
            <w:r>
              <w:rPr>
                <w:rFonts w:ascii="Arial" w:cs="Arial" w:eastAsia="Arial" w:hAnsi="Arial"/>
                <w:sz w:val="13"/>
                <w:szCs w:val="13"/>
                <w:color w:val="auto"/>
              </w:rPr>
              <w:t>Cumulative impact of Topic 842 adoption</w:t>
            </w:r>
          </w:p>
        </w:tc>
        <w:tc>
          <w:tcPr>
            <w:tcW w:w="500" w:type="dxa"/>
            <w:vAlign w:val="bottom"/>
            <w:shd w:val="clear" w:color="auto" w:fill="CFF0FC"/>
          </w:tcPr>
          <w:p>
            <w:pPr>
              <w:ind w:left="360"/>
              <w:spacing w:after="0"/>
              <w:rPr>
                <w:sz w:val="20"/>
                <w:szCs w:val="20"/>
                <w:color w:val="auto"/>
              </w:rPr>
            </w:pPr>
            <w:r>
              <w:rPr>
                <w:rFonts w:ascii="Arial" w:cs="Arial" w:eastAsia="Arial" w:hAnsi="Arial"/>
                <w:sz w:val="13"/>
                <w:szCs w:val="13"/>
                <w:color w:val="auto"/>
                <w:w w:val="91"/>
              </w:rPr>
              <w:t>—</w:t>
            </w:r>
          </w:p>
        </w:tc>
        <w:tc>
          <w:tcPr>
            <w:tcW w:w="260" w:type="dxa"/>
            <w:vAlign w:val="bottom"/>
            <w:shd w:val="clear" w:color="auto" w:fill="CFF0FC"/>
          </w:tcPr>
          <w:p>
            <w:pPr>
              <w:spacing w:after="0"/>
              <w:rPr>
                <w:sz w:val="14"/>
                <w:szCs w:val="14"/>
                <w:color w:val="auto"/>
              </w:rPr>
            </w:pPr>
          </w:p>
        </w:tc>
        <w:tc>
          <w:tcPr>
            <w:tcW w:w="120" w:type="dxa"/>
            <w:vAlign w:val="bottom"/>
            <w:shd w:val="clear" w:color="auto" w:fill="CFF0FC"/>
          </w:tcPr>
          <w:p>
            <w:pPr>
              <w:spacing w:after="0"/>
              <w:rPr>
                <w:sz w:val="14"/>
                <w:szCs w:val="14"/>
                <w:color w:val="auto"/>
              </w:rPr>
            </w:pPr>
          </w:p>
        </w:tc>
        <w:tc>
          <w:tcPr>
            <w:tcW w:w="700" w:type="dxa"/>
            <w:vAlign w:val="bottom"/>
            <w:shd w:val="clear" w:color="auto" w:fill="CFF0FC"/>
          </w:tcPr>
          <w:p>
            <w:pPr>
              <w:ind w:left="560"/>
              <w:spacing w:after="0"/>
              <w:rPr>
                <w:sz w:val="20"/>
                <w:szCs w:val="20"/>
                <w:color w:val="auto"/>
              </w:rPr>
            </w:pPr>
            <w:r>
              <w:rPr>
                <w:rFonts w:ascii="Arial" w:cs="Arial" w:eastAsia="Arial" w:hAnsi="Arial"/>
                <w:sz w:val="13"/>
                <w:szCs w:val="13"/>
                <w:color w:val="auto"/>
                <w:w w:val="91"/>
              </w:rPr>
              <w:t>—</w:t>
            </w:r>
          </w:p>
        </w:tc>
        <w:tc>
          <w:tcPr>
            <w:tcW w:w="240" w:type="dxa"/>
            <w:vAlign w:val="bottom"/>
            <w:shd w:val="clear" w:color="auto" w:fill="CFF0FC"/>
          </w:tcPr>
          <w:p>
            <w:pPr>
              <w:spacing w:after="0"/>
              <w:rPr>
                <w:sz w:val="14"/>
                <w:szCs w:val="14"/>
                <w:color w:val="auto"/>
              </w:rPr>
            </w:pPr>
          </w:p>
        </w:tc>
        <w:tc>
          <w:tcPr>
            <w:tcW w:w="960" w:type="dxa"/>
            <w:vAlign w:val="bottom"/>
            <w:gridSpan w:val="2"/>
            <w:shd w:val="clear" w:color="auto" w:fill="CFF0FC"/>
          </w:tcPr>
          <w:p>
            <w:pPr>
              <w:jc w:val="right"/>
              <w:ind w:right="197"/>
              <w:spacing w:after="0"/>
              <w:rPr>
                <w:sz w:val="20"/>
                <w:szCs w:val="20"/>
                <w:color w:val="auto"/>
              </w:rPr>
            </w:pPr>
            <w:r>
              <w:rPr>
                <w:rFonts w:ascii="Arial" w:cs="Arial" w:eastAsia="Arial" w:hAnsi="Arial"/>
                <w:sz w:val="13"/>
                <w:szCs w:val="13"/>
                <w:color w:val="auto"/>
              </w:rPr>
              <w:t>—</w:t>
            </w:r>
          </w:p>
        </w:tc>
        <w:tc>
          <w:tcPr>
            <w:tcW w:w="120" w:type="dxa"/>
            <w:vAlign w:val="bottom"/>
            <w:shd w:val="clear" w:color="auto" w:fill="CFF0FC"/>
          </w:tcPr>
          <w:p>
            <w:pPr>
              <w:spacing w:after="0"/>
              <w:rPr>
                <w:sz w:val="14"/>
                <w:szCs w:val="14"/>
                <w:color w:val="auto"/>
              </w:rPr>
            </w:pPr>
          </w:p>
        </w:tc>
        <w:tc>
          <w:tcPr>
            <w:tcW w:w="700" w:type="dxa"/>
            <w:vAlign w:val="bottom"/>
            <w:shd w:val="clear" w:color="auto" w:fill="CFF0FC"/>
          </w:tcPr>
          <w:p>
            <w:pPr>
              <w:jc w:val="right"/>
              <w:spacing w:after="0"/>
              <w:rPr>
                <w:sz w:val="20"/>
                <w:szCs w:val="20"/>
                <w:color w:val="auto"/>
              </w:rPr>
            </w:pPr>
            <w:r>
              <w:rPr>
                <w:rFonts w:ascii="Arial" w:cs="Arial" w:eastAsia="Arial" w:hAnsi="Arial"/>
                <w:sz w:val="13"/>
                <w:szCs w:val="13"/>
                <w:color w:val="auto"/>
              </w:rPr>
              <w:t>—</w:t>
            </w:r>
          </w:p>
        </w:tc>
        <w:tc>
          <w:tcPr>
            <w:tcW w:w="260" w:type="dxa"/>
            <w:vAlign w:val="bottom"/>
            <w:shd w:val="clear" w:color="auto" w:fill="CFF0FC"/>
          </w:tcPr>
          <w:p>
            <w:pPr>
              <w:spacing w:after="0"/>
              <w:rPr>
                <w:sz w:val="14"/>
                <w:szCs w:val="14"/>
                <w:color w:val="auto"/>
              </w:rPr>
            </w:pPr>
          </w:p>
        </w:tc>
        <w:tc>
          <w:tcPr>
            <w:tcW w:w="100" w:type="dxa"/>
            <w:vAlign w:val="bottom"/>
            <w:shd w:val="clear" w:color="auto" w:fill="CFF0FC"/>
          </w:tcPr>
          <w:p>
            <w:pPr>
              <w:spacing w:after="0"/>
              <w:rPr>
                <w:sz w:val="14"/>
                <w:szCs w:val="14"/>
                <w:color w:val="auto"/>
              </w:rPr>
            </w:pPr>
          </w:p>
        </w:tc>
        <w:tc>
          <w:tcPr>
            <w:tcW w:w="860" w:type="dxa"/>
            <w:vAlign w:val="bottom"/>
            <w:shd w:val="clear" w:color="auto" w:fill="CFF0FC"/>
          </w:tcPr>
          <w:p>
            <w:pPr>
              <w:jc w:val="right"/>
              <w:spacing w:after="0"/>
              <w:rPr>
                <w:sz w:val="20"/>
                <w:szCs w:val="20"/>
                <w:color w:val="auto"/>
              </w:rPr>
            </w:pPr>
            <w:r>
              <w:rPr>
                <w:rFonts w:ascii="Arial" w:cs="Arial" w:eastAsia="Arial" w:hAnsi="Arial"/>
                <w:sz w:val="13"/>
                <w:szCs w:val="13"/>
                <w:color w:val="auto"/>
              </w:rPr>
              <w:t>—</w:t>
            </w:r>
          </w:p>
        </w:tc>
        <w:tc>
          <w:tcPr>
            <w:tcW w:w="220" w:type="dxa"/>
            <w:vAlign w:val="bottom"/>
            <w:shd w:val="clear" w:color="auto" w:fill="CFF0FC"/>
          </w:tcPr>
          <w:p>
            <w:pPr>
              <w:spacing w:after="0"/>
              <w:rPr>
                <w:sz w:val="14"/>
                <w:szCs w:val="14"/>
                <w:color w:val="auto"/>
              </w:rPr>
            </w:pPr>
          </w:p>
        </w:tc>
        <w:tc>
          <w:tcPr>
            <w:tcW w:w="100" w:type="dxa"/>
            <w:vAlign w:val="bottom"/>
            <w:shd w:val="clear" w:color="auto" w:fill="CFF0FC"/>
          </w:tcPr>
          <w:p>
            <w:pPr>
              <w:spacing w:after="0"/>
              <w:rPr>
                <w:sz w:val="14"/>
                <w:szCs w:val="14"/>
                <w:color w:val="auto"/>
              </w:rPr>
            </w:pPr>
          </w:p>
        </w:tc>
        <w:tc>
          <w:tcPr>
            <w:tcW w:w="1280" w:type="dxa"/>
            <w:vAlign w:val="bottom"/>
            <w:gridSpan w:val="2"/>
            <w:shd w:val="clear" w:color="auto" w:fill="CFF0FC"/>
          </w:tcPr>
          <w:p>
            <w:pPr>
              <w:jc w:val="right"/>
              <w:ind w:right="240"/>
              <w:spacing w:after="0"/>
              <w:rPr>
                <w:sz w:val="20"/>
                <w:szCs w:val="20"/>
                <w:color w:val="auto"/>
              </w:rPr>
            </w:pPr>
            <w:r>
              <w:rPr>
                <w:rFonts w:ascii="Arial" w:cs="Arial" w:eastAsia="Arial" w:hAnsi="Arial"/>
                <w:sz w:val="13"/>
                <w:szCs w:val="13"/>
                <w:color w:val="auto"/>
              </w:rPr>
              <w:t>—</w:t>
            </w:r>
          </w:p>
        </w:tc>
        <w:tc>
          <w:tcPr>
            <w:tcW w:w="100" w:type="dxa"/>
            <w:vAlign w:val="bottom"/>
            <w:shd w:val="clear" w:color="auto" w:fill="CFF0FC"/>
          </w:tcPr>
          <w:p>
            <w:pPr>
              <w:spacing w:after="0"/>
              <w:rPr>
                <w:sz w:val="14"/>
                <w:szCs w:val="14"/>
                <w:color w:val="auto"/>
              </w:rPr>
            </w:pPr>
          </w:p>
        </w:tc>
        <w:tc>
          <w:tcPr>
            <w:tcW w:w="860" w:type="dxa"/>
            <w:vAlign w:val="bottom"/>
            <w:shd w:val="clear" w:color="auto" w:fill="CFF0FC"/>
          </w:tcPr>
          <w:p>
            <w:pPr>
              <w:jc w:val="right"/>
              <w:spacing w:after="0"/>
              <w:rPr>
                <w:sz w:val="20"/>
                <w:szCs w:val="20"/>
                <w:color w:val="auto"/>
              </w:rPr>
            </w:pPr>
            <w:r>
              <w:rPr>
                <w:rFonts w:ascii="Arial" w:cs="Arial" w:eastAsia="Arial" w:hAnsi="Arial"/>
                <w:sz w:val="13"/>
                <w:szCs w:val="13"/>
                <w:color w:val="auto"/>
              </w:rPr>
              <w:t>17</w:t>
            </w:r>
          </w:p>
        </w:tc>
        <w:tc>
          <w:tcPr>
            <w:tcW w:w="220" w:type="dxa"/>
            <w:vAlign w:val="bottom"/>
            <w:shd w:val="clear" w:color="auto" w:fill="CFF0FC"/>
          </w:tcPr>
          <w:p>
            <w:pPr>
              <w:spacing w:after="0"/>
              <w:rPr>
                <w:sz w:val="14"/>
                <w:szCs w:val="14"/>
                <w:color w:val="auto"/>
              </w:rPr>
            </w:pPr>
          </w:p>
        </w:tc>
        <w:tc>
          <w:tcPr>
            <w:tcW w:w="100" w:type="dxa"/>
            <w:vAlign w:val="bottom"/>
            <w:shd w:val="clear" w:color="auto" w:fill="CFF0FC"/>
          </w:tcPr>
          <w:p>
            <w:pPr>
              <w:spacing w:after="0"/>
              <w:rPr>
                <w:sz w:val="14"/>
                <w:szCs w:val="14"/>
                <w:color w:val="auto"/>
              </w:rPr>
            </w:pPr>
          </w:p>
        </w:tc>
        <w:tc>
          <w:tcPr>
            <w:tcW w:w="1000" w:type="dxa"/>
            <w:vAlign w:val="bottom"/>
            <w:shd w:val="clear" w:color="auto" w:fill="CFF0FC"/>
          </w:tcPr>
          <w:p>
            <w:pPr>
              <w:jc w:val="right"/>
              <w:spacing w:after="0"/>
              <w:rPr>
                <w:sz w:val="20"/>
                <w:szCs w:val="20"/>
                <w:color w:val="auto"/>
              </w:rPr>
            </w:pPr>
            <w:r>
              <w:rPr>
                <w:rFonts w:ascii="Arial" w:cs="Arial" w:eastAsia="Arial" w:hAnsi="Arial"/>
                <w:sz w:val="13"/>
                <w:szCs w:val="13"/>
                <w:color w:val="auto"/>
              </w:rPr>
              <w:t>17</w:t>
            </w:r>
          </w:p>
        </w:tc>
        <w:tc>
          <w:tcPr>
            <w:tcW w:w="100" w:type="dxa"/>
            <w:vAlign w:val="bottom"/>
            <w:shd w:val="clear" w:color="auto" w:fill="CFF0FC"/>
          </w:tcPr>
          <w:p>
            <w:pPr>
              <w:spacing w:after="0"/>
              <w:rPr>
                <w:sz w:val="14"/>
                <w:szCs w:val="14"/>
                <w:color w:val="auto"/>
              </w:rPr>
            </w:pPr>
          </w:p>
        </w:tc>
        <w:tc>
          <w:tcPr>
            <w:tcW w:w="0" w:type="dxa"/>
            <w:vAlign w:val="bottom"/>
          </w:tcPr>
          <w:p>
            <w:pPr>
              <w:spacing w:after="0"/>
              <w:rPr>
                <w:sz w:val="1"/>
                <w:szCs w:val="1"/>
                <w:color w:val="auto"/>
              </w:rPr>
            </w:pPr>
          </w:p>
        </w:tc>
      </w:tr>
      <w:tr>
        <w:trPr>
          <w:trHeight w:val="160"/>
        </w:trPr>
        <w:tc>
          <w:tcPr>
            <w:tcW w:w="2440" w:type="dxa"/>
            <w:vAlign w:val="bottom"/>
          </w:tcPr>
          <w:p>
            <w:pPr>
              <w:ind w:left="20"/>
              <w:spacing w:after="0"/>
              <w:rPr>
                <w:sz w:val="20"/>
                <w:szCs w:val="20"/>
                <w:color w:val="auto"/>
              </w:rPr>
            </w:pPr>
            <w:r>
              <w:rPr>
                <w:rFonts w:ascii="Arial" w:cs="Arial" w:eastAsia="Arial" w:hAnsi="Arial"/>
                <w:sz w:val="13"/>
                <w:szCs w:val="13"/>
                <w:color w:val="auto"/>
              </w:rPr>
              <w:t>Net loss</w:t>
            </w:r>
          </w:p>
        </w:tc>
        <w:tc>
          <w:tcPr>
            <w:tcW w:w="500" w:type="dxa"/>
            <w:vAlign w:val="bottom"/>
          </w:tcPr>
          <w:p>
            <w:pPr>
              <w:ind w:left="360"/>
              <w:spacing w:after="0"/>
              <w:rPr>
                <w:sz w:val="20"/>
                <w:szCs w:val="20"/>
                <w:color w:val="auto"/>
              </w:rPr>
            </w:pPr>
            <w:r>
              <w:rPr>
                <w:rFonts w:ascii="Arial" w:cs="Arial" w:eastAsia="Arial" w:hAnsi="Arial"/>
                <w:sz w:val="13"/>
                <w:szCs w:val="13"/>
                <w:color w:val="auto"/>
                <w:w w:val="91"/>
              </w:rPr>
              <w:t>—</w:t>
            </w:r>
          </w:p>
        </w:tc>
        <w:tc>
          <w:tcPr>
            <w:tcW w:w="2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700" w:type="dxa"/>
            <w:vAlign w:val="bottom"/>
          </w:tcPr>
          <w:p>
            <w:pPr>
              <w:ind w:left="560"/>
              <w:spacing w:after="0"/>
              <w:rPr>
                <w:sz w:val="20"/>
                <w:szCs w:val="20"/>
                <w:color w:val="auto"/>
              </w:rPr>
            </w:pPr>
            <w:r>
              <w:rPr>
                <w:rFonts w:ascii="Arial" w:cs="Arial" w:eastAsia="Arial" w:hAnsi="Arial"/>
                <w:sz w:val="13"/>
                <w:szCs w:val="13"/>
                <w:color w:val="auto"/>
                <w:w w:val="91"/>
              </w:rPr>
              <w:t>—</w:t>
            </w:r>
          </w:p>
        </w:tc>
        <w:tc>
          <w:tcPr>
            <w:tcW w:w="240" w:type="dxa"/>
            <w:vAlign w:val="bottom"/>
          </w:tcPr>
          <w:p>
            <w:pPr>
              <w:spacing w:after="0"/>
              <w:rPr>
                <w:sz w:val="13"/>
                <w:szCs w:val="13"/>
                <w:color w:val="auto"/>
              </w:rPr>
            </w:pPr>
          </w:p>
        </w:tc>
        <w:tc>
          <w:tcPr>
            <w:tcW w:w="720" w:type="dxa"/>
            <w:vAlign w:val="bottom"/>
          </w:tcPr>
          <w:p>
            <w:pPr>
              <w:jc w:val="right"/>
              <w:spacing w:after="0"/>
              <w:rPr>
                <w:sz w:val="20"/>
                <w:szCs w:val="20"/>
                <w:color w:val="auto"/>
              </w:rPr>
            </w:pPr>
            <w:r>
              <w:rPr>
                <w:rFonts w:ascii="Arial" w:cs="Arial" w:eastAsia="Arial" w:hAnsi="Arial"/>
                <w:sz w:val="13"/>
                <w:szCs w:val="13"/>
                <w:color w:val="auto"/>
              </w:rPr>
              <w:t>—</w:t>
            </w:r>
          </w:p>
        </w:tc>
        <w:tc>
          <w:tcPr>
            <w:tcW w:w="2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700" w:type="dxa"/>
            <w:vAlign w:val="bottom"/>
          </w:tcPr>
          <w:p>
            <w:pPr>
              <w:jc w:val="right"/>
              <w:spacing w:after="0"/>
              <w:rPr>
                <w:sz w:val="20"/>
                <w:szCs w:val="20"/>
                <w:color w:val="auto"/>
              </w:rPr>
            </w:pPr>
            <w:r>
              <w:rPr>
                <w:rFonts w:ascii="Arial" w:cs="Arial" w:eastAsia="Arial" w:hAnsi="Arial"/>
                <w:sz w:val="13"/>
                <w:szCs w:val="13"/>
                <w:color w:val="auto"/>
              </w:rPr>
              <w:t>—</w:t>
            </w:r>
          </w:p>
        </w:tc>
        <w:tc>
          <w:tcPr>
            <w:tcW w:w="2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860" w:type="dxa"/>
            <w:vAlign w:val="bottom"/>
          </w:tcPr>
          <w:p>
            <w:pPr>
              <w:jc w:val="right"/>
              <w:spacing w:after="0"/>
              <w:rPr>
                <w:sz w:val="20"/>
                <w:szCs w:val="20"/>
                <w:color w:val="auto"/>
              </w:rPr>
            </w:pPr>
            <w:r>
              <w:rPr>
                <w:rFonts w:ascii="Arial" w:cs="Arial" w:eastAsia="Arial" w:hAnsi="Arial"/>
                <w:sz w:val="13"/>
                <w:szCs w:val="13"/>
                <w:color w:val="auto"/>
              </w:rPr>
              <w:t>—</w:t>
            </w:r>
          </w:p>
        </w:tc>
        <w:tc>
          <w:tcPr>
            <w:tcW w:w="2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060" w:type="dxa"/>
            <w:vAlign w:val="bottom"/>
          </w:tcPr>
          <w:p>
            <w:pPr>
              <w:jc w:val="right"/>
              <w:spacing w:after="0"/>
              <w:rPr>
                <w:sz w:val="20"/>
                <w:szCs w:val="20"/>
                <w:color w:val="auto"/>
              </w:rPr>
            </w:pPr>
            <w:r>
              <w:rPr>
                <w:rFonts w:ascii="Arial" w:cs="Arial" w:eastAsia="Arial" w:hAnsi="Arial"/>
                <w:sz w:val="13"/>
                <w:szCs w:val="13"/>
                <w:color w:val="auto"/>
              </w:rPr>
              <w:t>—</w:t>
            </w:r>
          </w:p>
        </w:tc>
        <w:tc>
          <w:tcPr>
            <w:tcW w:w="2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080" w:type="dxa"/>
            <w:vAlign w:val="bottom"/>
            <w:gridSpan w:val="2"/>
          </w:tcPr>
          <w:p>
            <w:pPr>
              <w:jc w:val="right"/>
              <w:ind w:right="97"/>
              <w:spacing w:after="0"/>
              <w:rPr>
                <w:sz w:val="20"/>
                <w:szCs w:val="20"/>
                <w:color w:val="auto"/>
              </w:rPr>
            </w:pPr>
            <w:r>
              <w:rPr>
                <w:rFonts w:ascii="Arial" w:cs="Arial" w:eastAsia="Arial" w:hAnsi="Arial"/>
                <w:sz w:val="13"/>
                <w:szCs w:val="13"/>
                <w:color w:val="auto"/>
              </w:rPr>
              <w:t>(22,220 )</w:t>
            </w:r>
          </w:p>
        </w:tc>
        <w:tc>
          <w:tcPr>
            <w:tcW w:w="100" w:type="dxa"/>
            <w:vAlign w:val="bottom"/>
          </w:tcPr>
          <w:p>
            <w:pPr>
              <w:spacing w:after="0"/>
              <w:rPr>
                <w:sz w:val="13"/>
                <w:szCs w:val="13"/>
                <w:color w:val="auto"/>
              </w:rPr>
            </w:pPr>
          </w:p>
        </w:tc>
        <w:tc>
          <w:tcPr>
            <w:tcW w:w="1100" w:type="dxa"/>
            <w:vAlign w:val="bottom"/>
            <w:gridSpan w:val="2"/>
          </w:tcPr>
          <w:p>
            <w:pPr>
              <w:jc w:val="right"/>
              <w:ind w:right="60"/>
              <w:spacing w:after="0"/>
              <w:rPr>
                <w:sz w:val="20"/>
                <w:szCs w:val="20"/>
                <w:color w:val="auto"/>
              </w:rPr>
            </w:pPr>
            <w:r>
              <w:rPr>
                <w:rFonts w:ascii="Arial" w:cs="Arial" w:eastAsia="Arial" w:hAnsi="Arial"/>
                <w:sz w:val="13"/>
                <w:szCs w:val="13"/>
                <w:color w:val="auto"/>
              </w:rPr>
              <w:t>(22,220 )</w:t>
            </w:r>
          </w:p>
        </w:tc>
        <w:tc>
          <w:tcPr>
            <w:tcW w:w="0" w:type="dxa"/>
            <w:vAlign w:val="bottom"/>
          </w:tcPr>
          <w:p>
            <w:pPr>
              <w:spacing w:after="0"/>
              <w:rPr>
                <w:sz w:val="1"/>
                <w:szCs w:val="1"/>
                <w:color w:val="auto"/>
              </w:rPr>
            </w:pPr>
          </w:p>
        </w:tc>
      </w:tr>
      <w:tr>
        <w:trPr>
          <w:trHeight w:val="20"/>
        </w:trPr>
        <w:tc>
          <w:tcPr>
            <w:tcW w:w="2440" w:type="dxa"/>
            <w:vAlign w:val="bottom"/>
          </w:tcPr>
          <w:p>
            <w:pPr>
              <w:spacing w:after="0" w:line="20" w:lineRule="exact"/>
              <w:rPr>
                <w:sz w:val="1"/>
                <w:szCs w:val="1"/>
                <w:color w:val="auto"/>
              </w:rPr>
            </w:pPr>
          </w:p>
        </w:tc>
        <w:tc>
          <w:tcPr>
            <w:tcW w:w="500" w:type="dxa"/>
            <w:vAlign w:val="bottom"/>
            <w:shd w:val="clear" w:color="auto" w:fill="000000"/>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700" w:type="dxa"/>
            <w:vAlign w:val="bottom"/>
            <w:shd w:val="clear" w:color="auto" w:fill="000000"/>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720" w:type="dxa"/>
            <w:vAlign w:val="bottom"/>
            <w:shd w:val="clear" w:color="auto" w:fill="000000"/>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700" w:type="dxa"/>
            <w:vAlign w:val="bottom"/>
            <w:shd w:val="clear" w:color="auto" w:fill="000000"/>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86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106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86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100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32"/>
        </w:trPr>
        <w:tc>
          <w:tcPr>
            <w:tcW w:w="2440" w:type="dxa"/>
            <w:vAlign w:val="bottom"/>
            <w:shd w:val="clear" w:color="auto" w:fill="CFF0FC"/>
          </w:tcPr>
          <w:p>
            <w:pPr>
              <w:ind w:left="20"/>
              <w:spacing w:after="0"/>
              <w:rPr>
                <w:sz w:val="20"/>
                <w:szCs w:val="20"/>
                <w:color w:val="auto"/>
              </w:rPr>
            </w:pPr>
            <w:r>
              <w:rPr>
                <w:rFonts w:ascii="Arial" w:cs="Arial" w:eastAsia="Arial" w:hAnsi="Arial"/>
                <w:sz w:val="13"/>
                <w:szCs w:val="13"/>
                <w:color w:val="auto"/>
              </w:rPr>
              <w:t>Balance at March 31, 2022</w:t>
            </w:r>
          </w:p>
        </w:tc>
        <w:tc>
          <w:tcPr>
            <w:tcW w:w="500" w:type="dxa"/>
            <w:vAlign w:val="bottom"/>
            <w:shd w:val="clear" w:color="auto" w:fill="CFF0FC"/>
          </w:tcPr>
          <w:p>
            <w:pPr>
              <w:ind w:left="360"/>
              <w:spacing w:after="0"/>
              <w:rPr>
                <w:sz w:val="20"/>
                <w:szCs w:val="20"/>
                <w:color w:val="auto"/>
              </w:rPr>
            </w:pPr>
            <w:r>
              <w:rPr>
                <w:rFonts w:ascii="Arial" w:cs="Arial" w:eastAsia="Arial" w:hAnsi="Arial"/>
                <w:sz w:val="13"/>
                <w:szCs w:val="13"/>
                <w:color w:val="auto"/>
                <w:w w:val="91"/>
              </w:rPr>
              <w:t>—</w:t>
            </w:r>
          </w:p>
        </w:tc>
        <w:tc>
          <w:tcPr>
            <w:tcW w:w="260" w:type="dxa"/>
            <w:vAlign w:val="bottom"/>
            <w:shd w:val="clear" w:color="auto" w:fill="CFF0FC"/>
          </w:tcPr>
          <w:p>
            <w:pPr>
              <w:spacing w:after="0"/>
              <w:rPr>
                <w:sz w:val="24"/>
                <w:szCs w:val="24"/>
                <w:color w:val="auto"/>
              </w:rPr>
            </w:pPr>
          </w:p>
        </w:tc>
        <w:tc>
          <w:tcPr>
            <w:tcW w:w="120" w:type="dxa"/>
            <w:vAlign w:val="bottom"/>
            <w:shd w:val="clear" w:color="auto" w:fill="CFF0FC"/>
          </w:tcPr>
          <w:p>
            <w:pPr>
              <w:jc w:val="right"/>
              <w:spacing w:after="0"/>
              <w:rPr>
                <w:sz w:val="20"/>
                <w:szCs w:val="20"/>
                <w:color w:val="auto"/>
              </w:rPr>
            </w:pPr>
            <w:r>
              <w:rPr>
                <w:rFonts w:ascii="Arial" w:cs="Arial" w:eastAsia="Arial" w:hAnsi="Arial"/>
                <w:sz w:val="13"/>
                <w:szCs w:val="13"/>
                <w:color w:val="auto"/>
              </w:rPr>
              <w:t>$</w:t>
            </w:r>
          </w:p>
        </w:tc>
        <w:tc>
          <w:tcPr>
            <w:tcW w:w="700" w:type="dxa"/>
            <w:vAlign w:val="bottom"/>
            <w:shd w:val="clear" w:color="auto" w:fill="CFF0FC"/>
          </w:tcPr>
          <w:p>
            <w:pPr>
              <w:ind w:left="560"/>
              <w:spacing w:after="0"/>
              <w:rPr>
                <w:sz w:val="20"/>
                <w:szCs w:val="20"/>
                <w:color w:val="auto"/>
              </w:rPr>
            </w:pPr>
            <w:r>
              <w:rPr>
                <w:rFonts w:ascii="Arial" w:cs="Arial" w:eastAsia="Arial" w:hAnsi="Arial"/>
                <w:sz w:val="13"/>
                <w:szCs w:val="13"/>
                <w:color w:val="auto"/>
                <w:w w:val="91"/>
              </w:rPr>
              <w:t>—</w:t>
            </w:r>
          </w:p>
        </w:tc>
        <w:tc>
          <w:tcPr>
            <w:tcW w:w="240" w:type="dxa"/>
            <w:vAlign w:val="bottom"/>
            <w:shd w:val="clear" w:color="auto" w:fill="CFF0FC"/>
          </w:tcPr>
          <w:p>
            <w:pPr>
              <w:spacing w:after="0"/>
              <w:rPr>
                <w:sz w:val="24"/>
                <w:szCs w:val="24"/>
                <w:color w:val="auto"/>
              </w:rPr>
            </w:pPr>
          </w:p>
        </w:tc>
        <w:tc>
          <w:tcPr>
            <w:tcW w:w="720" w:type="dxa"/>
            <w:vAlign w:val="bottom"/>
            <w:shd w:val="clear" w:color="auto" w:fill="CFF0FC"/>
          </w:tcPr>
          <w:p>
            <w:pPr>
              <w:jc w:val="right"/>
              <w:spacing w:after="0"/>
              <w:rPr>
                <w:sz w:val="20"/>
                <w:szCs w:val="20"/>
                <w:color w:val="auto"/>
              </w:rPr>
            </w:pPr>
            <w:r>
              <w:rPr>
                <w:rFonts w:ascii="Arial" w:cs="Arial" w:eastAsia="Arial" w:hAnsi="Arial"/>
                <w:sz w:val="13"/>
                <w:szCs w:val="13"/>
                <w:color w:val="auto"/>
              </w:rPr>
              <w:t>111,507</w:t>
            </w:r>
          </w:p>
        </w:tc>
        <w:tc>
          <w:tcPr>
            <w:tcW w:w="240" w:type="dxa"/>
            <w:vAlign w:val="bottom"/>
            <w:shd w:val="clear" w:color="auto" w:fill="CFF0FC"/>
          </w:tcPr>
          <w:p>
            <w:pPr>
              <w:spacing w:after="0"/>
              <w:rPr>
                <w:sz w:val="24"/>
                <w:szCs w:val="24"/>
                <w:color w:val="auto"/>
              </w:rPr>
            </w:pPr>
          </w:p>
        </w:tc>
        <w:tc>
          <w:tcPr>
            <w:tcW w:w="120" w:type="dxa"/>
            <w:vAlign w:val="bottom"/>
            <w:shd w:val="clear" w:color="auto" w:fill="CFF0FC"/>
          </w:tcPr>
          <w:p>
            <w:pPr>
              <w:jc w:val="right"/>
              <w:spacing w:after="0"/>
              <w:rPr>
                <w:sz w:val="20"/>
                <w:szCs w:val="20"/>
                <w:color w:val="auto"/>
              </w:rPr>
            </w:pPr>
            <w:r>
              <w:rPr>
                <w:rFonts w:ascii="Arial" w:cs="Arial" w:eastAsia="Arial" w:hAnsi="Arial"/>
                <w:sz w:val="13"/>
                <w:szCs w:val="13"/>
                <w:color w:val="auto"/>
              </w:rPr>
              <w:t>$</w:t>
            </w:r>
          </w:p>
        </w:tc>
        <w:tc>
          <w:tcPr>
            <w:tcW w:w="700" w:type="dxa"/>
            <w:vAlign w:val="bottom"/>
            <w:shd w:val="clear" w:color="auto" w:fill="CFF0FC"/>
          </w:tcPr>
          <w:p>
            <w:pPr>
              <w:jc w:val="right"/>
              <w:spacing w:after="0"/>
              <w:rPr>
                <w:sz w:val="20"/>
                <w:szCs w:val="20"/>
                <w:color w:val="auto"/>
              </w:rPr>
            </w:pPr>
            <w:r>
              <w:rPr>
                <w:rFonts w:ascii="Arial" w:cs="Arial" w:eastAsia="Arial" w:hAnsi="Arial"/>
                <w:sz w:val="13"/>
                <w:szCs w:val="13"/>
                <w:color w:val="auto"/>
              </w:rPr>
              <w:t>1</w:t>
            </w:r>
          </w:p>
        </w:tc>
        <w:tc>
          <w:tcPr>
            <w:tcW w:w="260" w:type="dxa"/>
            <w:vAlign w:val="bottom"/>
            <w:shd w:val="clear" w:color="auto" w:fill="CFF0FC"/>
          </w:tcPr>
          <w:p>
            <w:pPr>
              <w:spacing w:after="0"/>
              <w:rPr>
                <w:sz w:val="24"/>
                <w:szCs w:val="24"/>
                <w:color w:val="auto"/>
              </w:rPr>
            </w:pPr>
          </w:p>
        </w:tc>
        <w:tc>
          <w:tcPr>
            <w:tcW w:w="100" w:type="dxa"/>
            <w:vAlign w:val="bottom"/>
            <w:shd w:val="clear" w:color="auto" w:fill="CFF0FC"/>
          </w:tcPr>
          <w:p>
            <w:pPr>
              <w:jc w:val="right"/>
              <w:spacing w:after="0"/>
              <w:rPr>
                <w:sz w:val="20"/>
                <w:szCs w:val="20"/>
                <w:color w:val="auto"/>
              </w:rPr>
            </w:pPr>
            <w:r>
              <w:rPr>
                <w:rFonts w:ascii="Arial" w:cs="Arial" w:eastAsia="Arial" w:hAnsi="Arial"/>
                <w:sz w:val="10"/>
                <w:szCs w:val="10"/>
                <w:color w:val="auto"/>
                <w:w w:val="71"/>
              </w:rPr>
              <w:t>$</w:t>
            </w:r>
          </w:p>
        </w:tc>
        <w:tc>
          <w:tcPr>
            <w:tcW w:w="860" w:type="dxa"/>
            <w:vAlign w:val="bottom"/>
            <w:shd w:val="clear" w:color="auto" w:fill="CFF0FC"/>
          </w:tcPr>
          <w:p>
            <w:pPr>
              <w:jc w:val="right"/>
              <w:spacing w:after="0"/>
              <w:rPr>
                <w:sz w:val="20"/>
                <w:szCs w:val="20"/>
                <w:color w:val="auto"/>
              </w:rPr>
            </w:pPr>
            <w:r>
              <w:rPr>
                <w:rFonts w:ascii="Arial" w:cs="Arial" w:eastAsia="Arial" w:hAnsi="Arial"/>
                <w:sz w:val="13"/>
                <w:szCs w:val="13"/>
                <w:color w:val="auto"/>
              </w:rPr>
              <w:t>504,859</w:t>
            </w:r>
          </w:p>
        </w:tc>
        <w:tc>
          <w:tcPr>
            <w:tcW w:w="220" w:type="dxa"/>
            <w:vAlign w:val="bottom"/>
            <w:shd w:val="clear" w:color="auto" w:fill="CFF0FC"/>
          </w:tcPr>
          <w:p>
            <w:pPr>
              <w:spacing w:after="0"/>
              <w:rPr>
                <w:sz w:val="24"/>
                <w:szCs w:val="24"/>
                <w:color w:val="auto"/>
              </w:rPr>
            </w:pPr>
          </w:p>
        </w:tc>
        <w:tc>
          <w:tcPr>
            <w:tcW w:w="100" w:type="dxa"/>
            <w:vAlign w:val="bottom"/>
            <w:shd w:val="clear" w:color="auto" w:fill="CFF0FC"/>
          </w:tcPr>
          <w:p>
            <w:pPr>
              <w:jc w:val="right"/>
              <w:spacing w:after="0"/>
              <w:rPr>
                <w:sz w:val="20"/>
                <w:szCs w:val="20"/>
                <w:color w:val="auto"/>
              </w:rPr>
            </w:pPr>
            <w:r>
              <w:rPr>
                <w:rFonts w:ascii="Arial" w:cs="Arial" w:eastAsia="Arial" w:hAnsi="Arial"/>
                <w:sz w:val="13"/>
                <w:szCs w:val="13"/>
                <w:color w:val="auto"/>
                <w:w w:val="82"/>
              </w:rPr>
              <w:t>$</w:t>
            </w:r>
          </w:p>
        </w:tc>
        <w:tc>
          <w:tcPr>
            <w:tcW w:w="1060" w:type="dxa"/>
            <w:vAlign w:val="bottom"/>
            <w:shd w:val="clear" w:color="auto" w:fill="CFF0FC"/>
          </w:tcPr>
          <w:p>
            <w:pPr>
              <w:jc w:val="right"/>
              <w:spacing w:after="0"/>
              <w:rPr>
                <w:sz w:val="20"/>
                <w:szCs w:val="20"/>
                <w:color w:val="auto"/>
              </w:rPr>
            </w:pPr>
            <w:r>
              <w:rPr>
                <w:rFonts w:ascii="Arial" w:cs="Arial" w:eastAsia="Arial" w:hAnsi="Arial"/>
                <w:sz w:val="13"/>
                <w:szCs w:val="13"/>
                <w:color w:val="auto"/>
              </w:rPr>
              <w:t>—</w:t>
            </w:r>
          </w:p>
        </w:tc>
        <w:tc>
          <w:tcPr>
            <w:tcW w:w="220" w:type="dxa"/>
            <w:vAlign w:val="bottom"/>
            <w:shd w:val="clear" w:color="auto" w:fill="CFF0FC"/>
          </w:tcPr>
          <w:p>
            <w:pPr>
              <w:spacing w:after="0"/>
              <w:rPr>
                <w:sz w:val="24"/>
                <w:szCs w:val="24"/>
                <w:color w:val="auto"/>
              </w:rPr>
            </w:pPr>
          </w:p>
        </w:tc>
        <w:tc>
          <w:tcPr>
            <w:tcW w:w="100" w:type="dxa"/>
            <w:vAlign w:val="bottom"/>
            <w:shd w:val="clear" w:color="auto" w:fill="CFF0FC"/>
          </w:tcPr>
          <w:p>
            <w:pPr>
              <w:jc w:val="right"/>
              <w:spacing w:after="0"/>
              <w:rPr>
                <w:sz w:val="20"/>
                <w:szCs w:val="20"/>
                <w:color w:val="auto"/>
              </w:rPr>
            </w:pPr>
            <w:r>
              <w:rPr>
                <w:rFonts w:ascii="Arial" w:cs="Arial" w:eastAsia="Arial" w:hAnsi="Arial"/>
                <w:sz w:val="10"/>
                <w:szCs w:val="10"/>
                <w:color w:val="auto"/>
                <w:w w:val="71"/>
              </w:rPr>
              <w:t>$</w:t>
            </w:r>
          </w:p>
        </w:tc>
        <w:tc>
          <w:tcPr>
            <w:tcW w:w="1080" w:type="dxa"/>
            <w:vAlign w:val="bottom"/>
            <w:gridSpan w:val="2"/>
            <w:shd w:val="clear" w:color="auto" w:fill="CFF0FC"/>
          </w:tcPr>
          <w:p>
            <w:pPr>
              <w:jc w:val="right"/>
              <w:ind w:right="97"/>
              <w:spacing w:after="0"/>
              <w:rPr>
                <w:sz w:val="20"/>
                <w:szCs w:val="20"/>
                <w:color w:val="auto"/>
              </w:rPr>
            </w:pPr>
            <w:r>
              <w:rPr>
                <w:rFonts w:ascii="Arial" w:cs="Arial" w:eastAsia="Arial" w:hAnsi="Arial"/>
                <w:sz w:val="13"/>
                <w:szCs w:val="13"/>
                <w:color w:val="auto"/>
              </w:rPr>
              <w:t>(202,011 )</w:t>
            </w:r>
          </w:p>
        </w:tc>
        <w:tc>
          <w:tcPr>
            <w:tcW w:w="100" w:type="dxa"/>
            <w:vAlign w:val="bottom"/>
            <w:shd w:val="clear" w:color="auto" w:fill="CFF0FC"/>
          </w:tcPr>
          <w:p>
            <w:pPr>
              <w:jc w:val="right"/>
              <w:spacing w:after="0"/>
              <w:rPr>
                <w:sz w:val="20"/>
                <w:szCs w:val="20"/>
                <w:color w:val="auto"/>
              </w:rPr>
            </w:pPr>
            <w:r>
              <w:rPr>
                <w:rFonts w:ascii="Arial" w:cs="Arial" w:eastAsia="Arial" w:hAnsi="Arial"/>
                <w:sz w:val="13"/>
                <w:szCs w:val="13"/>
                <w:color w:val="auto"/>
                <w:w w:val="82"/>
              </w:rPr>
              <w:t>$</w:t>
            </w:r>
          </w:p>
        </w:tc>
        <w:tc>
          <w:tcPr>
            <w:tcW w:w="1000" w:type="dxa"/>
            <w:vAlign w:val="bottom"/>
            <w:shd w:val="clear" w:color="auto" w:fill="CFF0FC"/>
          </w:tcPr>
          <w:p>
            <w:pPr>
              <w:jc w:val="right"/>
              <w:spacing w:after="0"/>
              <w:rPr>
                <w:sz w:val="20"/>
                <w:szCs w:val="20"/>
                <w:color w:val="auto"/>
              </w:rPr>
            </w:pPr>
            <w:r>
              <w:rPr>
                <w:rFonts w:ascii="Arial" w:cs="Arial" w:eastAsia="Arial" w:hAnsi="Arial"/>
                <w:sz w:val="13"/>
                <w:szCs w:val="13"/>
                <w:color w:val="auto"/>
              </w:rPr>
              <w:t>302,849</w:t>
            </w:r>
          </w:p>
        </w:tc>
        <w:tc>
          <w:tcPr>
            <w:tcW w:w="100" w:type="dxa"/>
            <w:vAlign w:val="bottom"/>
            <w:shd w:val="clear" w:color="auto" w:fill="CFF0FC"/>
          </w:tcPr>
          <w:p>
            <w:pPr>
              <w:spacing w:after="0"/>
              <w:rPr>
                <w:sz w:val="24"/>
                <w:szCs w:val="24"/>
                <w:color w:val="auto"/>
              </w:rPr>
            </w:pPr>
          </w:p>
        </w:tc>
        <w:tc>
          <w:tcPr>
            <w:tcW w:w="0" w:type="dxa"/>
            <w:vAlign w:val="bottom"/>
          </w:tcPr>
          <w:p>
            <w:pPr>
              <w:spacing w:after="0"/>
              <w:rPr>
                <w:sz w:val="1"/>
                <w:szCs w:val="1"/>
                <w:color w:val="auto"/>
              </w:rPr>
            </w:pPr>
          </w:p>
        </w:tc>
      </w:tr>
      <w:tr>
        <w:trPr>
          <w:trHeight w:val="147"/>
        </w:trPr>
        <w:tc>
          <w:tcPr>
            <w:tcW w:w="2440" w:type="dxa"/>
            <w:vAlign w:val="bottom"/>
            <w:tcBorders>
              <w:top w:val="single" w:sz="8" w:color="CFF0FC"/>
            </w:tcBorders>
          </w:tcPr>
          <w:p>
            <w:pPr>
              <w:ind w:left="20"/>
              <w:spacing w:after="0" w:line="148" w:lineRule="exact"/>
              <w:rPr>
                <w:sz w:val="20"/>
                <w:szCs w:val="20"/>
                <w:color w:val="auto"/>
              </w:rPr>
            </w:pPr>
            <w:r>
              <w:rPr>
                <w:rFonts w:ascii="Arial" w:cs="Arial" w:eastAsia="Arial" w:hAnsi="Arial"/>
                <w:sz w:val="13"/>
                <w:szCs w:val="13"/>
                <w:color w:val="auto"/>
              </w:rPr>
              <w:t>Stock-based compensation expense</w:t>
            </w:r>
          </w:p>
        </w:tc>
        <w:tc>
          <w:tcPr>
            <w:tcW w:w="500" w:type="dxa"/>
            <w:vAlign w:val="bottom"/>
            <w:tcBorders>
              <w:top w:val="single" w:sz="8" w:color="auto"/>
            </w:tcBorders>
          </w:tcPr>
          <w:p>
            <w:pPr>
              <w:ind w:left="360"/>
              <w:spacing w:after="0" w:line="148" w:lineRule="exact"/>
              <w:rPr>
                <w:sz w:val="20"/>
                <w:szCs w:val="20"/>
                <w:color w:val="auto"/>
              </w:rPr>
            </w:pPr>
            <w:r>
              <w:rPr>
                <w:rFonts w:ascii="Arial" w:cs="Arial" w:eastAsia="Arial" w:hAnsi="Arial"/>
                <w:sz w:val="13"/>
                <w:szCs w:val="13"/>
                <w:color w:val="auto"/>
                <w:w w:val="91"/>
              </w:rPr>
              <w:t>—</w:t>
            </w:r>
          </w:p>
        </w:tc>
        <w:tc>
          <w:tcPr>
            <w:tcW w:w="260" w:type="dxa"/>
            <w:vAlign w:val="bottom"/>
            <w:tcBorders>
              <w:top w:val="single" w:sz="8" w:color="CFF0FC"/>
            </w:tcBorders>
          </w:tcPr>
          <w:p>
            <w:pPr>
              <w:spacing w:after="0"/>
              <w:rPr>
                <w:sz w:val="12"/>
                <w:szCs w:val="12"/>
                <w:color w:val="auto"/>
              </w:rPr>
            </w:pPr>
          </w:p>
        </w:tc>
        <w:tc>
          <w:tcPr>
            <w:tcW w:w="120" w:type="dxa"/>
            <w:vAlign w:val="bottom"/>
            <w:tcBorders>
              <w:top w:val="single" w:sz="8" w:color="auto"/>
            </w:tcBorders>
          </w:tcPr>
          <w:p>
            <w:pPr>
              <w:spacing w:after="0"/>
              <w:rPr>
                <w:sz w:val="12"/>
                <w:szCs w:val="12"/>
                <w:color w:val="auto"/>
              </w:rPr>
            </w:pPr>
          </w:p>
        </w:tc>
        <w:tc>
          <w:tcPr>
            <w:tcW w:w="700" w:type="dxa"/>
            <w:vAlign w:val="bottom"/>
            <w:tcBorders>
              <w:top w:val="single" w:sz="8" w:color="auto"/>
            </w:tcBorders>
          </w:tcPr>
          <w:p>
            <w:pPr>
              <w:ind w:left="560"/>
              <w:spacing w:after="0" w:line="148" w:lineRule="exact"/>
              <w:rPr>
                <w:sz w:val="20"/>
                <w:szCs w:val="20"/>
                <w:color w:val="auto"/>
              </w:rPr>
            </w:pPr>
            <w:r>
              <w:rPr>
                <w:rFonts w:ascii="Arial" w:cs="Arial" w:eastAsia="Arial" w:hAnsi="Arial"/>
                <w:sz w:val="13"/>
                <w:szCs w:val="13"/>
                <w:color w:val="auto"/>
                <w:w w:val="91"/>
              </w:rPr>
              <w:t>—</w:t>
            </w:r>
          </w:p>
        </w:tc>
        <w:tc>
          <w:tcPr>
            <w:tcW w:w="240" w:type="dxa"/>
            <w:vAlign w:val="bottom"/>
            <w:tcBorders>
              <w:top w:val="single" w:sz="8" w:color="CFF0FC"/>
            </w:tcBorders>
          </w:tcPr>
          <w:p>
            <w:pPr>
              <w:spacing w:after="0"/>
              <w:rPr>
                <w:sz w:val="12"/>
                <w:szCs w:val="12"/>
                <w:color w:val="auto"/>
              </w:rPr>
            </w:pPr>
          </w:p>
        </w:tc>
        <w:tc>
          <w:tcPr>
            <w:tcW w:w="720" w:type="dxa"/>
            <w:vAlign w:val="bottom"/>
            <w:tcBorders>
              <w:top w:val="single" w:sz="8" w:color="auto"/>
            </w:tcBorders>
          </w:tcPr>
          <w:p>
            <w:pPr>
              <w:jc w:val="right"/>
              <w:spacing w:after="0" w:line="148" w:lineRule="exact"/>
              <w:rPr>
                <w:sz w:val="20"/>
                <w:szCs w:val="20"/>
                <w:color w:val="auto"/>
              </w:rPr>
            </w:pPr>
            <w:r>
              <w:rPr>
                <w:rFonts w:ascii="Arial" w:cs="Arial" w:eastAsia="Arial" w:hAnsi="Arial"/>
                <w:sz w:val="13"/>
                <w:szCs w:val="13"/>
                <w:color w:val="auto"/>
              </w:rPr>
              <w:t>—</w:t>
            </w:r>
          </w:p>
        </w:tc>
        <w:tc>
          <w:tcPr>
            <w:tcW w:w="240" w:type="dxa"/>
            <w:vAlign w:val="bottom"/>
            <w:tcBorders>
              <w:top w:val="single" w:sz="8" w:color="CFF0FC"/>
            </w:tcBorders>
          </w:tcPr>
          <w:p>
            <w:pPr>
              <w:spacing w:after="0"/>
              <w:rPr>
                <w:sz w:val="12"/>
                <w:szCs w:val="12"/>
                <w:color w:val="auto"/>
              </w:rPr>
            </w:pPr>
          </w:p>
        </w:tc>
        <w:tc>
          <w:tcPr>
            <w:tcW w:w="120" w:type="dxa"/>
            <w:vAlign w:val="bottom"/>
            <w:tcBorders>
              <w:top w:val="single" w:sz="8" w:color="auto"/>
            </w:tcBorders>
          </w:tcPr>
          <w:p>
            <w:pPr>
              <w:spacing w:after="0"/>
              <w:rPr>
                <w:sz w:val="12"/>
                <w:szCs w:val="12"/>
                <w:color w:val="auto"/>
              </w:rPr>
            </w:pPr>
          </w:p>
        </w:tc>
        <w:tc>
          <w:tcPr>
            <w:tcW w:w="700" w:type="dxa"/>
            <w:vAlign w:val="bottom"/>
            <w:tcBorders>
              <w:top w:val="single" w:sz="8" w:color="auto"/>
            </w:tcBorders>
          </w:tcPr>
          <w:p>
            <w:pPr>
              <w:jc w:val="right"/>
              <w:spacing w:after="0" w:line="148" w:lineRule="exact"/>
              <w:rPr>
                <w:sz w:val="20"/>
                <w:szCs w:val="20"/>
                <w:color w:val="auto"/>
              </w:rPr>
            </w:pPr>
            <w:r>
              <w:rPr>
                <w:rFonts w:ascii="Arial" w:cs="Arial" w:eastAsia="Arial" w:hAnsi="Arial"/>
                <w:sz w:val="13"/>
                <w:szCs w:val="13"/>
                <w:color w:val="auto"/>
              </w:rPr>
              <w:t>—</w:t>
            </w:r>
          </w:p>
        </w:tc>
        <w:tc>
          <w:tcPr>
            <w:tcW w:w="260" w:type="dxa"/>
            <w:vAlign w:val="bottom"/>
            <w:tcBorders>
              <w:top w:val="single" w:sz="8" w:color="CFF0FC"/>
            </w:tcBorders>
          </w:tcPr>
          <w:p>
            <w:pPr>
              <w:spacing w:after="0"/>
              <w:rPr>
                <w:sz w:val="12"/>
                <w:szCs w:val="12"/>
                <w:color w:val="auto"/>
              </w:rPr>
            </w:pPr>
          </w:p>
        </w:tc>
        <w:tc>
          <w:tcPr>
            <w:tcW w:w="100" w:type="dxa"/>
            <w:vAlign w:val="bottom"/>
            <w:tcBorders>
              <w:top w:val="single" w:sz="8" w:color="auto"/>
            </w:tcBorders>
          </w:tcPr>
          <w:p>
            <w:pPr>
              <w:spacing w:after="0"/>
              <w:rPr>
                <w:sz w:val="12"/>
                <w:szCs w:val="12"/>
                <w:color w:val="auto"/>
              </w:rPr>
            </w:pPr>
          </w:p>
        </w:tc>
        <w:tc>
          <w:tcPr>
            <w:tcW w:w="860" w:type="dxa"/>
            <w:vAlign w:val="bottom"/>
            <w:tcBorders>
              <w:top w:val="single" w:sz="8" w:color="auto"/>
            </w:tcBorders>
          </w:tcPr>
          <w:p>
            <w:pPr>
              <w:jc w:val="right"/>
              <w:spacing w:after="0" w:line="148" w:lineRule="exact"/>
              <w:rPr>
                <w:sz w:val="20"/>
                <w:szCs w:val="20"/>
                <w:color w:val="auto"/>
              </w:rPr>
            </w:pPr>
            <w:r>
              <w:rPr>
                <w:rFonts w:ascii="Arial" w:cs="Arial" w:eastAsia="Arial" w:hAnsi="Arial"/>
                <w:sz w:val="13"/>
                <w:szCs w:val="13"/>
                <w:color w:val="auto"/>
              </w:rPr>
              <w:t>15,155</w:t>
            </w:r>
          </w:p>
        </w:tc>
        <w:tc>
          <w:tcPr>
            <w:tcW w:w="220" w:type="dxa"/>
            <w:vAlign w:val="bottom"/>
            <w:tcBorders>
              <w:top w:val="single" w:sz="8" w:color="CFF0FC"/>
            </w:tcBorders>
          </w:tcPr>
          <w:p>
            <w:pPr>
              <w:spacing w:after="0"/>
              <w:rPr>
                <w:sz w:val="12"/>
                <w:szCs w:val="12"/>
                <w:color w:val="auto"/>
              </w:rPr>
            </w:pPr>
          </w:p>
        </w:tc>
        <w:tc>
          <w:tcPr>
            <w:tcW w:w="100" w:type="dxa"/>
            <w:vAlign w:val="bottom"/>
            <w:tcBorders>
              <w:top w:val="single" w:sz="8" w:color="auto"/>
            </w:tcBorders>
          </w:tcPr>
          <w:p>
            <w:pPr>
              <w:spacing w:after="0"/>
              <w:rPr>
                <w:sz w:val="12"/>
                <w:szCs w:val="12"/>
                <w:color w:val="auto"/>
              </w:rPr>
            </w:pPr>
          </w:p>
        </w:tc>
        <w:tc>
          <w:tcPr>
            <w:tcW w:w="1060" w:type="dxa"/>
            <w:vAlign w:val="bottom"/>
            <w:tcBorders>
              <w:top w:val="single" w:sz="8" w:color="auto"/>
            </w:tcBorders>
          </w:tcPr>
          <w:p>
            <w:pPr>
              <w:jc w:val="right"/>
              <w:spacing w:after="0" w:line="148" w:lineRule="exact"/>
              <w:rPr>
                <w:sz w:val="20"/>
                <w:szCs w:val="20"/>
                <w:color w:val="auto"/>
              </w:rPr>
            </w:pPr>
            <w:r>
              <w:rPr>
                <w:rFonts w:ascii="Arial" w:cs="Arial" w:eastAsia="Arial" w:hAnsi="Arial"/>
                <w:sz w:val="13"/>
                <w:szCs w:val="13"/>
                <w:color w:val="auto"/>
              </w:rPr>
              <w:t>—</w:t>
            </w:r>
          </w:p>
        </w:tc>
        <w:tc>
          <w:tcPr>
            <w:tcW w:w="220" w:type="dxa"/>
            <w:vAlign w:val="bottom"/>
            <w:tcBorders>
              <w:top w:val="single" w:sz="8" w:color="CFF0FC"/>
            </w:tcBorders>
          </w:tcPr>
          <w:p>
            <w:pPr>
              <w:spacing w:after="0"/>
              <w:rPr>
                <w:sz w:val="12"/>
                <w:szCs w:val="12"/>
                <w:color w:val="auto"/>
              </w:rPr>
            </w:pPr>
          </w:p>
        </w:tc>
        <w:tc>
          <w:tcPr>
            <w:tcW w:w="100" w:type="dxa"/>
            <w:vAlign w:val="bottom"/>
            <w:tcBorders>
              <w:top w:val="single" w:sz="8" w:color="auto"/>
            </w:tcBorders>
          </w:tcPr>
          <w:p>
            <w:pPr>
              <w:spacing w:after="0"/>
              <w:rPr>
                <w:sz w:val="12"/>
                <w:szCs w:val="12"/>
                <w:color w:val="auto"/>
              </w:rPr>
            </w:pPr>
          </w:p>
        </w:tc>
        <w:tc>
          <w:tcPr>
            <w:tcW w:w="860" w:type="dxa"/>
            <w:vAlign w:val="bottom"/>
            <w:tcBorders>
              <w:top w:val="single" w:sz="8" w:color="auto"/>
            </w:tcBorders>
          </w:tcPr>
          <w:p>
            <w:pPr>
              <w:jc w:val="right"/>
              <w:spacing w:after="0" w:line="148" w:lineRule="exact"/>
              <w:rPr>
                <w:sz w:val="20"/>
                <w:szCs w:val="20"/>
                <w:color w:val="auto"/>
              </w:rPr>
            </w:pPr>
            <w:r>
              <w:rPr>
                <w:rFonts w:ascii="Arial" w:cs="Arial" w:eastAsia="Arial" w:hAnsi="Arial"/>
                <w:sz w:val="13"/>
                <w:szCs w:val="13"/>
                <w:color w:val="auto"/>
              </w:rPr>
              <w:t>—</w:t>
            </w:r>
          </w:p>
        </w:tc>
        <w:tc>
          <w:tcPr>
            <w:tcW w:w="220" w:type="dxa"/>
            <w:vAlign w:val="bottom"/>
            <w:tcBorders>
              <w:top w:val="single" w:sz="8" w:color="CFF0FC"/>
            </w:tcBorders>
          </w:tcPr>
          <w:p>
            <w:pPr>
              <w:spacing w:after="0"/>
              <w:rPr>
                <w:sz w:val="12"/>
                <w:szCs w:val="12"/>
                <w:color w:val="auto"/>
              </w:rPr>
            </w:pPr>
          </w:p>
        </w:tc>
        <w:tc>
          <w:tcPr>
            <w:tcW w:w="100" w:type="dxa"/>
            <w:vAlign w:val="bottom"/>
            <w:tcBorders>
              <w:top w:val="single" w:sz="8" w:color="auto"/>
            </w:tcBorders>
          </w:tcPr>
          <w:p>
            <w:pPr>
              <w:spacing w:after="0"/>
              <w:rPr>
                <w:sz w:val="12"/>
                <w:szCs w:val="12"/>
                <w:color w:val="auto"/>
              </w:rPr>
            </w:pPr>
          </w:p>
        </w:tc>
        <w:tc>
          <w:tcPr>
            <w:tcW w:w="1000" w:type="dxa"/>
            <w:vAlign w:val="bottom"/>
            <w:tcBorders>
              <w:top w:val="single" w:sz="8" w:color="auto"/>
            </w:tcBorders>
          </w:tcPr>
          <w:p>
            <w:pPr>
              <w:jc w:val="right"/>
              <w:spacing w:after="0" w:line="148" w:lineRule="exact"/>
              <w:rPr>
                <w:sz w:val="20"/>
                <w:szCs w:val="20"/>
                <w:color w:val="auto"/>
              </w:rPr>
            </w:pPr>
            <w:r>
              <w:rPr>
                <w:rFonts w:ascii="Arial" w:cs="Arial" w:eastAsia="Arial" w:hAnsi="Arial"/>
                <w:sz w:val="13"/>
                <w:szCs w:val="13"/>
                <w:color w:val="auto"/>
              </w:rPr>
              <w:t>15,155</w:t>
            </w:r>
          </w:p>
        </w:tc>
        <w:tc>
          <w:tcPr>
            <w:tcW w:w="100" w:type="dxa"/>
            <w:vAlign w:val="bottom"/>
            <w:tcBorders>
              <w:top w:val="single" w:sz="8" w:color="CFF0FC"/>
            </w:tcBorders>
          </w:tcPr>
          <w:p>
            <w:pPr>
              <w:spacing w:after="0"/>
              <w:rPr>
                <w:sz w:val="12"/>
                <w:szCs w:val="12"/>
                <w:color w:val="auto"/>
              </w:rPr>
            </w:pPr>
          </w:p>
        </w:tc>
        <w:tc>
          <w:tcPr>
            <w:tcW w:w="0" w:type="dxa"/>
            <w:vAlign w:val="bottom"/>
          </w:tcPr>
          <w:p>
            <w:pPr>
              <w:spacing w:after="0"/>
              <w:rPr>
                <w:sz w:val="1"/>
                <w:szCs w:val="1"/>
                <w:color w:val="auto"/>
              </w:rPr>
            </w:pPr>
          </w:p>
        </w:tc>
      </w:tr>
      <w:tr>
        <w:trPr>
          <w:trHeight w:val="184"/>
        </w:trPr>
        <w:tc>
          <w:tcPr>
            <w:tcW w:w="2440" w:type="dxa"/>
            <w:vAlign w:val="bottom"/>
            <w:shd w:val="clear" w:color="auto" w:fill="CFF0FC"/>
          </w:tcPr>
          <w:p>
            <w:pPr>
              <w:ind w:left="20"/>
              <w:spacing w:after="0"/>
              <w:rPr>
                <w:sz w:val="20"/>
                <w:szCs w:val="20"/>
                <w:color w:val="auto"/>
              </w:rPr>
            </w:pPr>
            <w:r>
              <w:rPr>
                <w:rFonts w:ascii="Arial" w:cs="Arial" w:eastAsia="Arial" w:hAnsi="Arial"/>
                <w:sz w:val="13"/>
                <w:szCs w:val="13"/>
                <w:color w:val="auto"/>
              </w:rPr>
              <w:t>Exercise of stock options</w:t>
            </w:r>
          </w:p>
        </w:tc>
        <w:tc>
          <w:tcPr>
            <w:tcW w:w="500" w:type="dxa"/>
            <w:vAlign w:val="bottom"/>
            <w:shd w:val="clear" w:color="auto" w:fill="CFF0FC"/>
          </w:tcPr>
          <w:p>
            <w:pPr>
              <w:ind w:left="360"/>
              <w:spacing w:after="0"/>
              <w:rPr>
                <w:sz w:val="20"/>
                <w:szCs w:val="20"/>
                <w:color w:val="auto"/>
              </w:rPr>
            </w:pPr>
            <w:r>
              <w:rPr>
                <w:rFonts w:ascii="Arial" w:cs="Arial" w:eastAsia="Arial" w:hAnsi="Arial"/>
                <w:sz w:val="13"/>
                <w:szCs w:val="13"/>
                <w:color w:val="auto"/>
                <w:w w:val="91"/>
              </w:rPr>
              <w:t>—</w:t>
            </w:r>
          </w:p>
        </w:tc>
        <w:tc>
          <w:tcPr>
            <w:tcW w:w="260" w:type="dxa"/>
            <w:vAlign w:val="bottom"/>
            <w:shd w:val="clear" w:color="auto" w:fill="CFF0FC"/>
          </w:tcPr>
          <w:p>
            <w:pPr>
              <w:spacing w:after="0"/>
              <w:rPr>
                <w:sz w:val="15"/>
                <w:szCs w:val="15"/>
                <w:color w:val="auto"/>
              </w:rPr>
            </w:pPr>
          </w:p>
        </w:tc>
        <w:tc>
          <w:tcPr>
            <w:tcW w:w="120" w:type="dxa"/>
            <w:vAlign w:val="bottom"/>
            <w:shd w:val="clear" w:color="auto" w:fill="CFF0FC"/>
          </w:tcPr>
          <w:p>
            <w:pPr>
              <w:spacing w:after="0"/>
              <w:rPr>
                <w:sz w:val="15"/>
                <w:szCs w:val="15"/>
                <w:color w:val="auto"/>
              </w:rPr>
            </w:pPr>
          </w:p>
        </w:tc>
        <w:tc>
          <w:tcPr>
            <w:tcW w:w="700" w:type="dxa"/>
            <w:vAlign w:val="bottom"/>
            <w:shd w:val="clear" w:color="auto" w:fill="CFF0FC"/>
          </w:tcPr>
          <w:p>
            <w:pPr>
              <w:ind w:left="560"/>
              <w:spacing w:after="0"/>
              <w:rPr>
                <w:sz w:val="20"/>
                <w:szCs w:val="20"/>
                <w:color w:val="auto"/>
              </w:rPr>
            </w:pPr>
            <w:r>
              <w:rPr>
                <w:rFonts w:ascii="Arial" w:cs="Arial" w:eastAsia="Arial" w:hAnsi="Arial"/>
                <w:sz w:val="13"/>
                <w:szCs w:val="13"/>
                <w:color w:val="auto"/>
                <w:w w:val="91"/>
              </w:rPr>
              <w:t>—</w:t>
            </w:r>
          </w:p>
        </w:tc>
        <w:tc>
          <w:tcPr>
            <w:tcW w:w="960" w:type="dxa"/>
            <w:vAlign w:val="bottom"/>
            <w:gridSpan w:val="2"/>
            <w:shd w:val="clear" w:color="auto" w:fill="CFF0FC"/>
          </w:tcPr>
          <w:p>
            <w:pPr>
              <w:jc w:val="right"/>
              <w:spacing w:after="0"/>
              <w:rPr>
                <w:sz w:val="20"/>
                <w:szCs w:val="20"/>
                <w:color w:val="auto"/>
              </w:rPr>
            </w:pPr>
            <w:r>
              <w:rPr>
                <w:rFonts w:ascii="Arial" w:cs="Arial" w:eastAsia="Arial" w:hAnsi="Arial"/>
                <w:sz w:val="13"/>
                <w:szCs w:val="13"/>
                <w:color w:val="auto"/>
              </w:rPr>
              <w:t>329</w:t>
            </w:r>
          </w:p>
        </w:tc>
        <w:tc>
          <w:tcPr>
            <w:tcW w:w="240" w:type="dxa"/>
            <w:vAlign w:val="bottom"/>
            <w:shd w:val="clear" w:color="auto" w:fill="CFF0FC"/>
          </w:tcPr>
          <w:p>
            <w:pPr>
              <w:spacing w:after="0"/>
              <w:rPr>
                <w:sz w:val="15"/>
                <w:szCs w:val="15"/>
                <w:color w:val="auto"/>
              </w:rPr>
            </w:pPr>
          </w:p>
        </w:tc>
        <w:tc>
          <w:tcPr>
            <w:tcW w:w="120" w:type="dxa"/>
            <w:vAlign w:val="bottom"/>
            <w:shd w:val="clear" w:color="auto" w:fill="CFF0FC"/>
          </w:tcPr>
          <w:p>
            <w:pPr>
              <w:spacing w:after="0"/>
              <w:rPr>
                <w:sz w:val="15"/>
                <w:szCs w:val="15"/>
                <w:color w:val="auto"/>
              </w:rPr>
            </w:pPr>
          </w:p>
        </w:tc>
        <w:tc>
          <w:tcPr>
            <w:tcW w:w="700" w:type="dxa"/>
            <w:vAlign w:val="bottom"/>
            <w:shd w:val="clear" w:color="auto" w:fill="CFF0FC"/>
          </w:tcPr>
          <w:p>
            <w:pPr>
              <w:jc w:val="right"/>
              <w:spacing w:after="0"/>
              <w:rPr>
                <w:sz w:val="20"/>
                <w:szCs w:val="20"/>
                <w:color w:val="auto"/>
              </w:rPr>
            </w:pPr>
            <w:r>
              <w:rPr>
                <w:rFonts w:ascii="Arial" w:cs="Arial" w:eastAsia="Arial" w:hAnsi="Arial"/>
                <w:sz w:val="13"/>
                <w:szCs w:val="13"/>
                <w:color w:val="auto"/>
              </w:rPr>
              <w:t>—</w:t>
            </w:r>
          </w:p>
        </w:tc>
        <w:tc>
          <w:tcPr>
            <w:tcW w:w="260" w:type="dxa"/>
            <w:vAlign w:val="bottom"/>
            <w:shd w:val="clear" w:color="auto" w:fill="CFF0FC"/>
          </w:tcPr>
          <w:p>
            <w:pPr>
              <w:spacing w:after="0"/>
              <w:rPr>
                <w:sz w:val="15"/>
                <w:szCs w:val="15"/>
                <w:color w:val="auto"/>
              </w:rPr>
            </w:pPr>
          </w:p>
        </w:tc>
        <w:tc>
          <w:tcPr>
            <w:tcW w:w="100" w:type="dxa"/>
            <w:vAlign w:val="bottom"/>
            <w:shd w:val="clear" w:color="auto" w:fill="CFF0FC"/>
          </w:tcPr>
          <w:p>
            <w:pPr>
              <w:spacing w:after="0"/>
              <w:rPr>
                <w:sz w:val="15"/>
                <w:szCs w:val="15"/>
                <w:color w:val="auto"/>
              </w:rPr>
            </w:pPr>
          </w:p>
        </w:tc>
        <w:tc>
          <w:tcPr>
            <w:tcW w:w="860" w:type="dxa"/>
            <w:vAlign w:val="bottom"/>
            <w:shd w:val="clear" w:color="auto" w:fill="CFF0FC"/>
          </w:tcPr>
          <w:p>
            <w:pPr>
              <w:jc w:val="right"/>
              <w:spacing w:after="0"/>
              <w:rPr>
                <w:sz w:val="20"/>
                <w:szCs w:val="20"/>
                <w:color w:val="auto"/>
              </w:rPr>
            </w:pPr>
            <w:r>
              <w:rPr>
                <w:rFonts w:ascii="Arial" w:cs="Arial" w:eastAsia="Arial" w:hAnsi="Arial"/>
                <w:sz w:val="13"/>
                <w:szCs w:val="13"/>
                <w:color w:val="auto"/>
              </w:rPr>
              <w:t>1,176</w:t>
            </w:r>
          </w:p>
        </w:tc>
        <w:tc>
          <w:tcPr>
            <w:tcW w:w="220" w:type="dxa"/>
            <w:vAlign w:val="bottom"/>
            <w:shd w:val="clear" w:color="auto" w:fill="CFF0FC"/>
          </w:tcPr>
          <w:p>
            <w:pPr>
              <w:spacing w:after="0"/>
              <w:rPr>
                <w:sz w:val="15"/>
                <w:szCs w:val="15"/>
                <w:color w:val="auto"/>
              </w:rPr>
            </w:pPr>
          </w:p>
        </w:tc>
        <w:tc>
          <w:tcPr>
            <w:tcW w:w="100" w:type="dxa"/>
            <w:vAlign w:val="bottom"/>
            <w:shd w:val="clear" w:color="auto" w:fill="CFF0FC"/>
          </w:tcPr>
          <w:p>
            <w:pPr>
              <w:spacing w:after="0"/>
              <w:rPr>
                <w:sz w:val="15"/>
                <w:szCs w:val="15"/>
                <w:color w:val="auto"/>
              </w:rPr>
            </w:pPr>
          </w:p>
        </w:tc>
        <w:tc>
          <w:tcPr>
            <w:tcW w:w="1280" w:type="dxa"/>
            <w:vAlign w:val="bottom"/>
            <w:gridSpan w:val="2"/>
            <w:shd w:val="clear" w:color="auto" w:fill="CFF0FC"/>
          </w:tcPr>
          <w:p>
            <w:pPr>
              <w:jc w:val="right"/>
              <w:ind w:right="240"/>
              <w:spacing w:after="0"/>
              <w:rPr>
                <w:sz w:val="20"/>
                <w:szCs w:val="20"/>
                <w:color w:val="auto"/>
              </w:rPr>
            </w:pPr>
            <w:r>
              <w:rPr>
                <w:rFonts w:ascii="Arial" w:cs="Arial" w:eastAsia="Arial" w:hAnsi="Arial"/>
                <w:sz w:val="13"/>
                <w:szCs w:val="13"/>
                <w:color w:val="auto"/>
              </w:rPr>
              <w:t>—</w:t>
            </w:r>
          </w:p>
        </w:tc>
        <w:tc>
          <w:tcPr>
            <w:tcW w:w="100" w:type="dxa"/>
            <w:vAlign w:val="bottom"/>
            <w:shd w:val="clear" w:color="auto" w:fill="CFF0FC"/>
          </w:tcPr>
          <w:p>
            <w:pPr>
              <w:spacing w:after="0"/>
              <w:rPr>
                <w:sz w:val="15"/>
                <w:szCs w:val="15"/>
                <w:color w:val="auto"/>
              </w:rPr>
            </w:pPr>
          </w:p>
        </w:tc>
        <w:tc>
          <w:tcPr>
            <w:tcW w:w="1080" w:type="dxa"/>
            <w:vAlign w:val="bottom"/>
            <w:gridSpan w:val="2"/>
            <w:shd w:val="clear" w:color="auto" w:fill="CFF0FC"/>
          </w:tcPr>
          <w:p>
            <w:pPr>
              <w:jc w:val="right"/>
              <w:ind w:right="157"/>
              <w:spacing w:after="0"/>
              <w:rPr>
                <w:sz w:val="20"/>
                <w:szCs w:val="20"/>
                <w:color w:val="auto"/>
              </w:rPr>
            </w:pPr>
            <w:r>
              <w:rPr>
                <w:rFonts w:ascii="Arial" w:cs="Arial" w:eastAsia="Arial" w:hAnsi="Arial"/>
                <w:sz w:val="13"/>
                <w:szCs w:val="13"/>
                <w:color w:val="auto"/>
              </w:rPr>
              <w:t>—</w:t>
            </w:r>
          </w:p>
        </w:tc>
        <w:tc>
          <w:tcPr>
            <w:tcW w:w="100" w:type="dxa"/>
            <w:vAlign w:val="bottom"/>
            <w:shd w:val="clear" w:color="auto" w:fill="CFF0FC"/>
          </w:tcPr>
          <w:p>
            <w:pPr>
              <w:spacing w:after="0"/>
              <w:rPr>
                <w:sz w:val="15"/>
                <w:szCs w:val="15"/>
                <w:color w:val="auto"/>
              </w:rPr>
            </w:pPr>
          </w:p>
        </w:tc>
        <w:tc>
          <w:tcPr>
            <w:tcW w:w="1000" w:type="dxa"/>
            <w:vAlign w:val="bottom"/>
            <w:shd w:val="clear" w:color="auto" w:fill="CFF0FC"/>
          </w:tcPr>
          <w:p>
            <w:pPr>
              <w:jc w:val="right"/>
              <w:spacing w:after="0"/>
              <w:rPr>
                <w:sz w:val="20"/>
                <w:szCs w:val="20"/>
                <w:color w:val="auto"/>
              </w:rPr>
            </w:pPr>
            <w:r>
              <w:rPr>
                <w:rFonts w:ascii="Arial" w:cs="Arial" w:eastAsia="Arial" w:hAnsi="Arial"/>
                <w:sz w:val="13"/>
                <w:szCs w:val="13"/>
                <w:color w:val="auto"/>
              </w:rPr>
              <w:t>1,176</w:t>
            </w:r>
          </w:p>
        </w:tc>
        <w:tc>
          <w:tcPr>
            <w:tcW w:w="100" w:type="dxa"/>
            <w:vAlign w:val="bottom"/>
            <w:shd w:val="clear" w:color="auto" w:fill="CFF0FC"/>
          </w:tcPr>
          <w:p>
            <w:pPr>
              <w:spacing w:after="0"/>
              <w:rPr>
                <w:sz w:val="15"/>
                <w:szCs w:val="15"/>
                <w:color w:val="auto"/>
              </w:rPr>
            </w:pPr>
          </w:p>
        </w:tc>
        <w:tc>
          <w:tcPr>
            <w:tcW w:w="0" w:type="dxa"/>
            <w:vAlign w:val="bottom"/>
          </w:tcPr>
          <w:p>
            <w:pPr>
              <w:spacing w:after="0"/>
              <w:rPr>
                <w:sz w:val="1"/>
                <w:szCs w:val="1"/>
                <w:color w:val="auto"/>
              </w:rPr>
            </w:pPr>
          </w:p>
        </w:tc>
      </w:tr>
      <w:tr>
        <w:trPr>
          <w:trHeight w:val="121"/>
        </w:trPr>
        <w:tc>
          <w:tcPr>
            <w:tcW w:w="2440" w:type="dxa"/>
            <w:vAlign w:val="bottom"/>
          </w:tcPr>
          <w:p>
            <w:pPr>
              <w:ind w:left="20"/>
              <w:spacing w:after="0" w:line="121" w:lineRule="exact"/>
              <w:rPr>
                <w:sz w:val="20"/>
                <w:szCs w:val="20"/>
                <w:color w:val="auto"/>
              </w:rPr>
            </w:pPr>
            <w:r>
              <w:rPr>
                <w:rFonts w:ascii="Arial" w:cs="Arial" w:eastAsia="Arial" w:hAnsi="Arial"/>
                <w:sz w:val="13"/>
                <w:szCs w:val="13"/>
                <w:color w:val="auto"/>
                <w:w w:val="95"/>
              </w:rPr>
              <w:t>Issuance of common stock under employee</w:t>
            </w:r>
          </w:p>
        </w:tc>
        <w:tc>
          <w:tcPr>
            <w:tcW w:w="500" w:type="dxa"/>
            <w:vAlign w:val="bottom"/>
          </w:tcPr>
          <w:p>
            <w:pPr>
              <w:spacing w:after="0"/>
              <w:rPr>
                <w:sz w:val="10"/>
                <w:szCs w:val="10"/>
                <w:color w:val="auto"/>
              </w:rPr>
            </w:pPr>
          </w:p>
        </w:tc>
        <w:tc>
          <w:tcPr>
            <w:tcW w:w="26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72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26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86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06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86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0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67"/>
        </w:trPr>
        <w:tc>
          <w:tcPr>
            <w:tcW w:w="2440" w:type="dxa"/>
            <w:vAlign w:val="bottom"/>
          </w:tcPr>
          <w:p>
            <w:pPr>
              <w:ind w:left="20"/>
              <w:spacing w:after="0"/>
              <w:rPr>
                <w:sz w:val="20"/>
                <w:szCs w:val="20"/>
                <w:color w:val="auto"/>
              </w:rPr>
            </w:pPr>
            <w:r>
              <w:rPr>
                <w:rFonts w:ascii="Arial" w:cs="Arial" w:eastAsia="Arial" w:hAnsi="Arial"/>
                <w:sz w:val="13"/>
                <w:szCs w:val="13"/>
                <w:color w:val="auto"/>
              </w:rPr>
              <w:t>stock purchase plan</w:t>
            </w:r>
          </w:p>
        </w:tc>
        <w:tc>
          <w:tcPr>
            <w:tcW w:w="500" w:type="dxa"/>
            <w:vAlign w:val="bottom"/>
          </w:tcPr>
          <w:p>
            <w:pPr>
              <w:ind w:left="360"/>
              <w:spacing w:after="0"/>
              <w:rPr>
                <w:sz w:val="20"/>
                <w:szCs w:val="20"/>
                <w:color w:val="auto"/>
              </w:rPr>
            </w:pPr>
            <w:r>
              <w:rPr>
                <w:rFonts w:ascii="Arial" w:cs="Arial" w:eastAsia="Arial" w:hAnsi="Arial"/>
                <w:sz w:val="13"/>
                <w:szCs w:val="13"/>
                <w:color w:val="auto"/>
                <w:w w:val="91"/>
              </w:rPr>
              <w:t>—</w:t>
            </w:r>
          </w:p>
        </w:tc>
        <w:tc>
          <w:tcPr>
            <w:tcW w:w="2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700" w:type="dxa"/>
            <w:vAlign w:val="bottom"/>
          </w:tcPr>
          <w:p>
            <w:pPr>
              <w:ind w:left="560"/>
              <w:spacing w:after="0"/>
              <w:rPr>
                <w:sz w:val="20"/>
                <w:szCs w:val="20"/>
                <w:color w:val="auto"/>
              </w:rPr>
            </w:pPr>
            <w:r>
              <w:rPr>
                <w:rFonts w:ascii="Arial" w:cs="Arial" w:eastAsia="Arial" w:hAnsi="Arial"/>
                <w:sz w:val="13"/>
                <w:szCs w:val="13"/>
                <w:color w:val="auto"/>
                <w:w w:val="91"/>
              </w:rPr>
              <w:t>—</w:t>
            </w:r>
          </w:p>
        </w:tc>
        <w:tc>
          <w:tcPr>
            <w:tcW w:w="960" w:type="dxa"/>
            <w:vAlign w:val="bottom"/>
            <w:gridSpan w:val="2"/>
          </w:tcPr>
          <w:p>
            <w:pPr>
              <w:jc w:val="right"/>
              <w:spacing w:after="0"/>
              <w:rPr>
                <w:sz w:val="20"/>
                <w:szCs w:val="20"/>
                <w:color w:val="auto"/>
              </w:rPr>
            </w:pPr>
            <w:r>
              <w:rPr>
                <w:rFonts w:ascii="Arial" w:cs="Arial" w:eastAsia="Arial" w:hAnsi="Arial"/>
                <w:sz w:val="13"/>
                <w:szCs w:val="13"/>
                <w:color w:val="auto"/>
              </w:rPr>
              <w:t>176</w:t>
            </w:r>
          </w:p>
        </w:tc>
        <w:tc>
          <w:tcPr>
            <w:tcW w:w="2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700" w:type="dxa"/>
            <w:vAlign w:val="bottom"/>
          </w:tcPr>
          <w:p>
            <w:pPr>
              <w:jc w:val="right"/>
              <w:spacing w:after="0"/>
              <w:rPr>
                <w:sz w:val="20"/>
                <w:szCs w:val="20"/>
                <w:color w:val="auto"/>
              </w:rPr>
            </w:pPr>
            <w:r>
              <w:rPr>
                <w:rFonts w:ascii="Arial" w:cs="Arial" w:eastAsia="Arial" w:hAnsi="Arial"/>
                <w:sz w:val="13"/>
                <w:szCs w:val="13"/>
                <w:color w:val="auto"/>
              </w:rPr>
              <w:t>—</w:t>
            </w:r>
          </w:p>
        </w:tc>
        <w:tc>
          <w:tcPr>
            <w:tcW w:w="2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60" w:type="dxa"/>
            <w:vAlign w:val="bottom"/>
          </w:tcPr>
          <w:p>
            <w:pPr>
              <w:jc w:val="right"/>
              <w:spacing w:after="0"/>
              <w:rPr>
                <w:sz w:val="20"/>
                <w:szCs w:val="20"/>
                <w:color w:val="auto"/>
              </w:rPr>
            </w:pPr>
            <w:r>
              <w:rPr>
                <w:rFonts w:ascii="Arial" w:cs="Arial" w:eastAsia="Arial" w:hAnsi="Arial"/>
                <w:sz w:val="13"/>
                <w:szCs w:val="13"/>
                <w:color w:val="auto"/>
              </w:rPr>
              <w:t>2,553</w:t>
            </w:r>
          </w:p>
        </w:tc>
        <w:tc>
          <w:tcPr>
            <w:tcW w:w="2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280" w:type="dxa"/>
            <w:vAlign w:val="bottom"/>
            <w:gridSpan w:val="2"/>
          </w:tcPr>
          <w:p>
            <w:pPr>
              <w:jc w:val="right"/>
              <w:ind w:right="240"/>
              <w:spacing w:after="0"/>
              <w:rPr>
                <w:sz w:val="20"/>
                <w:szCs w:val="20"/>
                <w:color w:val="auto"/>
              </w:rPr>
            </w:pPr>
            <w:r>
              <w:rPr>
                <w:rFonts w:ascii="Arial" w:cs="Arial" w:eastAsia="Arial" w:hAnsi="Arial"/>
                <w:sz w:val="13"/>
                <w:szCs w:val="13"/>
                <w:color w:val="auto"/>
              </w:rPr>
              <w:t>—</w:t>
            </w:r>
          </w:p>
        </w:tc>
        <w:tc>
          <w:tcPr>
            <w:tcW w:w="100" w:type="dxa"/>
            <w:vAlign w:val="bottom"/>
          </w:tcPr>
          <w:p>
            <w:pPr>
              <w:spacing w:after="0"/>
              <w:rPr>
                <w:sz w:val="14"/>
                <w:szCs w:val="14"/>
                <w:color w:val="auto"/>
              </w:rPr>
            </w:pPr>
          </w:p>
        </w:tc>
        <w:tc>
          <w:tcPr>
            <w:tcW w:w="1080" w:type="dxa"/>
            <w:vAlign w:val="bottom"/>
            <w:gridSpan w:val="2"/>
          </w:tcPr>
          <w:p>
            <w:pPr>
              <w:jc w:val="right"/>
              <w:ind w:right="157"/>
              <w:spacing w:after="0"/>
              <w:rPr>
                <w:sz w:val="20"/>
                <w:szCs w:val="20"/>
                <w:color w:val="auto"/>
              </w:rPr>
            </w:pPr>
            <w:r>
              <w:rPr>
                <w:rFonts w:ascii="Arial" w:cs="Arial" w:eastAsia="Arial" w:hAnsi="Arial"/>
                <w:sz w:val="13"/>
                <w:szCs w:val="13"/>
                <w:color w:val="auto"/>
              </w:rPr>
              <w:t>—</w:t>
            </w:r>
          </w:p>
        </w:tc>
        <w:tc>
          <w:tcPr>
            <w:tcW w:w="100" w:type="dxa"/>
            <w:vAlign w:val="bottom"/>
          </w:tcPr>
          <w:p>
            <w:pPr>
              <w:spacing w:after="0"/>
              <w:rPr>
                <w:sz w:val="14"/>
                <w:szCs w:val="14"/>
                <w:color w:val="auto"/>
              </w:rPr>
            </w:pPr>
          </w:p>
        </w:tc>
        <w:tc>
          <w:tcPr>
            <w:tcW w:w="1000" w:type="dxa"/>
            <w:vAlign w:val="bottom"/>
          </w:tcPr>
          <w:p>
            <w:pPr>
              <w:jc w:val="right"/>
              <w:spacing w:after="0"/>
              <w:rPr>
                <w:sz w:val="20"/>
                <w:szCs w:val="20"/>
                <w:color w:val="auto"/>
              </w:rPr>
            </w:pPr>
            <w:r>
              <w:rPr>
                <w:rFonts w:ascii="Arial" w:cs="Arial" w:eastAsia="Arial" w:hAnsi="Arial"/>
                <w:sz w:val="13"/>
                <w:szCs w:val="13"/>
                <w:color w:val="auto"/>
              </w:rPr>
              <w:t>2,553</w:t>
            </w: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84"/>
        </w:trPr>
        <w:tc>
          <w:tcPr>
            <w:tcW w:w="2440" w:type="dxa"/>
            <w:vAlign w:val="bottom"/>
            <w:shd w:val="clear" w:color="auto" w:fill="CFF0FC"/>
          </w:tcPr>
          <w:p>
            <w:pPr>
              <w:ind w:left="20"/>
              <w:spacing w:after="0"/>
              <w:rPr>
                <w:sz w:val="20"/>
                <w:szCs w:val="20"/>
                <w:color w:val="auto"/>
              </w:rPr>
            </w:pPr>
            <w:r>
              <w:rPr>
                <w:rFonts w:ascii="Arial" w:cs="Arial" w:eastAsia="Arial" w:hAnsi="Arial"/>
                <w:sz w:val="13"/>
                <w:szCs w:val="13"/>
                <w:color w:val="auto"/>
              </w:rPr>
              <w:t>Vesting of early exercised stock options</w:t>
            </w:r>
          </w:p>
        </w:tc>
        <w:tc>
          <w:tcPr>
            <w:tcW w:w="500" w:type="dxa"/>
            <w:vAlign w:val="bottom"/>
            <w:shd w:val="clear" w:color="auto" w:fill="CFF0FC"/>
          </w:tcPr>
          <w:p>
            <w:pPr>
              <w:ind w:left="360"/>
              <w:spacing w:after="0"/>
              <w:rPr>
                <w:sz w:val="20"/>
                <w:szCs w:val="20"/>
                <w:color w:val="auto"/>
              </w:rPr>
            </w:pPr>
            <w:r>
              <w:rPr>
                <w:rFonts w:ascii="Arial" w:cs="Arial" w:eastAsia="Arial" w:hAnsi="Arial"/>
                <w:sz w:val="13"/>
                <w:szCs w:val="13"/>
                <w:color w:val="auto"/>
                <w:w w:val="91"/>
              </w:rPr>
              <w:t>—</w:t>
            </w:r>
          </w:p>
        </w:tc>
        <w:tc>
          <w:tcPr>
            <w:tcW w:w="260" w:type="dxa"/>
            <w:vAlign w:val="bottom"/>
            <w:shd w:val="clear" w:color="auto" w:fill="CFF0FC"/>
          </w:tcPr>
          <w:p>
            <w:pPr>
              <w:spacing w:after="0"/>
              <w:rPr>
                <w:sz w:val="16"/>
                <w:szCs w:val="16"/>
                <w:color w:val="auto"/>
              </w:rPr>
            </w:pPr>
          </w:p>
        </w:tc>
        <w:tc>
          <w:tcPr>
            <w:tcW w:w="120" w:type="dxa"/>
            <w:vAlign w:val="bottom"/>
            <w:shd w:val="clear" w:color="auto" w:fill="CFF0FC"/>
          </w:tcPr>
          <w:p>
            <w:pPr>
              <w:spacing w:after="0"/>
              <w:rPr>
                <w:sz w:val="16"/>
                <w:szCs w:val="16"/>
                <w:color w:val="auto"/>
              </w:rPr>
            </w:pPr>
          </w:p>
        </w:tc>
        <w:tc>
          <w:tcPr>
            <w:tcW w:w="700" w:type="dxa"/>
            <w:vAlign w:val="bottom"/>
            <w:shd w:val="clear" w:color="auto" w:fill="CFF0FC"/>
          </w:tcPr>
          <w:p>
            <w:pPr>
              <w:ind w:left="560"/>
              <w:spacing w:after="0"/>
              <w:rPr>
                <w:sz w:val="20"/>
                <w:szCs w:val="20"/>
                <w:color w:val="auto"/>
              </w:rPr>
            </w:pPr>
            <w:r>
              <w:rPr>
                <w:rFonts w:ascii="Arial" w:cs="Arial" w:eastAsia="Arial" w:hAnsi="Arial"/>
                <w:sz w:val="13"/>
                <w:szCs w:val="13"/>
                <w:color w:val="auto"/>
                <w:w w:val="91"/>
              </w:rPr>
              <w:t>—</w:t>
            </w:r>
          </w:p>
        </w:tc>
        <w:tc>
          <w:tcPr>
            <w:tcW w:w="240" w:type="dxa"/>
            <w:vAlign w:val="bottom"/>
            <w:shd w:val="clear" w:color="auto" w:fill="CFF0FC"/>
          </w:tcPr>
          <w:p>
            <w:pPr>
              <w:spacing w:after="0"/>
              <w:rPr>
                <w:sz w:val="16"/>
                <w:szCs w:val="16"/>
                <w:color w:val="auto"/>
              </w:rPr>
            </w:pPr>
          </w:p>
        </w:tc>
        <w:tc>
          <w:tcPr>
            <w:tcW w:w="960" w:type="dxa"/>
            <w:vAlign w:val="bottom"/>
            <w:gridSpan w:val="2"/>
            <w:shd w:val="clear" w:color="auto" w:fill="CFF0FC"/>
          </w:tcPr>
          <w:p>
            <w:pPr>
              <w:jc w:val="right"/>
              <w:ind w:right="197"/>
              <w:spacing w:after="0"/>
              <w:rPr>
                <w:sz w:val="20"/>
                <w:szCs w:val="20"/>
                <w:color w:val="auto"/>
              </w:rPr>
            </w:pPr>
            <w:r>
              <w:rPr>
                <w:rFonts w:ascii="Arial" w:cs="Arial" w:eastAsia="Arial" w:hAnsi="Arial"/>
                <w:sz w:val="13"/>
                <w:szCs w:val="13"/>
                <w:color w:val="auto"/>
              </w:rPr>
              <w:t>—</w:t>
            </w:r>
          </w:p>
        </w:tc>
        <w:tc>
          <w:tcPr>
            <w:tcW w:w="120" w:type="dxa"/>
            <w:vAlign w:val="bottom"/>
            <w:shd w:val="clear" w:color="auto" w:fill="CFF0FC"/>
          </w:tcPr>
          <w:p>
            <w:pPr>
              <w:spacing w:after="0"/>
              <w:rPr>
                <w:sz w:val="16"/>
                <w:szCs w:val="16"/>
                <w:color w:val="auto"/>
              </w:rPr>
            </w:pPr>
          </w:p>
        </w:tc>
        <w:tc>
          <w:tcPr>
            <w:tcW w:w="700" w:type="dxa"/>
            <w:vAlign w:val="bottom"/>
            <w:shd w:val="clear" w:color="auto" w:fill="CFF0FC"/>
          </w:tcPr>
          <w:p>
            <w:pPr>
              <w:jc w:val="right"/>
              <w:spacing w:after="0"/>
              <w:rPr>
                <w:sz w:val="20"/>
                <w:szCs w:val="20"/>
                <w:color w:val="auto"/>
              </w:rPr>
            </w:pPr>
            <w:r>
              <w:rPr>
                <w:rFonts w:ascii="Arial" w:cs="Arial" w:eastAsia="Arial" w:hAnsi="Arial"/>
                <w:sz w:val="13"/>
                <w:szCs w:val="13"/>
                <w:color w:val="auto"/>
              </w:rPr>
              <w:t>—</w:t>
            </w:r>
          </w:p>
        </w:tc>
        <w:tc>
          <w:tcPr>
            <w:tcW w:w="260" w:type="dxa"/>
            <w:vAlign w:val="bottom"/>
            <w:shd w:val="clear" w:color="auto" w:fill="CFF0FC"/>
          </w:tcPr>
          <w:p>
            <w:pPr>
              <w:spacing w:after="0"/>
              <w:rPr>
                <w:sz w:val="16"/>
                <w:szCs w:val="16"/>
                <w:color w:val="auto"/>
              </w:rPr>
            </w:pPr>
          </w:p>
        </w:tc>
        <w:tc>
          <w:tcPr>
            <w:tcW w:w="100" w:type="dxa"/>
            <w:vAlign w:val="bottom"/>
            <w:shd w:val="clear" w:color="auto" w:fill="CFF0FC"/>
          </w:tcPr>
          <w:p>
            <w:pPr>
              <w:spacing w:after="0"/>
              <w:rPr>
                <w:sz w:val="16"/>
                <w:szCs w:val="16"/>
                <w:color w:val="auto"/>
              </w:rPr>
            </w:pPr>
          </w:p>
        </w:tc>
        <w:tc>
          <w:tcPr>
            <w:tcW w:w="860" w:type="dxa"/>
            <w:vAlign w:val="bottom"/>
            <w:shd w:val="clear" w:color="auto" w:fill="CFF0FC"/>
          </w:tcPr>
          <w:p>
            <w:pPr>
              <w:jc w:val="right"/>
              <w:spacing w:after="0"/>
              <w:rPr>
                <w:sz w:val="20"/>
                <w:szCs w:val="20"/>
                <w:color w:val="auto"/>
              </w:rPr>
            </w:pPr>
            <w:r>
              <w:rPr>
                <w:rFonts w:ascii="Arial" w:cs="Arial" w:eastAsia="Arial" w:hAnsi="Arial"/>
                <w:sz w:val="13"/>
                <w:szCs w:val="13"/>
                <w:color w:val="auto"/>
              </w:rPr>
              <w:t>889</w:t>
            </w:r>
          </w:p>
        </w:tc>
        <w:tc>
          <w:tcPr>
            <w:tcW w:w="220" w:type="dxa"/>
            <w:vAlign w:val="bottom"/>
            <w:shd w:val="clear" w:color="auto" w:fill="CFF0FC"/>
          </w:tcPr>
          <w:p>
            <w:pPr>
              <w:spacing w:after="0"/>
              <w:rPr>
                <w:sz w:val="16"/>
                <w:szCs w:val="16"/>
                <w:color w:val="auto"/>
              </w:rPr>
            </w:pPr>
          </w:p>
        </w:tc>
        <w:tc>
          <w:tcPr>
            <w:tcW w:w="100" w:type="dxa"/>
            <w:vAlign w:val="bottom"/>
            <w:shd w:val="clear" w:color="auto" w:fill="CFF0FC"/>
          </w:tcPr>
          <w:p>
            <w:pPr>
              <w:spacing w:after="0"/>
              <w:rPr>
                <w:sz w:val="16"/>
                <w:szCs w:val="16"/>
                <w:color w:val="auto"/>
              </w:rPr>
            </w:pPr>
          </w:p>
        </w:tc>
        <w:tc>
          <w:tcPr>
            <w:tcW w:w="1280" w:type="dxa"/>
            <w:vAlign w:val="bottom"/>
            <w:gridSpan w:val="2"/>
            <w:shd w:val="clear" w:color="auto" w:fill="CFF0FC"/>
          </w:tcPr>
          <w:p>
            <w:pPr>
              <w:jc w:val="right"/>
              <w:ind w:right="240"/>
              <w:spacing w:after="0"/>
              <w:rPr>
                <w:sz w:val="20"/>
                <w:szCs w:val="20"/>
                <w:color w:val="auto"/>
              </w:rPr>
            </w:pPr>
            <w:r>
              <w:rPr>
                <w:rFonts w:ascii="Arial" w:cs="Arial" w:eastAsia="Arial" w:hAnsi="Arial"/>
                <w:sz w:val="13"/>
                <w:szCs w:val="13"/>
                <w:color w:val="auto"/>
              </w:rPr>
              <w:t>—</w:t>
            </w:r>
          </w:p>
        </w:tc>
        <w:tc>
          <w:tcPr>
            <w:tcW w:w="100" w:type="dxa"/>
            <w:vAlign w:val="bottom"/>
            <w:shd w:val="clear" w:color="auto" w:fill="CFF0FC"/>
          </w:tcPr>
          <w:p>
            <w:pPr>
              <w:spacing w:after="0"/>
              <w:rPr>
                <w:sz w:val="16"/>
                <w:szCs w:val="16"/>
                <w:color w:val="auto"/>
              </w:rPr>
            </w:pPr>
          </w:p>
        </w:tc>
        <w:tc>
          <w:tcPr>
            <w:tcW w:w="1080" w:type="dxa"/>
            <w:vAlign w:val="bottom"/>
            <w:gridSpan w:val="2"/>
            <w:shd w:val="clear" w:color="auto" w:fill="CFF0FC"/>
          </w:tcPr>
          <w:p>
            <w:pPr>
              <w:jc w:val="right"/>
              <w:ind w:right="157"/>
              <w:spacing w:after="0"/>
              <w:rPr>
                <w:sz w:val="20"/>
                <w:szCs w:val="20"/>
                <w:color w:val="auto"/>
              </w:rPr>
            </w:pPr>
            <w:r>
              <w:rPr>
                <w:rFonts w:ascii="Arial" w:cs="Arial" w:eastAsia="Arial" w:hAnsi="Arial"/>
                <w:sz w:val="13"/>
                <w:szCs w:val="13"/>
                <w:color w:val="auto"/>
              </w:rPr>
              <w:t>—</w:t>
            </w:r>
          </w:p>
        </w:tc>
        <w:tc>
          <w:tcPr>
            <w:tcW w:w="100" w:type="dxa"/>
            <w:vAlign w:val="bottom"/>
            <w:shd w:val="clear" w:color="auto" w:fill="CFF0FC"/>
          </w:tcPr>
          <w:p>
            <w:pPr>
              <w:spacing w:after="0"/>
              <w:rPr>
                <w:sz w:val="16"/>
                <w:szCs w:val="16"/>
                <w:color w:val="auto"/>
              </w:rPr>
            </w:pPr>
          </w:p>
        </w:tc>
        <w:tc>
          <w:tcPr>
            <w:tcW w:w="1000" w:type="dxa"/>
            <w:vAlign w:val="bottom"/>
            <w:shd w:val="clear" w:color="auto" w:fill="CFF0FC"/>
          </w:tcPr>
          <w:p>
            <w:pPr>
              <w:jc w:val="right"/>
              <w:spacing w:after="0"/>
              <w:rPr>
                <w:sz w:val="20"/>
                <w:szCs w:val="20"/>
                <w:color w:val="auto"/>
              </w:rPr>
            </w:pPr>
            <w:r>
              <w:rPr>
                <w:rFonts w:ascii="Arial" w:cs="Arial" w:eastAsia="Arial" w:hAnsi="Arial"/>
                <w:sz w:val="13"/>
                <w:szCs w:val="13"/>
                <w:color w:val="auto"/>
              </w:rPr>
              <w:t>889</w:t>
            </w:r>
          </w:p>
        </w:tc>
        <w:tc>
          <w:tcPr>
            <w:tcW w:w="100" w:type="dxa"/>
            <w:vAlign w:val="bottom"/>
            <w:shd w:val="clear" w:color="auto" w:fill="CFF0FC"/>
          </w:tcPr>
          <w:p>
            <w:pPr>
              <w:spacing w:after="0"/>
              <w:rPr>
                <w:sz w:val="16"/>
                <w:szCs w:val="16"/>
                <w:color w:val="auto"/>
              </w:rPr>
            </w:pPr>
          </w:p>
        </w:tc>
        <w:tc>
          <w:tcPr>
            <w:tcW w:w="0" w:type="dxa"/>
            <w:vAlign w:val="bottom"/>
          </w:tcPr>
          <w:p>
            <w:pPr>
              <w:spacing w:after="0"/>
              <w:rPr>
                <w:sz w:val="1"/>
                <w:szCs w:val="1"/>
                <w:color w:val="auto"/>
              </w:rPr>
            </w:pPr>
          </w:p>
        </w:tc>
      </w:tr>
      <w:tr>
        <w:trPr>
          <w:trHeight w:val="167"/>
        </w:trPr>
        <w:tc>
          <w:tcPr>
            <w:tcW w:w="2440" w:type="dxa"/>
            <w:vAlign w:val="bottom"/>
          </w:tcPr>
          <w:p>
            <w:pPr>
              <w:ind w:left="20"/>
              <w:spacing w:after="0"/>
              <w:rPr>
                <w:sz w:val="20"/>
                <w:szCs w:val="20"/>
                <w:color w:val="auto"/>
              </w:rPr>
            </w:pPr>
            <w:r>
              <w:rPr>
                <w:rFonts w:ascii="Arial" w:cs="Arial" w:eastAsia="Arial" w:hAnsi="Arial"/>
                <w:sz w:val="13"/>
                <w:szCs w:val="13"/>
                <w:color w:val="auto"/>
              </w:rPr>
              <w:t>Vesting of restricted stock units</w:t>
            </w:r>
          </w:p>
        </w:tc>
        <w:tc>
          <w:tcPr>
            <w:tcW w:w="500" w:type="dxa"/>
            <w:vAlign w:val="bottom"/>
          </w:tcPr>
          <w:p>
            <w:pPr>
              <w:ind w:left="360"/>
              <w:spacing w:after="0"/>
              <w:rPr>
                <w:sz w:val="20"/>
                <w:szCs w:val="20"/>
                <w:color w:val="auto"/>
              </w:rPr>
            </w:pPr>
            <w:r>
              <w:rPr>
                <w:rFonts w:ascii="Arial" w:cs="Arial" w:eastAsia="Arial" w:hAnsi="Arial"/>
                <w:sz w:val="13"/>
                <w:szCs w:val="13"/>
                <w:color w:val="auto"/>
                <w:w w:val="91"/>
              </w:rPr>
              <w:t>—</w:t>
            </w:r>
          </w:p>
        </w:tc>
        <w:tc>
          <w:tcPr>
            <w:tcW w:w="2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700" w:type="dxa"/>
            <w:vAlign w:val="bottom"/>
          </w:tcPr>
          <w:p>
            <w:pPr>
              <w:ind w:left="560"/>
              <w:spacing w:after="0"/>
              <w:rPr>
                <w:sz w:val="20"/>
                <w:szCs w:val="20"/>
                <w:color w:val="auto"/>
              </w:rPr>
            </w:pPr>
            <w:r>
              <w:rPr>
                <w:rFonts w:ascii="Arial" w:cs="Arial" w:eastAsia="Arial" w:hAnsi="Arial"/>
                <w:sz w:val="13"/>
                <w:szCs w:val="13"/>
                <w:color w:val="auto"/>
                <w:w w:val="91"/>
              </w:rPr>
              <w:t>—</w:t>
            </w:r>
          </w:p>
        </w:tc>
        <w:tc>
          <w:tcPr>
            <w:tcW w:w="960" w:type="dxa"/>
            <w:vAlign w:val="bottom"/>
            <w:gridSpan w:val="2"/>
          </w:tcPr>
          <w:p>
            <w:pPr>
              <w:jc w:val="right"/>
              <w:spacing w:after="0"/>
              <w:rPr>
                <w:sz w:val="20"/>
                <w:szCs w:val="20"/>
                <w:color w:val="auto"/>
              </w:rPr>
            </w:pPr>
            <w:r>
              <w:rPr>
                <w:rFonts w:ascii="Arial" w:cs="Arial" w:eastAsia="Arial" w:hAnsi="Arial"/>
                <w:sz w:val="13"/>
                <w:szCs w:val="13"/>
                <w:color w:val="auto"/>
              </w:rPr>
              <w:t>286</w:t>
            </w:r>
          </w:p>
        </w:tc>
        <w:tc>
          <w:tcPr>
            <w:tcW w:w="2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700" w:type="dxa"/>
            <w:vAlign w:val="bottom"/>
          </w:tcPr>
          <w:p>
            <w:pPr>
              <w:jc w:val="right"/>
              <w:spacing w:after="0"/>
              <w:rPr>
                <w:sz w:val="20"/>
                <w:szCs w:val="20"/>
                <w:color w:val="auto"/>
              </w:rPr>
            </w:pPr>
            <w:r>
              <w:rPr>
                <w:rFonts w:ascii="Arial" w:cs="Arial" w:eastAsia="Arial" w:hAnsi="Arial"/>
                <w:sz w:val="13"/>
                <w:szCs w:val="13"/>
                <w:color w:val="auto"/>
              </w:rPr>
              <w:t>—</w:t>
            </w:r>
          </w:p>
        </w:tc>
        <w:tc>
          <w:tcPr>
            <w:tcW w:w="2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60" w:type="dxa"/>
            <w:vAlign w:val="bottom"/>
          </w:tcPr>
          <w:p>
            <w:pPr>
              <w:jc w:val="right"/>
              <w:spacing w:after="0"/>
              <w:rPr>
                <w:sz w:val="20"/>
                <w:szCs w:val="20"/>
                <w:color w:val="auto"/>
              </w:rPr>
            </w:pPr>
            <w:r>
              <w:rPr>
                <w:rFonts w:ascii="Arial" w:cs="Arial" w:eastAsia="Arial" w:hAnsi="Arial"/>
                <w:sz w:val="13"/>
                <w:szCs w:val="13"/>
                <w:color w:val="auto"/>
              </w:rPr>
              <w:t>—</w:t>
            </w:r>
          </w:p>
        </w:tc>
        <w:tc>
          <w:tcPr>
            <w:tcW w:w="2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280" w:type="dxa"/>
            <w:vAlign w:val="bottom"/>
            <w:gridSpan w:val="2"/>
          </w:tcPr>
          <w:p>
            <w:pPr>
              <w:jc w:val="right"/>
              <w:ind w:right="240"/>
              <w:spacing w:after="0"/>
              <w:rPr>
                <w:sz w:val="20"/>
                <w:szCs w:val="20"/>
                <w:color w:val="auto"/>
              </w:rPr>
            </w:pPr>
            <w:r>
              <w:rPr>
                <w:rFonts w:ascii="Arial" w:cs="Arial" w:eastAsia="Arial" w:hAnsi="Arial"/>
                <w:sz w:val="13"/>
                <w:szCs w:val="13"/>
                <w:color w:val="auto"/>
              </w:rPr>
              <w:t>—</w:t>
            </w:r>
          </w:p>
        </w:tc>
        <w:tc>
          <w:tcPr>
            <w:tcW w:w="100" w:type="dxa"/>
            <w:vAlign w:val="bottom"/>
          </w:tcPr>
          <w:p>
            <w:pPr>
              <w:spacing w:after="0"/>
              <w:rPr>
                <w:sz w:val="14"/>
                <w:szCs w:val="14"/>
                <w:color w:val="auto"/>
              </w:rPr>
            </w:pPr>
          </w:p>
        </w:tc>
        <w:tc>
          <w:tcPr>
            <w:tcW w:w="1080" w:type="dxa"/>
            <w:vAlign w:val="bottom"/>
            <w:gridSpan w:val="2"/>
          </w:tcPr>
          <w:p>
            <w:pPr>
              <w:jc w:val="right"/>
              <w:ind w:right="157"/>
              <w:spacing w:after="0"/>
              <w:rPr>
                <w:sz w:val="20"/>
                <w:szCs w:val="20"/>
                <w:color w:val="auto"/>
              </w:rPr>
            </w:pPr>
            <w:r>
              <w:rPr>
                <w:rFonts w:ascii="Arial" w:cs="Arial" w:eastAsia="Arial" w:hAnsi="Arial"/>
                <w:sz w:val="13"/>
                <w:szCs w:val="13"/>
                <w:color w:val="auto"/>
              </w:rPr>
              <w:t>—</w:t>
            </w:r>
          </w:p>
        </w:tc>
        <w:tc>
          <w:tcPr>
            <w:tcW w:w="100" w:type="dxa"/>
            <w:vAlign w:val="bottom"/>
          </w:tcPr>
          <w:p>
            <w:pPr>
              <w:spacing w:after="0"/>
              <w:rPr>
                <w:sz w:val="14"/>
                <w:szCs w:val="14"/>
                <w:color w:val="auto"/>
              </w:rPr>
            </w:pPr>
          </w:p>
        </w:tc>
        <w:tc>
          <w:tcPr>
            <w:tcW w:w="1100" w:type="dxa"/>
            <w:vAlign w:val="bottom"/>
            <w:gridSpan w:val="2"/>
          </w:tcPr>
          <w:p>
            <w:pPr>
              <w:jc w:val="right"/>
              <w:ind w:right="120"/>
              <w:spacing w:after="0"/>
              <w:rPr>
                <w:sz w:val="20"/>
                <w:szCs w:val="20"/>
                <w:color w:val="auto"/>
              </w:rPr>
            </w:pPr>
            <w:r>
              <w:rPr>
                <w:rFonts w:ascii="Arial" w:cs="Arial" w:eastAsia="Arial" w:hAnsi="Arial"/>
                <w:sz w:val="13"/>
                <w:szCs w:val="13"/>
                <w:color w:val="auto"/>
              </w:rPr>
              <w:t>—</w:t>
            </w:r>
          </w:p>
        </w:tc>
        <w:tc>
          <w:tcPr>
            <w:tcW w:w="0" w:type="dxa"/>
            <w:vAlign w:val="bottom"/>
          </w:tcPr>
          <w:p>
            <w:pPr>
              <w:spacing w:after="0"/>
              <w:rPr>
                <w:sz w:val="1"/>
                <w:szCs w:val="1"/>
                <w:color w:val="auto"/>
              </w:rPr>
            </w:pPr>
          </w:p>
        </w:tc>
      </w:tr>
      <w:tr>
        <w:trPr>
          <w:trHeight w:val="129"/>
        </w:trPr>
        <w:tc>
          <w:tcPr>
            <w:tcW w:w="2440" w:type="dxa"/>
            <w:vAlign w:val="bottom"/>
            <w:shd w:val="clear" w:color="auto" w:fill="CFF0FC"/>
          </w:tcPr>
          <w:p>
            <w:pPr>
              <w:ind w:left="20"/>
              <w:spacing w:after="0" w:line="129" w:lineRule="exact"/>
              <w:rPr>
                <w:sz w:val="20"/>
                <w:szCs w:val="20"/>
                <w:color w:val="auto"/>
              </w:rPr>
            </w:pPr>
            <w:r>
              <w:rPr>
                <w:rFonts w:ascii="Arial" w:cs="Arial" w:eastAsia="Arial" w:hAnsi="Arial"/>
                <w:sz w:val="13"/>
                <w:szCs w:val="13"/>
                <w:color w:val="auto"/>
                <w:w w:val="96"/>
              </w:rPr>
              <w:t>Donation of common stock and repurchase</w:t>
            </w:r>
          </w:p>
        </w:tc>
        <w:tc>
          <w:tcPr>
            <w:tcW w:w="500" w:type="dxa"/>
            <w:vAlign w:val="bottom"/>
            <w:shd w:val="clear" w:color="auto" w:fill="CFF0FC"/>
          </w:tcPr>
          <w:p>
            <w:pPr>
              <w:spacing w:after="0"/>
              <w:rPr>
                <w:sz w:val="11"/>
                <w:szCs w:val="11"/>
                <w:color w:val="auto"/>
              </w:rPr>
            </w:pPr>
          </w:p>
        </w:tc>
        <w:tc>
          <w:tcPr>
            <w:tcW w:w="260" w:type="dxa"/>
            <w:vAlign w:val="bottom"/>
            <w:shd w:val="clear" w:color="auto" w:fill="CFF0FC"/>
          </w:tcPr>
          <w:p>
            <w:pPr>
              <w:spacing w:after="0"/>
              <w:rPr>
                <w:sz w:val="11"/>
                <w:szCs w:val="11"/>
                <w:color w:val="auto"/>
              </w:rPr>
            </w:pPr>
          </w:p>
        </w:tc>
        <w:tc>
          <w:tcPr>
            <w:tcW w:w="120" w:type="dxa"/>
            <w:vAlign w:val="bottom"/>
            <w:shd w:val="clear" w:color="auto" w:fill="CFF0FC"/>
          </w:tcPr>
          <w:p>
            <w:pPr>
              <w:spacing w:after="0"/>
              <w:rPr>
                <w:sz w:val="11"/>
                <w:szCs w:val="11"/>
                <w:color w:val="auto"/>
              </w:rPr>
            </w:pPr>
          </w:p>
        </w:tc>
        <w:tc>
          <w:tcPr>
            <w:tcW w:w="700" w:type="dxa"/>
            <w:vAlign w:val="bottom"/>
            <w:shd w:val="clear" w:color="auto" w:fill="CFF0FC"/>
          </w:tcPr>
          <w:p>
            <w:pPr>
              <w:spacing w:after="0"/>
              <w:rPr>
                <w:sz w:val="11"/>
                <w:szCs w:val="11"/>
                <w:color w:val="auto"/>
              </w:rPr>
            </w:pPr>
          </w:p>
        </w:tc>
        <w:tc>
          <w:tcPr>
            <w:tcW w:w="240" w:type="dxa"/>
            <w:vAlign w:val="bottom"/>
            <w:shd w:val="clear" w:color="auto" w:fill="CFF0FC"/>
          </w:tcPr>
          <w:p>
            <w:pPr>
              <w:spacing w:after="0"/>
              <w:rPr>
                <w:sz w:val="11"/>
                <w:szCs w:val="11"/>
                <w:color w:val="auto"/>
              </w:rPr>
            </w:pPr>
          </w:p>
        </w:tc>
        <w:tc>
          <w:tcPr>
            <w:tcW w:w="720" w:type="dxa"/>
            <w:vAlign w:val="bottom"/>
            <w:shd w:val="clear" w:color="auto" w:fill="CFF0FC"/>
          </w:tcPr>
          <w:p>
            <w:pPr>
              <w:spacing w:after="0"/>
              <w:rPr>
                <w:sz w:val="11"/>
                <w:szCs w:val="11"/>
                <w:color w:val="auto"/>
              </w:rPr>
            </w:pPr>
          </w:p>
        </w:tc>
        <w:tc>
          <w:tcPr>
            <w:tcW w:w="240" w:type="dxa"/>
            <w:vAlign w:val="bottom"/>
            <w:shd w:val="clear" w:color="auto" w:fill="CFF0FC"/>
          </w:tcPr>
          <w:p>
            <w:pPr>
              <w:spacing w:after="0"/>
              <w:rPr>
                <w:sz w:val="11"/>
                <w:szCs w:val="11"/>
                <w:color w:val="auto"/>
              </w:rPr>
            </w:pPr>
          </w:p>
        </w:tc>
        <w:tc>
          <w:tcPr>
            <w:tcW w:w="120" w:type="dxa"/>
            <w:vAlign w:val="bottom"/>
            <w:shd w:val="clear" w:color="auto" w:fill="CFF0FC"/>
          </w:tcPr>
          <w:p>
            <w:pPr>
              <w:spacing w:after="0"/>
              <w:rPr>
                <w:sz w:val="11"/>
                <w:szCs w:val="11"/>
                <w:color w:val="auto"/>
              </w:rPr>
            </w:pPr>
          </w:p>
        </w:tc>
        <w:tc>
          <w:tcPr>
            <w:tcW w:w="700" w:type="dxa"/>
            <w:vAlign w:val="bottom"/>
            <w:shd w:val="clear" w:color="auto" w:fill="CFF0FC"/>
          </w:tcPr>
          <w:p>
            <w:pPr>
              <w:spacing w:after="0"/>
              <w:rPr>
                <w:sz w:val="11"/>
                <w:szCs w:val="11"/>
                <w:color w:val="auto"/>
              </w:rPr>
            </w:pPr>
          </w:p>
        </w:tc>
        <w:tc>
          <w:tcPr>
            <w:tcW w:w="260" w:type="dxa"/>
            <w:vAlign w:val="bottom"/>
            <w:shd w:val="clear" w:color="auto" w:fill="CFF0FC"/>
          </w:tcPr>
          <w:p>
            <w:pPr>
              <w:spacing w:after="0"/>
              <w:rPr>
                <w:sz w:val="11"/>
                <w:szCs w:val="11"/>
                <w:color w:val="auto"/>
              </w:rPr>
            </w:pPr>
          </w:p>
        </w:tc>
        <w:tc>
          <w:tcPr>
            <w:tcW w:w="100" w:type="dxa"/>
            <w:vAlign w:val="bottom"/>
            <w:shd w:val="clear" w:color="auto" w:fill="CFF0FC"/>
          </w:tcPr>
          <w:p>
            <w:pPr>
              <w:spacing w:after="0"/>
              <w:rPr>
                <w:sz w:val="11"/>
                <w:szCs w:val="11"/>
                <w:color w:val="auto"/>
              </w:rPr>
            </w:pPr>
          </w:p>
        </w:tc>
        <w:tc>
          <w:tcPr>
            <w:tcW w:w="860" w:type="dxa"/>
            <w:vAlign w:val="bottom"/>
            <w:shd w:val="clear" w:color="auto" w:fill="CFF0FC"/>
          </w:tcPr>
          <w:p>
            <w:pPr>
              <w:spacing w:after="0"/>
              <w:rPr>
                <w:sz w:val="11"/>
                <w:szCs w:val="11"/>
                <w:color w:val="auto"/>
              </w:rPr>
            </w:pPr>
          </w:p>
        </w:tc>
        <w:tc>
          <w:tcPr>
            <w:tcW w:w="220" w:type="dxa"/>
            <w:vAlign w:val="bottom"/>
            <w:shd w:val="clear" w:color="auto" w:fill="CFF0FC"/>
          </w:tcPr>
          <w:p>
            <w:pPr>
              <w:spacing w:after="0"/>
              <w:rPr>
                <w:sz w:val="11"/>
                <w:szCs w:val="11"/>
                <w:color w:val="auto"/>
              </w:rPr>
            </w:pPr>
          </w:p>
        </w:tc>
        <w:tc>
          <w:tcPr>
            <w:tcW w:w="100" w:type="dxa"/>
            <w:vAlign w:val="bottom"/>
            <w:shd w:val="clear" w:color="auto" w:fill="CFF0FC"/>
          </w:tcPr>
          <w:p>
            <w:pPr>
              <w:spacing w:after="0"/>
              <w:rPr>
                <w:sz w:val="11"/>
                <w:szCs w:val="11"/>
                <w:color w:val="auto"/>
              </w:rPr>
            </w:pPr>
          </w:p>
        </w:tc>
        <w:tc>
          <w:tcPr>
            <w:tcW w:w="1060" w:type="dxa"/>
            <w:vAlign w:val="bottom"/>
            <w:shd w:val="clear" w:color="auto" w:fill="CFF0FC"/>
          </w:tcPr>
          <w:p>
            <w:pPr>
              <w:spacing w:after="0"/>
              <w:rPr>
                <w:sz w:val="11"/>
                <w:szCs w:val="11"/>
                <w:color w:val="auto"/>
              </w:rPr>
            </w:pPr>
          </w:p>
        </w:tc>
        <w:tc>
          <w:tcPr>
            <w:tcW w:w="220" w:type="dxa"/>
            <w:vAlign w:val="bottom"/>
            <w:shd w:val="clear" w:color="auto" w:fill="CFF0FC"/>
          </w:tcPr>
          <w:p>
            <w:pPr>
              <w:spacing w:after="0"/>
              <w:rPr>
                <w:sz w:val="11"/>
                <w:szCs w:val="11"/>
                <w:color w:val="auto"/>
              </w:rPr>
            </w:pPr>
          </w:p>
        </w:tc>
        <w:tc>
          <w:tcPr>
            <w:tcW w:w="100" w:type="dxa"/>
            <w:vAlign w:val="bottom"/>
            <w:shd w:val="clear" w:color="auto" w:fill="CFF0FC"/>
          </w:tcPr>
          <w:p>
            <w:pPr>
              <w:spacing w:after="0"/>
              <w:rPr>
                <w:sz w:val="11"/>
                <w:szCs w:val="11"/>
                <w:color w:val="auto"/>
              </w:rPr>
            </w:pPr>
          </w:p>
        </w:tc>
        <w:tc>
          <w:tcPr>
            <w:tcW w:w="860" w:type="dxa"/>
            <w:vAlign w:val="bottom"/>
            <w:shd w:val="clear" w:color="auto" w:fill="CFF0FC"/>
          </w:tcPr>
          <w:p>
            <w:pPr>
              <w:spacing w:after="0"/>
              <w:rPr>
                <w:sz w:val="11"/>
                <w:szCs w:val="11"/>
                <w:color w:val="auto"/>
              </w:rPr>
            </w:pPr>
          </w:p>
        </w:tc>
        <w:tc>
          <w:tcPr>
            <w:tcW w:w="220" w:type="dxa"/>
            <w:vAlign w:val="bottom"/>
            <w:shd w:val="clear" w:color="auto" w:fill="CFF0FC"/>
          </w:tcPr>
          <w:p>
            <w:pPr>
              <w:spacing w:after="0"/>
              <w:rPr>
                <w:sz w:val="11"/>
                <w:szCs w:val="11"/>
                <w:color w:val="auto"/>
              </w:rPr>
            </w:pPr>
          </w:p>
        </w:tc>
        <w:tc>
          <w:tcPr>
            <w:tcW w:w="100" w:type="dxa"/>
            <w:vAlign w:val="bottom"/>
            <w:shd w:val="clear" w:color="auto" w:fill="CFF0FC"/>
          </w:tcPr>
          <w:p>
            <w:pPr>
              <w:spacing w:after="0"/>
              <w:rPr>
                <w:sz w:val="11"/>
                <w:szCs w:val="11"/>
                <w:color w:val="auto"/>
              </w:rPr>
            </w:pPr>
          </w:p>
        </w:tc>
        <w:tc>
          <w:tcPr>
            <w:tcW w:w="1000" w:type="dxa"/>
            <w:vAlign w:val="bottom"/>
            <w:shd w:val="clear" w:color="auto" w:fill="CFF0FC"/>
          </w:tcPr>
          <w:p>
            <w:pPr>
              <w:spacing w:after="0"/>
              <w:rPr>
                <w:sz w:val="11"/>
                <w:szCs w:val="11"/>
                <w:color w:val="auto"/>
              </w:rPr>
            </w:pPr>
          </w:p>
        </w:tc>
        <w:tc>
          <w:tcPr>
            <w:tcW w:w="100" w:type="dxa"/>
            <w:vAlign w:val="bottom"/>
            <w:shd w:val="clear" w:color="auto" w:fill="CFF0FC"/>
          </w:tcPr>
          <w:p>
            <w:pPr>
              <w:spacing w:after="0"/>
              <w:rPr>
                <w:sz w:val="11"/>
                <w:szCs w:val="11"/>
                <w:color w:val="auto"/>
              </w:rPr>
            </w:pPr>
          </w:p>
        </w:tc>
        <w:tc>
          <w:tcPr>
            <w:tcW w:w="0" w:type="dxa"/>
            <w:vAlign w:val="bottom"/>
          </w:tcPr>
          <w:p>
            <w:pPr>
              <w:spacing w:after="0"/>
              <w:rPr>
                <w:sz w:val="1"/>
                <w:szCs w:val="1"/>
                <w:color w:val="auto"/>
              </w:rPr>
            </w:pPr>
          </w:p>
        </w:tc>
      </w:tr>
      <w:tr>
        <w:trPr>
          <w:trHeight w:val="176"/>
        </w:trPr>
        <w:tc>
          <w:tcPr>
            <w:tcW w:w="2440" w:type="dxa"/>
            <w:vAlign w:val="bottom"/>
            <w:shd w:val="clear" w:color="auto" w:fill="CFF0FC"/>
          </w:tcPr>
          <w:p>
            <w:pPr>
              <w:ind w:left="20"/>
              <w:spacing w:after="0"/>
              <w:rPr>
                <w:sz w:val="20"/>
                <w:szCs w:val="20"/>
                <w:color w:val="auto"/>
              </w:rPr>
            </w:pPr>
            <w:r>
              <w:rPr>
                <w:rFonts w:ascii="Arial" w:cs="Arial" w:eastAsia="Arial" w:hAnsi="Arial"/>
                <w:sz w:val="13"/>
                <w:szCs w:val="13"/>
                <w:color w:val="auto"/>
              </w:rPr>
              <w:t>of unvested stock options</w:t>
            </w:r>
          </w:p>
        </w:tc>
        <w:tc>
          <w:tcPr>
            <w:tcW w:w="500" w:type="dxa"/>
            <w:vAlign w:val="bottom"/>
            <w:shd w:val="clear" w:color="auto" w:fill="CFF0FC"/>
          </w:tcPr>
          <w:p>
            <w:pPr>
              <w:ind w:left="360"/>
              <w:spacing w:after="0"/>
              <w:rPr>
                <w:sz w:val="20"/>
                <w:szCs w:val="20"/>
                <w:color w:val="auto"/>
              </w:rPr>
            </w:pPr>
            <w:r>
              <w:rPr>
                <w:rFonts w:ascii="Arial" w:cs="Arial" w:eastAsia="Arial" w:hAnsi="Arial"/>
                <w:sz w:val="13"/>
                <w:szCs w:val="13"/>
                <w:color w:val="auto"/>
                <w:w w:val="91"/>
              </w:rPr>
              <w:t>—</w:t>
            </w:r>
          </w:p>
        </w:tc>
        <w:tc>
          <w:tcPr>
            <w:tcW w:w="260" w:type="dxa"/>
            <w:vAlign w:val="bottom"/>
            <w:shd w:val="clear" w:color="auto" w:fill="CFF0FC"/>
          </w:tcPr>
          <w:p>
            <w:pPr>
              <w:spacing w:after="0"/>
              <w:rPr>
                <w:sz w:val="15"/>
                <w:szCs w:val="15"/>
                <w:color w:val="auto"/>
              </w:rPr>
            </w:pPr>
          </w:p>
        </w:tc>
        <w:tc>
          <w:tcPr>
            <w:tcW w:w="120" w:type="dxa"/>
            <w:vAlign w:val="bottom"/>
            <w:shd w:val="clear" w:color="auto" w:fill="CFF0FC"/>
          </w:tcPr>
          <w:p>
            <w:pPr>
              <w:spacing w:after="0"/>
              <w:rPr>
                <w:sz w:val="15"/>
                <w:szCs w:val="15"/>
                <w:color w:val="auto"/>
              </w:rPr>
            </w:pPr>
          </w:p>
        </w:tc>
        <w:tc>
          <w:tcPr>
            <w:tcW w:w="700" w:type="dxa"/>
            <w:vAlign w:val="bottom"/>
            <w:shd w:val="clear" w:color="auto" w:fill="CFF0FC"/>
          </w:tcPr>
          <w:p>
            <w:pPr>
              <w:ind w:left="560"/>
              <w:spacing w:after="0"/>
              <w:rPr>
                <w:sz w:val="20"/>
                <w:szCs w:val="20"/>
                <w:color w:val="auto"/>
              </w:rPr>
            </w:pPr>
            <w:r>
              <w:rPr>
                <w:rFonts w:ascii="Arial" w:cs="Arial" w:eastAsia="Arial" w:hAnsi="Arial"/>
                <w:sz w:val="13"/>
                <w:szCs w:val="13"/>
                <w:color w:val="auto"/>
                <w:w w:val="91"/>
              </w:rPr>
              <w:t>—</w:t>
            </w:r>
          </w:p>
        </w:tc>
        <w:tc>
          <w:tcPr>
            <w:tcW w:w="1200" w:type="dxa"/>
            <w:vAlign w:val="bottom"/>
            <w:gridSpan w:val="3"/>
            <w:shd w:val="clear" w:color="auto" w:fill="CFF0FC"/>
          </w:tcPr>
          <w:p>
            <w:pPr>
              <w:jc w:val="right"/>
              <w:ind w:right="137"/>
              <w:spacing w:after="0"/>
              <w:rPr>
                <w:sz w:val="20"/>
                <w:szCs w:val="20"/>
                <w:color w:val="auto"/>
              </w:rPr>
            </w:pPr>
            <w:r>
              <w:rPr>
                <w:rFonts w:ascii="Arial" w:cs="Arial" w:eastAsia="Arial" w:hAnsi="Arial"/>
                <w:sz w:val="13"/>
                <w:szCs w:val="13"/>
                <w:color w:val="auto"/>
              </w:rPr>
              <w:t>(4 )</w:t>
            </w:r>
          </w:p>
        </w:tc>
        <w:tc>
          <w:tcPr>
            <w:tcW w:w="120" w:type="dxa"/>
            <w:vAlign w:val="bottom"/>
            <w:shd w:val="clear" w:color="auto" w:fill="CFF0FC"/>
          </w:tcPr>
          <w:p>
            <w:pPr>
              <w:spacing w:after="0"/>
              <w:rPr>
                <w:sz w:val="15"/>
                <w:szCs w:val="15"/>
                <w:color w:val="auto"/>
              </w:rPr>
            </w:pPr>
          </w:p>
        </w:tc>
        <w:tc>
          <w:tcPr>
            <w:tcW w:w="700" w:type="dxa"/>
            <w:vAlign w:val="bottom"/>
            <w:shd w:val="clear" w:color="auto" w:fill="CFF0FC"/>
          </w:tcPr>
          <w:p>
            <w:pPr>
              <w:jc w:val="right"/>
              <w:spacing w:after="0"/>
              <w:rPr>
                <w:sz w:val="20"/>
                <w:szCs w:val="20"/>
                <w:color w:val="auto"/>
              </w:rPr>
            </w:pPr>
            <w:r>
              <w:rPr>
                <w:rFonts w:ascii="Arial" w:cs="Arial" w:eastAsia="Arial" w:hAnsi="Arial"/>
                <w:sz w:val="13"/>
                <w:szCs w:val="13"/>
                <w:color w:val="auto"/>
              </w:rPr>
              <w:t>—</w:t>
            </w:r>
          </w:p>
        </w:tc>
        <w:tc>
          <w:tcPr>
            <w:tcW w:w="260" w:type="dxa"/>
            <w:vAlign w:val="bottom"/>
            <w:shd w:val="clear" w:color="auto" w:fill="CFF0FC"/>
          </w:tcPr>
          <w:p>
            <w:pPr>
              <w:spacing w:after="0"/>
              <w:rPr>
                <w:sz w:val="15"/>
                <w:szCs w:val="15"/>
                <w:color w:val="auto"/>
              </w:rPr>
            </w:pPr>
          </w:p>
        </w:tc>
        <w:tc>
          <w:tcPr>
            <w:tcW w:w="100" w:type="dxa"/>
            <w:vAlign w:val="bottom"/>
            <w:shd w:val="clear" w:color="auto" w:fill="CFF0FC"/>
          </w:tcPr>
          <w:p>
            <w:pPr>
              <w:spacing w:after="0"/>
              <w:rPr>
                <w:sz w:val="15"/>
                <w:szCs w:val="15"/>
                <w:color w:val="auto"/>
              </w:rPr>
            </w:pPr>
          </w:p>
        </w:tc>
        <w:tc>
          <w:tcPr>
            <w:tcW w:w="860" w:type="dxa"/>
            <w:vAlign w:val="bottom"/>
            <w:shd w:val="clear" w:color="auto" w:fill="CFF0FC"/>
          </w:tcPr>
          <w:p>
            <w:pPr>
              <w:jc w:val="right"/>
              <w:spacing w:after="0"/>
              <w:rPr>
                <w:sz w:val="20"/>
                <w:szCs w:val="20"/>
                <w:color w:val="auto"/>
              </w:rPr>
            </w:pPr>
            <w:r>
              <w:rPr>
                <w:rFonts w:ascii="Arial" w:cs="Arial" w:eastAsia="Arial" w:hAnsi="Arial"/>
                <w:sz w:val="13"/>
                <w:szCs w:val="13"/>
                <w:color w:val="auto"/>
              </w:rPr>
              <w:t>—</w:t>
            </w:r>
          </w:p>
        </w:tc>
        <w:tc>
          <w:tcPr>
            <w:tcW w:w="220" w:type="dxa"/>
            <w:vAlign w:val="bottom"/>
            <w:shd w:val="clear" w:color="auto" w:fill="CFF0FC"/>
          </w:tcPr>
          <w:p>
            <w:pPr>
              <w:spacing w:after="0"/>
              <w:rPr>
                <w:sz w:val="15"/>
                <w:szCs w:val="15"/>
                <w:color w:val="auto"/>
              </w:rPr>
            </w:pPr>
          </w:p>
        </w:tc>
        <w:tc>
          <w:tcPr>
            <w:tcW w:w="100" w:type="dxa"/>
            <w:vAlign w:val="bottom"/>
            <w:shd w:val="clear" w:color="auto" w:fill="CFF0FC"/>
          </w:tcPr>
          <w:p>
            <w:pPr>
              <w:spacing w:after="0"/>
              <w:rPr>
                <w:sz w:val="15"/>
                <w:szCs w:val="15"/>
                <w:color w:val="auto"/>
              </w:rPr>
            </w:pPr>
          </w:p>
        </w:tc>
        <w:tc>
          <w:tcPr>
            <w:tcW w:w="1280" w:type="dxa"/>
            <w:vAlign w:val="bottom"/>
            <w:gridSpan w:val="2"/>
            <w:shd w:val="clear" w:color="auto" w:fill="CFF0FC"/>
          </w:tcPr>
          <w:p>
            <w:pPr>
              <w:jc w:val="right"/>
              <w:ind w:right="240"/>
              <w:spacing w:after="0"/>
              <w:rPr>
                <w:sz w:val="20"/>
                <w:szCs w:val="20"/>
                <w:color w:val="auto"/>
              </w:rPr>
            </w:pPr>
            <w:r>
              <w:rPr>
                <w:rFonts w:ascii="Arial" w:cs="Arial" w:eastAsia="Arial" w:hAnsi="Arial"/>
                <w:sz w:val="13"/>
                <w:szCs w:val="13"/>
                <w:color w:val="auto"/>
              </w:rPr>
              <w:t>—</w:t>
            </w:r>
          </w:p>
        </w:tc>
        <w:tc>
          <w:tcPr>
            <w:tcW w:w="100" w:type="dxa"/>
            <w:vAlign w:val="bottom"/>
            <w:shd w:val="clear" w:color="auto" w:fill="CFF0FC"/>
          </w:tcPr>
          <w:p>
            <w:pPr>
              <w:spacing w:after="0"/>
              <w:rPr>
                <w:sz w:val="15"/>
                <w:szCs w:val="15"/>
                <w:color w:val="auto"/>
              </w:rPr>
            </w:pPr>
          </w:p>
        </w:tc>
        <w:tc>
          <w:tcPr>
            <w:tcW w:w="1080" w:type="dxa"/>
            <w:vAlign w:val="bottom"/>
            <w:gridSpan w:val="2"/>
            <w:shd w:val="clear" w:color="auto" w:fill="CFF0FC"/>
          </w:tcPr>
          <w:p>
            <w:pPr>
              <w:jc w:val="right"/>
              <w:ind w:right="157"/>
              <w:spacing w:after="0"/>
              <w:rPr>
                <w:sz w:val="20"/>
                <w:szCs w:val="20"/>
                <w:color w:val="auto"/>
              </w:rPr>
            </w:pPr>
            <w:r>
              <w:rPr>
                <w:rFonts w:ascii="Arial" w:cs="Arial" w:eastAsia="Arial" w:hAnsi="Arial"/>
                <w:sz w:val="13"/>
                <w:szCs w:val="13"/>
                <w:color w:val="auto"/>
              </w:rPr>
              <w:t>—</w:t>
            </w:r>
          </w:p>
        </w:tc>
        <w:tc>
          <w:tcPr>
            <w:tcW w:w="100" w:type="dxa"/>
            <w:vAlign w:val="bottom"/>
            <w:shd w:val="clear" w:color="auto" w:fill="CFF0FC"/>
          </w:tcPr>
          <w:p>
            <w:pPr>
              <w:spacing w:after="0"/>
              <w:rPr>
                <w:sz w:val="15"/>
                <w:szCs w:val="15"/>
                <w:color w:val="auto"/>
              </w:rPr>
            </w:pPr>
          </w:p>
        </w:tc>
        <w:tc>
          <w:tcPr>
            <w:tcW w:w="1100" w:type="dxa"/>
            <w:vAlign w:val="bottom"/>
            <w:gridSpan w:val="2"/>
            <w:shd w:val="clear" w:color="auto" w:fill="CFF0FC"/>
          </w:tcPr>
          <w:p>
            <w:pPr>
              <w:jc w:val="right"/>
              <w:ind w:right="120"/>
              <w:spacing w:after="0"/>
              <w:rPr>
                <w:sz w:val="20"/>
                <w:szCs w:val="20"/>
                <w:color w:val="auto"/>
              </w:rPr>
            </w:pPr>
            <w:r>
              <w:rPr>
                <w:rFonts w:ascii="Arial" w:cs="Arial" w:eastAsia="Arial" w:hAnsi="Arial"/>
                <w:sz w:val="13"/>
                <w:szCs w:val="13"/>
                <w:color w:val="auto"/>
              </w:rPr>
              <w:t>—</w:t>
            </w:r>
          </w:p>
        </w:tc>
        <w:tc>
          <w:tcPr>
            <w:tcW w:w="0" w:type="dxa"/>
            <w:vAlign w:val="bottom"/>
          </w:tcPr>
          <w:p>
            <w:pPr>
              <w:spacing w:after="0"/>
              <w:rPr>
                <w:sz w:val="1"/>
                <w:szCs w:val="1"/>
                <w:color w:val="auto"/>
              </w:rPr>
            </w:pPr>
          </w:p>
        </w:tc>
      </w:tr>
      <w:tr>
        <w:trPr>
          <w:trHeight w:val="173"/>
        </w:trPr>
        <w:tc>
          <w:tcPr>
            <w:tcW w:w="2440" w:type="dxa"/>
            <w:vAlign w:val="bottom"/>
          </w:tcPr>
          <w:p>
            <w:pPr>
              <w:ind w:left="20"/>
              <w:spacing w:after="0"/>
              <w:rPr>
                <w:sz w:val="20"/>
                <w:szCs w:val="20"/>
                <w:color w:val="auto"/>
              </w:rPr>
            </w:pPr>
            <w:r>
              <w:rPr>
                <w:rFonts w:ascii="Arial" w:cs="Arial" w:eastAsia="Arial" w:hAnsi="Arial"/>
                <w:sz w:val="13"/>
                <w:szCs w:val="13"/>
                <w:color w:val="auto"/>
              </w:rPr>
              <w:t>Net loss</w:t>
            </w:r>
          </w:p>
        </w:tc>
        <w:tc>
          <w:tcPr>
            <w:tcW w:w="500" w:type="dxa"/>
            <w:vAlign w:val="bottom"/>
          </w:tcPr>
          <w:p>
            <w:pPr>
              <w:ind w:left="360"/>
              <w:spacing w:after="0"/>
              <w:rPr>
                <w:sz w:val="20"/>
                <w:szCs w:val="20"/>
                <w:color w:val="auto"/>
              </w:rPr>
            </w:pPr>
            <w:r>
              <w:rPr>
                <w:rFonts w:ascii="Arial" w:cs="Arial" w:eastAsia="Arial" w:hAnsi="Arial"/>
                <w:sz w:val="13"/>
                <w:szCs w:val="13"/>
                <w:color w:val="auto"/>
                <w:w w:val="91"/>
              </w:rPr>
              <w:t>—</w:t>
            </w:r>
          </w:p>
        </w:tc>
        <w:tc>
          <w:tcPr>
            <w:tcW w:w="2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700" w:type="dxa"/>
            <w:vAlign w:val="bottom"/>
          </w:tcPr>
          <w:p>
            <w:pPr>
              <w:ind w:left="560"/>
              <w:spacing w:after="0"/>
              <w:rPr>
                <w:sz w:val="20"/>
                <w:szCs w:val="20"/>
                <w:color w:val="auto"/>
              </w:rPr>
            </w:pPr>
            <w:r>
              <w:rPr>
                <w:rFonts w:ascii="Arial" w:cs="Arial" w:eastAsia="Arial" w:hAnsi="Arial"/>
                <w:sz w:val="13"/>
                <w:szCs w:val="13"/>
                <w:color w:val="auto"/>
                <w:w w:val="91"/>
              </w:rPr>
              <w:t>—</w:t>
            </w:r>
          </w:p>
        </w:tc>
        <w:tc>
          <w:tcPr>
            <w:tcW w:w="240" w:type="dxa"/>
            <w:vAlign w:val="bottom"/>
          </w:tcPr>
          <w:p>
            <w:pPr>
              <w:spacing w:after="0"/>
              <w:rPr>
                <w:sz w:val="15"/>
                <w:szCs w:val="15"/>
                <w:color w:val="auto"/>
              </w:rPr>
            </w:pPr>
          </w:p>
        </w:tc>
        <w:tc>
          <w:tcPr>
            <w:tcW w:w="720" w:type="dxa"/>
            <w:vAlign w:val="bottom"/>
          </w:tcPr>
          <w:p>
            <w:pPr>
              <w:jc w:val="right"/>
              <w:spacing w:after="0"/>
              <w:rPr>
                <w:sz w:val="20"/>
                <w:szCs w:val="20"/>
                <w:color w:val="auto"/>
              </w:rPr>
            </w:pPr>
            <w:r>
              <w:rPr>
                <w:rFonts w:ascii="Arial" w:cs="Arial" w:eastAsia="Arial" w:hAnsi="Arial"/>
                <w:sz w:val="13"/>
                <w:szCs w:val="13"/>
                <w:color w:val="auto"/>
              </w:rPr>
              <w:t>—</w:t>
            </w:r>
          </w:p>
        </w:tc>
        <w:tc>
          <w:tcPr>
            <w:tcW w:w="2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700" w:type="dxa"/>
            <w:vAlign w:val="bottom"/>
          </w:tcPr>
          <w:p>
            <w:pPr>
              <w:jc w:val="right"/>
              <w:spacing w:after="0"/>
              <w:rPr>
                <w:sz w:val="20"/>
                <w:szCs w:val="20"/>
                <w:color w:val="auto"/>
              </w:rPr>
            </w:pPr>
            <w:r>
              <w:rPr>
                <w:rFonts w:ascii="Arial" w:cs="Arial" w:eastAsia="Arial" w:hAnsi="Arial"/>
                <w:sz w:val="13"/>
                <w:szCs w:val="13"/>
                <w:color w:val="auto"/>
              </w:rPr>
              <w:t>—</w:t>
            </w:r>
          </w:p>
        </w:tc>
        <w:tc>
          <w:tcPr>
            <w:tcW w:w="2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860" w:type="dxa"/>
            <w:vAlign w:val="bottom"/>
          </w:tcPr>
          <w:p>
            <w:pPr>
              <w:jc w:val="right"/>
              <w:spacing w:after="0"/>
              <w:rPr>
                <w:sz w:val="20"/>
                <w:szCs w:val="20"/>
                <w:color w:val="auto"/>
              </w:rPr>
            </w:pPr>
            <w:r>
              <w:rPr>
                <w:rFonts w:ascii="Arial" w:cs="Arial" w:eastAsia="Arial" w:hAnsi="Arial"/>
                <w:sz w:val="13"/>
                <w:szCs w:val="13"/>
                <w:color w:val="auto"/>
              </w:rPr>
              <w:t>—</w:t>
            </w:r>
          </w:p>
        </w:tc>
        <w:tc>
          <w:tcPr>
            <w:tcW w:w="2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060" w:type="dxa"/>
            <w:vAlign w:val="bottom"/>
          </w:tcPr>
          <w:p>
            <w:pPr>
              <w:jc w:val="right"/>
              <w:spacing w:after="0"/>
              <w:rPr>
                <w:sz w:val="20"/>
                <w:szCs w:val="20"/>
                <w:color w:val="auto"/>
              </w:rPr>
            </w:pPr>
            <w:r>
              <w:rPr>
                <w:rFonts w:ascii="Arial" w:cs="Arial" w:eastAsia="Arial" w:hAnsi="Arial"/>
                <w:sz w:val="13"/>
                <w:szCs w:val="13"/>
                <w:color w:val="auto"/>
              </w:rPr>
              <w:t>—</w:t>
            </w:r>
          </w:p>
        </w:tc>
        <w:tc>
          <w:tcPr>
            <w:tcW w:w="2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080" w:type="dxa"/>
            <w:vAlign w:val="bottom"/>
            <w:gridSpan w:val="2"/>
          </w:tcPr>
          <w:p>
            <w:pPr>
              <w:jc w:val="right"/>
              <w:ind w:right="97"/>
              <w:spacing w:after="0"/>
              <w:rPr>
                <w:sz w:val="20"/>
                <w:szCs w:val="20"/>
                <w:color w:val="auto"/>
              </w:rPr>
            </w:pPr>
            <w:r>
              <w:rPr>
                <w:rFonts w:ascii="Arial" w:cs="Arial" w:eastAsia="Arial" w:hAnsi="Arial"/>
                <w:sz w:val="13"/>
                <w:szCs w:val="13"/>
                <w:color w:val="auto"/>
              </w:rPr>
              <w:t>(24,568 )</w:t>
            </w:r>
          </w:p>
        </w:tc>
        <w:tc>
          <w:tcPr>
            <w:tcW w:w="100" w:type="dxa"/>
            <w:vAlign w:val="bottom"/>
          </w:tcPr>
          <w:p>
            <w:pPr>
              <w:spacing w:after="0"/>
              <w:rPr>
                <w:sz w:val="15"/>
                <w:szCs w:val="15"/>
                <w:color w:val="auto"/>
              </w:rPr>
            </w:pPr>
          </w:p>
        </w:tc>
        <w:tc>
          <w:tcPr>
            <w:tcW w:w="1100" w:type="dxa"/>
            <w:vAlign w:val="bottom"/>
            <w:gridSpan w:val="2"/>
          </w:tcPr>
          <w:p>
            <w:pPr>
              <w:jc w:val="right"/>
              <w:ind w:right="60"/>
              <w:spacing w:after="0"/>
              <w:rPr>
                <w:sz w:val="20"/>
                <w:szCs w:val="20"/>
                <w:color w:val="auto"/>
              </w:rPr>
            </w:pPr>
            <w:r>
              <w:rPr>
                <w:rFonts w:ascii="Arial" w:cs="Arial" w:eastAsia="Arial" w:hAnsi="Arial"/>
                <w:sz w:val="13"/>
                <w:szCs w:val="13"/>
                <w:color w:val="auto"/>
              </w:rPr>
              <w:t>(24,568 )</w:t>
            </w:r>
          </w:p>
        </w:tc>
        <w:tc>
          <w:tcPr>
            <w:tcW w:w="0" w:type="dxa"/>
            <w:vAlign w:val="bottom"/>
          </w:tcPr>
          <w:p>
            <w:pPr>
              <w:spacing w:after="0"/>
              <w:rPr>
                <w:sz w:val="1"/>
                <w:szCs w:val="1"/>
                <w:color w:val="auto"/>
              </w:rPr>
            </w:pPr>
          </w:p>
        </w:tc>
      </w:tr>
      <w:tr>
        <w:trPr>
          <w:trHeight w:val="20"/>
        </w:trPr>
        <w:tc>
          <w:tcPr>
            <w:tcW w:w="2440" w:type="dxa"/>
            <w:vAlign w:val="bottom"/>
          </w:tcPr>
          <w:p>
            <w:pPr>
              <w:spacing w:after="0" w:line="20" w:lineRule="exact"/>
              <w:rPr>
                <w:sz w:val="1"/>
                <w:szCs w:val="1"/>
                <w:color w:val="auto"/>
              </w:rPr>
            </w:pPr>
          </w:p>
        </w:tc>
        <w:tc>
          <w:tcPr>
            <w:tcW w:w="500" w:type="dxa"/>
            <w:vAlign w:val="bottom"/>
            <w:shd w:val="clear" w:color="auto" w:fill="000000"/>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700" w:type="dxa"/>
            <w:vAlign w:val="bottom"/>
            <w:shd w:val="clear" w:color="auto" w:fill="000000"/>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720" w:type="dxa"/>
            <w:vAlign w:val="bottom"/>
            <w:shd w:val="clear" w:color="auto" w:fill="000000"/>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700" w:type="dxa"/>
            <w:vAlign w:val="bottom"/>
            <w:shd w:val="clear" w:color="auto" w:fill="000000"/>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86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106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86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100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32"/>
        </w:trPr>
        <w:tc>
          <w:tcPr>
            <w:tcW w:w="2440" w:type="dxa"/>
            <w:vAlign w:val="bottom"/>
            <w:shd w:val="clear" w:color="auto" w:fill="CFF0FC"/>
          </w:tcPr>
          <w:p>
            <w:pPr>
              <w:ind w:left="20"/>
              <w:spacing w:after="0"/>
              <w:rPr>
                <w:sz w:val="20"/>
                <w:szCs w:val="20"/>
                <w:color w:val="auto"/>
              </w:rPr>
            </w:pPr>
            <w:r>
              <w:rPr>
                <w:rFonts w:ascii="Arial" w:cs="Arial" w:eastAsia="Arial" w:hAnsi="Arial"/>
                <w:sz w:val="13"/>
                <w:szCs w:val="13"/>
                <w:color w:val="auto"/>
              </w:rPr>
              <w:t>Balance at June 30, 2022</w:t>
            </w:r>
          </w:p>
        </w:tc>
        <w:tc>
          <w:tcPr>
            <w:tcW w:w="500" w:type="dxa"/>
            <w:vAlign w:val="bottom"/>
            <w:shd w:val="clear" w:color="auto" w:fill="CFF0FC"/>
          </w:tcPr>
          <w:p>
            <w:pPr>
              <w:ind w:left="360"/>
              <w:spacing w:after="0"/>
              <w:rPr>
                <w:sz w:val="20"/>
                <w:szCs w:val="20"/>
                <w:color w:val="auto"/>
              </w:rPr>
            </w:pPr>
            <w:r>
              <w:rPr>
                <w:rFonts w:ascii="Arial" w:cs="Arial" w:eastAsia="Arial" w:hAnsi="Arial"/>
                <w:sz w:val="13"/>
                <w:szCs w:val="13"/>
                <w:color w:val="auto"/>
                <w:w w:val="91"/>
              </w:rPr>
              <w:t>—</w:t>
            </w:r>
          </w:p>
        </w:tc>
        <w:tc>
          <w:tcPr>
            <w:tcW w:w="260" w:type="dxa"/>
            <w:vAlign w:val="bottom"/>
            <w:shd w:val="clear" w:color="auto" w:fill="CFF0FC"/>
          </w:tcPr>
          <w:p>
            <w:pPr>
              <w:spacing w:after="0"/>
              <w:rPr>
                <w:sz w:val="24"/>
                <w:szCs w:val="24"/>
                <w:color w:val="auto"/>
              </w:rPr>
            </w:pPr>
          </w:p>
        </w:tc>
        <w:tc>
          <w:tcPr>
            <w:tcW w:w="120" w:type="dxa"/>
            <w:vAlign w:val="bottom"/>
            <w:shd w:val="clear" w:color="auto" w:fill="CFF0FC"/>
          </w:tcPr>
          <w:p>
            <w:pPr>
              <w:jc w:val="right"/>
              <w:spacing w:after="0"/>
              <w:rPr>
                <w:sz w:val="20"/>
                <w:szCs w:val="20"/>
                <w:color w:val="auto"/>
              </w:rPr>
            </w:pPr>
            <w:r>
              <w:rPr>
                <w:rFonts w:ascii="Arial" w:cs="Arial" w:eastAsia="Arial" w:hAnsi="Arial"/>
                <w:sz w:val="13"/>
                <w:szCs w:val="13"/>
                <w:color w:val="auto"/>
              </w:rPr>
              <w:t>$</w:t>
            </w:r>
          </w:p>
        </w:tc>
        <w:tc>
          <w:tcPr>
            <w:tcW w:w="700" w:type="dxa"/>
            <w:vAlign w:val="bottom"/>
            <w:shd w:val="clear" w:color="auto" w:fill="CFF0FC"/>
          </w:tcPr>
          <w:p>
            <w:pPr>
              <w:ind w:left="560"/>
              <w:spacing w:after="0"/>
              <w:rPr>
                <w:sz w:val="20"/>
                <w:szCs w:val="20"/>
                <w:color w:val="auto"/>
              </w:rPr>
            </w:pPr>
            <w:r>
              <w:rPr>
                <w:rFonts w:ascii="Arial" w:cs="Arial" w:eastAsia="Arial" w:hAnsi="Arial"/>
                <w:sz w:val="13"/>
                <w:szCs w:val="13"/>
                <w:color w:val="auto"/>
                <w:w w:val="91"/>
              </w:rPr>
              <w:t>—</w:t>
            </w:r>
          </w:p>
        </w:tc>
        <w:tc>
          <w:tcPr>
            <w:tcW w:w="240" w:type="dxa"/>
            <w:vAlign w:val="bottom"/>
            <w:shd w:val="clear" w:color="auto" w:fill="CFF0FC"/>
          </w:tcPr>
          <w:p>
            <w:pPr>
              <w:spacing w:after="0"/>
              <w:rPr>
                <w:sz w:val="24"/>
                <w:szCs w:val="24"/>
                <w:color w:val="auto"/>
              </w:rPr>
            </w:pPr>
          </w:p>
        </w:tc>
        <w:tc>
          <w:tcPr>
            <w:tcW w:w="720" w:type="dxa"/>
            <w:vAlign w:val="bottom"/>
            <w:shd w:val="clear" w:color="auto" w:fill="CFF0FC"/>
          </w:tcPr>
          <w:p>
            <w:pPr>
              <w:jc w:val="right"/>
              <w:spacing w:after="0"/>
              <w:rPr>
                <w:sz w:val="20"/>
                <w:szCs w:val="20"/>
                <w:color w:val="auto"/>
              </w:rPr>
            </w:pPr>
            <w:r>
              <w:rPr>
                <w:rFonts w:ascii="Arial" w:cs="Arial" w:eastAsia="Arial" w:hAnsi="Arial"/>
                <w:sz w:val="13"/>
                <w:szCs w:val="13"/>
                <w:color w:val="auto"/>
              </w:rPr>
              <w:t>112,294</w:t>
            </w:r>
          </w:p>
        </w:tc>
        <w:tc>
          <w:tcPr>
            <w:tcW w:w="240" w:type="dxa"/>
            <w:vAlign w:val="bottom"/>
            <w:shd w:val="clear" w:color="auto" w:fill="CFF0FC"/>
          </w:tcPr>
          <w:p>
            <w:pPr>
              <w:spacing w:after="0"/>
              <w:rPr>
                <w:sz w:val="24"/>
                <w:szCs w:val="24"/>
                <w:color w:val="auto"/>
              </w:rPr>
            </w:pPr>
          </w:p>
        </w:tc>
        <w:tc>
          <w:tcPr>
            <w:tcW w:w="120" w:type="dxa"/>
            <w:vAlign w:val="bottom"/>
            <w:shd w:val="clear" w:color="auto" w:fill="CFF0FC"/>
          </w:tcPr>
          <w:p>
            <w:pPr>
              <w:jc w:val="right"/>
              <w:spacing w:after="0"/>
              <w:rPr>
                <w:sz w:val="20"/>
                <w:szCs w:val="20"/>
                <w:color w:val="auto"/>
              </w:rPr>
            </w:pPr>
            <w:r>
              <w:rPr>
                <w:rFonts w:ascii="Arial" w:cs="Arial" w:eastAsia="Arial" w:hAnsi="Arial"/>
                <w:sz w:val="13"/>
                <w:szCs w:val="13"/>
                <w:color w:val="auto"/>
              </w:rPr>
              <w:t>$</w:t>
            </w:r>
          </w:p>
        </w:tc>
        <w:tc>
          <w:tcPr>
            <w:tcW w:w="700" w:type="dxa"/>
            <w:vAlign w:val="bottom"/>
            <w:shd w:val="clear" w:color="auto" w:fill="CFF0FC"/>
          </w:tcPr>
          <w:p>
            <w:pPr>
              <w:jc w:val="right"/>
              <w:spacing w:after="0"/>
              <w:rPr>
                <w:sz w:val="20"/>
                <w:szCs w:val="20"/>
                <w:color w:val="auto"/>
              </w:rPr>
            </w:pPr>
            <w:r>
              <w:rPr>
                <w:rFonts w:ascii="Arial" w:cs="Arial" w:eastAsia="Arial" w:hAnsi="Arial"/>
                <w:sz w:val="13"/>
                <w:szCs w:val="13"/>
                <w:color w:val="auto"/>
              </w:rPr>
              <w:t>1</w:t>
            </w:r>
          </w:p>
        </w:tc>
        <w:tc>
          <w:tcPr>
            <w:tcW w:w="260" w:type="dxa"/>
            <w:vAlign w:val="bottom"/>
            <w:shd w:val="clear" w:color="auto" w:fill="CFF0FC"/>
          </w:tcPr>
          <w:p>
            <w:pPr>
              <w:spacing w:after="0"/>
              <w:rPr>
                <w:sz w:val="24"/>
                <w:szCs w:val="24"/>
                <w:color w:val="auto"/>
              </w:rPr>
            </w:pPr>
          </w:p>
        </w:tc>
        <w:tc>
          <w:tcPr>
            <w:tcW w:w="100" w:type="dxa"/>
            <w:vAlign w:val="bottom"/>
            <w:shd w:val="clear" w:color="auto" w:fill="CFF0FC"/>
          </w:tcPr>
          <w:p>
            <w:pPr>
              <w:jc w:val="right"/>
              <w:spacing w:after="0"/>
              <w:rPr>
                <w:sz w:val="20"/>
                <w:szCs w:val="20"/>
                <w:color w:val="auto"/>
              </w:rPr>
            </w:pPr>
            <w:r>
              <w:rPr>
                <w:rFonts w:ascii="Arial" w:cs="Arial" w:eastAsia="Arial" w:hAnsi="Arial"/>
                <w:sz w:val="10"/>
                <w:szCs w:val="10"/>
                <w:color w:val="auto"/>
                <w:w w:val="71"/>
              </w:rPr>
              <w:t>$</w:t>
            </w:r>
          </w:p>
        </w:tc>
        <w:tc>
          <w:tcPr>
            <w:tcW w:w="860" w:type="dxa"/>
            <w:vAlign w:val="bottom"/>
            <w:shd w:val="clear" w:color="auto" w:fill="CFF0FC"/>
          </w:tcPr>
          <w:p>
            <w:pPr>
              <w:jc w:val="right"/>
              <w:spacing w:after="0"/>
              <w:rPr>
                <w:sz w:val="20"/>
                <w:szCs w:val="20"/>
                <w:color w:val="auto"/>
              </w:rPr>
            </w:pPr>
            <w:r>
              <w:rPr>
                <w:rFonts w:ascii="Arial" w:cs="Arial" w:eastAsia="Arial" w:hAnsi="Arial"/>
                <w:sz w:val="13"/>
                <w:szCs w:val="13"/>
                <w:color w:val="auto"/>
              </w:rPr>
              <w:t>524,632</w:t>
            </w:r>
          </w:p>
        </w:tc>
        <w:tc>
          <w:tcPr>
            <w:tcW w:w="220" w:type="dxa"/>
            <w:vAlign w:val="bottom"/>
            <w:shd w:val="clear" w:color="auto" w:fill="CFF0FC"/>
          </w:tcPr>
          <w:p>
            <w:pPr>
              <w:spacing w:after="0"/>
              <w:rPr>
                <w:sz w:val="24"/>
                <w:szCs w:val="24"/>
                <w:color w:val="auto"/>
              </w:rPr>
            </w:pPr>
          </w:p>
        </w:tc>
        <w:tc>
          <w:tcPr>
            <w:tcW w:w="100" w:type="dxa"/>
            <w:vAlign w:val="bottom"/>
            <w:shd w:val="clear" w:color="auto" w:fill="CFF0FC"/>
          </w:tcPr>
          <w:p>
            <w:pPr>
              <w:jc w:val="right"/>
              <w:spacing w:after="0"/>
              <w:rPr>
                <w:sz w:val="20"/>
                <w:szCs w:val="20"/>
                <w:color w:val="auto"/>
              </w:rPr>
            </w:pPr>
            <w:r>
              <w:rPr>
                <w:rFonts w:ascii="Arial" w:cs="Arial" w:eastAsia="Arial" w:hAnsi="Arial"/>
                <w:sz w:val="13"/>
                <w:szCs w:val="13"/>
                <w:color w:val="auto"/>
                <w:w w:val="82"/>
              </w:rPr>
              <w:t>$</w:t>
            </w:r>
          </w:p>
        </w:tc>
        <w:tc>
          <w:tcPr>
            <w:tcW w:w="1060" w:type="dxa"/>
            <w:vAlign w:val="bottom"/>
            <w:shd w:val="clear" w:color="auto" w:fill="CFF0FC"/>
          </w:tcPr>
          <w:p>
            <w:pPr>
              <w:jc w:val="right"/>
              <w:spacing w:after="0"/>
              <w:rPr>
                <w:sz w:val="20"/>
                <w:szCs w:val="20"/>
                <w:color w:val="auto"/>
              </w:rPr>
            </w:pPr>
            <w:r>
              <w:rPr>
                <w:rFonts w:ascii="Arial" w:cs="Arial" w:eastAsia="Arial" w:hAnsi="Arial"/>
                <w:sz w:val="13"/>
                <w:szCs w:val="13"/>
                <w:color w:val="auto"/>
              </w:rPr>
              <w:t>—</w:t>
            </w:r>
          </w:p>
        </w:tc>
        <w:tc>
          <w:tcPr>
            <w:tcW w:w="220" w:type="dxa"/>
            <w:vAlign w:val="bottom"/>
            <w:shd w:val="clear" w:color="auto" w:fill="CFF0FC"/>
          </w:tcPr>
          <w:p>
            <w:pPr>
              <w:spacing w:after="0"/>
              <w:rPr>
                <w:sz w:val="24"/>
                <w:szCs w:val="24"/>
                <w:color w:val="auto"/>
              </w:rPr>
            </w:pPr>
          </w:p>
        </w:tc>
        <w:tc>
          <w:tcPr>
            <w:tcW w:w="100" w:type="dxa"/>
            <w:vAlign w:val="bottom"/>
            <w:shd w:val="clear" w:color="auto" w:fill="CFF0FC"/>
          </w:tcPr>
          <w:p>
            <w:pPr>
              <w:jc w:val="right"/>
              <w:spacing w:after="0"/>
              <w:rPr>
                <w:sz w:val="20"/>
                <w:szCs w:val="20"/>
                <w:color w:val="auto"/>
              </w:rPr>
            </w:pPr>
            <w:r>
              <w:rPr>
                <w:rFonts w:ascii="Arial" w:cs="Arial" w:eastAsia="Arial" w:hAnsi="Arial"/>
                <w:sz w:val="10"/>
                <w:szCs w:val="10"/>
                <w:color w:val="auto"/>
                <w:w w:val="71"/>
              </w:rPr>
              <w:t>$</w:t>
            </w:r>
          </w:p>
        </w:tc>
        <w:tc>
          <w:tcPr>
            <w:tcW w:w="1080" w:type="dxa"/>
            <w:vAlign w:val="bottom"/>
            <w:gridSpan w:val="2"/>
            <w:shd w:val="clear" w:color="auto" w:fill="CFF0FC"/>
          </w:tcPr>
          <w:p>
            <w:pPr>
              <w:jc w:val="right"/>
              <w:ind w:right="97"/>
              <w:spacing w:after="0"/>
              <w:rPr>
                <w:sz w:val="20"/>
                <w:szCs w:val="20"/>
                <w:color w:val="auto"/>
              </w:rPr>
            </w:pPr>
            <w:r>
              <w:rPr>
                <w:rFonts w:ascii="Arial" w:cs="Arial" w:eastAsia="Arial" w:hAnsi="Arial"/>
                <w:sz w:val="13"/>
                <w:szCs w:val="13"/>
                <w:color w:val="auto"/>
              </w:rPr>
              <w:t>(226,579 )</w:t>
            </w:r>
          </w:p>
        </w:tc>
        <w:tc>
          <w:tcPr>
            <w:tcW w:w="100" w:type="dxa"/>
            <w:vAlign w:val="bottom"/>
            <w:shd w:val="clear" w:color="auto" w:fill="CFF0FC"/>
          </w:tcPr>
          <w:p>
            <w:pPr>
              <w:jc w:val="right"/>
              <w:spacing w:after="0"/>
              <w:rPr>
                <w:sz w:val="20"/>
                <w:szCs w:val="20"/>
                <w:color w:val="auto"/>
              </w:rPr>
            </w:pPr>
            <w:r>
              <w:rPr>
                <w:rFonts w:ascii="Arial" w:cs="Arial" w:eastAsia="Arial" w:hAnsi="Arial"/>
                <w:sz w:val="13"/>
                <w:szCs w:val="13"/>
                <w:color w:val="auto"/>
                <w:w w:val="82"/>
              </w:rPr>
              <w:t>$</w:t>
            </w:r>
          </w:p>
        </w:tc>
        <w:tc>
          <w:tcPr>
            <w:tcW w:w="1000" w:type="dxa"/>
            <w:vAlign w:val="bottom"/>
            <w:shd w:val="clear" w:color="auto" w:fill="CFF0FC"/>
          </w:tcPr>
          <w:p>
            <w:pPr>
              <w:jc w:val="right"/>
              <w:spacing w:after="0"/>
              <w:rPr>
                <w:sz w:val="20"/>
                <w:szCs w:val="20"/>
                <w:color w:val="auto"/>
              </w:rPr>
            </w:pPr>
            <w:r>
              <w:rPr>
                <w:rFonts w:ascii="Arial" w:cs="Arial" w:eastAsia="Arial" w:hAnsi="Arial"/>
                <w:sz w:val="13"/>
                <w:szCs w:val="13"/>
                <w:color w:val="auto"/>
              </w:rPr>
              <w:t>298,054</w:t>
            </w:r>
          </w:p>
        </w:tc>
        <w:tc>
          <w:tcPr>
            <w:tcW w:w="100" w:type="dxa"/>
            <w:vAlign w:val="bottom"/>
            <w:shd w:val="clear" w:color="auto" w:fill="CFF0FC"/>
          </w:tcPr>
          <w:p>
            <w:pPr>
              <w:spacing w:after="0"/>
              <w:rPr>
                <w:sz w:val="24"/>
                <w:szCs w:val="24"/>
                <w:color w:val="auto"/>
              </w:rPr>
            </w:pPr>
          </w:p>
        </w:tc>
        <w:tc>
          <w:tcPr>
            <w:tcW w:w="0" w:type="dxa"/>
            <w:vAlign w:val="bottom"/>
          </w:tcPr>
          <w:p>
            <w:pPr>
              <w:spacing w:after="0"/>
              <w:rPr>
                <w:sz w:val="1"/>
                <w:szCs w:val="1"/>
                <w:color w:val="auto"/>
              </w:rPr>
            </w:pPr>
          </w:p>
        </w:tc>
      </w:tr>
      <w:tr>
        <w:trPr>
          <w:trHeight w:val="147"/>
        </w:trPr>
        <w:tc>
          <w:tcPr>
            <w:tcW w:w="2440" w:type="dxa"/>
            <w:vAlign w:val="bottom"/>
            <w:tcBorders>
              <w:top w:val="single" w:sz="8" w:color="CFF0FC"/>
            </w:tcBorders>
          </w:tcPr>
          <w:p>
            <w:pPr>
              <w:ind w:left="20"/>
              <w:spacing w:after="0" w:line="148" w:lineRule="exact"/>
              <w:rPr>
                <w:sz w:val="20"/>
                <w:szCs w:val="20"/>
                <w:color w:val="auto"/>
              </w:rPr>
            </w:pPr>
            <w:r>
              <w:rPr>
                <w:rFonts w:ascii="Arial" w:cs="Arial" w:eastAsia="Arial" w:hAnsi="Arial"/>
                <w:sz w:val="13"/>
                <w:szCs w:val="13"/>
                <w:color w:val="auto"/>
              </w:rPr>
              <w:t>Stock-based compensation expense</w:t>
            </w:r>
          </w:p>
        </w:tc>
        <w:tc>
          <w:tcPr>
            <w:tcW w:w="500" w:type="dxa"/>
            <w:vAlign w:val="bottom"/>
            <w:tcBorders>
              <w:top w:val="single" w:sz="8" w:color="auto"/>
            </w:tcBorders>
          </w:tcPr>
          <w:p>
            <w:pPr>
              <w:ind w:left="360"/>
              <w:spacing w:after="0" w:line="148" w:lineRule="exact"/>
              <w:rPr>
                <w:sz w:val="20"/>
                <w:szCs w:val="20"/>
                <w:color w:val="auto"/>
              </w:rPr>
            </w:pPr>
            <w:r>
              <w:rPr>
                <w:rFonts w:ascii="Arial" w:cs="Arial" w:eastAsia="Arial" w:hAnsi="Arial"/>
                <w:sz w:val="13"/>
                <w:szCs w:val="13"/>
                <w:color w:val="auto"/>
                <w:w w:val="91"/>
              </w:rPr>
              <w:t>—</w:t>
            </w:r>
          </w:p>
        </w:tc>
        <w:tc>
          <w:tcPr>
            <w:tcW w:w="260" w:type="dxa"/>
            <w:vAlign w:val="bottom"/>
            <w:tcBorders>
              <w:top w:val="single" w:sz="8" w:color="CFF0FC"/>
            </w:tcBorders>
          </w:tcPr>
          <w:p>
            <w:pPr>
              <w:spacing w:after="0"/>
              <w:rPr>
                <w:sz w:val="12"/>
                <w:szCs w:val="12"/>
                <w:color w:val="auto"/>
              </w:rPr>
            </w:pPr>
          </w:p>
        </w:tc>
        <w:tc>
          <w:tcPr>
            <w:tcW w:w="120" w:type="dxa"/>
            <w:vAlign w:val="bottom"/>
            <w:tcBorders>
              <w:top w:val="single" w:sz="8" w:color="auto"/>
            </w:tcBorders>
          </w:tcPr>
          <w:p>
            <w:pPr>
              <w:spacing w:after="0"/>
              <w:rPr>
                <w:sz w:val="12"/>
                <w:szCs w:val="12"/>
                <w:color w:val="auto"/>
              </w:rPr>
            </w:pPr>
          </w:p>
        </w:tc>
        <w:tc>
          <w:tcPr>
            <w:tcW w:w="700" w:type="dxa"/>
            <w:vAlign w:val="bottom"/>
            <w:tcBorders>
              <w:top w:val="single" w:sz="8" w:color="auto"/>
            </w:tcBorders>
          </w:tcPr>
          <w:p>
            <w:pPr>
              <w:ind w:left="560"/>
              <w:spacing w:after="0" w:line="148" w:lineRule="exact"/>
              <w:rPr>
                <w:sz w:val="20"/>
                <w:szCs w:val="20"/>
                <w:color w:val="auto"/>
              </w:rPr>
            </w:pPr>
            <w:r>
              <w:rPr>
                <w:rFonts w:ascii="Arial" w:cs="Arial" w:eastAsia="Arial" w:hAnsi="Arial"/>
                <w:sz w:val="13"/>
                <w:szCs w:val="13"/>
                <w:color w:val="auto"/>
                <w:w w:val="91"/>
              </w:rPr>
              <w:t>—</w:t>
            </w:r>
          </w:p>
        </w:tc>
        <w:tc>
          <w:tcPr>
            <w:tcW w:w="240" w:type="dxa"/>
            <w:vAlign w:val="bottom"/>
            <w:tcBorders>
              <w:top w:val="single" w:sz="8" w:color="CFF0FC"/>
            </w:tcBorders>
          </w:tcPr>
          <w:p>
            <w:pPr>
              <w:spacing w:after="0"/>
              <w:rPr>
                <w:sz w:val="12"/>
                <w:szCs w:val="12"/>
                <w:color w:val="auto"/>
              </w:rPr>
            </w:pPr>
          </w:p>
        </w:tc>
        <w:tc>
          <w:tcPr>
            <w:tcW w:w="720" w:type="dxa"/>
            <w:vAlign w:val="bottom"/>
            <w:tcBorders>
              <w:top w:val="single" w:sz="8" w:color="auto"/>
            </w:tcBorders>
          </w:tcPr>
          <w:p>
            <w:pPr>
              <w:jc w:val="right"/>
              <w:spacing w:after="0" w:line="148" w:lineRule="exact"/>
              <w:rPr>
                <w:sz w:val="20"/>
                <w:szCs w:val="20"/>
                <w:color w:val="auto"/>
              </w:rPr>
            </w:pPr>
            <w:r>
              <w:rPr>
                <w:rFonts w:ascii="Arial" w:cs="Arial" w:eastAsia="Arial" w:hAnsi="Arial"/>
                <w:sz w:val="13"/>
                <w:szCs w:val="13"/>
                <w:color w:val="auto"/>
              </w:rPr>
              <w:t>—</w:t>
            </w:r>
          </w:p>
        </w:tc>
        <w:tc>
          <w:tcPr>
            <w:tcW w:w="240" w:type="dxa"/>
            <w:vAlign w:val="bottom"/>
            <w:tcBorders>
              <w:top w:val="single" w:sz="8" w:color="CFF0FC"/>
            </w:tcBorders>
          </w:tcPr>
          <w:p>
            <w:pPr>
              <w:spacing w:after="0"/>
              <w:rPr>
                <w:sz w:val="12"/>
                <w:szCs w:val="12"/>
                <w:color w:val="auto"/>
              </w:rPr>
            </w:pPr>
          </w:p>
        </w:tc>
        <w:tc>
          <w:tcPr>
            <w:tcW w:w="120" w:type="dxa"/>
            <w:vAlign w:val="bottom"/>
            <w:tcBorders>
              <w:top w:val="single" w:sz="8" w:color="auto"/>
            </w:tcBorders>
          </w:tcPr>
          <w:p>
            <w:pPr>
              <w:spacing w:after="0"/>
              <w:rPr>
                <w:sz w:val="12"/>
                <w:szCs w:val="12"/>
                <w:color w:val="auto"/>
              </w:rPr>
            </w:pPr>
          </w:p>
        </w:tc>
        <w:tc>
          <w:tcPr>
            <w:tcW w:w="700" w:type="dxa"/>
            <w:vAlign w:val="bottom"/>
            <w:tcBorders>
              <w:top w:val="single" w:sz="8" w:color="auto"/>
            </w:tcBorders>
          </w:tcPr>
          <w:p>
            <w:pPr>
              <w:jc w:val="right"/>
              <w:spacing w:after="0" w:line="148" w:lineRule="exact"/>
              <w:rPr>
                <w:sz w:val="20"/>
                <w:szCs w:val="20"/>
                <w:color w:val="auto"/>
              </w:rPr>
            </w:pPr>
            <w:r>
              <w:rPr>
                <w:rFonts w:ascii="Arial" w:cs="Arial" w:eastAsia="Arial" w:hAnsi="Arial"/>
                <w:sz w:val="13"/>
                <w:szCs w:val="13"/>
                <w:color w:val="auto"/>
              </w:rPr>
              <w:t>—</w:t>
            </w:r>
          </w:p>
        </w:tc>
        <w:tc>
          <w:tcPr>
            <w:tcW w:w="260" w:type="dxa"/>
            <w:vAlign w:val="bottom"/>
            <w:tcBorders>
              <w:top w:val="single" w:sz="8" w:color="CFF0FC"/>
            </w:tcBorders>
          </w:tcPr>
          <w:p>
            <w:pPr>
              <w:spacing w:after="0"/>
              <w:rPr>
                <w:sz w:val="12"/>
                <w:szCs w:val="12"/>
                <w:color w:val="auto"/>
              </w:rPr>
            </w:pPr>
          </w:p>
        </w:tc>
        <w:tc>
          <w:tcPr>
            <w:tcW w:w="100" w:type="dxa"/>
            <w:vAlign w:val="bottom"/>
            <w:tcBorders>
              <w:top w:val="single" w:sz="8" w:color="auto"/>
            </w:tcBorders>
          </w:tcPr>
          <w:p>
            <w:pPr>
              <w:spacing w:after="0"/>
              <w:rPr>
                <w:sz w:val="12"/>
                <w:szCs w:val="12"/>
                <w:color w:val="auto"/>
              </w:rPr>
            </w:pPr>
          </w:p>
        </w:tc>
        <w:tc>
          <w:tcPr>
            <w:tcW w:w="860" w:type="dxa"/>
            <w:vAlign w:val="bottom"/>
            <w:tcBorders>
              <w:top w:val="single" w:sz="8" w:color="auto"/>
            </w:tcBorders>
          </w:tcPr>
          <w:p>
            <w:pPr>
              <w:jc w:val="right"/>
              <w:spacing w:after="0" w:line="148" w:lineRule="exact"/>
              <w:rPr>
                <w:sz w:val="20"/>
                <w:szCs w:val="20"/>
                <w:color w:val="auto"/>
              </w:rPr>
            </w:pPr>
            <w:r>
              <w:rPr>
                <w:rFonts w:ascii="Arial" w:cs="Arial" w:eastAsia="Arial" w:hAnsi="Arial"/>
                <w:sz w:val="13"/>
                <w:szCs w:val="13"/>
                <w:color w:val="auto"/>
              </w:rPr>
              <w:t>18,701</w:t>
            </w:r>
          </w:p>
        </w:tc>
        <w:tc>
          <w:tcPr>
            <w:tcW w:w="220" w:type="dxa"/>
            <w:vAlign w:val="bottom"/>
            <w:tcBorders>
              <w:top w:val="single" w:sz="8" w:color="CFF0FC"/>
            </w:tcBorders>
          </w:tcPr>
          <w:p>
            <w:pPr>
              <w:spacing w:after="0"/>
              <w:rPr>
                <w:sz w:val="12"/>
                <w:szCs w:val="12"/>
                <w:color w:val="auto"/>
              </w:rPr>
            </w:pPr>
          </w:p>
        </w:tc>
        <w:tc>
          <w:tcPr>
            <w:tcW w:w="100" w:type="dxa"/>
            <w:vAlign w:val="bottom"/>
            <w:tcBorders>
              <w:top w:val="single" w:sz="8" w:color="auto"/>
            </w:tcBorders>
          </w:tcPr>
          <w:p>
            <w:pPr>
              <w:spacing w:after="0"/>
              <w:rPr>
                <w:sz w:val="12"/>
                <w:szCs w:val="12"/>
                <w:color w:val="auto"/>
              </w:rPr>
            </w:pPr>
          </w:p>
        </w:tc>
        <w:tc>
          <w:tcPr>
            <w:tcW w:w="1060" w:type="dxa"/>
            <w:vAlign w:val="bottom"/>
            <w:tcBorders>
              <w:top w:val="single" w:sz="8" w:color="auto"/>
            </w:tcBorders>
          </w:tcPr>
          <w:p>
            <w:pPr>
              <w:jc w:val="right"/>
              <w:spacing w:after="0" w:line="148" w:lineRule="exact"/>
              <w:rPr>
                <w:sz w:val="20"/>
                <w:szCs w:val="20"/>
                <w:color w:val="auto"/>
              </w:rPr>
            </w:pPr>
            <w:r>
              <w:rPr>
                <w:rFonts w:ascii="Arial" w:cs="Arial" w:eastAsia="Arial" w:hAnsi="Arial"/>
                <w:sz w:val="13"/>
                <w:szCs w:val="13"/>
                <w:color w:val="auto"/>
              </w:rPr>
              <w:t>—</w:t>
            </w:r>
          </w:p>
        </w:tc>
        <w:tc>
          <w:tcPr>
            <w:tcW w:w="220" w:type="dxa"/>
            <w:vAlign w:val="bottom"/>
            <w:tcBorders>
              <w:top w:val="single" w:sz="8" w:color="CFF0FC"/>
            </w:tcBorders>
          </w:tcPr>
          <w:p>
            <w:pPr>
              <w:spacing w:after="0"/>
              <w:rPr>
                <w:sz w:val="12"/>
                <w:szCs w:val="12"/>
                <w:color w:val="auto"/>
              </w:rPr>
            </w:pPr>
          </w:p>
        </w:tc>
        <w:tc>
          <w:tcPr>
            <w:tcW w:w="100" w:type="dxa"/>
            <w:vAlign w:val="bottom"/>
            <w:tcBorders>
              <w:top w:val="single" w:sz="8" w:color="auto"/>
            </w:tcBorders>
          </w:tcPr>
          <w:p>
            <w:pPr>
              <w:spacing w:after="0"/>
              <w:rPr>
                <w:sz w:val="12"/>
                <w:szCs w:val="12"/>
                <w:color w:val="auto"/>
              </w:rPr>
            </w:pPr>
          </w:p>
        </w:tc>
        <w:tc>
          <w:tcPr>
            <w:tcW w:w="860" w:type="dxa"/>
            <w:vAlign w:val="bottom"/>
            <w:tcBorders>
              <w:top w:val="single" w:sz="8" w:color="auto"/>
            </w:tcBorders>
          </w:tcPr>
          <w:p>
            <w:pPr>
              <w:jc w:val="right"/>
              <w:spacing w:after="0" w:line="148" w:lineRule="exact"/>
              <w:rPr>
                <w:sz w:val="20"/>
                <w:szCs w:val="20"/>
                <w:color w:val="auto"/>
              </w:rPr>
            </w:pPr>
            <w:r>
              <w:rPr>
                <w:rFonts w:ascii="Arial" w:cs="Arial" w:eastAsia="Arial" w:hAnsi="Arial"/>
                <w:sz w:val="13"/>
                <w:szCs w:val="13"/>
                <w:color w:val="auto"/>
              </w:rPr>
              <w:t>—</w:t>
            </w:r>
          </w:p>
        </w:tc>
        <w:tc>
          <w:tcPr>
            <w:tcW w:w="220" w:type="dxa"/>
            <w:vAlign w:val="bottom"/>
            <w:tcBorders>
              <w:top w:val="single" w:sz="8" w:color="CFF0FC"/>
            </w:tcBorders>
          </w:tcPr>
          <w:p>
            <w:pPr>
              <w:spacing w:after="0"/>
              <w:rPr>
                <w:sz w:val="12"/>
                <w:szCs w:val="12"/>
                <w:color w:val="auto"/>
              </w:rPr>
            </w:pPr>
          </w:p>
        </w:tc>
        <w:tc>
          <w:tcPr>
            <w:tcW w:w="100" w:type="dxa"/>
            <w:vAlign w:val="bottom"/>
            <w:tcBorders>
              <w:top w:val="single" w:sz="8" w:color="auto"/>
            </w:tcBorders>
          </w:tcPr>
          <w:p>
            <w:pPr>
              <w:spacing w:after="0"/>
              <w:rPr>
                <w:sz w:val="12"/>
                <w:szCs w:val="12"/>
                <w:color w:val="auto"/>
              </w:rPr>
            </w:pPr>
          </w:p>
        </w:tc>
        <w:tc>
          <w:tcPr>
            <w:tcW w:w="1000" w:type="dxa"/>
            <w:vAlign w:val="bottom"/>
            <w:tcBorders>
              <w:top w:val="single" w:sz="8" w:color="auto"/>
            </w:tcBorders>
          </w:tcPr>
          <w:p>
            <w:pPr>
              <w:jc w:val="right"/>
              <w:spacing w:after="0" w:line="148" w:lineRule="exact"/>
              <w:rPr>
                <w:sz w:val="20"/>
                <w:szCs w:val="20"/>
                <w:color w:val="auto"/>
              </w:rPr>
            </w:pPr>
            <w:r>
              <w:rPr>
                <w:rFonts w:ascii="Arial" w:cs="Arial" w:eastAsia="Arial" w:hAnsi="Arial"/>
                <w:sz w:val="13"/>
                <w:szCs w:val="13"/>
                <w:color w:val="auto"/>
              </w:rPr>
              <w:t>18,701</w:t>
            </w:r>
          </w:p>
        </w:tc>
        <w:tc>
          <w:tcPr>
            <w:tcW w:w="100" w:type="dxa"/>
            <w:vAlign w:val="bottom"/>
            <w:tcBorders>
              <w:top w:val="single" w:sz="8" w:color="CFF0FC"/>
            </w:tcBorders>
          </w:tcPr>
          <w:p>
            <w:pPr>
              <w:spacing w:after="0"/>
              <w:rPr>
                <w:sz w:val="12"/>
                <w:szCs w:val="12"/>
                <w:color w:val="auto"/>
              </w:rPr>
            </w:pPr>
          </w:p>
        </w:tc>
        <w:tc>
          <w:tcPr>
            <w:tcW w:w="0" w:type="dxa"/>
            <w:vAlign w:val="bottom"/>
          </w:tcPr>
          <w:p>
            <w:pPr>
              <w:spacing w:after="0"/>
              <w:rPr>
                <w:sz w:val="1"/>
                <w:szCs w:val="1"/>
                <w:color w:val="auto"/>
              </w:rPr>
            </w:pPr>
          </w:p>
        </w:tc>
      </w:tr>
      <w:tr>
        <w:trPr>
          <w:trHeight w:val="184"/>
        </w:trPr>
        <w:tc>
          <w:tcPr>
            <w:tcW w:w="2440" w:type="dxa"/>
            <w:vAlign w:val="bottom"/>
            <w:shd w:val="clear" w:color="auto" w:fill="CFF0FC"/>
          </w:tcPr>
          <w:p>
            <w:pPr>
              <w:ind w:left="20"/>
              <w:spacing w:after="0"/>
              <w:rPr>
                <w:sz w:val="20"/>
                <w:szCs w:val="20"/>
                <w:color w:val="auto"/>
              </w:rPr>
            </w:pPr>
            <w:r>
              <w:rPr>
                <w:rFonts w:ascii="Arial" w:cs="Arial" w:eastAsia="Arial" w:hAnsi="Arial"/>
                <w:sz w:val="13"/>
                <w:szCs w:val="13"/>
                <w:color w:val="auto"/>
              </w:rPr>
              <w:t>Exercise of stock options</w:t>
            </w:r>
          </w:p>
        </w:tc>
        <w:tc>
          <w:tcPr>
            <w:tcW w:w="500" w:type="dxa"/>
            <w:vAlign w:val="bottom"/>
            <w:shd w:val="clear" w:color="auto" w:fill="CFF0FC"/>
          </w:tcPr>
          <w:p>
            <w:pPr>
              <w:ind w:left="360"/>
              <w:spacing w:after="0"/>
              <w:rPr>
                <w:sz w:val="20"/>
                <w:szCs w:val="20"/>
                <w:color w:val="auto"/>
              </w:rPr>
            </w:pPr>
            <w:r>
              <w:rPr>
                <w:rFonts w:ascii="Arial" w:cs="Arial" w:eastAsia="Arial" w:hAnsi="Arial"/>
                <w:sz w:val="13"/>
                <w:szCs w:val="13"/>
                <w:color w:val="auto"/>
                <w:w w:val="91"/>
              </w:rPr>
              <w:t>—</w:t>
            </w:r>
          </w:p>
        </w:tc>
        <w:tc>
          <w:tcPr>
            <w:tcW w:w="260" w:type="dxa"/>
            <w:vAlign w:val="bottom"/>
            <w:shd w:val="clear" w:color="auto" w:fill="CFF0FC"/>
          </w:tcPr>
          <w:p>
            <w:pPr>
              <w:spacing w:after="0"/>
              <w:rPr>
                <w:sz w:val="15"/>
                <w:szCs w:val="15"/>
                <w:color w:val="auto"/>
              </w:rPr>
            </w:pPr>
          </w:p>
        </w:tc>
        <w:tc>
          <w:tcPr>
            <w:tcW w:w="120" w:type="dxa"/>
            <w:vAlign w:val="bottom"/>
            <w:shd w:val="clear" w:color="auto" w:fill="CFF0FC"/>
          </w:tcPr>
          <w:p>
            <w:pPr>
              <w:spacing w:after="0"/>
              <w:rPr>
                <w:sz w:val="15"/>
                <w:szCs w:val="15"/>
                <w:color w:val="auto"/>
              </w:rPr>
            </w:pPr>
          </w:p>
        </w:tc>
        <w:tc>
          <w:tcPr>
            <w:tcW w:w="700" w:type="dxa"/>
            <w:vAlign w:val="bottom"/>
            <w:shd w:val="clear" w:color="auto" w:fill="CFF0FC"/>
          </w:tcPr>
          <w:p>
            <w:pPr>
              <w:ind w:left="560"/>
              <w:spacing w:after="0"/>
              <w:rPr>
                <w:sz w:val="20"/>
                <w:szCs w:val="20"/>
                <w:color w:val="auto"/>
              </w:rPr>
            </w:pPr>
            <w:r>
              <w:rPr>
                <w:rFonts w:ascii="Arial" w:cs="Arial" w:eastAsia="Arial" w:hAnsi="Arial"/>
                <w:sz w:val="13"/>
                <w:szCs w:val="13"/>
                <w:color w:val="auto"/>
                <w:w w:val="91"/>
              </w:rPr>
              <w:t>—</w:t>
            </w:r>
          </w:p>
        </w:tc>
        <w:tc>
          <w:tcPr>
            <w:tcW w:w="960" w:type="dxa"/>
            <w:vAlign w:val="bottom"/>
            <w:gridSpan w:val="2"/>
            <w:shd w:val="clear" w:color="auto" w:fill="CFF0FC"/>
          </w:tcPr>
          <w:p>
            <w:pPr>
              <w:jc w:val="right"/>
              <w:spacing w:after="0"/>
              <w:rPr>
                <w:sz w:val="20"/>
                <w:szCs w:val="20"/>
                <w:color w:val="auto"/>
              </w:rPr>
            </w:pPr>
            <w:r>
              <w:rPr>
                <w:rFonts w:ascii="Arial" w:cs="Arial" w:eastAsia="Arial" w:hAnsi="Arial"/>
                <w:sz w:val="13"/>
                <w:szCs w:val="13"/>
                <w:color w:val="auto"/>
              </w:rPr>
              <w:t>307</w:t>
            </w:r>
          </w:p>
        </w:tc>
        <w:tc>
          <w:tcPr>
            <w:tcW w:w="240" w:type="dxa"/>
            <w:vAlign w:val="bottom"/>
            <w:shd w:val="clear" w:color="auto" w:fill="CFF0FC"/>
          </w:tcPr>
          <w:p>
            <w:pPr>
              <w:spacing w:after="0"/>
              <w:rPr>
                <w:sz w:val="15"/>
                <w:szCs w:val="15"/>
                <w:color w:val="auto"/>
              </w:rPr>
            </w:pPr>
          </w:p>
        </w:tc>
        <w:tc>
          <w:tcPr>
            <w:tcW w:w="120" w:type="dxa"/>
            <w:vAlign w:val="bottom"/>
            <w:shd w:val="clear" w:color="auto" w:fill="CFF0FC"/>
          </w:tcPr>
          <w:p>
            <w:pPr>
              <w:spacing w:after="0"/>
              <w:rPr>
                <w:sz w:val="15"/>
                <w:szCs w:val="15"/>
                <w:color w:val="auto"/>
              </w:rPr>
            </w:pPr>
          </w:p>
        </w:tc>
        <w:tc>
          <w:tcPr>
            <w:tcW w:w="700" w:type="dxa"/>
            <w:vAlign w:val="bottom"/>
            <w:shd w:val="clear" w:color="auto" w:fill="CFF0FC"/>
          </w:tcPr>
          <w:p>
            <w:pPr>
              <w:jc w:val="right"/>
              <w:spacing w:after="0"/>
              <w:rPr>
                <w:sz w:val="20"/>
                <w:szCs w:val="20"/>
                <w:color w:val="auto"/>
              </w:rPr>
            </w:pPr>
            <w:r>
              <w:rPr>
                <w:rFonts w:ascii="Arial" w:cs="Arial" w:eastAsia="Arial" w:hAnsi="Arial"/>
                <w:sz w:val="13"/>
                <w:szCs w:val="13"/>
                <w:color w:val="auto"/>
              </w:rPr>
              <w:t>—</w:t>
            </w:r>
          </w:p>
        </w:tc>
        <w:tc>
          <w:tcPr>
            <w:tcW w:w="260" w:type="dxa"/>
            <w:vAlign w:val="bottom"/>
            <w:shd w:val="clear" w:color="auto" w:fill="CFF0FC"/>
          </w:tcPr>
          <w:p>
            <w:pPr>
              <w:spacing w:after="0"/>
              <w:rPr>
                <w:sz w:val="15"/>
                <w:szCs w:val="15"/>
                <w:color w:val="auto"/>
              </w:rPr>
            </w:pPr>
          </w:p>
        </w:tc>
        <w:tc>
          <w:tcPr>
            <w:tcW w:w="100" w:type="dxa"/>
            <w:vAlign w:val="bottom"/>
            <w:shd w:val="clear" w:color="auto" w:fill="CFF0FC"/>
          </w:tcPr>
          <w:p>
            <w:pPr>
              <w:spacing w:after="0"/>
              <w:rPr>
                <w:sz w:val="15"/>
                <w:szCs w:val="15"/>
                <w:color w:val="auto"/>
              </w:rPr>
            </w:pPr>
          </w:p>
        </w:tc>
        <w:tc>
          <w:tcPr>
            <w:tcW w:w="860" w:type="dxa"/>
            <w:vAlign w:val="bottom"/>
            <w:shd w:val="clear" w:color="auto" w:fill="CFF0FC"/>
          </w:tcPr>
          <w:p>
            <w:pPr>
              <w:jc w:val="right"/>
              <w:spacing w:after="0"/>
              <w:rPr>
                <w:sz w:val="20"/>
                <w:szCs w:val="20"/>
                <w:color w:val="auto"/>
              </w:rPr>
            </w:pPr>
            <w:r>
              <w:rPr>
                <w:rFonts w:ascii="Arial" w:cs="Arial" w:eastAsia="Arial" w:hAnsi="Arial"/>
                <w:sz w:val="13"/>
                <w:szCs w:val="13"/>
                <w:color w:val="auto"/>
              </w:rPr>
              <w:t>1,044</w:t>
            </w:r>
          </w:p>
        </w:tc>
        <w:tc>
          <w:tcPr>
            <w:tcW w:w="220" w:type="dxa"/>
            <w:vAlign w:val="bottom"/>
            <w:shd w:val="clear" w:color="auto" w:fill="CFF0FC"/>
          </w:tcPr>
          <w:p>
            <w:pPr>
              <w:spacing w:after="0"/>
              <w:rPr>
                <w:sz w:val="15"/>
                <w:szCs w:val="15"/>
                <w:color w:val="auto"/>
              </w:rPr>
            </w:pPr>
          </w:p>
        </w:tc>
        <w:tc>
          <w:tcPr>
            <w:tcW w:w="100" w:type="dxa"/>
            <w:vAlign w:val="bottom"/>
            <w:shd w:val="clear" w:color="auto" w:fill="CFF0FC"/>
          </w:tcPr>
          <w:p>
            <w:pPr>
              <w:spacing w:after="0"/>
              <w:rPr>
                <w:sz w:val="15"/>
                <w:szCs w:val="15"/>
                <w:color w:val="auto"/>
              </w:rPr>
            </w:pPr>
          </w:p>
        </w:tc>
        <w:tc>
          <w:tcPr>
            <w:tcW w:w="1280" w:type="dxa"/>
            <w:vAlign w:val="bottom"/>
            <w:gridSpan w:val="2"/>
            <w:shd w:val="clear" w:color="auto" w:fill="CFF0FC"/>
          </w:tcPr>
          <w:p>
            <w:pPr>
              <w:jc w:val="right"/>
              <w:ind w:right="240"/>
              <w:spacing w:after="0"/>
              <w:rPr>
                <w:sz w:val="20"/>
                <w:szCs w:val="20"/>
                <w:color w:val="auto"/>
              </w:rPr>
            </w:pPr>
            <w:r>
              <w:rPr>
                <w:rFonts w:ascii="Arial" w:cs="Arial" w:eastAsia="Arial" w:hAnsi="Arial"/>
                <w:sz w:val="13"/>
                <w:szCs w:val="13"/>
                <w:color w:val="auto"/>
              </w:rPr>
              <w:t>—</w:t>
            </w:r>
          </w:p>
        </w:tc>
        <w:tc>
          <w:tcPr>
            <w:tcW w:w="100" w:type="dxa"/>
            <w:vAlign w:val="bottom"/>
            <w:shd w:val="clear" w:color="auto" w:fill="CFF0FC"/>
          </w:tcPr>
          <w:p>
            <w:pPr>
              <w:spacing w:after="0"/>
              <w:rPr>
                <w:sz w:val="15"/>
                <w:szCs w:val="15"/>
                <w:color w:val="auto"/>
              </w:rPr>
            </w:pPr>
          </w:p>
        </w:tc>
        <w:tc>
          <w:tcPr>
            <w:tcW w:w="1080" w:type="dxa"/>
            <w:vAlign w:val="bottom"/>
            <w:gridSpan w:val="2"/>
            <w:shd w:val="clear" w:color="auto" w:fill="CFF0FC"/>
          </w:tcPr>
          <w:p>
            <w:pPr>
              <w:jc w:val="right"/>
              <w:ind w:right="157"/>
              <w:spacing w:after="0"/>
              <w:rPr>
                <w:sz w:val="20"/>
                <w:szCs w:val="20"/>
                <w:color w:val="auto"/>
              </w:rPr>
            </w:pPr>
            <w:r>
              <w:rPr>
                <w:rFonts w:ascii="Arial" w:cs="Arial" w:eastAsia="Arial" w:hAnsi="Arial"/>
                <w:sz w:val="13"/>
                <w:szCs w:val="13"/>
                <w:color w:val="auto"/>
              </w:rPr>
              <w:t>—</w:t>
            </w:r>
          </w:p>
        </w:tc>
        <w:tc>
          <w:tcPr>
            <w:tcW w:w="100" w:type="dxa"/>
            <w:vAlign w:val="bottom"/>
            <w:shd w:val="clear" w:color="auto" w:fill="CFF0FC"/>
          </w:tcPr>
          <w:p>
            <w:pPr>
              <w:spacing w:after="0"/>
              <w:rPr>
                <w:sz w:val="15"/>
                <w:szCs w:val="15"/>
                <w:color w:val="auto"/>
              </w:rPr>
            </w:pPr>
          </w:p>
        </w:tc>
        <w:tc>
          <w:tcPr>
            <w:tcW w:w="1000" w:type="dxa"/>
            <w:vAlign w:val="bottom"/>
            <w:shd w:val="clear" w:color="auto" w:fill="CFF0FC"/>
          </w:tcPr>
          <w:p>
            <w:pPr>
              <w:jc w:val="right"/>
              <w:spacing w:after="0"/>
              <w:rPr>
                <w:sz w:val="20"/>
                <w:szCs w:val="20"/>
                <w:color w:val="auto"/>
              </w:rPr>
            </w:pPr>
            <w:r>
              <w:rPr>
                <w:rFonts w:ascii="Arial" w:cs="Arial" w:eastAsia="Arial" w:hAnsi="Arial"/>
                <w:sz w:val="13"/>
                <w:szCs w:val="13"/>
                <w:color w:val="auto"/>
              </w:rPr>
              <w:t>1,044</w:t>
            </w:r>
          </w:p>
        </w:tc>
        <w:tc>
          <w:tcPr>
            <w:tcW w:w="100" w:type="dxa"/>
            <w:vAlign w:val="bottom"/>
            <w:shd w:val="clear" w:color="auto" w:fill="CFF0FC"/>
          </w:tcPr>
          <w:p>
            <w:pPr>
              <w:spacing w:after="0"/>
              <w:rPr>
                <w:sz w:val="15"/>
                <w:szCs w:val="15"/>
                <w:color w:val="auto"/>
              </w:rPr>
            </w:pPr>
          </w:p>
        </w:tc>
        <w:tc>
          <w:tcPr>
            <w:tcW w:w="0" w:type="dxa"/>
            <w:vAlign w:val="bottom"/>
          </w:tcPr>
          <w:p>
            <w:pPr>
              <w:spacing w:after="0"/>
              <w:rPr>
                <w:sz w:val="1"/>
                <w:szCs w:val="1"/>
                <w:color w:val="auto"/>
              </w:rPr>
            </w:pPr>
          </w:p>
        </w:tc>
      </w:tr>
      <w:tr>
        <w:trPr>
          <w:trHeight w:val="167"/>
        </w:trPr>
        <w:tc>
          <w:tcPr>
            <w:tcW w:w="2440" w:type="dxa"/>
            <w:vAlign w:val="bottom"/>
          </w:tcPr>
          <w:p>
            <w:pPr>
              <w:ind w:left="20"/>
              <w:spacing w:after="0"/>
              <w:rPr>
                <w:sz w:val="20"/>
                <w:szCs w:val="20"/>
                <w:color w:val="auto"/>
              </w:rPr>
            </w:pPr>
            <w:r>
              <w:rPr>
                <w:rFonts w:ascii="Arial" w:cs="Arial" w:eastAsia="Arial" w:hAnsi="Arial"/>
                <w:sz w:val="13"/>
                <w:szCs w:val="13"/>
                <w:color w:val="auto"/>
              </w:rPr>
              <w:t>Vesting of early exercised stock options</w:t>
            </w:r>
          </w:p>
        </w:tc>
        <w:tc>
          <w:tcPr>
            <w:tcW w:w="500" w:type="dxa"/>
            <w:vAlign w:val="bottom"/>
          </w:tcPr>
          <w:p>
            <w:pPr>
              <w:ind w:left="360"/>
              <w:spacing w:after="0"/>
              <w:rPr>
                <w:sz w:val="20"/>
                <w:szCs w:val="20"/>
                <w:color w:val="auto"/>
              </w:rPr>
            </w:pPr>
            <w:r>
              <w:rPr>
                <w:rFonts w:ascii="Arial" w:cs="Arial" w:eastAsia="Arial" w:hAnsi="Arial"/>
                <w:sz w:val="13"/>
                <w:szCs w:val="13"/>
                <w:color w:val="auto"/>
                <w:w w:val="91"/>
              </w:rPr>
              <w:t>—</w:t>
            </w:r>
          </w:p>
        </w:tc>
        <w:tc>
          <w:tcPr>
            <w:tcW w:w="2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700" w:type="dxa"/>
            <w:vAlign w:val="bottom"/>
          </w:tcPr>
          <w:p>
            <w:pPr>
              <w:ind w:left="560"/>
              <w:spacing w:after="0"/>
              <w:rPr>
                <w:sz w:val="20"/>
                <w:szCs w:val="20"/>
                <w:color w:val="auto"/>
              </w:rPr>
            </w:pPr>
            <w:r>
              <w:rPr>
                <w:rFonts w:ascii="Arial" w:cs="Arial" w:eastAsia="Arial" w:hAnsi="Arial"/>
                <w:sz w:val="13"/>
                <w:szCs w:val="13"/>
                <w:color w:val="auto"/>
                <w:w w:val="91"/>
              </w:rPr>
              <w:t>—</w:t>
            </w:r>
          </w:p>
        </w:tc>
        <w:tc>
          <w:tcPr>
            <w:tcW w:w="240" w:type="dxa"/>
            <w:vAlign w:val="bottom"/>
          </w:tcPr>
          <w:p>
            <w:pPr>
              <w:spacing w:after="0"/>
              <w:rPr>
                <w:sz w:val="14"/>
                <w:szCs w:val="14"/>
                <w:color w:val="auto"/>
              </w:rPr>
            </w:pPr>
          </w:p>
        </w:tc>
        <w:tc>
          <w:tcPr>
            <w:tcW w:w="960" w:type="dxa"/>
            <w:vAlign w:val="bottom"/>
            <w:gridSpan w:val="2"/>
          </w:tcPr>
          <w:p>
            <w:pPr>
              <w:jc w:val="right"/>
              <w:ind w:right="197"/>
              <w:spacing w:after="0"/>
              <w:rPr>
                <w:sz w:val="20"/>
                <w:szCs w:val="20"/>
                <w:color w:val="auto"/>
              </w:rPr>
            </w:pPr>
            <w:r>
              <w:rPr>
                <w:rFonts w:ascii="Arial" w:cs="Arial" w:eastAsia="Arial" w:hAnsi="Arial"/>
                <w:sz w:val="13"/>
                <w:szCs w:val="13"/>
                <w:color w:val="auto"/>
              </w:rPr>
              <w:t>—</w:t>
            </w:r>
          </w:p>
        </w:tc>
        <w:tc>
          <w:tcPr>
            <w:tcW w:w="120" w:type="dxa"/>
            <w:vAlign w:val="bottom"/>
          </w:tcPr>
          <w:p>
            <w:pPr>
              <w:spacing w:after="0"/>
              <w:rPr>
                <w:sz w:val="14"/>
                <w:szCs w:val="14"/>
                <w:color w:val="auto"/>
              </w:rPr>
            </w:pPr>
          </w:p>
        </w:tc>
        <w:tc>
          <w:tcPr>
            <w:tcW w:w="700" w:type="dxa"/>
            <w:vAlign w:val="bottom"/>
          </w:tcPr>
          <w:p>
            <w:pPr>
              <w:jc w:val="right"/>
              <w:spacing w:after="0"/>
              <w:rPr>
                <w:sz w:val="20"/>
                <w:szCs w:val="20"/>
                <w:color w:val="auto"/>
              </w:rPr>
            </w:pPr>
            <w:r>
              <w:rPr>
                <w:rFonts w:ascii="Arial" w:cs="Arial" w:eastAsia="Arial" w:hAnsi="Arial"/>
                <w:sz w:val="13"/>
                <w:szCs w:val="13"/>
                <w:color w:val="auto"/>
              </w:rPr>
              <w:t>—</w:t>
            </w:r>
          </w:p>
        </w:tc>
        <w:tc>
          <w:tcPr>
            <w:tcW w:w="2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60" w:type="dxa"/>
            <w:vAlign w:val="bottom"/>
          </w:tcPr>
          <w:p>
            <w:pPr>
              <w:jc w:val="right"/>
              <w:spacing w:after="0"/>
              <w:rPr>
                <w:sz w:val="20"/>
                <w:szCs w:val="20"/>
                <w:color w:val="auto"/>
              </w:rPr>
            </w:pPr>
            <w:r>
              <w:rPr>
                <w:rFonts w:ascii="Arial" w:cs="Arial" w:eastAsia="Arial" w:hAnsi="Arial"/>
                <w:sz w:val="13"/>
                <w:szCs w:val="13"/>
                <w:color w:val="auto"/>
              </w:rPr>
              <w:t>361</w:t>
            </w:r>
          </w:p>
        </w:tc>
        <w:tc>
          <w:tcPr>
            <w:tcW w:w="2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280" w:type="dxa"/>
            <w:vAlign w:val="bottom"/>
            <w:gridSpan w:val="2"/>
          </w:tcPr>
          <w:p>
            <w:pPr>
              <w:jc w:val="right"/>
              <w:ind w:right="240"/>
              <w:spacing w:after="0"/>
              <w:rPr>
                <w:sz w:val="20"/>
                <w:szCs w:val="20"/>
                <w:color w:val="auto"/>
              </w:rPr>
            </w:pPr>
            <w:r>
              <w:rPr>
                <w:rFonts w:ascii="Arial" w:cs="Arial" w:eastAsia="Arial" w:hAnsi="Arial"/>
                <w:sz w:val="13"/>
                <w:szCs w:val="13"/>
                <w:color w:val="auto"/>
              </w:rPr>
              <w:t>—</w:t>
            </w:r>
          </w:p>
        </w:tc>
        <w:tc>
          <w:tcPr>
            <w:tcW w:w="100" w:type="dxa"/>
            <w:vAlign w:val="bottom"/>
          </w:tcPr>
          <w:p>
            <w:pPr>
              <w:spacing w:after="0"/>
              <w:rPr>
                <w:sz w:val="14"/>
                <w:szCs w:val="14"/>
                <w:color w:val="auto"/>
              </w:rPr>
            </w:pPr>
          </w:p>
        </w:tc>
        <w:tc>
          <w:tcPr>
            <w:tcW w:w="1080" w:type="dxa"/>
            <w:vAlign w:val="bottom"/>
            <w:gridSpan w:val="2"/>
          </w:tcPr>
          <w:p>
            <w:pPr>
              <w:jc w:val="right"/>
              <w:ind w:right="157"/>
              <w:spacing w:after="0"/>
              <w:rPr>
                <w:sz w:val="20"/>
                <w:szCs w:val="20"/>
                <w:color w:val="auto"/>
              </w:rPr>
            </w:pPr>
            <w:r>
              <w:rPr>
                <w:rFonts w:ascii="Arial" w:cs="Arial" w:eastAsia="Arial" w:hAnsi="Arial"/>
                <w:sz w:val="13"/>
                <w:szCs w:val="13"/>
                <w:color w:val="auto"/>
              </w:rPr>
              <w:t>—</w:t>
            </w:r>
          </w:p>
        </w:tc>
        <w:tc>
          <w:tcPr>
            <w:tcW w:w="100" w:type="dxa"/>
            <w:vAlign w:val="bottom"/>
          </w:tcPr>
          <w:p>
            <w:pPr>
              <w:spacing w:after="0"/>
              <w:rPr>
                <w:sz w:val="14"/>
                <w:szCs w:val="14"/>
                <w:color w:val="auto"/>
              </w:rPr>
            </w:pPr>
          </w:p>
        </w:tc>
        <w:tc>
          <w:tcPr>
            <w:tcW w:w="1000" w:type="dxa"/>
            <w:vAlign w:val="bottom"/>
          </w:tcPr>
          <w:p>
            <w:pPr>
              <w:jc w:val="right"/>
              <w:spacing w:after="0"/>
              <w:rPr>
                <w:sz w:val="20"/>
                <w:szCs w:val="20"/>
                <w:color w:val="auto"/>
              </w:rPr>
            </w:pPr>
            <w:r>
              <w:rPr>
                <w:rFonts w:ascii="Arial" w:cs="Arial" w:eastAsia="Arial" w:hAnsi="Arial"/>
                <w:sz w:val="13"/>
                <w:szCs w:val="13"/>
                <w:color w:val="auto"/>
              </w:rPr>
              <w:t>361</w:t>
            </w: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84"/>
        </w:trPr>
        <w:tc>
          <w:tcPr>
            <w:tcW w:w="2440" w:type="dxa"/>
            <w:vAlign w:val="bottom"/>
            <w:shd w:val="clear" w:color="auto" w:fill="CFF0FC"/>
          </w:tcPr>
          <w:p>
            <w:pPr>
              <w:ind w:left="20"/>
              <w:spacing w:after="0"/>
              <w:rPr>
                <w:sz w:val="20"/>
                <w:szCs w:val="20"/>
                <w:color w:val="auto"/>
              </w:rPr>
            </w:pPr>
            <w:r>
              <w:rPr>
                <w:rFonts w:ascii="Arial" w:cs="Arial" w:eastAsia="Arial" w:hAnsi="Arial"/>
                <w:sz w:val="13"/>
                <w:szCs w:val="13"/>
                <w:color w:val="auto"/>
              </w:rPr>
              <w:t>Vesting of restricted stock units</w:t>
            </w:r>
          </w:p>
        </w:tc>
        <w:tc>
          <w:tcPr>
            <w:tcW w:w="500" w:type="dxa"/>
            <w:vAlign w:val="bottom"/>
            <w:shd w:val="clear" w:color="auto" w:fill="CFF0FC"/>
          </w:tcPr>
          <w:p>
            <w:pPr>
              <w:ind w:left="360"/>
              <w:spacing w:after="0"/>
              <w:rPr>
                <w:sz w:val="20"/>
                <w:szCs w:val="20"/>
                <w:color w:val="auto"/>
              </w:rPr>
            </w:pPr>
            <w:r>
              <w:rPr>
                <w:rFonts w:ascii="Arial" w:cs="Arial" w:eastAsia="Arial" w:hAnsi="Arial"/>
                <w:sz w:val="13"/>
                <w:szCs w:val="13"/>
                <w:color w:val="auto"/>
                <w:w w:val="91"/>
              </w:rPr>
              <w:t>—</w:t>
            </w:r>
          </w:p>
        </w:tc>
        <w:tc>
          <w:tcPr>
            <w:tcW w:w="260" w:type="dxa"/>
            <w:vAlign w:val="bottom"/>
            <w:shd w:val="clear" w:color="auto" w:fill="CFF0FC"/>
          </w:tcPr>
          <w:p>
            <w:pPr>
              <w:spacing w:after="0"/>
              <w:rPr>
                <w:sz w:val="15"/>
                <w:szCs w:val="15"/>
                <w:color w:val="auto"/>
              </w:rPr>
            </w:pPr>
          </w:p>
        </w:tc>
        <w:tc>
          <w:tcPr>
            <w:tcW w:w="120" w:type="dxa"/>
            <w:vAlign w:val="bottom"/>
            <w:shd w:val="clear" w:color="auto" w:fill="CFF0FC"/>
          </w:tcPr>
          <w:p>
            <w:pPr>
              <w:spacing w:after="0"/>
              <w:rPr>
                <w:sz w:val="15"/>
                <w:szCs w:val="15"/>
                <w:color w:val="auto"/>
              </w:rPr>
            </w:pPr>
          </w:p>
        </w:tc>
        <w:tc>
          <w:tcPr>
            <w:tcW w:w="700" w:type="dxa"/>
            <w:vAlign w:val="bottom"/>
            <w:shd w:val="clear" w:color="auto" w:fill="CFF0FC"/>
          </w:tcPr>
          <w:p>
            <w:pPr>
              <w:ind w:left="560"/>
              <w:spacing w:after="0"/>
              <w:rPr>
                <w:sz w:val="20"/>
                <w:szCs w:val="20"/>
                <w:color w:val="auto"/>
              </w:rPr>
            </w:pPr>
            <w:r>
              <w:rPr>
                <w:rFonts w:ascii="Arial" w:cs="Arial" w:eastAsia="Arial" w:hAnsi="Arial"/>
                <w:sz w:val="13"/>
                <w:szCs w:val="13"/>
                <w:color w:val="auto"/>
                <w:w w:val="91"/>
              </w:rPr>
              <w:t>—</w:t>
            </w:r>
          </w:p>
        </w:tc>
        <w:tc>
          <w:tcPr>
            <w:tcW w:w="960" w:type="dxa"/>
            <w:vAlign w:val="bottom"/>
            <w:gridSpan w:val="2"/>
            <w:shd w:val="clear" w:color="auto" w:fill="CFF0FC"/>
          </w:tcPr>
          <w:p>
            <w:pPr>
              <w:jc w:val="right"/>
              <w:spacing w:after="0"/>
              <w:rPr>
                <w:sz w:val="20"/>
                <w:szCs w:val="20"/>
                <w:color w:val="auto"/>
              </w:rPr>
            </w:pPr>
            <w:r>
              <w:rPr>
                <w:rFonts w:ascii="Arial" w:cs="Arial" w:eastAsia="Arial" w:hAnsi="Arial"/>
                <w:sz w:val="13"/>
                <w:szCs w:val="13"/>
                <w:color w:val="auto"/>
              </w:rPr>
              <w:t>504</w:t>
            </w:r>
          </w:p>
        </w:tc>
        <w:tc>
          <w:tcPr>
            <w:tcW w:w="240" w:type="dxa"/>
            <w:vAlign w:val="bottom"/>
            <w:shd w:val="clear" w:color="auto" w:fill="CFF0FC"/>
          </w:tcPr>
          <w:p>
            <w:pPr>
              <w:spacing w:after="0"/>
              <w:rPr>
                <w:sz w:val="15"/>
                <w:szCs w:val="15"/>
                <w:color w:val="auto"/>
              </w:rPr>
            </w:pPr>
          </w:p>
        </w:tc>
        <w:tc>
          <w:tcPr>
            <w:tcW w:w="120" w:type="dxa"/>
            <w:vAlign w:val="bottom"/>
            <w:shd w:val="clear" w:color="auto" w:fill="CFF0FC"/>
          </w:tcPr>
          <w:p>
            <w:pPr>
              <w:spacing w:after="0"/>
              <w:rPr>
                <w:sz w:val="15"/>
                <w:szCs w:val="15"/>
                <w:color w:val="auto"/>
              </w:rPr>
            </w:pPr>
          </w:p>
        </w:tc>
        <w:tc>
          <w:tcPr>
            <w:tcW w:w="700" w:type="dxa"/>
            <w:vAlign w:val="bottom"/>
            <w:shd w:val="clear" w:color="auto" w:fill="CFF0FC"/>
          </w:tcPr>
          <w:p>
            <w:pPr>
              <w:jc w:val="right"/>
              <w:spacing w:after="0"/>
              <w:rPr>
                <w:sz w:val="20"/>
                <w:szCs w:val="20"/>
                <w:color w:val="auto"/>
              </w:rPr>
            </w:pPr>
            <w:r>
              <w:rPr>
                <w:rFonts w:ascii="Arial" w:cs="Arial" w:eastAsia="Arial" w:hAnsi="Arial"/>
                <w:sz w:val="13"/>
                <w:szCs w:val="13"/>
                <w:color w:val="auto"/>
              </w:rPr>
              <w:t>—</w:t>
            </w:r>
          </w:p>
        </w:tc>
        <w:tc>
          <w:tcPr>
            <w:tcW w:w="260" w:type="dxa"/>
            <w:vAlign w:val="bottom"/>
            <w:shd w:val="clear" w:color="auto" w:fill="CFF0FC"/>
          </w:tcPr>
          <w:p>
            <w:pPr>
              <w:spacing w:after="0"/>
              <w:rPr>
                <w:sz w:val="15"/>
                <w:szCs w:val="15"/>
                <w:color w:val="auto"/>
              </w:rPr>
            </w:pPr>
          </w:p>
        </w:tc>
        <w:tc>
          <w:tcPr>
            <w:tcW w:w="100" w:type="dxa"/>
            <w:vAlign w:val="bottom"/>
            <w:shd w:val="clear" w:color="auto" w:fill="CFF0FC"/>
          </w:tcPr>
          <w:p>
            <w:pPr>
              <w:spacing w:after="0"/>
              <w:rPr>
                <w:sz w:val="15"/>
                <w:szCs w:val="15"/>
                <w:color w:val="auto"/>
              </w:rPr>
            </w:pPr>
          </w:p>
        </w:tc>
        <w:tc>
          <w:tcPr>
            <w:tcW w:w="860" w:type="dxa"/>
            <w:vAlign w:val="bottom"/>
            <w:shd w:val="clear" w:color="auto" w:fill="CFF0FC"/>
          </w:tcPr>
          <w:p>
            <w:pPr>
              <w:jc w:val="right"/>
              <w:spacing w:after="0"/>
              <w:rPr>
                <w:sz w:val="20"/>
                <w:szCs w:val="20"/>
                <w:color w:val="auto"/>
              </w:rPr>
            </w:pPr>
            <w:r>
              <w:rPr>
                <w:rFonts w:ascii="Arial" w:cs="Arial" w:eastAsia="Arial" w:hAnsi="Arial"/>
                <w:sz w:val="13"/>
                <w:szCs w:val="13"/>
                <w:color w:val="auto"/>
              </w:rPr>
              <w:t>—</w:t>
            </w:r>
          </w:p>
        </w:tc>
        <w:tc>
          <w:tcPr>
            <w:tcW w:w="220" w:type="dxa"/>
            <w:vAlign w:val="bottom"/>
            <w:shd w:val="clear" w:color="auto" w:fill="CFF0FC"/>
          </w:tcPr>
          <w:p>
            <w:pPr>
              <w:spacing w:after="0"/>
              <w:rPr>
                <w:sz w:val="15"/>
                <w:szCs w:val="15"/>
                <w:color w:val="auto"/>
              </w:rPr>
            </w:pPr>
          </w:p>
        </w:tc>
        <w:tc>
          <w:tcPr>
            <w:tcW w:w="100" w:type="dxa"/>
            <w:vAlign w:val="bottom"/>
            <w:shd w:val="clear" w:color="auto" w:fill="CFF0FC"/>
          </w:tcPr>
          <w:p>
            <w:pPr>
              <w:spacing w:after="0"/>
              <w:rPr>
                <w:sz w:val="15"/>
                <w:szCs w:val="15"/>
                <w:color w:val="auto"/>
              </w:rPr>
            </w:pPr>
          </w:p>
        </w:tc>
        <w:tc>
          <w:tcPr>
            <w:tcW w:w="1280" w:type="dxa"/>
            <w:vAlign w:val="bottom"/>
            <w:gridSpan w:val="2"/>
            <w:shd w:val="clear" w:color="auto" w:fill="CFF0FC"/>
          </w:tcPr>
          <w:p>
            <w:pPr>
              <w:jc w:val="right"/>
              <w:ind w:right="240"/>
              <w:spacing w:after="0"/>
              <w:rPr>
                <w:sz w:val="20"/>
                <w:szCs w:val="20"/>
                <w:color w:val="auto"/>
              </w:rPr>
            </w:pPr>
            <w:r>
              <w:rPr>
                <w:rFonts w:ascii="Arial" w:cs="Arial" w:eastAsia="Arial" w:hAnsi="Arial"/>
                <w:sz w:val="13"/>
                <w:szCs w:val="13"/>
                <w:color w:val="auto"/>
              </w:rPr>
              <w:t>—</w:t>
            </w:r>
          </w:p>
        </w:tc>
        <w:tc>
          <w:tcPr>
            <w:tcW w:w="100" w:type="dxa"/>
            <w:vAlign w:val="bottom"/>
            <w:shd w:val="clear" w:color="auto" w:fill="CFF0FC"/>
          </w:tcPr>
          <w:p>
            <w:pPr>
              <w:spacing w:after="0"/>
              <w:rPr>
                <w:sz w:val="15"/>
                <w:szCs w:val="15"/>
                <w:color w:val="auto"/>
              </w:rPr>
            </w:pPr>
          </w:p>
        </w:tc>
        <w:tc>
          <w:tcPr>
            <w:tcW w:w="1080" w:type="dxa"/>
            <w:vAlign w:val="bottom"/>
            <w:gridSpan w:val="2"/>
            <w:shd w:val="clear" w:color="auto" w:fill="CFF0FC"/>
          </w:tcPr>
          <w:p>
            <w:pPr>
              <w:jc w:val="right"/>
              <w:ind w:right="157"/>
              <w:spacing w:after="0"/>
              <w:rPr>
                <w:sz w:val="20"/>
                <w:szCs w:val="20"/>
                <w:color w:val="auto"/>
              </w:rPr>
            </w:pPr>
            <w:r>
              <w:rPr>
                <w:rFonts w:ascii="Arial" w:cs="Arial" w:eastAsia="Arial" w:hAnsi="Arial"/>
                <w:sz w:val="13"/>
                <w:szCs w:val="13"/>
                <w:color w:val="auto"/>
              </w:rPr>
              <w:t>—</w:t>
            </w:r>
          </w:p>
        </w:tc>
        <w:tc>
          <w:tcPr>
            <w:tcW w:w="100" w:type="dxa"/>
            <w:vAlign w:val="bottom"/>
            <w:shd w:val="clear" w:color="auto" w:fill="CFF0FC"/>
          </w:tcPr>
          <w:p>
            <w:pPr>
              <w:spacing w:after="0"/>
              <w:rPr>
                <w:sz w:val="15"/>
                <w:szCs w:val="15"/>
                <w:color w:val="auto"/>
              </w:rPr>
            </w:pPr>
          </w:p>
        </w:tc>
        <w:tc>
          <w:tcPr>
            <w:tcW w:w="1100" w:type="dxa"/>
            <w:vAlign w:val="bottom"/>
            <w:gridSpan w:val="2"/>
            <w:shd w:val="clear" w:color="auto" w:fill="CFF0FC"/>
          </w:tcPr>
          <w:p>
            <w:pPr>
              <w:jc w:val="right"/>
              <w:ind w:right="120"/>
              <w:spacing w:after="0"/>
              <w:rPr>
                <w:sz w:val="20"/>
                <w:szCs w:val="20"/>
                <w:color w:val="auto"/>
              </w:rPr>
            </w:pPr>
            <w:r>
              <w:rPr>
                <w:rFonts w:ascii="Arial" w:cs="Arial" w:eastAsia="Arial" w:hAnsi="Arial"/>
                <w:sz w:val="13"/>
                <w:szCs w:val="13"/>
                <w:color w:val="auto"/>
              </w:rPr>
              <w:t>—</w:t>
            </w:r>
          </w:p>
        </w:tc>
        <w:tc>
          <w:tcPr>
            <w:tcW w:w="0" w:type="dxa"/>
            <w:vAlign w:val="bottom"/>
          </w:tcPr>
          <w:p>
            <w:pPr>
              <w:spacing w:after="0"/>
              <w:rPr>
                <w:sz w:val="1"/>
                <w:szCs w:val="1"/>
                <w:color w:val="auto"/>
              </w:rPr>
            </w:pPr>
          </w:p>
        </w:tc>
      </w:tr>
      <w:tr>
        <w:trPr>
          <w:trHeight w:val="167"/>
        </w:trPr>
        <w:tc>
          <w:tcPr>
            <w:tcW w:w="2440" w:type="dxa"/>
            <w:vAlign w:val="bottom"/>
          </w:tcPr>
          <w:p>
            <w:pPr>
              <w:ind w:left="20"/>
              <w:spacing w:after="0"/>
              <w:rPr>
                <w:sz w:val="20"/>
                <w:szCs w:val="20"/>
                <w:color w:val="auto"/>
              </w:rPr>
            </w:pPr>
            <w:r>
              <w:rPr>
                <w:rFonts w:ascii="Arial" w:cs="Arial" w:eastAsia="Arial" w:hAnsi="Arial"/>
                <w:sz w:val="13"/>
                <w:szCs w:val="13"/>
                <w:color w:val="auto"/>
              </w:rPr>
              <w:t>Net loss</w:t>
            </w:r>
          </w:p>
        </w:tc>
        <w:tc>
          <w:tcPr>
            <w:tcW w:w="500" w:type="dxa"/>
            <w:vAlign w:val="bottom"/>
          </w:tcPr>
          <w:p>
            <w:pPr>
              <w:ind w:left="360"/>
              <w:spacing w:after="0"/>
              <w:rPr>
                <w:sz w:val="20"/>
                <w:szCs w:val="20"/>
                <w:color w:val="auto"/>
              </w:rPr>
            </w:pPr>
            <w:r>
              <w:rPr>
                <w:rFonts w:ascii="Arial" w:cs="Arial" w:eastAsia="Arial" w:hAnsi="Arial"/>
                <w:sz w:val="13"/>
                <w:szCs w:val="13"/>
                <w:color w:val="auto"/>
                <w:w w:val="91"/>
              </w:rPr>
              <w:t>—</w:t>
            </w:r>
          </w:p>
        </w:tc>
        <w:tc>
          <w:tcPr>
            <w:tcW w:w="2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700" w:type="dxa"/>
            <w:vAlign w:val="bottom"/>
          </w:tcPr>
          <w:p>
            <w:pPr>
              <w:ind w:left="560"/>
              <w:spacing w:after="0"/>
              <w:rPr>
                <w:sz w:val="20"/>
                <w:szCs w:val="20"/>
                <w:color w:val="auto"/>
              </w:rPr>
            </w:pPr>
            <w:r>
              <w:rPr>
                <w:rFonts w:ascii="Arial" w:cs="Arial" w:eastAsia="Arial" w:hAnsi="Arial"/>
                <w:sz w:val="13"/>
                <w:szCs w:val="13"/>
                <w:color w:val="auto"/>
                <w:w w:val="91"/>
              </w:rPr>
              <w:t>—</w:t>
            </w:r>
          </w:p>
        </w:tc>
        <w:tc>
          <w:tcPr>
            <w:tcW w:w="240" w:type="dxa"/>
            <w:vAlign w:val="bottom"/>
          </w:tcPr>
          <w:p>
            <w:pPr>
              <w:spacing w:after="0"/>
              <w:rPr>
                <w:sz w:val="14"/>
                <w:szCs w:val="14"/>
                <w:color w:val="auto"/>
              </w:rPr>
            </w:pPr>
          </w:p>
        </w:tc>
        <w:tc>
          <w:tcPr>
            <w:tcW w:w="960" w:type="dxa"/>
            <w:vAlign w:val="bottom"/>
            <w:gridSpan w:val="2"/>
          </w:tcPr>
          <w:p>
            <w:pPr>
              <w:jc w:val="right"/>
              <w:ind w:right="197"/>
              <w:spacing w:after="0"/>
              <w:rPr>
                <w:sz w:val="20"/>
                <w:szCs w:val="20"/>
                <w:color w:val="auto"/>
              </w:rPr>
            </w:pPr>
            <w:r>
              <w:rPr>
                <w:rFonts w:ascii="Arial" w:cs="Arial" w:eastAsia="Arial" w:hAnsi="Arial"/>
                <w:sz w:val="13"/>
                <w:szCs w:val="13"/>
                <w:color w:val="auto"/>
              </w:rPr>
              <w:t>—</w:t>
            </w:r>
          </w:p>
        </w:tc>
        <w:tc>
          <w:tcPr>
            <w:tcW w:w="120" w:type="dxa"/>
            <w:vAlign w:val="bottom"/>
          </w:tcPr>
          <w:p>
            <w:pPr>
              <w:spacing w:after="0"/>
              <w:rPr>
                <w:sz w:val="14"/>
                <w:szCs w:val="14"/>
                <w:color w:val="auto"/>
              </w:rPr>
            </w:pPr>
          </w:p>
        </w:tc>
        <w:tc>
          <w:tcPr>
            <w:tcW w:w="700" w:type="dxa"/>
            <w:vAlign w:val="bottom"/>
          </w:tcPr>
          <w:p>
            <w:pPr>
              <w:jc w:val="right"/>
              <w:spacing w:after="0"/>
              <w:rPr>
                <w:sz w:val="20"/>
                <w:szCs w:val="20"/>
                <w:color w:val="auto"/>
              </w:rPr>
            </w:pPr>
            <w:r>
              <w:rPr>
                <w:rFonts w:ascii="Arial" w:cs="Arial" w:eastAsia="Arial" w:hAnsi="Arial"/>
                <w:sz w:val="13"/>
                <w:szCs w:val="13"/>
                <w:color w:val="auto"/>
              </w:rPr>
              <w:t>—</w:t>
            </w:r>
          </w:p>
        </w:tc>
        <w:tc>
          <w:tcPr>
            <w:tcW w:w="2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60" w:type="dxa"/>
            <w:vAlign w:val="bottom"/>
          </w:tcPr>
          <w:p>
            <w:pPr>
              <w:jc w:val="right"/>
              <w:spacing w:after="0"/>
              <w:rPr>
                <w:sz w:val="20"/>
                <w:szCs w:val="20"/>
                <w:color w:val="auto"/>
              </w:rPr>
            </w:pPr>
            <w:r>
              <w:rPr>
                <w:rFonts w:ascii="Arial" w:cs="Arial" w:eastAsia="Arial" w:hAnsi="Arial"/>
                <w:sz w:val="13"/>
                <w:szCs w:val="13"/>
                <w:color w:val="auto"/>
              </w:rPr>
              <w:t>—</w:t>
            </w:r>
          </w:p>
        </w:tc>
        <w:tc>
          <w:tcPr>
            <w:tcW w:w="2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280" w:type="dxa"/>
            <w:vAlign w:val="bottom"/>
            <w:gridSpan w:val="2"/>
          </w:tcPr>
          <w:p>
            <w:pPr>
              <w:jc w:val="right"/>
              <w:ind w:right="240"/>
              <w:spacing w:after="0"/>
              <w:rPr>
                <w:sz w:val="20"/>
                <w:szCs w:val="20"/>
                <w:color w:val="auto"/>
              </w:rPr>
            </w:pPr>
            <w:r>
              <w:rPr>
                <w:rFonts w:ascii="Arial" w:cs="Arial" w:eastAsia="Arial" w:hAnsi="Arial"/>
                <w:sz w:val="13"/>
                <w:szCs w:val="13"/>
                <w:color w:val="auto"/>
              </w:rPr>
              <w:t>—</w:t>
            </w:r>
          </w:p>
        </w:tc>
        <w:tc>
          <w:tcPr>
            <w:tcW w:w="100" w:type="dxa"/>
            <w:vAlign w:val="bottom"/>
          </w:tcPr>
          <w:p>
            <w:pPr>
              <w:spacing w:after="0"/>
              <w:rPr>
                <w:sz w:val="14"/>
                <w:szCs w:val="14"/>
                <w:color w:val="auto"/>
              </w:rPr>
            </w:pPr>
          </w:p>
        </w:tc>
        <w:tc>
          <w:tcPr>
            <w:tcW w:w="1080" w:type="dxa"/>
            <w:vAlign w:val="bottom"/>
            <w:gridSpan w:val="2"/>
          </w:tcPr>
          <w:p>
            <w:pPr>
              <w:jc w:val="right"/>
              <w:ind w:right="97"/>
              <w:spacing w:after="0"/>
              <w:rPr>
                <w:sz w:val="20"/>
                <w:szCs w:val="20"/>
                <w:color w:val="auto"/>
              </w:rPr>
            </w:pPr>
            <w:r>
              <w:rPr>
                <w:rFonts w:ascii="Arial" w:cs="Arial" w:eastAsia="Arial" w:hAnsi="Arial"/>
                <w:sz w:val="13"/>
                <w:szCs w:val="13"/>
                <w:color w:val="auto"/>
              </w:rPr>
              <w:t>(22,544 )</w:t>
            </w:r>
          </w:p>
        </w:tc>
        <w:tc>
          <w:tcPr>
            <w:tcW w:w="100" w:type="dxa"/>
            <w:vAlign w:val="bottom"/>
          </w:tcPr>
          <w:p>
            <w:pPr>
              <w:spacing w:after="0"/>
              <w:rPr>
                <w:sz w:val="14"/>
                <w:szCs w:val="14"/>
                <w:color w:val="auto"/>
              </w:rPr>
            </w:pPr>
          </w:p>
        </w:tc>
        <w:tc>
          <w:tcPr>
            <w:tcW w:w="1100" w:type="dxa"/>
            <w:vAlign w:val="bottom"/>
            <w:gridSpan w:val="2"/>
          </w:tcPr>
          <w:p>
            <w:pPr>
              <w:jc w:val="right"/>
              <w:ind w:right="60"/>
              <w:spacing w:after="0"/>
              <w:rPr>
                <w:sz w:val="20"/>
                <w:szCs w:val="20"/>
                <w:color w:val="auto"/>
              </w:rPr>
            </w:pPr>
            <w:r>
              <w:rPr>
                <w:rFonts w:ascii="Arial" w:cs="Arial" w:eastAsia="Arial" w:hAnsi="Arial"/>
                <w:sz w:val="13"/>
                <w:szCs w:val="13"/>
                <w:color w:val="auto"/>
              </w:rPr>
              <w:t>(22,544 )</w:t>
            </w:r>
          </w:p>
        </w:tc>
        <w:tc>
          <w:tcPr>
            <w:tcW w:w="0" w:type="dxa"/>
            <w:vAlign w:val="bottom"/>
          </w:tcPr>
          <w:p>
            <w:pPr>
              <w:spacing w:after="0"/>
              <w:rPr>
                <w:sz w:val="1"/>
                <w:szCs w:val="1"/>
                <w:color w:val="auto"/>
              </w:rPr>
            </w:pPr>
          </w:p>
        </w:tc>
      </w:tr>
      <w:tr>
        <w:trPr>
          <w:trHeight w:val="182"/>
        </w:trPr>
        <w:tc>
          <w:tcPr>
            <w:tcW w:w="2440" w:type="dxa"/>
            <w:vAlign w:val="bottom"/>
            <w:shd w:val="clear" w:color="auto" w:fill="CFF0FC"/>
          </w:tcPr>
          <w:p>
            <w:pPr>
              <w:ind w:left="20"/>
              <w:spacing w:after="0"/>
              <w:rPr>
                <w:sz w:val="20"/>
                <w:szCs w:val="20"/>
                <w:color w:val="auto"/>
              </w:rPr>
            </w:pPr>
            <w:r>
              <w:rPr>
                <w:rFonts w:ascii="Arial" w:cs="Arial" w:eastAsia="Arial" w:hAnsi="Arial"/>
                <w:sz w:val="13"/>
                <w:szCs w:val="13"/>
                <w:color w:val="auto"/>
              </w:rPr>
              <w:t>Other comprehensive loss, net</w:t>
            </w:r>
          </w:p>
        </w:tc>
        <w:tc>
          <w:tcPr>
            <w:tcW w:w="500" w:type="dxa"/>
            <w:vAlign w:val="bottom"/>
            <w:shd w:val="clear" w:color="auto" w:fill="CFF0FC"/>
          </w:tcPr>
          <w:p>
            <w:pPr>
              <w:ind w:left="360"/>
              <w:spacing w:after="0"/>
              <w:rPr>
                <w:sz w:val="20"/>
                <w:szCs w:val="20"/>
                <w:color w:val="auto"/>
              </w:rPr>
            </w:pPr>
            <w:r>
              <w:rPr>
                <w:rFonts w:ascii="Arial" w:cs="Arial" w:eastAsia="Arial" w:hAnsi="Arial"/>
                <w:sz w:val="13"/>
                <w:szCs w:val="13"/>
                <w:color w:val="auto"/>
                <w:w w:val="91"/>
              </w:rPr>
              <w:t>—</w:t>
            </w:r>
          </w:p>
        </w:tc>
        <w:tc>
          <w:tcPr>
            <w:tcW w:w="260" w:type="dxa"/>
            <w:vAlign w:val="bottom"/>
            <w:shd w:val="clear" w:color="auto" w:fill="CFF0FC"/>
          </w:tcPr>
          <w:p>
            <w:pPr>
              <w:spacing w:after="0"/>
              <w:rPr>
                <w:sz w:val="15"/>
                <w:szCs w:val="15"/>
                <w:color w:val="auto"/>
              </w:rPr>
            </w:pPr>
          </w:p>
        </w:tc>
        <w:tc>
          <w:tcPr>
            <w:tcW w:w="120" w:type="dxa"/>
            <w:vAlign w:val="bottom"/>
            <w:shd w:val="clear" w:color="auto" w:fill="CFF0FC"/>
          </w:tcPr>
          <w:p>
            <w:pPr>
              <w:spacing w:after="0"/>
              <w:rPr>
                <w:sz w:val="15"/>
                <w:szCs w:val="15"/>
                <w:color w:val="auto"/>
              </w:rPr>
            </w:pPr>
          </w:p>
        </w:tc>
        <w:tc>
          <w:tcPr>
            <w:tcW w:w="700" w:type="dxa"/>
            <w:vAlign w:val="bottom"/>
            <w:shd w:val="clear" w:color="auto" w:fill="CFF0FC"/>
          </w:tcPr>
          <w:p>
            <w:pPr>
              <w:ind w:left="560"/>
              <w:spacing w:after="0"/>
              <w:rPr>
                <w:sz w:val="20"/>
                <w:szCs w:val="20"/>
                <w:color w:val="auto"/>
              </w:rPr>
            </w:pPr>
            <w:r>
              <w:rPr>
                <w:rFonts w:ascii="Arial" w:cs="Arial" w:eastAsia="Arial" w:hAnsi="Arial"/>
                <w:sz w:val="13"/>
                <w:szCs w:val="13"/>
                <w:color w:val="auto"/>
                <w:w w:val="91"/>
              </w:rPr>
              <w:t>—</w:t>
            </w:r>
          </w:p>
        </w:tc>
        <w:tc>
          <w:tcPr>
            <w:tcW w:w="240" w:type="dxa"/>
            <w:vAlign w:val="bottom"/>
            <w:shd w:val="clear" w:color="auto" w:fill="CFF0FC"/>
          </w:tcPr>
          <w:p>
            <w:pPr>
              <w:spacing w:after="0"/>
              <w:rPr>
                <w:sz w:val="15"/>
                <w:szCs w:val="15"/>
                <w:color w:val="auto"/>
              </w:rPr>
            </w:pPr>
          </w:p>
        </w:tc>
        <w:tc>
          <w:tcPr>
            <w:tcW w:w="720" w:type="dxa"/>
            <w:vAlign w:val="bottom"/>
            <w:shd w:val="clear" w:color="auto" w:fill="CFF0FC"/>
          </w:tcPr>
          <w:p>
            <w:pPr>
              <w:jc w:val="right"/>
              <w:spacing w:after="0"/>
              <w:rPr>
                <w:sz w:val="20"/>
                <w:szCs w:val="20"/>
                <w:color w:val="auto"/>
              </w:rPr>
            </w:pPr>
            <w:r>
              <w:rPr>
                <w:rFonts w:ascii="Arial" w:cs="Arial" w:eastAsia="Arial" w:hAnsi="Arial"/>
                <w:sz w:val="13"/>
                <w:szCs w:val="13"/>
                <w:color w:val="auto"/>
              </w:rPr>
              <w:t>—</w:t>
            </w:r>
          </w:p>
        </w:tc>
        <w:tc>
          <w:tcPr>
            <w:tcW w:w="240" w:type="dxa"/>
            <w:vAlign w:val="bottom"/>
            <w:shd w:val="clear" w:color="auto" w:fill="CFF0FC"/>
          </w:tcPr>
          <w:p>
            <w:pPr>
              <w:spacing w:after="0"/>
              <w:rPr>
                <w:sz w:val="15"/>
                <w:szCs w:val="15"/>
                <w:color w:val="auto"/>
              </w:rPr>
            </w:pPr>
          </w:p>
        </w:tc>
        <w:tc>
          <w:tcPr>
            <w:tcW w:w="120" w:type="dxa"/>
            <w:vAlign w:val="bottom"/>
            <w:shd w:val="clear" w:color="auto" w:fill="CFF0FC"/>
          </w:tcPr>
          <w:p>
            <w:pPr>
              <w:spacing w:after="0"/>
              <w:rPr>
                <w:sz w:val="15"/>
                <w:szCs w:val="15"/>
                <w:color w:val="auto"/>
              </w:rPr>
            </w:pPr>
          </w:p>
        </w:tc>
        <w:tc>
          <w:tcPr>
            <w:tcW w:w="700" w:type="dxa"/>
            <w:vAlign w:val="bottom"/>
            <w:shd w:val="clear" w:color="auto" w:fill="CFF0FC"/>
          </w:tcPr>
          <w:p>
            <w:pPr>
              <w:jc w:val="right"/>
              <w:spacing w:after="0"/>
              <w:rPr>
                <w:sz w:val="20"/>
                <w:szCs w:val="20"/>
                <w:color w:val="auto"/>
              </w:rPr>
            </w:pPr>
            <w:r>
              <w:rPr>
                <w:rFonts w:ascii="Arial" w:cs="Arial" w:eastAsia="Arial" w:hAnsi="Arial"/>
                <w:sz w:val="13"/>
                <w:szCs w:val="13"/>
                <w:color w:val="auto"/>
              </w:rPr>
              <w:t>—</w:t>
            </w:r>
          </w:p>
        </w:tc>
        <w:tc>
          <w:tcPr>
            <w:tcW w:w="260" w:type="dxa"/>
            <w:vAlign w:val="bottom"/>
            <w:shd w:val="clear" w:color="auto" w:fill="CFF0FC"/>
          </w:tcPr>
          <w:p>
            <w:pPr>
              <w:spacing w:after="0"/>
              <w:rPr>
                <w:sz w:val="15"/>
                <w:szCs w:val="15"/>
                <w:color w:val="auto"/>
              </w:rPr>
            </w:pPr>
          </w:p>
        </w:tc>
        <w:tc>
          <w:tcPr>
            <w:tcW w:w="100" w:type="dxa"/>
            <w:vAlign w:val="bottom"/>
            <w:shd w:val="clear" w:color="auto" w:fill="CFF0FC"/>
          </w:tcPr>
          <w:p>
            <w:pPr>
              <w:spacing w:after="0"/>
              <w:rPr>
                <w:sz w:val="15"/>
                <w:szCs w:val="15"/>
                <w:color w:val="auto"/>
              </w:rPr>
            </w:pPr>
          </w:p>
        </w:tc>
        <w:tc>
          <w:tcPr>
            <w:tcW w:w="860" w:type="dxa"/>
            <w:vAlign w:val="bottom"/>
            <w:shd w:val="clear" w:color="auto" w:fill="CFF0FC"/>
          </w:tcPr>
          <w:p>
            <w:pPr>
              <w:jc w:val="right"/>
              <w:spacing w:after="0"/>
              <w:rPr>
                <w:sz w:val="20"/>
                <w:szCs w:val="20"/>
                <w:color w:val="auto"/>
              </w:rPr>
            </w:pPr>
            <w:r>
              <w:rPr>
                <w:rFonts w:ascii="Arial" w:cs="Arial" w:eastAsia="Arial" w:hAnsi="Arial"/>
                <w:sz w:val="13"/>
                <w:szCs w:val="13"/>
                <w:color w:val="auto"/>
              </w:rPr>
              <w:t>—</w:t>
            </w:r>
          </w:p>
        </w:tc>
        <w:tc>
          <w:tcPr>
            <w:tcW w:w="220" w:type="dxa"/>
            <w:vAlign w:val="bottom"/>
            <w:shd w:val="clear" w:color="auto" w:fill="CFF0FC"/>
          </w:tcPr>
          <w:p>
            <w:pPr>
              <w:spacing w:after="0"/>
              <w:rPr>
                <w:sz w:val="15"/>
                <w:szCs w:val="15"/>
                <w:color w:val="auto"/>
              </w:rPr>
            </w:pPr>
          </w:p>
        </w:tc>
        <w:tc>
          <w:tcPr>
            <w:tcW w:w="100" w:type="dxa"/>
            <w:vAlign w:val="bottom"/>
            <w:shd w:val="clear" w:color="auto" w:fill="CFF0FC"/>
          </w:tcPr>
          <w:p>
            <w:pPr>
              <w:spacing w:after="0"/>
              <w:rPr>
                <w:sz w:val="15"/>
                <w:szCs w:val="15"/>
                <w:color w:val="auto"/>
              </w:rPr>
            </w:pPr>
          </w:p>
        </w:tc>
        <w:tc>
          <w:tcPr>
            <w:tcW w:w="1280" w:type="dxa"/>
            <w:vAlign w:val="bottom"/>
            <w:gridSpan w:val="2"/>
            <w:shd w:val="clear" w:color="auto" w:fill="CFF0FC"/>
          </w:tcPr>
          <w:p>
            <w:pPr>
              <w:jc w:val="right"/>
              <w:ind w:right="160"/>
              <w:spacing w:after="0"/>
              <w:rPr>
                <w:sz w:val="20"/>
                <w:szCs w:val="20"/>
                <w:color w:val="auto"/>
              </w:rPr>
            </w:pPr>
            <w:r>
              <w:rPr>
                <w:rFonts w:ascii="Arial" w:cs="Arial" w:eastAsia="Arial" w:hAnsi="Arial"/>
                <w:sz w:val="13"/>
                <w:szCs w:val="13"/>
                <w:color w:val="auto"/>
              </w:rPr>
              <w:t>(580 )</w:t>
            </w:r>
          </w:p>
        </w:tc>
        <w:tc>
          <w:tcPr>
            <w:tcW w:w="100" w:type="dxa"/>
            <w:vAlign w:val="bottom"/>
            <w:shd w:val="clear" w:color="auto" w:fill="CFF0FC"/>
          </w:tcPr>
          <w:p>
            <w:pPr>
              <w:spacing w:after="0"/>
              <w:rPr>
                <w:sz w:val="15"/>
                <w:szCs w:val="15"/>
                <w:color w:val="auto"/>
              </w:rPr>
            </w:pPr>
          </w:p>
        </w:tc>
        <w:tc>
          <w:tcPr>
            <w:tcW w:w="1080" w:type="dxa"/>
            <w:vAlign w:val="bottom"/>
            <w:gridSpan w:val="2"/>
            <w:shd w:val="clear" w:color="auto" w:fill="CFF0FC"/>
          </w:tcPr>
          <w:p>
            <w:pPr>
              <w:jc w:val="right"/>
              <w:ind w:right="157"/>
              <w:spacing w:after="0"/>
              <w:rPr>
                <w:sz w:val="20"/>
                <w:szCs w:val="20"/>
                <w:color w:val="auto"/>
              </w:rPr>
            </w:pPr>
            <w:r>
              <w:rPr>
                <w:rFonts w:ascii="Arial" w:cs="Arial" w:eastAsia="Arial" w:hAnsi="Arial"/>
                <w:sz w:val="13"/>
                <w:szCs w:val="13"/>
                <w:color w:val="auto"/>
              </w:rPr>
              <w:t>—</w:t>
            </w:r>
          </w:p>
        </w:tc>
        <w:tc>
          <w:tcPr>
            <w:tcW w:w="100" w:type="dxa"/>
            <w:vAlign w:val="bottom"/>
            <w:shd w:val="clear" w:color="auto" w:fill="CFF0FC"/>
          </w:tcPr>
          <w:p>
            <w:pPr>
              <w:spacing w:after="0"/>
              <w:rPr>
                <w:sz w:val="15"/>
                <w:szCs w:val="15"/>
                <w:color w:val="auto"/>
              </w:rPr>
            </w:pPr>
          </w:p>
        </w:tc>
        <w:tc>
          <w:tcPr>
            <w:tcW w:w="1100" w:type="dxa"/>
            <w:vAlign w:val="bottom"/>
            <w:gridSpan w:val="2"/>
            <w:shd w:val="clear" w:color="auto" w:fill="CFF0FC"/>
          </w:tcPr>
          <w:p>
            <w:pPr>
              <w:jc w:val="right"/>
              <w:ind w:right="60"/>
              <w:spacing w:after="0"/>
              <w:rPr>
                <w:sz w:val="20"/>
                <w:szCs w:val="20"/>
                <w:color w:val="auto"/>
              </w:rPr>
            </w:pPr>
            <w:r>
              <w:rPr>
                <w:rFonts w:ascii="Arial" w:cs="Arial" w:eastAsia="Arial" w:hAnsi="Arial"/>
                <w:sz w:val="13"/>
                <w:szCs w:val="13"/>
                <w:color w:val="auto"/>
              </w:rPr>
              <w:t>(580 )</w:t>
            </w:r>
          </w:p>
        </w:tc>
        <w:tc>
          <w:tcPr>
            <w:tcW w:w="0" w:type="dxa"/>
            <w:vAlign w:val="bottom"/>
          </w:tcPr>
          <w:p>
            <w:pPr>
              <w:spacing w:after="0"/>
              <w:rPr>
                <w:sz w:val="1"/>
                <w:szCs w:val="1"/>
                <w:color w:val="auto"/>
              </w:rPr>
            </w:pPr>
          </w:p>
        </w:tc>
      </w:tr>
      <w:tr>
        <w:trPr>
          <w:trHeight w:val="20"/>
        </w:trPr>
        <w:tc>
          <w:tcPr>
            <w:tcW w:w="2440" w:type="dxa"/>
            <w:vAlign w:val="bottom"/>
            <w:shd w:val="clear" w:color="auto" w:fill="CFF0FC"/>
          </w:tcPr>
          <w:p>
            <w:pPr>
              <w:spacing w:after="0" w:line="20" w:lineRule="exact"/>
              <w:rPr>
                <w:sz w:val="1"/>
                <w:szCs w:val="1"/>
                <w:color w:val="auto"/>
              </w:rPr>
            </w:pPr>
          </w:p>
        </w:tc>
        <w:tc>
          <w:tcPr>
            <w:tcW w:w="500" w:type="dxa"/>
            <w:vAlign w:val="bottom"/>
            <w:shd w:val="clear" w:color="auto" w:fill="000000"/>
          </w:tcPr>
          <w:p>
            <w:pPr>
              <w:spacing w:after="0" w:line="20" w:lineRule="exact"/>
              <w:rPr>
                <w:sz w:val="1"/>
                <w:szCs w:val="1"/>
                <w:color w:val="auto"/>
              </w:rPr>
            </w:pPr>
          </w:p>
        </w:tc>
        <w:tc>
          <w:tcPr>
            <w:tcW w:w="260" w:type="dxa"/>
            <w:vAlign w:val="bottom"/>
            <w:shd w:val="clear" w:color="auto" w:fill="CFF0FC"/>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700" w:type="dxa"/>
            <w:vAlign w:val="bottom"/>
            <w:shd w:val="clear" w:color="auto" w:fill="000000"/>
          </w:tcPr>
          <w:p>
            <w:pPr>
              <w:spacing w:after="0" w:line="20" w:lineRule="exact"/>
              <w:rPr>
                <w:sz w:val="1"/>
                <w:szCs w:val="1"/>
                <w:color w:val="auto"/>
              </w:rPr>
            </w:pPr>
          </w:p>
        </w:tc>
        <w:tc>
          <w:tcPr>
            <w:tcW w:w="240" w:type="dxa"/>
            <w:vAlign w:val="bottom"/>
            <w:shd w:val="clear" w:color="auto" w:fill="CFF0FC"/>
          </w:tcPr>
          <w:p>
            <w:pPr>
              <w:spacing w:after="0" w:line="20" w:lineRule="exact"/>
              <w:rPr>
                <w:sz w:val="1"/>
                <w:szCs w:val="1"/>
                <w:color w:val="auto"/>
              </w:rPr>
            </w:pPr>
          </w:p>
        </w:tc>
        <w:tc>
          <w:tcPr>
            <w:tcW w:w="720" w:type="dxa"/>
            <w:vAlign w:val="bottom"/>
            <w:shd w:val="clear" w:color="auto" w:fill="000000"/>
          </w:tcPr>
          <w:p>
            <w:pPr>
              <w:spacing w:after="0" w:line="20" w:lineRule="exact"/>
              <w:rPr>
                <w:sz w:val="1"/>
                <w:szCs w:val="1"/>
                <w:color w:val="auto"/>
              </w:rPr>
            </w:pPr>
          </w:p>
        </w:tc>
        <w:tc>
          <w:tcPr>
            <w:tcW w:w="240" w:type="dxa"/>
            <w:vAlign w:val="bottom"/>
            <w:shd w:val="clear" w:color="auto" w:fill="CFF0FC"/>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700" w:type="dxa"/>
            <w:vAlign w:val="bottom"/>
            <w:shd w:val="clear" w:color="auto" w:fill="000000"/>
          </w:tcPr>
          <w:p>
            <w:pPr>
              <w:spacing w:after="0" w:line="20" w:lineRule="exact"/>
              <w:rPr>
                <w:sz w:val="1"/>
                <w:szCs w:val="1"/>
                <w:color w:val="auto"/>
              </w:rPr>
            </w:pPr>
          </w:p>
        </w:tc>
        <w:tc>
          <w:tcPr>
            <w:tcW w:w="260" w:type="dxa"/>
            <w:vAlign w:val="bottom"/>
            <w:shd w:val="clear" w:color="auto" w:fill="CFF0FC"/>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860" w:type="dxa"/>
            <w:vAlign w:val="bottom"/>
            <w:shd w:val="clear" w:color="auto" w:fill="000000"/>
          </w:tcPr>
          <w:p>
            <w:pPr>
              <w:spacing w:after="0" w:line="20" w:lineRule="exact"/>
              <w:rPr>
                <w:sz w:val="1"/>
                <w:szCs w:val="1"/>
                <w:color w:val="auto"/>
              </w:rPr>
            </w:pPr>
          </w:p>
        </w:tc>
        <w:tc>
          <w:tcPr>
            <w:tcW w:w="220" w:type="dxa"/>
            <w:vAlign w:val="bottom"/>
            <w:shd w:val="clear" w:color="auto" w:fill="CFF0FC"/>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1060" w:type="dxa"/>
            <w:vAlign w:val="bottom"/>
            <w:shd w:val="clear" w:color="auto" w:fill="000000"/>
          </w:tcPr>
          <w:p>
            <w:pPr>
              <w:spacing w:after="0" w:line="20" w:lineRule="exact"/>
              <w:rPr>
                <w:sz w:val="1"/>
                <w:szCs w:val="1"/>
                <w:color w:val="auto"/>
              </w:rPr>
            </w:pPr>
          </w:p>
        </w:tc>
        <w:tc>
          <w:tcPr>
            <w:tcW w:w="220" w:type="dxa"/>
            <w:vAlign w:val="bottom"/>
            <w:shd w:val="clear" w:color="auto" w:fill="CFF0FC"/>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860" w:type="dxa"/>
            <w:vAlign w:val="bottom"/>
            <w:shd w:val="clear" w:color="auto" w:fill="000000"/>
          </w:tcPr>
          <w:p>
            <w:pPr>
              <w:spacing w:after="0" w:line="20" w:lineRule="exact"/>
              <w:rPr>
                <w:sz w:val="1"/>
                <w:szCs w:val="1"/>
                <w:color w:val="auto"/>
              </w:rPr>
            </w:pPr>
          </w:p>
        </w:tc>
        <w:tc>
          <w:tcPr>
            <w:tcW w:w="220" w:type="dxa"/>
            <w:vAlign w:val="bottom"/>
            <w:shd w:val="clear" w:color="auto" w:fill="CFF0FC"/>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1000" w:type="dxa"/>
            <w:vAlign w:val="bottom"/>
            <w:shd w:val="clear" w:color="auto" w:fill="000000"/>
          </w:tcPr>
          <w:p>
            <w:pPr>
              <w:spacing w:after="0" w:line="20" w:lineRule="exact"/>
              <w:rPr>
                <w:sz w:val="1"/>
                <w:szCs w:val="1"/>
                <w:color w:val="auto"/>
              </w:rPr>
            </w:pPr>
          </w:p>
        </w:tc>
        <w:tc>
          <w:tcPr>
            <w:tcW w:w="100" w:type="dxa"/>
            <w:vAlign w:val="bottom"/>
            <w:shd w:val="clear" w:color="auto" w:fill="CFF0FC"/>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92"/>
        </w:trPr>
        <w:tc>
          <w:tcPr>
            <w:tcW w:w="2440" w:type="dxa"/>
            <w:vAlign w:val="bottom"/>
          </w:tcPr>
          <w:p>
            <w:pPr>
              <w:ind w:left="20"/>
              <w:spacing w:after="0"/>
              <w:rPr>
                <w:sz w:val="20"/>
                <w:szCs w:val="20"/>
                <w:color w:val="auto"/>
              </w:rPr>
            </w:pPr>
            <w:r>
              <w:rPr>
                <w:rFonts w:ascii="Arial" w:cs="Arial" w:eastAsia="Arial" w:hAnsi="Arial"/>
                <w:sz w:val="13"/>
                <w:szCs w:val="13"/>
                <w:color w:val="auto"/>
              </w:rPr>
              <w:t>Balance at September 30, 2022</w:t>
            </w:r>
          </w:p>
        </w:tc>
        <w:tc>
          <w:tcPr>
            <w:tcW w:w="500" w:type="dxa"/>
            <w:vAlign w:val="bottom"/>
          </w:tcPr>
          <w:p>
            <w:pPr>
              <w:ind w:left="360"/>
              <w:spacing w:after="0"/>
              <w:rPr>
                <w:sz w:val="20"/>
                <w:szCs w:val="20"/>
                <w:color w:val="auto"/>
              </w:rPr>
            </w:pPr>
            <w:r>
              <w:rPr>
                <w:rFonts w:ascii="Arial" w:cs="Arial" w:eastAsia="Arial" w:hAnsi="Arial"/>
                <w:sz w:val="13"/>
                <w:szCs w:val="13"/>
                <w:color w:val="auto"/>
                <w:w w:val="91"/>
              </w:rPr>
              <w:t>—</w:t>
            </w:r>
          </w:p>
        </w:tc>
        <w:tc>
          <w:tcPr>
            <w:tcW w:w="260" w:type="dxa"/>
            <w:vAlign w:val="bottom"/>
          </w:tcPr>
          <w:p>
            <w:pPr>
              <w:spacing w:after="0"/>
              <w:rPr>
                <w:sz w:val="24"/>
                <w:szCs w:val="24"/>
                <w:color w:val="auto"/>
              </w:rPr>
            </w:pPr>
          </w:p>
        </w:tc>
        <w:tc>
          <w:tcPr>
            <w:tcW w:w="120" w:type="dxa"/>
            <w:vAlign w:val="bottom"/>
          </w:tcPr>
          <w:p>
            <w:pPr>
              <w:jc w:val="right"/>
              <w:spacing w:after="0"/>
              <w:rPr>
                <w:sz w:val="20"/>
                <w:szCs w:val="20"/>
                <w:color w:val="auto"/>
              </w:rPr>
            </w:pPr>
            <w:r>
              <w:rPr>
                <w:rFonts w:ascii="Arial" w:cs="Arial" w:eastAsia="Arial" w:hAnsi="Arial"/>
                <w:sz w:val="13"/>
                <w:szCs w:val="13"/>
                <w:color w:val="auto"/>
              </w:rPr>
              <w:t>$</w:t>
            </w:r>
          </w:p>
        </w:tc>
        <w:tc>
          <w:tcPr>
            <w:tcW w:w="700" w:type="dxa"/>
            <w:vAlign w:val="bottom"/>
          </w:tcPr>
          <w:p>
            <w:pPr>
              <w:ind w:left="560"/>
              <w:spacing w:after="0"/>
              <w:rPr>
                <w:sz w:val="20"/>
                <w:szCs w:val="20"/>
                <w:color w:val="auto"/>
              </w:rPr>
            </w:pPr>
            <w:r>
              <w:rPr>
                <w:rFonts w:ascii="Arial" w:cs="Arial" w:eastAsia="Arial" w:hAnsi="Arial"/>
                <w:sz w:val="13"/>
                <w:szCs w:val="13"/>
                <w:color w:val="auto"/>
                <w:w w:val="91"/>
              </w:rPr>
              <w:t>—</w:t>
            </w:r>
          </w:p>
        </w:tc>
        <w:tc>
          <w:tcPr>
            <w:tcW w:w="240" w:type="dxa"/>
            <w:vAlign w:val="bottom"/>
          </w:tcPr>
          <w:p>
            <w:pPr>
              <w:spacing w:after="0"/>
              <w:rPr>
                <w:sz w:val="24"/>
                <w:szCs w:val="24"/>
                <w:color w:val="auto"/>
              </w:rPr>
            </w:pPr>
          </w:p>
        </w:tc>
        <w:tc>
          <w:tcPr>
            <w:tcW w:w="720" w:type="dxa"/>
            <w:vAlign w:val="bottom"/>
          </w:tcPr>
          <w:p>
            <w:pPr>
              <w:jc w:val="right"/>
              <w:spacing w:after="0"/>
              <w:rPr>
                <w:sz w:val="20"/>
                <w:szCs w:val="20"/>
                <w:color w:val="auto"/>
              </w:rPr>
            </w:pPr>
            <w:r>
              <w:rPr>
                <w:rFonts w:ascii="Arial" w:cs="Arial" w:eastAsia="Arial" w:hAnsi="Arial"/>
                <w:sz w:val="13"/>
                <w:szCs w:val="13"/>
                <w:color w:val="auto"/>
              </w:rPr>
              <w:t>113,105</w:t>
            </w:r>
          </w:p>
        </w:tc>
        <w:tc>
          <w:tcPr>
            <w:tcW w:w="240" w:type="dxa"/>
            <w:vAlign w:val="bottom"/>
          </w:tcPr>
          <w:p>
            <w:pPr>
              <w:spacing w:after="0"/>
              <w:rPr>
                <w:sz w:val="24"/>
                <w:szCs w:val="24"/>
                <w:color w:val="auto"/>
              </w:rPr>
            </w:pPr>
          </w:p>
        </w:tc>
        <w:tc>
          <w:tcPr>
            <w:tcW w:w="120" w:type="dxa"/>
            <w:vAlign w:val="bottom"/>
          </w:tcPr>
          <w:p>
            <w:pPr>
              <w:jc w:val="right"/>
              <w:spacing w:after="0"/>
              <w:rPr>
                <w:sz w:val="20"/>
                <w:szCs w:val="20"/>
                <w:color w:val="auto"/>
              </w:rPr>
            </w:pPr>
            <w:r>
              <w:rPr>
                <w:rFonts w:ascii="Arial" w:cs="Arial" w:eastAsia="Arial" w:hAnsi="Arial"/>
                <w:sz w:val="13"/>
                <w:szCs w:val="13"/>
                <w:color w:val="auto"/>
              </w:rPr>
              <w:t>$</w:t>
            </w:r>
          </w:p>
        </w:tc>
        <w:tc>
          <w:tcPr>
            <w:tcW w:w="700" w:type="dxa"/>
            <w:vAlign w:val="bottom"/>
          </w:tcPr>
          <w:p>
            <w:pPr>
              <w:jc w:val="right"/>
              <w:spacing w:after="0"/>
              <w:rPr>
                <w:sz w:val="20"/>
                <w:szCs w:val="20"/>
                <w:color w:val="auto"/>
              </w:rPr>
            </w:pPr>
            <w:r>
              <w:rPr>
                <w:rFonts w:ascii="Arial" w:cs="Arial" w:eastAsia="Arial" w:hAnsi="Arial"/>
                <w:sz w:val="13"/>
                <w:szCs w:val="13"/>
                <w:color w:val="auto"/>
              </w:rPr>
              <w:t>1</w:t>
            </w:r>
          </w:p>
        </w:tc>
        <w:tc>
          <w:tcPr>
            <w:tcW w:w="260" w:type="dxa"/>
            <w:vAlign w:val="bottom"/>
          </w:tcPr>
          <w:p>
            <w:pPr>
              <w:spacing w:after="0"/>
              <w:rPr>
                <w:sz w:val="24"/>
                <w:szCs w:val="24"/>
                <w:color w:val="auto"/>
              </w:rPr>
            </w:pPr>
          </w:p>
        </w:tc>
        <w:tc>
          <w:tcPr>
            <w:tcW w:w="100" w:type="dxa"/>
            <w:vAlign w:val="bottom"/>
          </w:tcPr>
          <w:p>
            <w:pPr>
              <w:jc w:val="right"/>
              <w:spacing w:after="0"/>
              <w:rPr>
                <w:sz w:val="20"/>
                <w:szCs w:val="20"/>
                <w:color w:val="auto"/>
              </w:rPr>
            </w:pPr>
            <w:r>
              <w:rPr>
                <w:rFonts w:ascii="Arial" w:cs="Arial" w:eastAsia="Arial" w:hAnsi="Arial"/>
                <w:sz w:val="10"/>
                <w:szCs w:val="10"/>
                <w:color w:val="auto"/>
                <w:w w:val="71"/>
              </w:rPr>
              <w:t>$</w:t>
            </w:r>
          </w:p>
        </w:tc>
        <w:tc>
          <w:tcPr>
            <w:tcW w:w="860" w:type="dxa"/>
            <w:vAlign w:val="bottom"/>
          </w:tcPr>
          <w:p>
            <w:pPr>
              <w:jc w:val="right"/>
              <w:spacing w:after="0"/>
              <w:rPr>
                <w:sz w:val="20"/>
                <w:szCs w:val="20"/>
                <w:color w:val="auto"/>
              </w:rPr>
            </w:pPr>
            <w:r>
              <w:rPr>
                <w:rFonts w:ascii="Arial" w:cs="Arial" w:eastAsia="Arial" w:hAnsi="Arial"/>
                <w:sz w:val="13"/>
                <w:szCs w:val="13"/>
                <w:color w:val="auto"/>
              </w:rPr>
              <w:t>544,738</w:t>
            </w:r>
          </w:p>
        </w:tc>
        <w:tc>
          <w:tcPr>
            <w:tcW w:w="220" w:type="dxa"/>
            <w:vAlign w:val="bottom"/>
          </w:tcPr>
          <w:p>
            <w:pPr>
              <w:spacing w:after="0"/>
              <w:rPr>
                <w:sz w:val="24"/>
                <w:szCs w:val="24"/>
                <w:color w:val="auto"/>
              </w:rPr>
            </w:pPr>
          </w:p>
        </w:tc>
        <w:tc>
          <w:tcPr>
            <w:tcW w:w="100" w:type="dxa"/>
            <w:vAlign w:val="bottom"/>
          </w:tcPr>
          <w:p>
            <w:pPr>
              <w:jc w:val="right"/>
              <w:spacing w:after="0"/>
              <w:rPr>
                <w:sz w:val="20"/>
                <w:szCs w:val="20"/>
                <w:color w:val="auto"/>
              </w:rPr>
            </w:pPr>
            <w:r>
              <w:rPr>
                <w:rFonts w:ascii="Arial" w:cs="Arial" w:eastAsia="Arial" w:hAnsi="Arial"/>
                <w:sz w:val="13"/>
                <w:szCs w:val="13"/>
                <w:color w:val="auto"/>
                <w:w w:val="82"/>
              </w:rPr>
              <w:t>$</w:t>
            </w:r>
          </w:p>
        </w:tc>
        <w:tc>
          <w:tcPr>
            <w:tcW w:w="1280" w:type="dxa"/>
            <w:vAlign w:val="bottom"/>
            <w:gridSpan w:val="2"/>
          </w:tcPr>
          <w:p>
            <w:pPr>
              <w:jc w:val="right"/>
              <w:ind w:right="160"/>
              <w:spacing w:after="0"/>
              <w:rPr>
                <w:sz w:val="20"/>
                <w:szCs w:val="20"/>
                <w:color w:val="auto"/>
              </w:rPr>
            </w:pPr>
            <w:r>
              <w:rPr>
                <w:rFonts w:ascii="Arial" w:cs="Arial" w:eastAsia="Arial" w:hAnsi="Arial"/>
                <w:sz w:val="13"/>
                <w:szCs w:val="13"/>
                <w:color w:val="auto"/>
              </w:rPr>
              <w:t>(580 )</w:t>
            </w:r>
          </w:p>
        </w:tc>
        <w:tc>
          <w:tcPr>
            <w:tcW w:w="100" w:type="dxa"/>
            <w:vAlign w:val="bottom"/>
          </w:tcPr>
          <w:p>
            <w:pPr>
              <w:jc w:val="right"/>
              <w:spacing w:after="0"/>
              <w:rPr>
                <w:sz w:val="20"/>
                <w:szCs w:val="20"/>
                <w:color w:val="auto"/>
              </w:rPr>
            </w:pPr>
            <w:r>
              <w:rPr>
                <w:rFonts w:ascii="Arial" w:cs="Arial" w:eastAsia="Arial" w:hAnsi="Arial"/>
                <w:sz w:val="10"/>
                <w:szCs w:val="10"/>
                <w:color w:val="auto"/>
                <w:w w:val="71"/>
              </w:rPr>
              <w:t>$</w:t>
            </w:r>
          </w:p>
        </w:tc>
        <w:tc>
          <w:tcPr>
            <w:tcW w:w="1080" w:type="dxa"/>
            <w:vAlign w:val="bottom"/>
            <w:gridSpan w:val="2"/>
          </w:tcPr>
          <w:p>
            <w:pPr>
              <w:jc w:val="right"/>
              <w:ind w:right="97"/>
              <w:spacing w:after="0"/>
              <w:rPr>
                <w:sz w:val="20"/>
                <w:szCs w:val="20"/>
                <w:color w:val="auto"/>
              </w:rPr>
            </w:pPr>
            <w:r>
              <w:rPr>
                <w:rFonts w:ascii="Arial" w:cs="Arial" w:eastAsia="Arial" w:hAnsi="Arial"/>
                <w:sz w:val="13"/>
                <w:szCs w:val="13"/>
                <w:color w:val="auto"/>
              </w:rPr>
              <w:t>(249,123 )</w:t>
            </w:r>
          </w:p>
        </w:tc>
        <w:tc>
          <w:tcPr>
            <w:tcW w:w="100" w:type="dxa"/>
            <w:vAlign w:val="bottom"/>
          </w:tcPr>
          <w:p>
            <w:pPr>
              <w:jc w:val="right"/>
              <w:spacing w:after="0"/>
              <w:rPr>
                <w:sz w:val="20"/>
                <w:szCs w:val="20"/>
                <w:color w:val="auto"/>
              </w:rPr>
            </w:pPr>
            <w:r>
              <w:rPr>
                <w:rFonts w:ascii="Arial" w:cs="Arial" w:eastAsia="Arial" w:hAnsi="Arial"/>
                <w:sz w:val="13"/>
                <w:szCs w:val="13"/>
                <w:color w:val="auto"/>
                <w:w w:val="82"/>
              </w:rPr>
              <w:t>$</w:t>
            </w:r>
          </w:p>
        </w:tc>
        <w:tc>
          <w:tcPr>
            <w:tcW w:w="1000" w:type="dxa"/>
            <w:vAlign w:val="bottom"/>
          </w:tcPr>
          <w:p>
            <w:pPr>
              <w:jc w:val="right"/>
              <w:spacing w:after="0"/>
              <w:rPr>
                <w:sz w:val="20"/>
                <w:szCs w:val="20"/>
                <w:color w:val="auto"/>
              </w:rPr>
            </w:pPr>
            <w:r>
              <w:rPr>
                <w:rFonts w:ascii="Arial" w:cs="Arial" w:eastAsia="Arial" w:hAnsi="Arial"/>
                <w:sz w:val="13"/>
                <w:szCs w:val="13"/>
                <w:color w:val="auto"/>
              </w:rPr>
              <w:t>295,036</w:t>
            </w: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
        </w:trPr>
        <w:tc>
          <w:tcPr>
            <w:tcW w:w="2440" w:type="dxa"/>
            <w:vAlign w:val="bottom"/>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06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1871345</wp:posOffset>
            </wp:positionH>
            <wp:positionV relativeFrom="paragraph">
              <wp:posOffset>-2071370</wp:posOffset>
            </wp:positionV>
            <wp:extent cx="5266055" cy="137160"/>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5266055" cy="137160"/>
                    </a:xfrm>
                    <a:prstGeom prst="rect">
                      <a:avLst/>
                    </a:prstGeom>
                    <a:noFill/>
                  </pic:spPr>
                </pic:pic>
              </a:graphicData>
            </a:graphic>
          </wp:anchor>
        </w:drawing>
        <w:drawing>
          <wp:anchor simplePos="0" relativeHeight="251657728" behindDoc="1" locked="0" layoutInCell="0" allowOverlap="1">
            <wp:simplePos x="0" y="0"/>
            <wp:positionH relativeFrom="column">
              <wp:posOffset>1871345</wp:posOffset>
            </wp:positionH>
            <wp:positionV relativeFrom="paragraph">
              <wp:posOffset>-915670</wp:posOffset>
            </wp:positionV>
            <wp:extent cx="5266055" cy="137160"/>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5266055" cy="137160"/>
                    </a:xfrm>
                    <a:prstGeom prst="rect">
                      <a:avLst/>
                    </a:prstGeom>
                    <a:noFill/>
                  </pic:spPr>
                </pic:pic>
              </a:graphicData>
            </a:graphic>
          </wp:anchor>
        </w:drawing>
        <w:drawing>
          <wp:anchor simplePos="0" relativeHeight="251657728" behindDoc="1" locked="0" layoutInCell="0" allowOverlap="1">
            <wp:simplePos x="0" y="0"/>
            <wp:positionH relativeFrom="column">
              <wp:posOffset>1871345</wp:posOffset>
            </wp:positionH>
            <wp:positionV relativeFrom="paragraph">
              <wp:posOffset>-222250</wp:posOffset>
            </wp:positionV>
            <wp:extent cx="76835" cy="222885"/>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76835" cy="222885"/>
                    </a:xfrm>
                    <a:prstGeom prst="rect">
                      <a:avLst/>
                    </a:prstGeom>
                    <a:noFill/>
                  </pic:spPr>
                </pic:pic>
              </a:graphicData>
            </a:graphic>
          </wp:anchor>
        </w:drawing>
        <w:drawing>
          <wp:anchor simplePos="0" relativeHeight="251657728" behindDoc="1" locked="0" layoutInCell="0" allowOverlap="1">
            <wp:simplePos x="0" y="0"/>
            <wp:positionH relativeFrom="column">
              <wp:posOffset>2556510</wp:posOffset>
            </wp:positionH>
            <wp:positionV relativeFrom="paragraph">
              <wp:posOffset>-222250</wp:posOffset>
            </wp:positionV>
            <wp:extent cx="76835" cy="222885"/>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76835" cy="222885"/>
                    </a:xfrm>
                    <a:prstGeom prst="rect">
                      <a:avLst/>
                    </a:prstGeom>
                    <a:noFill/>
                  </pic:spPr>
                </pic:pic>
              </a:graphicData>
            </a:graphic>
          </wp:anchor>
        </w:drawing>
        <w:drawing>
          <wp:anchor simplePos="0" relativeHeight="251657728" behindDoc="1" locked="0" layoutInCell="0" allowOverlap="1">
            <wp:simplePos x="0" y="0"/>
            <wp:positionH relativeFrom="column">
              <wp:posOffset>3155950</wp:posOffset>
            </wp:positionH>
            <wp:positionV relativeFrom="paragraph">
              <wp:posOffset>-222250</wp:posOffset>
            </wp:positionV>
            <wp:extent cx="76835" cy="222885"/>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5">
                      <a:extLst>
                        <a:ext uri="{28A0092B-C50C-407E-A947-70E740481C1C}"/>
                      </a:extLst>
                    </a:blip>
                    <a:srcRect/>
                    <a:stretch>
                      <a:fillRect/>
                    </a:stretch>
                  </pic:blipFill>
                  <pic:spPr bwMode="auto">
                    <a:xfrm>
                      <a:off x="0" y="0"/>
                      <a:ext cx="76835" cy="222885"/>
                    </a:xfrm>
                    <a:prstGeom prst="rect">
                      <a:avLst/>
                    </a:prstGeom>
                    <a:noFill/>
                  </pic:spPr>
                </pic:pic>
              </a:graphicData>
            </a:graphic>
          </wp:anchor>
        </w:drawing>
        <w:drawing>
          <wp:anchor simplePos="0" relativeHeight="251657728" behindDoc="1" locked="0" layoutInCell="0" allowOverlap="1">
            <wp:simplePos x="0" y="0"/>
            <wp:positionH relativeFrom="column">
              <wp:posOffset>3841115</wp:posOffset>
            </wp:positionH>
            <wp:positionV relativeFrom="paragraph">
              <wp:posOffset>-222250</wp:posOffset>
            </wp:positionV>
            <wp:extent cx="76835" cy="222885"/>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6">
                      <a:extLst>
                        <a:ext uri="{28A0092B-C50C-407E-A947-70E740481C1C}"/>
                      </a:extLst>
                    </a:blip>
                    <a:srcRect/>
                    <a:stretch>
                      <a:fillRect/>
                    </a:stretch>
                  </pic:blipFill>
                  <pic:spPr bwMode="auto">
                    <a:xfrm>
                      <a:off x="0" y="0"/>
                      <a:ext cx="76835" cy="222885"/>
                    </a:xfrm>
                    <a:prstGeom prst="rect">
                      <a:avLst/>
                    </a:prstGeom>
                    <a:noFill/>
                  </pic:spPr>
                </pic:pic>
              </a:graphicData>
            </a:graphic>
          </wp:anchor>
        </w:drawing>
        <w:drawing>
          <wp:anchor simplePos="0" relativeHeight="251657728" behindDoc="1" locked="0" layoutInCell="0" allowOverlap="1">
            <wp:simplePos x="0" y="0"/>
            <wp:positionH relativeFrom="column">
              <wp:posOffset>4611370</wp:posOffset>
            </wp:positionH>
            <wp:positionV relativeFrom="paragraph">
              <wp:posOffset>-222250</wp:posOffset>
            </wp:positionV>
            <wp:extent cx="68580" cy="222885"/>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7">
                      <a:extLst>
                        <a:ext uri="{28A0092B-C50C-407E-A947-70E740481C1C}"/>
                      </a:extLst>
                    </a:blip>
                    <a:srcRect/>
                    <a:stretch>
                      <a:fillRect/>
                    </a:stretch>
                  </pic:blipFill>
                  <pic:spPr bwMode="auto">
                    <a:xfrm>
                      <a:off x="0" y="0"/>
                      <a:ext cx="68580" cy="222885"/>
                    </a:xfrm>
                    <a:prstGeom prst="rect">
                      <a:avLst/>
                    </a:prstGeom>
                    <a:noFill/>
                  </pic:spPr>
                </pic:pic>
              </a:graphicData>
            </a:graphic>
          </wp:anchor>
        </w:drawing>
        <w:drawing>
          <wp:anchor simplePos="0" relativeHeight="251657728" behindDoc="1" locked="0" layoutInCell="0" allowOverlap="1">
            <wp:simplePos x="0" y="0"/>
            <wp:positionH relativeFrom="column">
              <wp:posOffset>5485130</wp:posOffset>
            </wp:positionH>
            <wp:positionV relativeFrom="paragraph">
              <wp:posOffset>-222250</wp:posOffset>
            </wp:positionV>
            <wp:extent cx="68580" cy="222885"/>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68">
                      <a:extLst>
                        <a:ext uri="{28A0092B-C50C-407E-A947-70E740481C1C}"/>
                      </a:extLst>
                    </a:blip>
                    <a:srcRect/>
                    <a:stretch>
                      <a:fillRect/>
                    </a:stretch>
                  </pic:blipFill>
                  <pic:spPr bwMode="auto">
                    <a:xfrm>
                      <a:off x="0" y="0"/>
                      <a:ext cx="68580" cy="222885"/>
                    </a:xfrm>
                    <a:prstGeom prst="rect">
                      <a:avLst/>
                    </a:prstGeom>
                    <a:noFill/>
                  </pic:spPr>
                </pic:pic>
              </a:graphicData>
            </a:graphic>
          </wp:anchor>
        </w:drawing>
        <w:drawing>
          <wp:anchor simplePos="0" relativeHeight="251657728" behindDoc="1" locked="0" layoutInCell="0" allowOverlap="1">
            <wp:simplePos x="0" y="0"/>
            <wp:positionH relativeFrom="column">
              <wp:posOffset>6238240</wp:posOffset>
            </wp:positionH>
            <wp:positionV relativeFrom="paragraph">
              <wp:posOffset>-222250</wp:posOffset>
            </wp:positionV>
            <wp:extent cx="68580" cy="222885"/>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69">
                      <a:extLst>
                        <a:ext uri="{28A0092B-C50C-407E-A947-70E740481C1C}"/>
                      </a:extLst>
                    </a:blip>
                    <a:srcRect/>
                    <a:stretch>
                      <a:fillRect/>
                    </a:stretch>
                  </pic:blipFill>
                  <pic:spPr bwMode="auto">
                    <a:xfrm>
                      <a:off x="0" y="0"/>
                      <a:ext cx="68580" cy="22288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-222250</wp:posOffset>
            </wp:positionV>
            <wp:extent cx="68580" cy="222885"/>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0">
                      <a:extLst>
                        <a:ext uri="{28A0092B-C50C-407E-A947-70E740481C1C}"/>
                      </a:extLst>
                    </a:blip>
                    <a:srcRect/>
                    <a:stretch>
                      <a:fillRect/>
                    </a:stretch>
                  </pic:blipFill>
                  <pic:spPr bwMode="auto">
                    <a:xfrm>
                      <a:off x="0" y="0"/>
                      <a:ext cx="68580" cy="222885"/>
                    </a:xfrm>
                    <a:prstGeom prst="rect">
                      <a:avLst/>
                    </a:prstGeom>
                    <a:noFill/>
                  </pic:spPr>
                </pic:pic>
              </a:graphicData>
            </a:graphic>
          </wp:anchor>
        </w:drawing>
      </w:r>
    </w:p>
    <w:p>
      <w:pPr>
        <w:spacing w:after="0" w:line="200" w:lineRule="exact"/>
        <w:rPr>
          <w:sz w:val="20"/>
          <w:szCs w:val="20"/>
          <w:color w:val="auto"/>
        </w:rPr>
      </w:pPr>
    </w:p>
    <w:p>
      <w:pPr>
        <w:spacing w:after="0" w:line="29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61595</wp:posOffset>
            </wp:positionV>
            <wp:extent cx="7157720" cy="42545"/>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539" w:right="339" w:bottom="1440" w:gutter="0" w:footer="0" w:header="0"/>
        </w:sectPr>
      </w:pPr>
    </w:p>
    <w:bookmarkStart w:id="8" w:name="page9"/>
    <w:bookmarkEnd w:id="8"/>
    <w:p>
      <w:pPr>
        <w:jc w:val="center"/>
        <w:ind w:right="40"/>
        <w:spacing w:after="0"/>
        <w:rPr>
          <w:sz w:val="20"/>
          <w:szCs w:val="20"/>
          <w:color w:val="auto"/>
        </w:rPr>
      </w:pPr>
      <w:r>
        <w:rPr>
          <w:rFonts w:ascii="Arial" w:cs="Arial" w:eastAsia="Arial" w:hAnsi="Arial"/>
          <w:sz w:val="18"/>
          <w:szCs w:val="18"/>
          <w:b w:val="1"/>
          <w:bCs w:val="1"/>
          <w:color w:val="auto"/>
        </w:rPr>
        <w:t>AMPLITUDE, INC.</w:t>
      </w:r>
    </w:p>
    <w:p>
      <w:pPr>
        <w:spacing w:after="0" w:line="24" w:lineRule="exact"/>
        <w:rPr>
          <w:sz w:val="20"/>
          <w:szCs w:val="20"/>
          <w:color w:val="auto"/>
        </w:rPr>
      </w:pPr>
    </w:p>
    <w:p>
      <w:pPr>
        <w:jc w:val="center"/>
        <w:ind w:right="40"/>
        <w:spacing w:after="0"/>
        <w:rPr>
          <w:sz w:val="20"/>
          <w:szCs w:val="20"/>
          <w:color w:val="auto"/>
        </w:rPr>
      </w:pPr>
      <w:r>
        <w:rPr>
          <w:rFonts w:ascii="Arial" w:cs="Arial" w:eastAsia="Arial" w:hAnsi="Arial"/>
          <w:sz w:val="18"/>
          <w:szCs w:val="18"/>
          <w:b w:val="1"/>
          <w:bCs w:val="1"/>
          <w:color w:val="auto"/>
        </w:rPr>
        <w:t>Condensed Consolidated Statements of Redeemable Convertible Preferred Stock and Stockholders’ Equity (Deficit)</w:t>
      </w:r>
    </w:p>
    <w:p>
      <w:pPr>
        <w:ind w:left="5040"/>
        <w:spacing w:after="0" w:line="234" w:lineRule="auto"/>
        <w:rPr>
          <w:sz w:val="20"/>
          <w:szCs w:val="20"/>
          <w:color w:val="auto"/>
        </w:rPr>
      </w:pPr>
      <w:r>
        <w:rPr>
          <w:rFonts w:ascii="Arial" w:cs="Arial" w:eastAsia="Arial" w:hAnsi="Arial"/>
          <w:sz w:val="18"/>
          <w:szCs w:val="18"/>
          <w:b w:val="1"/>
          <w:bCs w:val="1"/>
          <w:color w:val="auto"/>
        </w:rPr>
        <w:t>(In thousands)</w:t>
      </w:r>
    </w:p>
    <w:p>
      <w:pPr>
        <w:ind w:left="5180"/>
        <w:spacing w:after="0"/>
        <w:rPr>
          <w:sz w:val="20"/>
          <w:szCs w:val="20"/>
          <w:color w:val="auto"/>
        </w:rPr>
      </w:pPr>
      <w:r>
        <w:rPr>
          <w:rFonts w:ascii="Arial" w:cs="Arial" w:eastAsia="Arial" w:hAnsi="Arial"/>
          <w:sz w:val="18"/>
          <w:szCs w:val="18"/>
          <w:b w:val="1"/>
          <w:bCs w:val="1"/>
          <w:color w:val="auto"/>
        </w:rPr>
        <w:t>(unaudited)</w:t>
      </w:r>
    </w:p>
    <w:p>
      <w:pPr>
        <w:spacing w:after="0" w:line="181" w:lineRule="exact"/>
        <w:rPr>
          <w:sz w:val="20"/>
          <w:szCs w:val="20"/>
          <w:color w:val="auto"/>
        </w:rPr>
      </w:pPr>
    </w:p>
    <w:tbl>
      <w:tblPr>
        <w:tblLayout w:type="fixed"/>
        <w:tblInd w:w="0" w:type="dxa"/>
        <w:tblCellMar>
          <w:top w:w="0" w:type="dxa"/>
          <w:left w:w="0" w:type="dxa"/>
          <w:bottom w:w="0" w:type="dxa"/>
          <w:right w:w="0" w:type="dxa"/>
        </w:tblCellMar>
      </w:tblPr>
      <w:tr>
        <w:trPr>
          <w:trHeight w:val="149"/>
        </w:trPr>
        <w:tc>
          <w:tcPr>
            <w:tcW w:w="2840" w:type="dxa"/>
            <w:vAlign w:val="bottom"/>
          </w:tcPr>
          <w:p>
            <w:pPr>
              <w:spacing w:after="0"/>
              <w:rPr>
                <w:sz w:val="13"/>
                <w:szCs w:val="13"/>
                <w:color w:val="auto"/>
              </w:rPr>
            </w:pPr>
          </w:p>
        </w:tc>
        <w:tc>
          <w:tcPr>
            <w:tcW w:w="2380" w:type="dxa"/>
            <w:vAlign w:val="bottom"/>
            <w:gridSpan w:val="5"/>
          </w:tcPr>
          <w:p>
            <w:pPr>
              <w:jc w:val="right"/>
              <w:ind w:right="660"/>
              <w:spacing w:after="0"/>
              <w:rPr>
                <w:sz w:val="20"/>
                <w:szCs w:val="20"/>
                <w:color w:val="auto"/>
              </w:rPr>
            </w:pPr>
            <w:r>
              <w:rPr>
                <w:rFonts w:ascii="Arial" w:cs="Arial" w:eastAsia="Arial" w:hAnsi="Arial"/>
                <w:sz w:val="13"/>
                <w:szCs w:val="13"/>
                <w:b w:val="1"/>
                <w:bCs w:val="1"/>
                <w:color w:val="auto"/>
              </w:rPr>
              <w:t>Redeemable convertible</w:t>
            </w:r>
          </w:p>
        </w:tc>
        <w:tc>
          <w:tcPr>
            <w:tcW w:w="100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760" w:type="dxa"/>
            <w:vAlign w:val="bottom"/>
          </w:tcPr>
          <w:p>
            <w:pPr>
              <w:jc w:val="center"/>
              <w:spacing w:after="0"/>
              <w:rPr>
                <w:sz w:val="20"/>
                <w:szCs w:val="20"/>
                <w:color w:val="auto"/>
              </w:rPr>
            </w:pPr>
            <w:r>
              <w:rPr>
                <w:rFonts w:ascii="Arial" w:cs="Arial" w:eastAsia="Arial" w:hAnsi="Arial"/>
                <w:sz w:val="13"/>
                <w:szCs w:val="13"/>
                <w:b w:val="1"/>
                <w:bCs w:val="1"/>
                <w:color w:val="auto"/>
                <w:w w:val="91"/>
              </w:rPr>
              <w:t>Additional</w:t>
            </w:r>
          </w:p>
        </w:tc>
        <w:tc>
          <w:tcPr>
            <w:tcW w:w="26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88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080" w:type="dxa"/>
            <w:vAlign w:val="bottom"/>
            <w:gridSpan w:val="2"/>
          </w:tcPr>
          <w:p>
            <w:pPr>
              <w:jc w:val="center"/>
              <w:ind w:right="160"/>
              <w:spacing w:after="0"/>
              <w:rPr>
                <w:sz w:val="20"/>
                <w:szCs w:val="20"/>
                <w:color w:val="auto"/>
              </w:rPr>
            </w:pPr>
            <w:r>
              <w:rPr>
                <w:rFonts w:ascii="Arial" w:cs="Arial" w:eastAsia="Arial" w:hAnsi="Arial"/>
                <w:sz w:val="13"/>
                <w:szCs w:val="13"/>
                <w:b w:val="1"/>
                <w:bCs w:val="1"/>
                <w:color w:val="auto"/>
                <w:w w:val="89"/>
              </w:rPr>
              <w:t>Total</w:t>
            </w:r>
          </w:p>
        </w:tc>
      </w:tr>
      <w:tr>
        <w:trPr>
          <w:trHeight w:val="171"/>
        </w:trPr>
        <w:tc>
          <w:tcPr>
            <w:tcW w:w="2840" w:type="dxa"/>
            <w:vAlign w:val="bottom"/>
          </w:tcPr>
          <w:p>
            <w:pPr>
              <w:spacing w:after="0"/>
              <w:rPr>
                <w:sz w:val="14"/>
                <w:szCs w:val="14"/>
                <w:color w:val="auto"/>
              </w:rPr>
            </w:pPr>
          </w:p>
        </w:tc>
        <w:tc>
          <w:tcPr>
            <w:tcW w:w="1500" w:type="dxa"/>
            <w:vAlign w:val="bottom"/>
            <w:tcBorders>
              <w:bottom w:val="single" w:sz="8" w:color="auto"/>
            </w:tcBorders>
            <w:gridSpan w:val="3"/>
          </w:tcPr>
          <w:p>
            <w:pPr>
              <w:jc w:val="right"/>
              <w:spacing w:after="0"/>
              <w:rPr>
                <w:sz w:val="20"/>
                <w:szCs w:val="20"/>
                <w:color w:val="auto"/>
              </w:rPr>
            </w:pPr>
            <w:r>
              <w:rPr>
                <w:rFonts w:ascii="Arial" w:cs="Arial" w:eastAsia="Arial" w:hAnsi="Arial"/>
                <w:sz w:val="13"/>
                <w:szCs w:val="13"/>
                <w:b w:val="1"/>
                <w:bCs w:val="1"/>
                <w:color w:val="auto"/>
              </w:rPr>
              <w:t>preferred stock</w:t>
            </w:r>
          </w:p>
        </w:tc>
        <w:tc>
          <w:tcPr>
            <w:tcW w:w="640" w:type="dxa"/>
            <w:vAlign w:val="bottom"/>
            <w:tcBorders>
              <w:bottom w:val="single" w:sz="8" w:color="auto"/>
            </w:tcBorders>
          </w:tcPr>
          <w:p>
            <w:pPr>
              <w:spacing w:after="0"/>
              <w:rPr>
                <w:sz w:val="14"/>
                <w:szCs w:val="14"/>
                <w:color w:val="auto"/>
              </w:rPr>
            </w:pPr>
          </w:p>
        </w:tc>
        <w:tc>
          <w:tcPr>
            <w:tcW w:w="240" w:type="dxa"/>
            <w:vAlign w:val="bottom"/>
          </w:tcPr>
          <w:p>
            <w:pPr>
              <w:spacing w:after="0"/>
              <w:rPr>
                <w:sz w:val="14"/>
                <w:szCs w:val="14"/>
                <w:color w:val="auto"/>
              </w:rPr>
            </w:pPr>
          </w:p>
        </w:tc>
        <w:tc>
          <w:tcPr>
            <w:tcW w:w="2100" w:type="dxa"/>
            <w:vAlign w:val="bottom"/>
            <w:tcBorders>
              <w:bottom w:val="single" w:sz="8" w:color="auto"/>
            </w:tcBorders>
            <w:gridSpan w:val="4"/>
          </w:tcPr>
          <w:p>
            <w:pPr>
              <w:jc w:val="right"/>
              <w:ind w:right="37"/>
              <w:spacing w:after="0"/>
              <w:rPr>
                <w:sz w:val="20"/>
                <w:szCs w:val="20"/>
                <w:color w:val="auto"/>
              </w:rPr>
            </w:pPr>
            <w:r>
              <w:rPr>
                <w:rFonts w:ascii="Arial" w:cs="Arial" w:eastAsia="Arial" w:hAnsi="Arial"/>
                <w:sz w:val="13"/>
                <w:szCs w:val="13"/>
                <w:b w:val="1"/>
                <w:bCs w:val="1"/>
                <w:color w:val="auto"/>
                <w:w w:val="89"/>
              </w:rPr>
              <w:t>Class A and Class B common stock</w:t>
            </w:r>
          </w:p>
        </w:tc>
        <w:tc>
          <w:tcPr>
            <w:tcW w:w="2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760" w:type="dxa"/>
            <w:vAlign w:val="bottom"/>
          </w:tcPr>
          <w:p>
            <w:pPr>
              <w:jc w:val="center"/>
              <w:spacing w:after="0"/>
              <w:rPr>
                <w:sz w:val="20"/>
                <w:szCs w:val="20"/>
                <w:color w:val="auto"/>
              </w:rPr>
            </w:pPr>
            <w:r>
              <w:rPr>
                <w:rFonts w:ascii="Arial" w:cs="Arial" w:eastAsia="Arial" w:hAnsi="Arial"/>
                <w:sz w:val="13"/>
                <w:szCs w:val="13"/>
                <w:b w:val="1"/>
                <w:bCs w:val="1"/>
                <w:color w:val="auto"/>
                <w:w w:val="89"/>
              </w:rPr>
              <w:t>paid-in</w:t>
            </w:r>
          </w:p>
        </w:tc>
        <w:tc>
          <w:tcPr>
            <w:tcW w:w="2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120" w:type="dxa"/>
            <w:vAlign w:val="bottom"/>
            <w:gridSpan w:val="2"/>
          </w:tcPr>
          <w:p>
            <w:pPr>
              <w:jc w:val="right"/>
              <w:ind w:right="340"/>
              <w:spacing w:after="0"/>
              <w:rPr>
                <w:sz w:val="20"/>
                <w:szCs w:val="20"/>
                <w:color w:val="auto"/>
              </w:rPr>
            </w:pPr>
            <w:r>
              <w:rPr>
                <w:rFonts w:ascii="Arial" w:cs="Arial" w:eastAsia="Arial" w:hAnsi="Arial"/>
                <w:sz w:val="13"/>
                <w:szCs w:val="13"/>
                <w:b w:val="1"/>
                <w:bCs w:val="1"/>
                <w:color w:val="auto"/>
                <w:w w:val="93"/>
              </w:rPr>
              <w:t>Accumulated</w:t>
            </w:r>
          </w:p>
        </w:tc>
        <w:tc>
          <w:tcPr>
            <w:tcW w:w="160" w:type="dxa"/>
            <w:vAlign w:val="bottom"/>
          </w:tcPr>
          <w:p>
            <w:pPr>
              <w:spacing w:after="0"/>
              <w:rPr>
                <w:sz w:val="14"/>
                <w:szCs w:val="14"/>
                <w:color w:val="auto"/>
              </w:rPr>
            </w:pPr>
          </w:p>
        </w:tc>
        <w:tc>
          <w:tcPr>
            <w:tcW w:w="1080" w:type="dxa"/>
            <w:vAlign w:val="bottom"/>
            <w:gridSpan w:val="2"/>
          </w:tcPr>
          <w:p>
            <w:pPr>
              <w:jc w:val="center"/>
              <w:ind w:right="160"/>
              <w:spacing w:after="0"/>
              <w:rPr>
                <w:sz w:val="20"/>
                <w:szCs w:val="20"/>
                <w:color w:val="auto"/>
              </w:rPr>
            </w:pPr>
            <w:r>
              <w:rPr>
                <w:rFonts w:ascii="Arial" w:cs="Arial" w:eastAsia="Arial" w:hAnsi="Arial"/>
                <w:sz w:val="13"/>
                <w:szCs w:val="13"/>
                <w:b w:val="1"/>
                <w:bCs w:val="1"/>
                <w:color w:val="auto"/>
                <w:w w:val="85"/>
              </w:rPr>
              <w:t>stockholders’</w:t>
            </w:r>
          </w:p>
        </w:tc>
      </w:tr>
      <w:tr>
        <w:trPr>
          <w:trHeight w:val="160"/>
        </w:trPr>
        <w:tc>
          <w:tcPr>
            <w:tcW w:w="2840" w:type="dxa"/>
            <w:vAlign w:val="bottom"/>
          </w:tcPr>
          <w:p>
            <w:pPr>
              <w:spacing w:after="0"/>
              <w:rPr>
                <w:sz w:val="13"/>
                <w:szCs w:val="13"/>
                <w:color w:val="auto"/>
              </w:rPr>
            </w:pPr>
          </w:p>
        </w:tc>
        <w:tc>
          <w:tcPr>
            <w:tcW w:w="920" w:type="dxa"/>
            <w:vAlign w:val="bottom"/>
            <w:tcBorders>
              <w:bottom w:val="single" w:sz="8" w:color="auto"/>
            </w:tcBorders>
          </w:tcPr>
          <w:p>
            <w:pPr>
              <w:jc w:val="right"/>
              <w:ind w:right="217"/>
              <w:spacing w:after="0"/>
              <w:rPr>
                <w:sz w:val="20"/>
                <w:szCs w:val="20"/>
                <w:color w:val="auto"/>
              </w:rPr>
            </w:pPr>
            <w:r>
              <w:rPr>
                <w:rFonts w:ascii="Arial" w:cs="Arial" w:eastAsia="Arial" w:hAnsi="Arial"/>
                <w:sz w:val="13"/>
                <w:szCs w:val="13"/>
                <w:b w:val="1"/>
                <w:bCs w:val="1"/>
                <w:color w:val="auto"/>
              </w:rPr>
              <w:t>Shares</w:t>
            </w:r>
          </w:p>
        </w:tc>
        <w:tc>
          <w:tcPr>
            <w:tcW w:w="280" w:type="dxa"/>
            <w:vAlign w:val="bottom"/>
          </w:tcPr>
          <w:p>
            <w:pPr>
              <w:spacing w:after="0"/>
              <w:rPr>
                <w:sz w:val="13"/>
                <w:szCs w:val="13"/>
                <w:color w:val="auto"/>
              </w:rPr>
            </w:pPr>
          </w:p>
        </w:tc>
        <w:tc>
          <w:tcPr>
            <w:tcW w:w="300" w:type="dxa"/>
            <w:vAlign w:val="bottom"/>
            <w:tcBorders>
              <w:bottom w:val="single" w:sz="8" w:color="auto"/>
            </w:tcBorders>
          </w:tcPr>
          <w:p>
            <w:pPr>
              <w:spacing w:after="0"/>
              <w:rPr>
                <w:sz w:val="13"/>
                <w:szCs w:val="13"/>
                <w:color w:val="auto"/>
              </w:rPr>
            </w:pPr>
          </w:p>
        </w:tc>
        <w:tc>
          <w:tcPr>
            <w:tcW w:w="640" w:type="dxa"/>
            <w:vAlign w:val="bottom"/>
            <w:tcBorders>
              <w:bottom w:val="single" w:sz="8" w:color="auto"/>
            </w:tcBorders>
          </w:tcPr>
          <w:p>
            <w:pPr>
              <w:jc w:val="right"/>
              <w:ind w:right="117"/>
              <w:spacing w:after="0"/>
              <w:rPr>
                <w:sz w:val="20"/>
                <w:szCs w:val="20"/>
                <w:color w:val="auto"/>
              </w:rPr>
            </w:pPr>
            <w:r>
              <w:rPr>
                <w:rFonts w:ascii="Arial" w:cs="Arial" w:eastAsia="Arial" w:hAnsi="Arial"/>
                <w:sz w:val="13"/>
                <w:szCs w:val="13"/>
                <w:b w:val="1"/>
                <w:bCs w:val="1"/>
                <w:color w:val="auto"/>
                <w:w w:val="89"/>
              </w:rPr>
              <w:t>Amount</w:t>
            </w:r>
          </w:p>
        </w:tc>
        <w:tc>
          <w:tcPr>
            <w:tcW w:w="240" w:type="dxa"/>
            <w:vAlign w:val="bottom"/>
          </w:tcPr>
          <w:p>
            <w:pPr>
              <w:spacing w:after="0"/>
              <w:rPr>
                <w:sz w:val="13"/>
                <w:szCs w:val="13"/>
                <w:color w:val="auto"/>
              </w:rPr>
            </w:pPr>
          </w:p>
        </w:tc>
        <w:tc>
          <w:tcPr>
            <w:tcW w:w="1000" w:type="dxa"/>
            <w:vAlign w:val="bottom"/>
            <w:tcBorders>
              <w:bottom w:val="single" w:sz="8" w:color="auto"/>
            </w:tcBorders>
          </w:tcPr>
          <w:p>
            <w:pPr>
              <w:jc w:val="right"/>
              <w:ind w:right="257"/>
              <w:spacing w:after="0"/>
              <w:rPr>
                <w:sz w:val="20"/>
                <w:szCs w:val="20"/>
                <w:color w:val="auto"/>
              </w:rPr>
            </w:pPr>
            <w:r>
              <w:rPr>
                <w:rFonts w:ascii="Arial" w:cs="Arial" w:eastAsia="Arial" w:hAnsi="Arial"/>
                <w:sz w:val="13"/>
                <w:szCs w:val="13"/>
                <w:b w:val="1"/>
                <w:bCs w:val="1"/>
                <w:color w:val="auto"/>
              </w:rPr>
              <w:t>Shares</w:t>
            </w:r>
          </w:p>
        </w:tc>
        <w:tc>
          <w:tcPr>
            <w:tcW w:w="240" w:type="dxa"/>
            <w:vAlign w:val="bottom"/>
          </w:tcPr>
          <w:p>
            <w:pPr>
              <w:spacing w:after="0"/>
              <w:rPr>
                <w:sz w:val="13"/>
                <w:szCs w:val="13"/>
                <w:color w:val="auto"/>
              </w:rPr>
            </w:pPr>
          </w:p>
        </w:tc>
        <w:tc>
          <w:tcPr>
            <w:tcW w:w="160" w:type="dxa"/>
            <w:vAlign w:val="bottom"/>
            <w:tcBorders>
              <w:bottom w:val="single" w:sz="8" w:color="auto"/>
            </w:tcBorders>
          </w:tcPr>
          <w:p>
            <w:pPr>
              <w:spacing w:after="0"/>
              <w:rPr>
                <w:sz w:val="13"/>
                <w:szCs w:val="13"/>
                <w:color w:val="auto"/>
              </w:rPr>
            </w:pPr>
          </w:p>
        </w:tc>
        <w:tc>
          <w:tcPr>
            <w:tcW w:w="700" w:type="dxa"/>
            <w:vAlign w:val="bottom"/>
            <w:tcBorders>
              <w:bottom w:val="single" w:sz="8" w:color="auto"/>
            </w:tcBorders>
          </w:tcPr>
          <w:p>
            <w:pPr>
              <w:jc w:val="right"/>
              <w:ind w:right="97"/>
              <w:spacing w:after="0"/>
              <w:rPr>
                <w:sz w:val="20"/>
                <w:szCs w:val="20"/>
                <w:color w:val="auto"/>
              </w:rPr>
            </w:pPr>
            <w:r>
              <w:rPr>
                <w:rFonts w:ascii="Arial" w:cs="Arial" w:eastAsia="Arial" w:hAnsi="Arial"/>
                <w:sz w:val="13"/>
                <w:szCs w:val="13"/>
                <w:b w:val="1"/>
                <w:bCs w:val="1"/>
                <w:color w:val="auto"/>
              </w:rPr>
              <w:t>Amount</w:t>
            </w:r>
          </w:p>
        </w:tc>
        <w:tc>
          <w:tcPr>
            <w:tcW w:w="260" w:type="dxa"/>
            <w:vAlign w:val="bottom"/>
          </w:tcPr>
          <w:p>
            <w:pPr>
              <w:spacing w:after="0"/>
              <w:rPr>
                <w:sz w:val="13"/>
                <w:szCs w:val="13"/>
                <w:color w:val="auto"/>
              </w:rPr>
            </w:pPr>
          </w:p>
        </w:tc>
        <w:tc>
          <w:tcPr>
            <w:tcW w:w="140" w:type="dxa"/>
            <w:vAlign w:val="bottom"/>
            <w:tcBorders>
              <w:bottom w:val="single" w:sz="8" w:color="auto"/>
            </w:tcBorders>
          </w:tcPr>
          <w:p>
            <w:pPr>
              <w:spacing w:after="0"/>
              <w:rPr>
                <w:sz w:val="13"/>
                <w:szCs w:val="13"/>
                <w:color w:val="auto"/>
              </w:rPr>
            </w:pPr>
          </w:p>
        </w:tc>
        <w:tc>
          <w:tcPr>
            <w:tcW w:w="760" w:type="dxa"/>
            <w:vAlign w:val="bottom"/>
            <w:tcBorders>
              <w:bottom w:val="single" w:sz="8" w:color="auto"/>
            </w:tcBorders>
          </w:tcPr>
          <w:p>
            <w:pPr>
              <w:jc w:val="center"/>
              <w:spacing w:after="0" w:line="143" w:lineRule="exact"/>
              <w:rPr>
                <w:sz w:val="20"/>
                <w:szCs w:val="20"/>
                <w:color w:val="auto"/>
              </w:rPr>
            </w:pPr>
            <w:r>
              <w:rPr>
                <w:rFonts w:ascii="Arial" w:cs="Arial" w:eastAsia="Arial" w:hAnsi="Arial"/>
                <w:sz w:val="13"/>
                <w:szCs w:val="13"/>
                <w:b w:val="1"/>
                <w:bCs w:val="1"/>
                <w:color w:val="auto"/>
                <w:w w:val="87"/>
              </w:rPr>
              <w:t>capital</w:t>
            </w:r>
          </w:p>
        </w:tc>
        <w:tc>
          <w:tcPr>
            <w:tcW w:w="260" w:type="dxa"/>
            <w:vAlign w:val="bottom"/>
          </w:tcPr>
          <w:p>
            <w:pPr>
              <w:spacing w:after="0"/>
              <w:rPr>
                <w:sz w:val="13"/>
                <w:szCs w:val="13"/>
                <w:color w:val="auto"/>
              </w:rPr>
            </w:pPr>
          </w:p>
        </w:tc>
        <w:tc>
          <w:tcPr>
            <w:tcW w:w="140" w:type="dxa"/>
            <w:vAlign w:val="bottom"/>
            <w:tcBorders>
              <w:bottom w:val="single" w:sz="8" w:color="auto"/>
            </w:tcBorders>
          </w:tcPr>
          <w:p>
            <w:pPr>
              <w:spacing w:after="0"/>
              <w:rPr>
                <w:sz w:val="13"/>
                <w:szCs w:val="13"/>
                <w:color w:val="auto"/>
              </w:rPr>
            </w:pPr>
          </w:p>
        </w:tc>
        <w:tc>
          <w:tcPr>
            <w:tcW w:w="880" w:type="dxa"/>
            <w:vAlign w:val="bottom"/>
            <w:tcBorders>
              <w:bottom w:val="single" w:sz="8" w:color="auto"/>
            </w:tcBorders>
          </w:tcPr>
          <w:p>
            <w:pPr>
              <w:jc w:val="right"/>
              <w:ind w:right="237"/>
              <w:spacing w:after="0" w:line="143" w:lineRule="exact"/>
              <w:rPr>
                <w:sz w:val="20"/>
                <w:szCs w:val="20"/>
                <w:color w:val="auto"/>
              </w:rPr>
            </w:pPr>
            <w:r>
              <w:rPr>
                <w:rFonts w:ascii="Arial" w:cs="Arial" w:eastAsia="Arial" w:hAnsi="Arial"/>
                <w:sz w:val="13"/>
                <w:szCs w:val="13"/>
                <w:b w:val="1"/>
                <w:bCs w:val="1"/>
                <w:color w:val="auto"/>
              </w:rPr>
              <w:t>deficit</w:t>
            </w:r>
          </w:p>
        </w:tc>
        <w:tc>
          <w:tcPr>
            <w:tcW w:w="240" w:type="dxa"/>
            <w:vAlign w:val="bottom"/>
          </w:tcPr>
          <w:p>
            <w:pPr>
              <w:spacing w:after="0"/>
              <w:rPr>
                <w:sz w:val="13"/>
                <w:szCs w:val="13"/>
                <w:color w:val="auto"/>
              </w:rPr>
            </w:pPr>
          </w:p>
        </w:tc>
        <w:tc>
          <w:tcPr>
            <w:tcW w:w="160" w:type="dxa"/>
            <w:vAlign w:val="bottom"/>
            <w:tcBorders>
              <w:bottom w:val="single" w:sz="8" w:color="auto"/>
            </w:tcBorders>
          </w:tcPr>
          <w:p>
            <w:pPr>
              <w:spacing w:after="0"/>
              <w:rPr>
                <w:sz w:val="13"/>
                <w:szCs w:val="13"/>
                <w:color w:val="auto"/>
              </w:rPr>
            </w:pPr>
          </w:p>
        </w:tc>
        <w:tc>
          <w:tcPr>
            <w:tcW w:w="980" w:type="dxa"/>
            <w:vAlign w:val="bottom"/>
            <w:tcBorders>
              <w:bottom w:val="single" w:sz="8" w:color="auto"/>
            </w:tcBorders>
          </w:tcPr>
          <w:p>
            <w:pPr>
              <w:jc w:val="center"/>
              <w:spacing w:after="0" w:line="143" w:lineRule="exact"/>
              <w:rPr>
                <w:sz w:val="20"/>
                <w:szCs w:val="20"/>
                <w:color w:val="auto"/>
              </w:rPr>
            </w:pPr>
            <w:r>
              <w:rPr>
                <w:rFonts w:ascii="Arial" w:cs="Arial" w:eastAsia="Arial" w:hAnsi="Arial"/>
                <w:sz w:val="13"/>
                <w:szCs w:val="13"/>
                <w:b w:val="1"/>
                <w:bCs w:val="1"/>
                <w:color w:val="auto"/>
                <w:w w:val="89"/>
              </w:rPr>
              <w:t>equity (deficit)</w:t>
            </w:r>
          </w:p>
        </w:tc>
        <w:tc>
          <w:tcPr>
            <w:tcW w:w="100" w:type="dxa"/>
            <w:vAlign w:val="bottom"/>
          </w:tcPr>
          <w:p>
            <w:pPr>
              <w:spacing w:after="0"/>
              <w:rPr>
                <w:sz w:val="13"/>
                <w:szCs w:val="13"/>
                <w:color w:val="auto"/>
              </w:rPr>
            </w:pPr>
          </w:p>
        </w:tc>
      </w:tr>
      <w:tr>
        <w:trPr>
          <w:trHeight w:val="290"/>
        </w:trPr>
        <w:tc>
          <w:tcPr>
            <w:tcW w:w="2840" w:type="dxa"/>
            <w:vAlign w:val="bottom"/>
            <w:shd w:val="clear" w:color="auto" w:fill="CFF0FC"/>
          </w:tcPr>
          <w:p>
            <w:pPr>
              <w:ind w:left="20"/>
              <w:spacing w:after="0"/>
              <w:rPr>
                <w:sz w:val="20"/>
                <w:szCs w:val="20"/>
                <w:color w:val="auto"/>
              </w:rPr>
            </w:pPr>
            <w:r>
              <w:rPr>
                <w:rFonts w:ascii="Arial" w:cs="Arial" w:eastAsia="Arial" w:hAnsi="Arial"/>
                <w:sz w:val="13"/>
                <w:szCs w:val="13"/>
                <w:color w:val="auto"/>
              </w:rPr>
              <w:t>Balance at December 31, 2020</w:t>
            </w:r>
          </w:p>
        </w:tc>
        <w:tc>
          <w:tcPr>
            <w:tcW w:w="920" w:type="dxa"/>
            <w:vAlign w:val="bottom"/>
            <w:shd w:val="clear" w:color="auto" w:fill="CFF0FC"/>
          </w:tcPr>
          <w:p>
            <w:pPr>
              <w:jc w:val="right"/>
              <w:spacing w:after="0"/>
              <w:rPr>
                <w:sz w:val="20"/>
                <w:szCs w:val="20"/>
                <w:color w:val="auto"/>
              </w:rPr>
            </w:pPr>
            <w:r>
              <w:rPr>
                <w:rFonts w:ascii="Arial" w:cs="Arial" w:eastAsia="Arial" w:hAnsi="Arial"/>
                <w:sz w:val="13"/>
                <w:szCs w:val="13"/>
                <w:color w:val="auto"/>
              </w:rPr>
              <w:t>61,717</w:t>
            </w:r>
          </w:p>
        </w:tc>
        <w:tc>
          <w:tcPr>
            <w:tcW w:w="280" w:type="dxa"/>
            <w:vAlign w:val="bottom"/>
            <w:shd w:val="clear" w:color="auto" w:fill="CFF0FC"/>
          </w:tcPr>
          <w:p>
            <w:pPr>
              <w:spacing w:after="0"/>
              <w:rPr>
                <w:sz w:val="24"/>
                <w:szCs w:val="24"/>
                <w:color w:val="auto"/>
              </w:rPr>
            </w:pPr>
          </w:p>
        </w:tc>
        <w:tc>
          <w:tcPr>
            <w:tcW w:w="300" w:type="dxa"/>
            <w:vAlign w:val="bottom"/>
            <w:shd w:val="clear" w:color="auto" w:fill="CFF0FC"/>
          </w:tcPr>
          <w:p>
            <w:pPr>
              <w:jc w:val="right"/>
              <w:ind w:right="137"/>
              <w:spacing w:after="0"/>
              <w:rPr>
                <w:sz w:val="20"/>
                <w:szCs w:val="20"/>
                <w:color w:val="auto"/>
              </w:rPr>
            </w:pPr>
            <w:r>
              <w:rPr>
                <w:rFonts w:ascii="Arial" w:cs="Arial" w:eastAsia="Arial" w:hAnsi="Arial"/>
                <w:sz w:val="13"/>
                <w:szCs w:val="13"/>
                <w:color w:val="auto"/>
              </w:rPr>
              <w:t>$</w:t>
            </w:r>
          </w:p>
        </w:tc>
        <w:tc>
          <w:tcPr>
            <w:tcW w:w="640" w:type="dxa"/>
            <w:vAlign w:val="bottom"/>
            <w:shd w:val="clear" w:color="auto" w:fill="CFF0FC"/>
          </w:tcPr>
          <w:p>
            <w:pPr>
              <w:jc w:val="right"/>
              <w:spacing w:after="0"/>
              <w:rPr>
                <w:sz w:val="20"/>
                <w:szCs w:val="20"/>
                <w:color w:val="auto"/>
              </w:rPr>
            </w:pPr>
            <w:r>
              <w:rPr>
                <w:rFonts w:ascii="Arial" w:cs="Arial" w:eastAsia="Arial" w:hAnsi="Arial"/>
                <w:sz w:val="13"/>
                <w:szCs w:val="13"/>
                <w:color w:val="auto"/>
              </w:rPr>
              <w:t>187,811</w:t>
            </w:r>
          </w:p>
        </w:tc>
        <w:tc>
          <w:tcPr>
            <w:tcW w:w="240" w:type="dxa"/>
            <w:vAlign w:val="bottom"/>
            <w:shd w:val="clear" w:color="auto" w:fill="CFF0FC"/>
          </w:tcPr>
          <w:p>
            <w:pPr>
              <w:spacing w:after="0"/>
              <w:rPr>
                <w:sz w:val="24"/>
                <w:szCs w:val="24"/>
                <w:color w:val="auto"/>
              </w:rPr>
            </w:pPr>
          </w:p>
        </w:tc>
        <w:tc>
          <w:tcPr>
            <w:tcW w:w="1000" w:type="dxa"/>
            <w:vAlign w:val="bottom"/>
            <w:shd w:val="clear" w:color="auto" w:fill="CFF0FC"/>
          </w:tcPr>
          <w:p>
            <w:pPr>
              <w:jc w:val="right"/>
              <w:spacing w:after="0"/>
              <w:rPr>
                <w:sz w:val="20"/>
                <w:szCs w:val="20"/>
                <w:color w:val="auto"/>
              </w:rPr>
            </w:pPr>
            <w:r>
              <w:rPr>
                <w:rFonts w:ascii="Arial" w:cs="Arial" w:eastAsia="Arial" w:hAnsi="Arial"/>
                <w:sz w:val="13"/>
                <w:szCs w:val="13"/>
                <w:color w:val="auto"/>
              </w:rPr>
              <w:t>27,924</w:t>
            </w:r>
          </w:p>
        </w:tc>
        <w:tc>
          <w:tcPr>
            <w:tcW w:w="400" w:type="dxa"/>
            <w:vAlign w:val="bottom"/>
            <w:gridSpan w:val="2"/>
            <w:shd w:val="clear" w:color="auto" w:fill="CFF0FC"/>
          </w:tcPr>
          <w:p>
            <w:pPr>
              <w:jc w:val="right"/>
              <w:ind w:right="48"/>
              <w:spacing w:after="0"/>
              <w:rPr>
                <w:sz w:val="20"/>
                <w:szCs w:val="20"/>
                <w:color w:val="auto"/>
              </w:rPr>
            </w:pPr>
            <w:r>
              <w:rPr>
                <w:rFonts w:ascii="Arial" w:cs="Arial" w:eastAsia="Arial" w:hAnsi="Arial"/>
                <w:sz w:val="13"/>
                <w:szCs w:val="13"/>
                <w:color w:val="auto"/>
              </w:rPr>
              <w:t>$</w:t>
            </w:r>
          </w:p>
        </w:tc>
        <w:tc>
          <w:tcPr>
            <w:tcW w:w="700" w:type="dxa"/>
            <w:vAlign w:val="bottom"/>
            <w:shd w:val="clear" w:color="auto" w:fill="CFF0FC"/>
          </w:tcPr>
          <w:p>
            <w:pPr>
              <w:jc w:val="right"/>
              <w:spacing w:after="0"/>
              <w:rPr>
                <w:sz w:val="20"/>
                <w:szCs w:val="20"/>
                <w:color w:val="auto"/>
              </w:rPr>
            </w:pPr>
            <w:r>
              <w:rPr>
                <w:rFonts w:ascii="Arial" w:cs="Arial" w:eastAsia="Arial" w:hAnsi="Arial"/>
                <w:sz w:val="13"/>
                <w:szCs w:val="13"/>
                <w:color w:val="auto"/>
              </w:rPr>
              <w:t>—</w:t>
            </w:r>
          </w:p>
        </w:tc>
        <w:tc>
          <w:tcPr>
            <w:tcW w:w="400" w:type="dxa"/>
            <w:vAlign w:val="bottom"/>
            <w:gridSpan w:val="2"/>
            <w:shd w:val="clear" w:color="auto" w:fill="CFF0FC"/>
          </w:tcPr>
          <w:p>
            <w:pPr>
              <w:jc w:val="right"/>
              <w:ind w:right="28"/>
              <w:spacing w:after="0"/>
              <w:rPr>
                <w:sz w:val="20"/>
                <w:szCs w:val="20"/>
                <w:color w:val="auto"/>
              </w:rPr>
            </w:pPr>
            <w:r>
              <w:rPr>
                <w:rFonts w:ascii="Arial" w:cs="Arial" w:eastAsia="Arial" w:hAnsi="Arial"/>
                <w:sz w:val="13"/>
                <w:szCs w:val="13"/>
                <w:color w:val="auto"/>
              </w:rPr>
              <w:t>$</w:t>
            </w:r>
          </w:p>
        </w:tc>
        <w:tc>
          <w:tcPr>
            <w:tcW w:w="760" w:type="dxa"/>
            <w:vAlign w:val="bottom"/>
            <w:shd w:val="clear" w:color="auto" w:fill="CFF0FC"/>
          </w:tcPr>
          <w:p>
            <w:pPr>
              <w:jc w:val="right"/>
              <w:spacing w:after="0"/>
              <w:rPr>
                <w:sz w:val="20"/>
                <w:szCs w:val="20"/>
                <w:color w:val="auto"/>
              </w:rPr>
            </w:pPr>
            <w:r>
              <w:rPr>
                <w:rFonts w:ascii="Arial" w:cs="Arial" w:eastAsia="Arial" w:hAnsi="Arial"/>
                <w:sz w:val="13"/>
                <w:szCs w:val="13"/>
                <w:color w:val="auto"/>
              </w:rPr>
              <w:t>37,704</w:t>
            </w:r>
          </w:p>
        </w:tc>
        <w:tc>
          <w:tcPr>
            <w:tcW w:w="400" w:type="dxa"/>
            <w:vAlign w:val="bottom"/>
            <w:gridSpan w:val="2"/>
            <w:shd w:val="clear" w:color="auto" w:fill="CFF0FC"/>
          </w:tcPr>
          <w:p>
            <w:pPr>
              <w:jc w:val="right"/>
              <w:ind w:right="28"/>
              <w:spacing w:after="0"/>
              <w:rPr>
                <w:sz w:val="20"/>
                <w:szCs w:val="20"/>
                <w:color w:val="auto"/>
              </w:rPr>
            </w:pPr>
            <w:r>
              <w:rPr>
                <w:rFonts w:ascii="Arial" w:cs="Arial" w:eastAsia="Arial" w:hAnsi="Arial"/>
                <w:sz w:val="13"/>
                <w:szCs w:val="13"/>
                <w:color w:val="auto"/>
              </w:rPr>
              <w:t>$</w:t>
            </w:r>
          </w:p>
        </w:tc>
        <w:tc>
          <w:tcPr>
            <w:tcW w:w="1120" w:type="dxa"/>
            <w:vAlign w:val="bottom"/>
            <w:gridSpan w:val="2"/>
            <w:shd w:val="clear" w:color="auto" w:fill="CFF0FC"/>
          </w:tcPr>
          <w:p>
            <w:pPr>
              <w:jc w:val="right"/>
              <w:ind w:right="180"/>
              <w:spacing w:after="0"/>
              <w:rPr>
                <w:sz w:val="20"/>
                <w:szCs w:val="20"/>
                <w:color w:val="auto"/>
              </w:rPr>
            </w:pPr>
            <w:r>
              <w:rPr>
                <w:rFonts w:ascii="Arial" w:cs="Arial" w:eastAsia="Arial" w:hAnsi="Arial"/>
                <w:sz w:val="13"/>
                <w:szCs w:val="13"/>
                <w:color w:val="auto"/>
              </w:rPr>
              <w:t>(104,824 )</w:t>
            </w:r>
          </w:p>
        </w:tc>
        <w:tc>
          <w:tcPr>
            <w:tcW w:w="160" w:type="dxa"/>
            <w:vAlign w:val="bottom"/>
            <w:shd w:val="clear" w:color="auto" w:fill="CFF0FC"/>
          </w:tcPr>
          <w:p>
            <w:pPr>
              <w:jc w:val="right"/>
              <w:ind w:right="17"/>
              <w:spacing w:after="0"/>
              <w:rPr>
                <w:sz w:val="20"/>
                <w:szCs w:val="20"/>
                <w:color w:val="auto"/>
              </w:rPr>
            </w:pPr>
            <w:r>
              <w:rPr>
                <w:rFonts w:ascii="Arial" w:cs="Arial" w:eastAsia="Arial" w:hAnsi="Arial"/>
                <w:sz w:val="13"/>
                <w:szCs w:val="13"/>
                <w:color w:val="auto"/>
                <w:w w:val="82"/>
              </w:rPr>
              <w:t>$</w:t>
            </w:r>
          </w:p>
        </w:tc>
        <w:tc>
          <w:tcPr>
            <w:tcW w:w="1080" w:type="dxa"/>
            <w:vAlign w:val="bottom"/>
            <w:gridSpan w:val="2"/>
            <w:shd w:val="clear" w:color="auto" w:fill="CFF0FC"/>
          </w:tcPr>
          <w:p>
            <w:pPr>
              <w:jc w:val="right"/>
              <w:ind w:right="60"/>
              <w:spacing w:after="0"/>
              <w:rPr>
                <w:sz w:val="20"/>
                <w:szCs w:val="20"/>
                <w:color w:val="auto"/>
              </w:rPr>
            </w:pPr>
            <w:r>
              <w:rPr>
                <w:rFonts w:ascii="Arial" w:cs="Arial" w:eastAsia="Arial" w:hAnsi="Arial"/>
                <w:sz w:val="13"/>
                <w:szCs w:val="13"/>
                <w:color w:val="auto"/>
              </w:rPr>
              <w:t>(67,120 )</w:t>
            </w:r>
          </w:p>
        </w:tc>
      </w:tr>
      <w:tr>
        <w:trPr>
          <w:trHeight w:val="160"/>
        </w:trPr>
        <w:tc>
          <w:tcPr>
            <w:tcW w:w="2840" w:type="dxa"/>
            <w:vAlign w:val="bottom"/>
          </w:tcPr>
          <w:p>
            <w:pPr>
              <w:ind w:left="20"/>
              <w:spacing w:after="0"/>
              <w:rPr>
                <w:sz w:val="20"/>
                <w:szCs w:val="20"/>
                <w:color w:val="auto"/>
              </w:rPr>
            </w:pPr>
            <w:r>
              <w:rPr>
                <w:rFonts w:ascii="Arial" w:cs="Arial" w:eastAsia="Arial" w:hAnsi="Arial"/>
                <w:sz w:val="13"/>
                <w:szCs w:val="13"/>
                <w:color w:val="auto"/>
              </w:rPr>
              <w:t>Stock-based compensation expense</w:t>
            </w:r>
          </w:p>
        </w:tc>
        <w:tc>
          <w:tcPr>
            <w:tcW w:w="1200" w:type="dxa"/>
            <w:vAlign w:val="bottom"/>
            <w:gridSpan w:val="2"/>
          </w:tcPr>
          <w:p>
            <w:pPr>
              <w:jc w:val="right"/>
              <w:ind w:right="280"/>
              <w:spacing w:after="0"/>
              <w:rPr>
                <w:sz w:val="20"/>
                <w:szCs w:val="20"/>
                <w:color w:val="auto"/>
              </w:rPr>
            </w:pPr>
            <w:r>
              <w:rPr>
                <w:rFonts w:ascii="Arial" w:cs="Arial" w:eastAsia="Arial" w:hAnsi="Arial"/>
                <w:sz w:val="13"/>
                <w:szCs w:val="13"/>
                <w:color w:val="auto"/>
              </w:rPr>
              <w:t>—</w:t>
            </w:r>
          </w:p>
        </w:tc>
        <w:tc>
          <w:tcPr>
            <w:tcW w:w="300" w:type="dxa"/>
            <w:vAlign w:val="bottom"/>
          </w:tcPr>
          <w:p>
            <w:pPr>
              <w:spacing w:after="0"/>
              <w:rPr>
                <w:sz w:val="13"/>
                <w:szCs w:val="13"/>
                <w:color w:val="auto"/>
              </w:rPr>
            </w:pPr>
          </w:p>
        </w:tc>
        <w:tc>
          <w:tcPr>
            <w:tcW w:w="880" w:type="dxa"/>
            <w:vAlign w:val="bottom"/>
            <w:gridSpan w:val="2"/>
          </w:tcPr>
          <w:p>
            <w:pPr>
              <w:jc w:val="right"/>
              <w:ind w:right="240"/>
              <w:spacing w:after="0"/>
              <w:rPr>
                <w:sz w:val="20"/>
                <w:szCs w:val="20"/>
                <w:color w:val="auto"/>
              </w:rPr>
            </w:pPr>
            <w:r>
              <w:rPr>
                <w:rFonts w:ascii="Arial" w:cs="Arial" w:eastAsia="Arial" w:hAnsi="Arial"/>
                <w:sz w:val="13"/>
                <w:szCs w:val="13"/>
                <w:color w:val="auto"/>
              </w:rPr>
              <w:t>—</w:t>
            </w:r>
          </w:p>
        </w:tc>
        <w:tc>
          <w:tcPr>
            <w:tcW w:w="1000" w:type="dxa"/>
            <w:vAlign w:val="bottom"/>
          </w:tcPr>
          <w:p>
            <w:pPr>
              <w:jc w:val="right"/>
              <w:spacing w:after="0"/>
              <w:rPr>
                <w:sz w:val="20"/>
                <w:szCs w:val="20"/>
                <w:color w:val="auto"/>
              </w:rPr>
            </w:pPr>
            <w:r>
              <w:rPr>
                <w:rFonts w:ascii="Arial" w:cs="Arial" w:eastAsia="Arial" w:hAnsi="Arial"/>
                <w:sz w:val="13"/>
                <w:szCs w:val="13"/>
                <w:color w:val="auto"/>
              </w:rPr>
              <w:t>—</w:t>
            </w:r>
          </w:p>
        </w:tc>
        <w:tc>
          <w:tcPr>
            <w:tcW w:w="24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700" w:type="dxa"/>
            <w:vAlign w:val="bottom"/>
          </w:tcPr>
          <w:p>
            <w:pPr>
              <w:jc w:val="right"/>
              <w:spacing w:after="0"/>
              <w:rPr>
                <w:sz w:val="20"/>
                <w:szCs w:val="20"/>
                <w:color w:val="auto"/>
              </w:rPr>
            </w:pPr>
            <w:r>
              <w:rPr>
                <w:rFonts w:ascii="Arial" w:cs="Arial" w:eastAsia="Arial" w:hAnsi="Arial"/>
                <w:sz w:val="13"/>
                <w:szCs w:val="13"/>
                <w:color w:val="auto"/>
              </w:rPr>
              <w:t>—</w:t>
            </w:r>
          </w:p>
        </w:tc>
        <w:tc>
          <w:tcPr>
            <w:tcW w:w="26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760" w:type="dxa"/>
            <w:vAlign w:val="bottom"/>
          </w:tcPr>
          <w:p>
            <w:pPr>
              <w:jc w:val="right"/>
              <w:spacing w:after="0"/>
              <w:rPr>
                <w:sz w:val="20"/>
                <w:szCs w:val="20"/>
                <w:color w:val="auto"/>
              </w:rPr>
            </w:pPr>
            <w:r>
              <w:rPr>
                <w:rFonts w:ascii="Arial" w:cs="Arial" w:eastAsia="Arial" w:hAnsi="Arial"/>
                <w:sz w:val="13"/>
                <w:szCs w:val="13"/>
                <w:color w:val="auto"/>
              </w:rPr>
              <w:t>2,628</w:t>
            </w:r>
          </w:p>
        </w:tc>
        <w:tc>
          <w:tcPr>
            <w:tcW w:w="26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120" w:type="dxa"/>
            <w:vAlign w:val="bottom"/>
            <w:gridSpan w:val="2"/>
          </w:tcPr>
          <w:p>
            <w:pPr>
              <w:jc w:val="right"/>
              <w:ind w:right="260"/>
              <w:spacing w:after="0"/>
              <w:rPr>
                <w:sz w:val="20"/>
                <w:szCs w:val="20"/>
                <w:color w:val="auto"/>
              </w:rPr>
            </w:pPr>
            <w:r>
              <w:rPr>
                <w:rFonts w:ascii="Arial" w:cs="Arial" w:eastAsia="Arial" w:hAnsi="Arial"/>
                <w:sz w:val="13"/>
                <w:szCs w:val="13"/>
                <w:color w:val="auto"/>
              </w:rPr>
              <w:t>—</w:t>
            </w:r>
          </w:p>
        </w:tc>
        <w:tc>
          <w:tcPr>
            <w:tcW w:w="160" w:type="dxa"/>
            <w:vAlign w:val="bottom"/>
          </w:tcPr>
          <w:p>
            <w:pPr>
              <w:spacing w:after="0"/>
              <w:rPr>
                <w:sz w:val="13"/>
                <w:szCs w:val="13"/>
                <w:color w:val="auto"/>
              </w:rPr>
            </w:pPr>
          </w:p>
        </w:tc>
        <w:tc>
          <w:tcPr>
            <w:tcW w:w="980" w:type="dxa"/>
            <w:vAlign w:val="bottom"/>
          </w:tcPr>
          <w:p>
            <w:pPr>
              <w:jc w:val="right"/>
              <w:spacing w:after="0"/>
              <w:rPr>
                <w:sz w:val="20"/>
                <w:szCs w:val="20"/>
                <w:color w:val="auto"/>
              </w:rPr>
            </w:pPr>
            <w:r>
              <w:rPr>
                <w:rFonts w:ascii="Arial" w:cs="Arial" w:eastAsia="Arial" w:hAnsi="Arial"/>
                <w:sz w:val="13"/>
                <w:szCs w:val="13"/>
                <w:color w:val="auto"/>
              </w:rPr>
              <w:t>2,628</w:t>
            </w:r>
          </w:p>
        </w:tc>
        <w:tc>
          <w:tcPr>
            <w:tcW w:w="100" w:type="dxa"/>
            <w:vAlign w:val="bottom"/>
          </w:tcPr>
          <w:p>
            <w:pPr>
              <w:spacing w:after="0"/>
              <w:rPr>
                <w:sz w:val="13"/>
                <w:szCs w:val="13"/>
                <w:color w:val="auto"/>
              </w:rPr>
            </w:pPr>
          </w:p>
        </w:tc>
      </w:tr>
      <w:tr>
        <w:trPr>
          <w:trHeight w:val="164"/>
        </w:trPr>
        <w:tc>
          <w:tcPr>
            <w:tcW w:w="2840" w:type="dxa"/>
            <w:vAlign w:val="bottom"/>
            <w:shd w:val="clear" w:color="auto" w:fill="CFF0FC"/>
          </w:tcPr>
          <w:p>
            <w:pPr>
              <w:ind w:left="20"/>
              <w:spacing w:after="0"/>
              <w:rPr>
                <w:sz w:val="20"/>
                <w:szCs w:val="20"/>
                <w:color w:val="auto"/>
              </w:rPr>
            </w:pPr>
            <w:r>
              <w:rPr>
                <w:rFonts w:ascii="Arial" w:cs="Arial" w:eastAsia="Arial" w:hAnsi="Arial"/>
                <w:sz w:val="13"/>
                <w:szCs w:val="13"/>
                <w:color w:val="auto"/>
              </w:rPr>
              <w:t>Exercise of stock options</w:t>
            </w:r>
          </w:p>
        </w:tc>
        <w:tc>
          <w:tcPr>
            <w:tcW w:w="1200" w:type="dxa"/>
            <w:vAlign w:val="bottom"/>
            <w:gridSpan w:val="2"/>
            <w:shd w:val="clear" w:color="auto" w:fill="CFF0FC"/>
          </w:tcPr>
          <w:p>
            <w:pPr>
              <w:jc w:val="right"/>
              <w:ind w:right="280"/>
              <w:spacing w:after="0"/>
              <w:rPr>
                <w:sz w:val="20"/>
                <w:szCs w:val="20"/>
                <w:color w:val="auto"/>
              </w:rPr>
            </w:pPr>
            <w:r>
              <w:rPr>
                <w:rFonts w:ascii="Arial" w:cs="Arial" w:eastAsia="Arial" w:hAnsi="Arial"/>
                <w:sz w:val="13"/>
                <w:szCs w:val="13"/>
                <w:color w:val="auto"/>
              </w:rPr>
              <w:t>—</w:t>
            </w:r>
          </w:p>
        </w:tc>
        <w:tc>
          <w:tcPr>
            <w:tcW w:w="300" w:type="dxa"/>
            <w:vAlign w:val="bottom"/>
            <w:shd w:val="clear" w:color="auto" w:fill="CFF0FC"/>
          </w:tcPr>
          <w:p>
            <w:pPr>
              <w:spacing w:after="0"/>
              <w:rPr>
                <w:sz w:val="14"/>
                <w:szCs w:val="14"/>
                <w:color w:val="auto"/>
              </w:rPr>
            </w:pPr>
          </w:p>
        </w:tc>
        <w:tc>
          <w:tcPr>
            <w:tcW w:w="880" w:type="dxa"/>
            <w:vAlign w:val="bottom"/>
            <w:gridSpan w:val="2"/>
            <w:shd w:val="clear" w:color="auto" w:fill="CFF0FC"/>
          </w:tcPr>
          <w:p>
            <w:pPr>
              <w:jc w:val="right"/>
              <w:ind w:right="240"/>
              <w:spacing w:after="0"/>
              <w:rPr>
                <w:sz w:val="20"/>
                <w:szCs w:val="20"/>
                <w:color w:val="auto"/>
              </w:rPr>
            </w:pPr>
            <w:r>
              <w:rPr>
                <w:rFonts w:ascii="Arial" w:cs="Arial" w:eastAsia="Arial" w:hAnsi="Arial"/>
                <w:sz w:val="13"/>
                <w:szCs w:val="13"/>
                <w:color w:val="auto"/>
              </w:rPr>
              <w:t>—</w:t>
            </w:r>
          </w:p>
        </w:tc>
        <w:tc>
          <w:tcPr>
            <w:tcW w:w="1000" w:type="dxa"/>
            <w:vAlign w:val="bottom"/>
            <w:shd w:val="clear" w:color="auto" w:fill="CFF0FC"/>
          </w:tcPr>
          <w:p>
            <w:pPr>
              <w:jc w:val="right"/>
              <w:spacing w:after="0"/>
              <w:rPr>
                <w:sz w:val="20"/>
                <w:szCs w:val="20"/>
                <w:color w:val="auto"/>
              </w:rPr>
            </w:pPr>
            <w:r>
              <w:rPr>
                <w:rFonts w:ascii="Arial" w:cs="Arial" w:eastAsia="Arial" w:hAnsi="Arial"/>
                <w:sz w:val="13"/>
                <w:szCs w:val="13"/>
                <w:color w:val="auto"/>
              </w:rPr>
              <w:t>1,226</w:t>
            </w:r>
          </w:p>
        </w:tc>
        <w:tc>
          <w:tcPr>
            <w:tcW w:w="240" w:type="dxa"/>
            <w:vAlign w:val="bottom"/>
            <w:shd w:val="clear" w:color="auto" w:fill="CFF0FC"/>
          </w:tcPr>
          <w:p>
            <w:pPr>
              <w:spacing w:after="0"/>
              <w:rPr>
                <w:sz w:val="14"/>
                <w:szCs w:val="14"/>
                <w:color w:val="auto"/>
              </w:rPr>
            </w:pPr>
          </w:p>
        </w:tc>
        <w:tc>
          <w:tcPr>
            <w:tcW w:w="160" w:type="dxa"/>
            <w:vAlign w:val="bottom"/>
            <w:shd w:val="clear" w:color="auto" w:fill="CFF0FC"/>
          </w:tcPr>
          <w:p>
            <w:pPr>
              <w:spacing w:after="0"/>
              <w:rPr>
                <w:sz w:val="14"/>
                <w:szCs w:val="14"/>
                <w:color w:val="auto"/>
              </w:rPr>
            </w:pPr>
          </w:p>
        </w:tc>
        <w:tc>
          <w:tcPr>
            <w:tcW w:w="700" w:type="dxa"/>
            <w:vAlign w:val="bottom"/>
            <w:shd w:val="clear" w:color="auto" w:fill="CFF0FC"/>
          </w:tcPr>
          <w:p>
            <w:pPr>
              <w:jc w:val="right"/>
              <w:spacing w:after="0"/>
              <w:rPr>
                <w:sz w:val="20"/>
                <w:szCs w:val="20"/>
                <w:color w:val="auto"/>
              </w:rPr>
            </w:pPr>
            <w:r>
              <w:rPr>
                <w:rFonts w:ascii="Arial" w:cs="Arial" w:eastAsia="Arial" w:hAnsi="Arial"/>
                <w:sz w:val="13"/>
                <w:szCs w:val="13"/>
                <w:color w:val="auto"/>
              </w:rPr>
              <w:t>—</w:t>
            </w:r>
          </w:p>
        </w:tc>
        <w:tc>
          <w:tcPr>
            <w:tcW w:w="260" w:type="dxa"/>
            <w:vAlign w:val="bottom"/>
            <w:shd w:val="clear" w:color="auto" w:fill="CFF0FC"/>
          </w:tcPr>
          <w:p>
            <w:pPr>
              <w:spacing w:after="0"/>
              <w:rPr>
                <w:sz w:val="14"/>
                <w:szCs w:val="14"/>
                <w:color w:val="auto"/>
              </w:rPr>
            </w:pPr>
          </w:p>
        </w:tc>
        <w:tc>
          <w:tcPr>
            <w:tcW w:w="140" w:type="dxa"/>
            <w:vAlign w:val="bottom"/>
            <w:shd w:val="clear" w:color="auto" w:fill="CFF0FC"/>
          </w:tcPr>
          <w:p>
            <w:pPr>
              <w:spacing w:after="0"/>
              <w:rPr>
                <w:sz w:val="14"/>
                <w:szCs w:val="14"/>
                <w:color w:val="auto"/>
              </w:rPr>
            </w:pPr>
          </w:p>
        </w:tc>
        <w:tc>
          <w:tcPr>
            <w:tcW w:w="760" w:type="dxa"/>
            <w:vAlign w:val="bottom"/>
            <w:shd w:val="clear" w:color="auto" w:fill="CFF0FC"/>
          </w:tcPr>
          <w:p>
            <w:pPr>
              <w:jc w:val="right"/>
              <w:spacing w:after="0"/>
              <w:rPr>
                <w:sz w:val="20"/>
                <w:szCs w:val="20"/>
                <w:color w:val="auto"/>
              </w:rPr>
            </w:pPr>
            <w:r>
              <w:rPr>
                <w:rFonts w:ascii="Arial" w:cs="Arial" w:eastAsia="Arial" w:hAnsi="Arial"/>
                <w:sz w:val="13"/>
                <w:szCs w:val="13"/>
                <w:color w:val="auto"/>
              </w:rPr>
              <w:t>1,488</w:t>
            </w:r>
          </w:p>
        </w:tc>
        <w:tc>
          <w:tcPr>
            <w:tcW w:w="260" w:type="dxa"/>
            <w:vAlign w:val="bottom"/>
            <w:shd w:val="clear" w:color="auto" w:fill="CFF0FC"/>
          </w:tcPr>
          <w:p>
            <w:pPr>
              <w:spacing w:after="0"/>
              <w:rPr>
                <w:sz w:val="14"/>
                <w:szCs w:val="14"/>
                <w:color w:val="auto"/>
              </w:rPr>
            </w:pPr>
          </w:p>
        </w:tc>
        <w:tc>
          <w:tcPr>
            <w:tcW w:w="140" w:type="dxa"/>
            <w:vAlign w:val="bottom"/>
            <w:shd w:val="clear" w:color="auto" w:fill="CFF0FC"/>
          </w:tcPr>
          <w:p>
            <w:pPr>
              <w:spacing w:after="0"/>
              <w:rPr>
                <w:sz w:val="14"/>
                <w:szCs w:val="14"/>
                <w:color w:val="auto"/>
              </w:rPr>
            </w:pPr>
          </w:p>
        </w:tc>
        <w:tc>
          <w:tcPr>
            <w:tcW w:w="1120" w:type="dxa"/>
            <w:vAlign w:val="bottom"/>
            <w:gridSpan w:val="2"/>
            <w:shd w:val="clear" w:color="auto" w:fill="CFF0FC"/>
          </w:tcPr>
          <w:p>
            <w:pPr>
              <w:jc w:val="right"/>
              <w:ind w:right="260"/>
              <w:spacing w:after="0"/>
              <w:rPr>
                <w:sz w:val="20"/>
                <w:szCs w:val="20"/>
                <w:color w:val="auto"/>
              </w:rPr>
            </w:pPr>
            <w:r>
              <w:rPr>
                <w:rFonts w:ascii="Arial" w:cs="Arial" w:eastAsia="Arial" w:hAnsi="Arial"/>
                <w:sz w:val="13"/>
                <w:szCs w:val="13"/>
                <w:color w:val="auto"/>
              </w:rPr>
              <w:t>—</w:t>
            </w:r>
          </w:p>
        </w:tc>
        <w:tc>
          <w:tcPr>
            <w:tcW w:w="160" w:type="dxa"/>
            <w:vAlign w:val="bottom"/>
            <w:shd w:val="clear" w:color="auto" w:fill="CFF0FC"/>
          </w:tcPr>
          <w:p>
            <w:pPr>
              <w:spacing w:after="0"/>
              <w:rPr>
                <w:sz w:val="14"/>
                <w:szCs w:val="14"/>
                <w:color w:val="auto"/>
              </w:rPr>
            </w:pPr>
          </w:p>
        </w:tc>
        <w:tc>
          <w:tcPr>
            <w:tcW w:w="980" w:type="dxa"/>
            <w:vAlign w:val="bottom"/>
            <w:shd w:val="clear" w:color="auto" w:fill="CFF0FC"/>
          </w:tcPr>
          <w:p>
            <w:pPr>
              <w:jc w:val="right"/>
              <w:spacing w:after="0"/>
              <w:rPr>
                <w:sz w:val="20"/>
                <w:szCs w:val="20"/>
                <w:color w:val="auto"/>
              </w:rPr>
            </w:pPr>
            <w:r>
              <w:rPr>
                <w:rFonts w:ascii="Arial" w:cs="Arial" w:eastAsia="Arial" w:hAnsi="Arial"/>
                <w:sz w:val="13"/>
                <w:szCs w:val="13"/>
                <w:color w:val="auto"/>
              </w:rPr>
              <w:t>1,488</w:t>
            </w:r>
          </w:p>
        </w:tc>
        <w:tc>
          <w:tcPr>
            <w:tcW w:w="100" w:type="dxa"/>
            <w:vAlign w:val="bottom"/>
            <w:shd w:val="clear" w:color="auto" w:fill="CFF0FC"/>
          </w:tcPr>
          <w:p>
            <w:pPr>
              <w:spacing w:after="0"/>
              <w:rPr>
                <w:sz w:val="14"/>
                <w:szCs w:val="14"/>
                <w:color w:val="auto"/>
              </w:rPr>
            </w:pPr>
          </w:p>
        </w:tc>
      </w:tr>
      <w:tr>
        <w:trPr>
          <w:trHeight w:val="160"/>
        </w:trPr>
        <w:tc>
          <w:tcPr>
            <w:tcW w:w="2840" w:type="dxa"/>
            <w:vAlign w:val="bottom"/>
          </w:tcPr>
          <w:p>
            <w:pPr>
              <w:ind w:left="20"/>
              <w:spacing w:after="0"/>
              <w:rPr>
                <w:sz w:val="20"/>
                <w:szCs w:val="20"/>
                <w:color w:val="auto"/>
              </w:rPr>
            </w:pPr>
            <w:r>
              <w:rPr>
                <w:rFonts w:ascii="Arial" w:cs="Arial" w:eastAsia="Arial" w:hAnsi="Arial"/>
                <w:sz w:val="13"/>
                <w:szCs w:val="13"/>
                <w:color w:val="auto"/>
              </w:rPr>
              <w:t>Vesting of early exercised stock options</w:t>
            </w:r>
          </w:p>
        </w:tc>
        <w:tc>
          <w:tcPr>
            <w:tcW w:w="1200" w:type="dxa"/>
            <w:vAlign w:val="bottom"/>
            <w:gridSpan w:val="2"/>
          </w:tcPr>
          <w:p>
            <w:pPr>
              <w:jc w:val="right"/>
              <w:ind w:right="280"/>
              <w:spacing w:after="0"/>
              <w:rPr>
                <w:sz w:val="20"/>
                <w:szCs w:val="20"/>
                <w:color w:val="auto"/>
              </w:rPr>
            </w:pPr>
            <w:r>
              <w:rPr>
                <w:rFonts w:ascii="Arial" w:cs="Arial" w:eastAsia="Arial" w:hAnsi="Arial"/>
                <w:sz w:val="13"/>
                <w:szCs w:val="13"/>
                <w:color w:val="auto"/>
              </w:rPr>
              <w:t>—</w:t>
            </w:r>
          </w:p>
        </w:tc>
        <w:tc>
          <w:tcPr>
            <w:tcW w:w="300" w:type="dxa"/>
            <w:vAlign w:val="bottom"/>
          </w:tcPr>
          <w:p>
            <w:pPr>
              <w:spacing w:after="0"/>
              <w:rPr>
                <w:sz w:val="13"/>
                <w:szCs w:val="13"/>
                <w:color w:val="auto"/>
              </w:rPr>
            </w:pPr>
          </w:p>
        </w:tc>
        <w:tc>
          <w:tcPr>
            <w:tcW w:w="880" w:type="dxa"/>
            <w:vAlign w:val="bottom"/>
            <w:gridSpan w:val="2"/>
          </w:tcPr>
          <w:p>
            <w:pPr>
              <w:jc w:val="right"/>
              <w:ind w:right="240"/>
              <w:spacing w:after="0"/>
              <w:rPr>
                <w:sz w:val="20"/>
                <w:szCs w:val="20"/>
                <w:color w:val="auto"/>
              </w:rPr>
            </w:pPr>
            <w:r>
              <w:rPr>
                <w:rFonts w:ascii="Arial" w:cs="Arial" w:eastAsia="Arial" w:hAnsi="Arial"/>
                <w:sz w:val="13"/>
                <w:szCs w:val="13"/>
                <w:color w:val="auto"/>
              </w:rPr>
              <w:t>—</w:t>
            </w:r>
          </w:p>
        </w:tc>
        <w:tc>
          <w:tcPr>
            <w:tcW w:w="1000" w:type="dxa"/>
            <w:vAlign w:val="bottom"/>
          </w:tcPr>
          <w:p>
            <w:pPr>
              <w:jc w:val="right"/>
              <w:spacing w:after="0"/>
              <w:rPr>
                <w:sz w:val="20"/>
                <w:szCs w:val="20"/>
                <w:color w:val="auto"/>
              </w:rPr>
            </w:pPr>
            <w:r>
              <w:rPr>
                <w:rFonts w:ascii="Arial" w:cs="Arial" w:eastAsia="Arial" w:hAnsi="Arial"/>
                <w:sz w:val="13"/>
                <w:szCs w:val="13"/>
                <w:color w:val="auto"/>
              </w:rPr>
              <w:t>—</w:t>
            </w:r>
          </w:p>
        </w:tc>
        <w:tc>
          <w:tcPr>
            <w:tcW w:w="24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700" w:type="dxa"/>
            <w:vAlign w:val="bottom"/>
          </w:tcPr>
          <w:p>
            <w:pPr>
              <w:jc w:val="right"/>
              <w:spacing w:after="0"/>
              <w:rPr>
                <w:sz w:val="20"/>
                <w:szCs w:val="20"/>
                <w:color w:val="auto"/>
              </w:rPr>
            </w:pPr>
            <w:r>
              <w:rPr>
                <w:rFonts w:ascii="Arial" w:cs="Arial" w:eastAsia="Arial" w:hAnsi="Arial"/>
                <w:sz w:val="13"/>
                <w:szCs w:val="13"/>
                <w:color w:val="auto"/>
              </w:rPr>
              <w:t>—</w:t>
            </w:r>
          </w:p>
        </w:tc>
        <w:tc>
          <w:tcPr>
            <w:tcW w:w="26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760" w:type="dxa"/>
            <w:vAlign w:val="bottom"/>
          </w:tcPr>
          <w:p>
            <w:pPr>
              <w:jc w:val="right"/>
              <w:spacing w:after="0"/>
              <w:rPr>
                <w:sz w:val="20"/>
                <w:szCs w:val="20"/>
                <w:color w:val="auto"/>
              </w:rPr>
            </w:pPr>
            <w:r>
              <w:rPr>
                <w:rFonts w:ascii="Arial" w:cs="Arial" w:eastAsia="Arial" w:hAnsi="Arial"/>
                <w:sz w:val="13"/>
                <w:szCs w:val="13"/>
                <w:color w:val="auto"/>
              </w:rPr>
              <w:t>179</w:t>
            </w:r>
          </w:p>
        </w:tc>
        <w:tc>
          <w:tcPr>
            <w:tcW w:w="26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120" w:type="dxa"/>
            <w:vAlign w:val="bottom"/>
            <w:gridSpan w:val="2"/>
          </w:tcPr>
          <w:p>
            <w:pPr>
              <w:jc w:val="right"/>
              <w:ind w:right="260"/>
              <w:spacing w:after="0"/>
              <w:rPr>
                <w:sz w:val="20"/>
                <w:szCs w:val="20"/>
                <w:color w:val="auto"/>
              </w:rPr>
            </w:pPr>
            <w:r>
              <w:rPr>
                <w:rFonts w:ascii="Arial" w:cs="Arial" w:eastAsia="Arial" w:hAnsi="Arial"/>
                <w:sz w:val="13"/>
                <w:szCs w:val="13"/>
                <w:color w:val="auto"/>
              </w:rPr>
              <w:t>—</w:t>
            </w:r>
          </w:p>
        </w:tc>
        <w:tc>
          <w:tcPr>
            <w:tcW w:w="160" w:type="dxa"/>
            <w:vAlign w:val="bottom"/>
          </w:tcPr>
          <w:p>
            <w:pPr>
              <w:spacing w:after="0"/>
              <w:rPr>
                <w:sz w:val="13"/>
                <w:szCs w:val="13"/>
                <w:color w:val="auto"/>
              </w:rPr>
            </w:pPr>
          </w:p>
        </w:tc>
        <w:tc>
          <w:tcPr>
            <w:tcW w:w="980" w:type="dxa"/>
            <w:vAlign w:val="bottom"/>
          </w:tcPr>
          <w:p>
            <w:pPr>
              <w:jc w:val="right"/>
              <w:spacing w:after="0"/>
              <w:rPr>
                <w:sz w:val="20"/>
                <w:szCs w:val="20"/>
                <w:color w:val="auto"/>
              </w:rPr>
            </w:pPr>
            <w:r>
              <w:rPr>
                <w:rFonts w:ascii="Arial" w:cs="Arial" w:eastAsia="Arial" w:hAnsi="Arial"/>
                <w:sz w:val="13"/>
                <w:szCs w:val="13"/>
                <w:color w:val="auto"/>
              </w:rPr>
              <w:t>179</w:t>
            </w:r>
          </w:p>
        </w:tc>
        <w:tc>
          <w:tcPr>
            <w:tcW w:w="100" w:type="dxa"/>
            <w:vAlign w:val="bottom"/>
          </w:tcPr>
          <w:p>
            <w:pPr>
              <w:spacing w:after="0"/>
              <w:rPr>
                <w:sz w:val="13"/>
                <w:szCs w:val="13"/>
                <w:color w:val="auto"/>
              </w:rPr>
            </w:pPr>
          </w:p>
        </w:tc>
      </w:tr>
      <w:tr>
        <w:trPr>
          <w:trHeight w:val="162"/>
        </w:trPr>
        <w:tc>
          <w:tcPr>
            <w:tcW w:w="2840" w:type="dxa"/>
            <w:vAlign w:val="bottom"/>
            <w:shd w:val="clear" w:color="auto" w:fill="CFF0FC"/>
          </w:tcPr>
          <w:p>
            <w:pPr>
              <w:ind w:left="20"/>
              <w:spacing w:after="0"/>
              <w:rPr>
                <w:sz w:val="20"/>
                <w:szCs w:val="20"/>
                <w:color w:val="auto"/>
              </w:rPr>
            </w:pPr>
            <w:r>
              <w:rPr>
                <w:rFonts w:ascii="Arial" w:cs="Arial" w:eastAsia="Arial" w:hAnsi="Arial"/>
                <w:sz w:val="13"/>
                <w:szCs w:val="13"/>
                <w:color w:val="auto"/>
              </w:rPr>
              <w:t>Net loss</w:t>
            </w:r>
          </w:p>
        </w:tc>
        <w:tc>
          <w:tcPr>
            <w:tcW w:w="920" w:type="dxa"/>
            <w:vAlign w:val="bottom"/>
            <w:shd w:val="clear" w:color="auto" w:fill="CFF0FC"/>
          </w:tcPr>
          <w:p>
            <w:pPr>
              <w:jc w:val="right"/>
              <w:spacing w:after="0"/>
              <w:rPr>
                <w:sz w:val="20"/>
                <w:szCs w:val="20"/>
                <w:color w:val="auto"/>
              </w:rPr>
            </w:pPr>
            <w:r>
              <w:rPr>
                <w:rFonts w:ascii="Arial" w:cs="Arial" w:eastAsia="Arial" w:hAnsi="Arial"/>
                <w:sz w:val="13"/>
                <w:szCs w:val="13"/>
                <w:color w:val="auto"/>
              </w:rPr>
              <w:t>—</w:t>
            </w:r>
          </w:p>
        </w:tc>
        <w:tc>
          <w:tcPr>
            <w:tcW w:w="280" w:type="dxa"/>
            <w:vAlign w:val="bottom"/>
            <w:shd w:val="clear" w:color="auto" w:fill="CFF0FC"/>
          </w:tcPr>
          <w:p>
            <w:pPr>
              <w:spacing w:after="0"/>
              <w:rPr>
                <w:sz w:val="14"/>
                <w:szCs w:val="14"/>
                <w:color w:val="auto"/>
              </w:rPr>
            </w:pPr>
          </w:p>
        </w:tc>
        <w:tc>
          <w:tcPr>
            <w:tcW w:w="300" w:type="dxa"/>
            <w:vAlign w:val="bottom"/>
            <w:shd w:val="clear" w:color="auto" w:fill="CFF0FC"/>
          </w:tcPr>
          <w:p>
            <w:pPr>
              <w:spacing w:after="0"/>
              <w:rPr>
                <w:sz w:val="14"/>
                <w:szCs w:val="14"/>
                <w:color w:val="auto"/>
              </w:rPr>
            </w:pPr>
          </w:p>
        </w:tc>
        <w:tc>
          <w:tcPr>
            <w:tcW w:w="640" w:type="dxa"/>
            <w:vAlign w:val="bottom"/>
            <w:shd w:val="clear" w:color="auto" w:fill="CFF0FC"/>
          </w:tcPr>
          <w:p>
            <w:pPr>
              <w:jc w:val="right"/>
              <w:spacing w:after="0"/>
              <w:rPr>
                <w:sz w:val="20"/>
                <w:szCs w:val="20"/>
                <w:color w:val="auto"/>
              </w:rPr>
            </w:pPr>
            <w:r>
              <w:rPr>
                <w:rFonts w:ascii="Arial" w:cs="Arial" w:eastAsia="Arial" w:hAnsi="Arial"/>
                <w:sz w:val="13"/>
                <w:szCs w:val="13"/>
                <w:color w:val="auto"/>
              </w:rPr>
              <w:t>—</w:t>
            </w:r>
          </w:p>
        </w:tc>
        <w:tc>
          <w:tcPr>
            <w:tcW w:w="240" w:type="dxa"/>
            <w:vAlign w:val="bottom"/>
            <w:shd w:val="clear" w:color="auto" w:fill="CFF0FC"/>
          </w:tcPr>
          <w:p>
            <w:pPr>
              <w:spacing w:after="0"/>
              <w:rPr>
                <w:sz w:val="14"/>
                <w:szCs w:val="14"/>
                <w:color w:val="auto"/>
              </w:rPr>
            </w:pPr>
          </w:p>
        </w:tc>
        <w:tc>
          <w:tcPr>
            <w:tcW w:w="1000" w:type="dxa"/>
            <w:vAlign w:val="bottom"/>
            <w:shd w:val="clear" w:color="auto" w:fill="CFF0FC"/>
          </w:tcPr>
          <w:p>
            <w:pPr>
              <w:jc w:val="right"/>
              <w:spacing w:after="0"/>
              <w:rPr>
                <w:sz w:val="20"/>
                <w:szCs w:val="20"/>
                <w:color w:val="auto"/>
              </w:rPr>
            </w:pPr>
            <w:r>
              <w:rPr>
                <w:rFonts w:ascii="Arial" w:cs="Arial" w:eastAsia="Arial" w:hAnsi="Arial"/>
                <w:sz w:val="13"/>
                <w:szCs w:val="13"/>
                <w:color w:val="auto"/>
              </w:rPr>
              <w:t>—</w:t>
            </w:r>
          </w:p>
        </w:tc>
        <w:tc>
          <w:tcPr>
            <w:tcW w:w="240" w:type="dxa"/>
            <w:vAlign w:val="bottom"/>
            <w:shd w:val="clear" w:color="auto" w:fill="CFF0FC"/>
          </w:tcPr>
          <w:p>
            <w:pPr>
              <w:spacing w:after="0"/>
              <w:rPr>
                <w:sz w:val="14"/>
                <w:szCs w:val="14"/>
                <w:color w:val="auto"/>
              </w:rPr>
            </w:pPr>
          </w:p>
        </w:tc>
        <w:tc>
          <w:tcPr>
            <w:tcW w:w="160" w:type="dxa"/>
            <w:vAlign w:val="bottom"/>
            <w:shd w:val="clear" w:color="auto" w:fill="CFF0FC"/>
          </w:tcPr>
          <w:p>
            <w:pPr>
              <w:spacing w:after="0"/>
              <w:rPr>
                <w:sz w:val="14"/>
                <w:szCs w:val="14"/>
                <w:color w:val="auto"/>
              </w:rPr>
            </w:pPr>
          </w:p>
        </w:tc>
        <w:tc>
          <w:tcPr>
            <w:tcW w:w="700" w:type="dxa"/>
            <w:vAlign w:val="bottom"/>
            <w:shd w:val="clear" w:color="auto" w:fill="CFF0FC"/>
          </w:tcPr>
          <w:p>
            <w:pPr>
              <w:jc w:val="right"/>
              <w:spacing w:after="0"/>
              <w:rPr>
                <w:sz w:val="20"/>
                <w:szCs w:val="20"/>
                <w:color w:val="auto"/>
              </w:rPr>
            </w:pPr>
            <w:r>
              <w:rPr>
                <w:rFonts w:ascii="Arial" w:cs="Arial" w:eastAsia="Arial" w:hAnsi="Arial"/>
                <w:sz w:val="13"/>
                <w:szCs w:val="13"/>
                <w:color w:val="auto"/>
              </w:rPr>
              <w:t>—</w:t>
            </w:r>
          </w:p>
        </w:tc>
        <w:tc>
          <w:tcPr>
            <w:tcW w:w="260" w:type="dxa"/>
            <w:vAlign w:val="bottom"/>
            <w:shd w:val="clear" w:color="auto" w:fill="CFF0FC"/>
          </w:tcPr>
          <w:p>
            <w:pPr>
              <w:spacing w:after="0"/>
              <w:rPr>
                <w:sz w:val="14"/>
                <w:szCs w:val="14"/>
                <w:color w:val="auto"/>
              </w:rPr>
            </w:pPr>
          </w:p>
        </w:tc>
        <w:tc>
          <w:tcPr>
            <w:tcW w:w="140" w:type="dxa"/>
            <w:vAlign w:val="bottom"/>
            <w:shd w:val="clear" w:color="auto" w:fill="CFF0FC"/>
          </w:tcPr>
          <w:p>
            <w:pPr>
              <w:spacing w:after="0"/>
              <w:rPr>
                <w:sz w:val="14"/>
                <w:szCs w:val="14"/>
                <w:color w:val="auto"/>
              </w:rPr>
            </w:pPr>
          </w:p>
        </w:tc>
        <w:tc>
          <w:tcPr>
            <w:tcW w:w="760" w:type="dxa"/>
            <w:vAlign w:val="bottom"/>
            <w:shd w:val="clear" w:color="auto" w:fill="CFF0FC"/>
          </w:tcPr>
          <w:p>
            <w:pPr>
              <w:jc w:val="right"/>
              <w:spacing w:after="0"/>
              <w:rPr>
                <w:sz w:val="20"/>
                <w:szCs w:val="20"/>
                <w:color w:val="auto"/>
              </w:rPr>
            </w:pPr>
            <w:r>
              <w:rPr>
                <w:rFonts w:ascii="Arial" w:cs="Arial" w:eastAsia="Arial" w:hAnsi="Arial"/>
                <w:sz w:val="13"/>
                <w:szCs w:val="13"/>
                <w:color w:val="auto"/>
              </w:rPr>
              <w:t>—</w:t>
            </w:r>
          </w:p>
        </w:tc>
        <w:tc>
          <w:tcPr>
            <w:tcW w:w="260" w:type="dxa"/>
            <w:vAlign w:val="bottom"/>
            <w:shd w:val="clear" w:color="auto" w:fill="CFF0FC"/>
          </w:tcPr>
          <w:p>
            <w:pPr>
              <w:spacing w:after="0"/>
              <w:rPr>
                <w:sz w:val="14"/>
                <w:szCs w:val="14"/>
                <w:color w:val="auto"/>
              </w:rPr>
            </w:pPr>
          </w:p>
        </w:tc>
        <w:tc>
          <w:tcPr>
            <w:tcW w:w="140" w:type="dxa"/>
            <w:vAlign w:val="bottom"/>
            <w:shd w:val="clear" w:color="auto" w:fill="CFF0FC"/>
          </w:tcPr>
          <w:p>
            <w:pPr>
              <w:spacing w:after="0"/>
              <w:rPr>
                <w:sz w:val="14"/>
                <w:szCs w:val="14"/>
                <w:color w:val="auto"/>
              </w:rPr>
            </w:pPr>
          </w:p>
        </w:tc>
        <w:tc>
          <w:tcPr>
            <w:tcW w:w="1120" w:type="dxa"/>
            <w:vAlign w:val="bottom"/>
            <w:gridSpan w:val="2"/>
            <w:shd w:val="clear" w:color="auto" w:fill="CFF0FC"/>
          </w:tcPr>
          <w:p>
            <w:pPr>
              <w:jc w:val="right"/>
              <w:ind w:right="180"/>
              <w:spacing w:after="0"/>
              <w:rPr>
                <w:sz w:val="20"/>
                <w:szCs w:val="20"/>
                <w:color w:val="auto"/>
              </w:rPr>
            </w:pPr>
            <w:r>
              <w:rPr>
                <w:rFonts w:ascii="Arial" w:cs="Arial" w:eastAsia="Arial" w:hAnsi="Arial"/>
                <w:sz w:val="13"/>
                <w:szCs w:val="13"/>
                <w:color w:val="auto"/>
              </w:rPr>
              <w:t>(6,439 )</w:t>
            </w:r>
          </w:p>
        </w:tc>
        <w:tc>
          <w:tcPr>
            <w:tcW w:w="160" w:type="dxa"/>
            <w:vAlign w:val="bottom"/>
            <w:shd w:val="clear" w:color="auto" w:fill="CFF0FC"/>
          </w:tcPr>
          <w:p>
            <w:pPr>
              <w:spacing w:after="0"/>
              <w:rPr>
                <w:sz w:val="14"/>
                <w:szCs w:val="14"/>
                <w:color w:val="auto"/>
              </w:rPr>
            </w:pPr>
          </w:p>
        </w:tc>
        <w:tc>
          <w:tcPr>
            <w:tcW w:w="1080" w:type="dxa"/>
            <w:vAlign w:val="bottom"/>
            <w:gridSpan w:val="2"/>
            <w:shd w:val="clear" w:color="auto" w:fill="CFF0FC"/>
          </w:tcPr>
          <w:p>
            <w:pPr>
              <w:jc w:val="right"/>
              <w:ind w:right="60"/>
              <w:spacing w:after="0"/>
              <w:rPr>
                <w:sz w:val="20"/>
                <w:szCs w:val="20"/>
                <w:color w:val="auto"/>
              </w:rPr>
            </w:pPr>
            <w:r>
              <w:rPr>
                <w:rFonts w:ascii="Arial" w:cs="Arial" w:eastAsia="Arial" w:hAnsi="Arial"/>
                <w:sz w:val="13"/>
                <w:szCs w:val="13"/>
                <w:color w:val="auto"/>
              </w:rPr>
              <w:t>(6,439 )</w:t>
            </w:r>
          </w:p>
        </w:tc>
      </w:tr>
      <w:tr>
        <w:trPr>
          <w:trHeight w:val="20"/>
        </w:trPr>
        <w:tc>
          <w:tcPr>
            <w:tcW w:w="2840" w:type="dxa"/>
            <w:vAlign w:val="bottom"/>
            <w:shd w:val="clear" w:color="auto" w:fill="CFF0FC"/>
          </w:tcPr>
          <w:p>
            <w:pPr>
              <w:spacing w:after="0" w:line="20" w:lineRule="exact"/>
              <w:rPr>
                <w:sz w:val="1"/>
                <w:szCs w:val="1"/>
                <w:color w:val="auto"/>
              </w:rPr>
            </w:pPr>
          </w:p>
        </w:tc>
        <w:tc>
          <w:tcPr>
            <w:tcW w:w="920" w:type="dxa"/>
            <w:vAlign w:val="bottom"/>
            <w:shd w:val="clear" w:color="auto" w:fill="000000"/>
          </w:tcPr>
          <w:p>
            <w:pPr>
              <w:spacing w:after="0" w:line="20" w:lineRule="exact"/>
              <w:rPr>
                <w:sz w:val="1"/>
                <w:szCs w:val="1"/>
                <w:color w:val="auto"/>
              </w:rPr>
            </w:pPr>
          </w:p>
        </w:tc>
        <w:tc>
          <w:tcPr>
            <w:tcW w:w="280" w:type="dxa"/>
            <w:vAlign w:val="bottom"/>
            <w:shd w:val="clear" w:color="auto" w:fill="CFF0FC"/>
          </w:tcPr>
          <w:p>
            <w:pPr>
              <w:spacing w:after="0" w:line="20" w:lineRule="exact"/>
              <w:rPr>
                <w:sz w:val="1"/>
                <w:szCs w:val="1"/>
                <w:color w:val="auto"/>
              </w:rPr>
            </w:pPr>
          </w:p>
        </w:tc>
        <w:tc>
          <w:tcPr>
            <w:tcW w:w="300" w:type="dxa"/>
            <w:vAlign w:val="bottom"/>
            <w:shd w:val="clear" w:color="auto" w:fill="000000"/>
          </w:tcPr>
          <w:p>
            <w:pPr>
              <w:spacing w:after="0" w:line="20" w:lineRule="exact"/>
              <w:rPr>
                <w:sz w:val="1"/>
                <w:szCs w:val="1"/>
                <w:color w:val="auto"/>
              </w:rPr>
            </w:pPr>
          </w:p>
        </w:tc>
        <w:tc>
          <w:tcPr>
            <w:tcW w:w="640" w:type="dxa"/>
            <w:vAlign w:val="bottom"/>
            <w:shd w:val="clear" w:color="auto" w:fill="000000"/>
          </w:tcPr>
          <w:p>
            <w:pPr>
              <w:spacing w:after="0" w:line="20" w:lineRule="exact"/>
              <w:rPr>
                <w:sz w:val="1"/>
                <w:szCs w:val="1"/>
                <w:color w:val="auto"/>
              </w:rPr>
            </w:pPr>
          </w:p>
        </w:tc>
        <w:tc>
          <w:tcPr>
            <w:tcW w:w="240" w:type="dxa"/>
            <w:vAlign w:val="bottom"/>
            <w:shd w:val="clear" w:color="auto" w:fill="CFF0FC"/>
          </w:tcPr>
          <w:p>
            <w:pPr>
              <w:spacing w:after="0" w:line="20" w:lineRule="exact"/>
              <w:rPr>
                <w:sz w:val="1"/>
                <w:szCs w:val="1"/>
                <w:color w:val="auto"/>
              </w:rPr>
            </w:pPr>
          </w:p>
        </w:tc>
        <w:tc>
          <w:tcPr>
            <w:tcW w:w="1000" w:type="dxa"/>
            <w:vAlign w:val="bottom"/>
            <w:shd w:val="clear" w:color="auto" w:fill="000000"/>
          </w:tcPr>
          <w:p>
            <w:pPr>
              <w:spacing w:after="0" w:line="20" w:lineRule="exact"/>
              <w:rPr>
                <w:sz w:val="1"/>
                <w:szCs w:val="1"/>
                <w:color w:val="auto"/>
              </w:rPr>
            </w:pPr>
          </w:p>
        </w:tc>
        <w:tc>
          <w:tcPr>
            <w:tcW w:w="240" w:type="dxa"/>
            <w:vAlign w:val="bottom"/>
            <w:shd w:val="clear" w:color="auto" w:fill="CFF0FC"/>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700" w:type="dxa"/>
            <w:vAlign w:val="bottom"/>
            <w:shd w:val="clear" w:color="auto" w:fill="000000"/>
          </w:tcPr>
          <w:p>
            <w:pPr>
              <w:spacing w:after="0" w:line="20" w:lineRule="exact"/>
              <w:rPr>
                <w:sz w:val="1"/>
                <w:szCs w:val="1"/>
                <w:color w:val="auto"/>
              </w:rPr>
            </w:pPr>
          </w:p>
        </w:tc>
        <w:tc>
          <w:tcPr>
            <w:tcW w:w="260" w:type="dxa"/>
            <w:vAlign w:val="bottom"/>
            <w:shd w:val="clear" w:color="auto" w:fill="CFF0FC"/>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760" w:type="dxa"/>
            <w:vAlign w:val="bottom"/>
            <w:shd w:val="clear" w:color="auto" w:fill="000000"/>
          </w:tcPr>
          <w:p>
            <w:pPr>
              <w:spacing w:after="0" w:line="20" w:lineRule="exact"/>
              <w:rPr>
                <w:sz w:val="1"/>
                <w:szCs w:val="1"/>
                <w:color w:val="auto"/>
              </w:rPr>
            </w:pPr>
          </w:p>
        </w:tc>
        <w:tc>
          <w:tcPr>
            <w:tcW w:w="260" w:type="dxa"/>
            <w:vAlign w:val="bottom"/>
            <w:shd w:val="clear" w:color="auto" w:fill="CFF0FC"/>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880" w:type="dxa"/>
            <w:vAlign w:val="bottom"/>
            <w:shd w:val="clear" w:color="auto" w:fill="000000"/>
          </w:tcPr>
          <w:p>
            <w:pPr>
              <w:spacing w:after="0" w:line="20" w:lineRule="exact"/>
              <w:rPr>
                <w:sz w:val="1"/>
                <w:szCs w:val="1"/>
                <w:color w:val="auto"/>
              </w:rPr>
            </w:pPr>
          </w:p>
        </w:tc>
        <w:tc>
          <w:tcPr>
            <w:tcW w:w="240" w:type="dxa"/>
            <w:vAlign w:val="bottom"/>
            <w:shd w:val="clear" w:color="auto" w:fill="CFF0FC"/>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980" w:type="dxa"/>
            <w:vAlign w:val="bottom"/>
            <w:shd w:val="clear" w:color="auto" w:fill="000000"/>
          </w:tcPr>
          <w:p>
            <w:pPr>
              <w:spacing w:after="0" w:line="20" w:lineRule="exact"/>
              <w:rPr>
                <w:sz w:val="1"/>
                <w:szCs w:val="1"/>
                <w:color w:val="auto"/>
              </w:rPr>
            </w:pPr>
          </w:p>
        </w:tc>
        <w:tc>
          <w:tcPr>
            <w:tcW w:w="100" w:type="dxa"/>
            <w:vAlign w:val="bottom"/>
            <w:shd w:val="clear" w:color="auto" w:fill="CFF0FC"/>
          </w:tcPr>
          <w:p>
            <w:pPr>
              <w:spacing w:after="0" w:line="20" w:lineRule="exact"/>
              <w:rPr>
                <w:sz w:val="1"/>
                <w:szCs w:val="1"/>
                <w:color w:val="auto"/>
              </w:rPr>
            </w:pPr>
          </w:p>
        </w:tc>
      </w:tr>
      <w:tr>
        <w:trPr>
          <w:trHeight w:val="292"/>
        </w:trPr>
        <w:tc>
          <w:tcPr>
            <w:tcW w:w="2840" w:type="dxa"/>
            <w:vAlign w:val="bottom"/>
          </w:tcPr>
          <w:p>
            <w:pPr>
              <w:ind w:left="20"/>
              <w:spacing w:after="0"/>
              <w:rPr>
                <w:sz w:val="20"/>
                <w:szCs w:val="20"/>
                <w:color w:val="auto"/>
              </w:rPr>
            </w:pPr>
            <w:r>
              <w:rPr>
                <w:rFonts w:ascii="Arial" w:cs="Arial" w:eastAsia="Arial" w:hAnsi="Arial"/>
                <w:sz w:val="13"/>
                <w:szCs w:val="13"/>
                <w:color w:val="auto"/>
              </w:rPr>
              <w:t>Balance at March 31, 2021</w:t>
            </w:r>
          </w:p>
        </w:tc>
        <w:tc>
          <w:tcPr>
            <w:tcW w:w="920" w:type="dxa"/>
            <w:vAlign w:val="bottom"/>
          </w:tcPr>
          <w:p>
            <w:pPr>
              <w:jc w:val="right"/>
              <w:spacing w:after="0"/>
              <w:rPr>
                <w:sz w:val="20"/>
                <w:szCs w:val="20"/>
                <w:color w:val="auto"/>
              </w:rPr>
            </w:pPr>
            <w:r>
              <w:rPr>
                <w:rFonts w:ascii="Arial" w:cs="Arial" w:eastAsia="Arial" w:hAnsi="Arial"/>
                <w:sz w:val="13"/>
                <w:szCs w:val="13"/>
                <w:color w:val="auto"/>
              </w:rPr>
              <w:t>61,717</w:t>
            </w:r>
          </w:p>
        </w:tc>
        <w:tc>
          <w:tcPr>
            <w:tcW w:w="280" w:type="dxa"/>
            <w:vAlign w:val="bottom"/>
          </w:tcPr>
          <w:p>
            <w:pPr>
              <w:spacing w:after="0"/>
              <w:rPr>
                <w:sz w:val="24"/>
                <w:szCs w:val="24"/>
                <w:color w:val="auto"/>
              </w:rPr>
            </w:pPr>
          </w:p>
        </w:tc>
        <w:tc>
          <w:tcPr>
            <w:tcW w:w="300" w:type="dxa"/>
            <w:vAlign w:val="bottom"/>
          </w:tcPr>
          <w:p>
            <w:pPr>
              <w:jc w:val="right"/>
              <w:ind w:right="137"/>
              <w:spacing w:after="0"/>
              <w:rPr>
                <w:sz w:val="20"/>
                <w:szCs w:val="20"/>
                <w:color w:val="auto"/>
              </w:rPr>
            </w:pPr>
            <w:r>
              <w:rPr>
                <w:rFonts w:ascii="Arial" w:cs="Arial" w:eastAsia="Arial" w:hAnsi="Arial"/>
                <w:sz w:val="13"/>
                <w:szCs w:val="13"/>
                <w:color w:val="auto"/>
              </w:rPr>
              <w:t>$</w:t>
            </w:r>
          </w:p>
        </w:tc>
        <w:tc>
          <w:tcPr>
            <w:tcW w:w="640" w:type="dxa"/>
            <w:vAlign w:val="bottom"/>
          </w:tcPr>
          <w:p>
            <w:pPr>
              <w:jc w:val="right"/>
              <w:spacing w:after="0"/>
              <w:rPr>
                <w:sz w:val="20"/>
                <w:szCs w:val="20"/>
                <w:color w:val="auto"/>
              </w:rPr>
            </w:pPr>
            <w:r>
              <w:rPr>
                <w:rFonts w:ascii="Arial" w:cs="Arial" w:eastAsia="Arial" w:hAnsi="Arial"/>
                <w:sz w:val="13"/>
                <w:szCs w:val="13"/>
                <w:color w:val="auto"/>
              </w:rPr>
              <w:t>187,811</w:t>
            </w:r>
          </w:p>
        </w:tc>
        <w:tc>
          <w:tcPr>
            <w:tcW w:w="240" w:type="dxa"/>
            <w:vAlign w:val="bottom"/>
          </w:tcPr>
          <w:p>
            <w:pPr>
              <w:spacing w:after="0"/>
              <w:rPr>
                <w:sz w:val="24"/>
                <w:szCs w:val="24"/>
                <w:color w:val="auto"/>
              </w:rPr>
            </w:pPr>
          </w:p>
        </w:tc>
        <w:tc>
          <w:tcPr>
            <w:tcW w:w="1000" w:type="dxa"/>
            <w:vAlign w:val="bottom"/>
          </w:tcPr>
          <w:p>
            <w:pPr>
              <w:jc w:val="right"/>
              <w:spacing w:after="0"/>
              <w:rPr>
                <w:sz w:val="20"/>
                <w:szCs w:val="20"/>
                <w:color w:val="auto"/>
              </w:rPr>
            </w:pPr>
            <w:r>
              <w:rPr>
                <w:rFonts w:ascii="Arial" w:cs="Arial" w:eastAsia="Arial" w:hAnsi="Arial"/>
                <w:sz w:val="13"/>
                <w:szCs w:val="13"/>
                <w:color w:val="auto"/>
              </w:rPr>
              <w:t>29,150</w:t>
            </w:r>
          </w:p>
        </w:tc>
        <w:tc>
          <w:tcPr>
            <w:tcW w:w="240" w:type="dxa"/>
            <w:vAlign w:val="bottom"/>
          </w:tcPr>
          <w:p>
            <w:pPr>
              <w:spacing w:after="0"/>
              <w:rPr>
                <w:sz w:val="24"/>
                <w:szCs w:val="24"/>
                <w:color w:val="auto"/>
              </w:rPr>
            </w:pPr>
          </w:p>
        </w:tc>
        <w:tc>
          <w:tcPr>
            <w:tcW w:w="160" w:type="dxa"/>
            <w:vAlign w:val="bottom"/>
          </w:tcPr>
          <w:p>
            <w:pPr>
              <w:jc w:val="right"/>
              <w:ind w:right="48"/>
              <w:spacing w:after="0"/>
              <w:rPr>
                <w:sz w:val="20"/>
                <w:szCs w:val="20"/>
                <w:color w:val="auto"/>
              </w:rPr>
            </w:pPr>
            <w:r>
              <w:rPr>
                <w:rFonts w:ascii="Arial" w:cs="Arial" w:eastAsia="Arial" w:hAnsi="Arial"/>
                <w:sz w:val="10"/>
                <w:szCs w:val="10"/>
                <w:color w:val="auto"/>
                <w:w w:val="71"/>
              </w:rPr>
              <w:t>$</w:t>
            </w:r>
          </w:p>
        </w:tc>
        <w:tc>
          <w:tcPr>
            <w:tcW w:w="700" w:type="dxa"/>
            <w:vAlign w:val="bottom"/>
          </w:tcPr>
          <w:p>
            <w:pPr>
              <w:jc w:val="right"/>
              <w:spacing w:after="0"/>
              <w:rPr>
                <w:sz w:val="20"/>
                <w:szCs w:val="20"/>
                <w:color w:val="auto"/>
              </w:rPr>
            </w:pPr>
            <w:r>
              <w:rPr>
                <w:rFonts w:ascii="Arial" w:cs="Arial" w:eastAsia="Arial" w:hAnsi="Arial"/>
                <w:sz w:val="13"/>
                <w:szCs w:val="13"/>
                <w:color w:val="auto"/>
              </w:rPr>
              <w:t>—</w:t>
            </w:r>
          </w:p>
        </w:tc>
        <w:tc>
          <w:tcPr>
            <w:tcW w:w="260" w:type="dxa"/>
            <w:vAlign w:val="bottom"/>
          </w:tcPr>
          <w:p>
            <w:pPr>
              <w:spacing w:after="0"/>
              <w:rPr>
                <w:sz w:val="24"/>
                <w:szCs w:val="24"/>
                <w:color w:val="auto"/>
              </w:rPr>
            </w:pPr>
          </w:p>
        </w:tc>
        <w:tc>
          <w:tcPr>
            <w:tcW w:w="140" w:type="dxa"/>
            <w:vAlign w:val="bottom"/>
          </w:tcPr>
          <w:p>
            <w:pPr>
              <w:jc w:val="right"/>
              <w:ind w:right="28"/>
              <w:spacing w:after="0"/>
              <w:rPr>
                <w:sz w:val="20"/>
                <w:szCs w:val="20"/>
                <w:color w:val="auto"/>
              </w:rPr>
            </w:pPr>
            <w:r>
              <w:rPr>
                <w:rFonts w:ascii="Arial" w:cs="Arial" w:eastAsia="Arial" w:hAnsi="Arial"/>
                <w:sz w:val="10"/>
                <w:szCs w:val="10"/>
                <w:color w:val="auto"/>
                <w:w w:val="71"/>
              </w:rPr>
              <w:t>$</w:t>
            </w:r>
          </w:p>
        </w:tc>
        <w:tc>
          <w:tcPr>
            <w:tcW w:w="760" w:type="dxa"/>
            <w:vAlign w:val="bottom"/>
          </w:tcPr>
          <w:p>
            <w:pPr>
              <w:jc w:val="right"/>
              <w:spacing w:after="0"/>
              <w:rPr>
                <w:sz w:val="20"/>
                <w:szCs w:val="20"/>
                <w:color w:val="auto"/>
              </w:rPr>
            </w:pPr>
            <w:r>
              <w:rPr>
                <w:rFonts w:ascii="Arial" w:cs="Arial" w:eastAsia="Arial" w:hAnsi="Arial"/>
                <w:sz w:val="13"/>
                <w:szCs w:val="13"/>
                <w:color w:val="auto"/>
              </w:rPr>
              <w:t>41,999</w:t>
            </w:r>
          </w:p>
        </w:tc>
        <w:tc>
          <w:tcPr>
            <w:tcW w:w="260" w:type="dxa"/>
            <w:vAlign w:val="bottom"/>
          </w:tcPr>
          <w:p>
            <w:pPr>
              <w:spacing w:after="0"/>
              <w:rPr>
                <w:sz w:val="24"/>
                <w:szCs w:val="24"/>
                <w:color w:val="auto"/>
              </w:rPr>
            </w:pPr>
          </w:p>
        </w:tc>
        <w:tc>
          <w:tcPr>
            <w:tcW w:w="140" w:type="dxa"/>
            <w:vAlign w:val="bottom"/>
          </w:tcPr>
          <w:p>
            <w:pPr>
              <w:jc w:val="right"/>
              <w:ind w:right="28"/>
              <w:spacing w:after="0"/>
              <w:rPr>
                <w:sz w:val="20"/>
                <w:szCs w:val="20"/>
                <w:color w:val="auto"/>
              </w:rPr>
            </w:pPr>
            <w:r>
              <w:rPr>
                <w:rFonts w:ascii="Arial" w:cs="Arial" w:eastAsia="Arial" w:hAnsi="Arial"/>
                <w:sz w:val="10"/>
                <w:szCs w:val="10"/>
                <w:color w:val="auto"/>
                <w:w w:val="71"/>
              </w:rPr>
              <w:t>$</w:t>
            </w:r>
          </w:p>
        </w:tc>
        <w:tc>
          <w:tcPr>
            <w:tcW w:w="1120" w:type="dxa"/>
            <w:vAlign w:val="bottom"/>
            <w:gridSpan w:val="2"/>
          </w:tcPr>
          <w:p>
            <w:pPr>
              <w:jc w:val="right"/>
              <w:ind w:right="180"/>
              <w:spacing w:after="0"/>
              <w:rPr>
                <w:sz w:val="20"/>
                <w:szCs w:val="20"/>
                <w:color w:val="auto"/>
              </w:rPr>
            </w:pPr>
            <w:r>
              <w:rPr>
                <w:rFonts w:ascii="Arial" w:cs="Arial" w:eastAsia="Arial" w:hAnsi="Arial"/>
                <w:sz w:val="13"/>
                <w:szCs w:val="13"/>
                <w:color w:val="auto"/>
              </w:rPr>
              <w:t>(111,263 )</w:t>
            </w:r>
          </w:p>
        </w:tc>
        <w:tc>
          <w:tcPr>
            <w:tcW w:w="160" w:type="dxa"/>
            <w:vAlign w:val="bottom"/>
          </w:tcPr>
          <w:p>
            <w:pPr>
              <w:jc w:val="right"/>
              <w:ind w:right="17"/>
              <w:spacing w:after="0"/>
              <w:rPr>
                <w:sz w:val="20"/>
                <w:szCs w:val="20"/>
                <w:color w:val="auto"/>
              </w:rPr>
            </w:pPr>
            <w:r>
              <w:rPr>
                <w:rFonts w:ascii="Arial" w:cs="Arial" w:eastAsia="Arial" w:hAnsi="Arial"/>
                <w:sz w:val="13"/>
                <w:szCs w:val="13"/>
                <w:color w:val="auto"/>
                <w:w w:val="82"/>
              </w:rPr>
              <w:t>$</w:t>
            </w:r>
          </w:p>
        </w:tc>
        <w:tc>
          <w:tcPr>
            <w:tcW w:w="1080" w:type="dxa"/>
            <w:vAlign w:val="bottom"/>
            <w:gridSpan w:val="2"/>
          </w:tcPr>
          <w:p>
            <w:pPr>
              <w:jc w:val="right"/>
              <w:ind w:right="60"/>
              <w:spacing w:after="0"/>
              <w:rPr>
                <w:sz w:val="20"/>
                <w:szCs w:val="20"/>
                <w:color w:val="auto"/>
              </w:rPr>
            </w:pPr>
            <w:r>
              <w:rPr>
                <w:rFonts w:ascii="Arial" w:cs="Arial" w:eastAsia="Arial" w:hAnsi="Arial"/>
                <w:sz w:val="13"/>
                <w:szCs w:val="13"/>
                <w:color w:val="auto"/>
              </w:rPr>
              <w:t>(69,264 )</w:t>
            </w:r>
          </w:p>
        </w:tc>
      </w:tr>
      <w:tr>
        <w:trPr>
          <w:trHeight w:val="20"/>
        </w:trPr>
        <w:tc>
          <w:tcPr>
            <w:tcW w:w="2840" w:type="dxa"/>
            <w:vAlign w:val="bottom"/>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101"/>
        </w:trPr>
        <w:tc>
          <w:tcPr>
            <w:tcW w:w="2840" w:type="dxa"/>
            <w:vAlign w:val="bottom"/>
            <w:shd w:val="clear" w:color="auto" w:fill="CFF0FC"/>
          </w:tcPr>
          <w:p>
            <w:pPr>
              <w:ind w:left="20"/>
              <w:spacing w:after="0" w:line="101" w:lineRule="exact"/>
              <w:rPr>
                <w:sz w:val="20"/>
                <w:szCs w:val="20"/>
                <w:color w:val="auto"/>
              </w:rPr>
            </w:pPr>
            <w:r>
              <w:rPr>
                <w:rFonts w:ascii="Arial" w:cs="Arial" w:eastAsia="Arial" w:hAnsi="Arial"/>
                <w:sz w:val="10"/>
                <w:szCs w:val="10"/>
                <w:color w:val="auto"/>
              </w:rPr>
              <w:t>Issuance of redeemable convertible preferred stock,</w:t>
            </w:r>
          </w:p>
        </w:tc>
        <w:tc>
          <w:tcPr>
            <w:tcW w:w="920" w:type="dxa"/>
            <w:vAlign w:val="bottom"/>
            <w:shd w:val="clear" w:color="auto" w:fill="CFF0FC"/>
          </w:tcPr>
          <w:p>
            <w:pPr>
              <w:spacing w:after="0"/>
              <w:rPr>
                <w:sz w:val="8"/>
                <w:szCs w:val="8"/>
                <w:color w:val="auto"/>
              </w:rPr>
            </w:pPr>
          </w:p>
        </w:tc>
        <w:tc>
          <w:tcPr>
            <w:tcW w:w="280" w:type="dxa"/>
            <w:vAlign w:val="bottom"/>
            <w:shd w:val="clear" w:color="auto" w:fill="CFF0FC"/>
          </w:tcPr>
          <w:p>
            <w:pPr>
              <w:spacing w:after="0"/>
              <w:rPr>
                <w:sz w:val="8"/>
                <w:szCs w:val="8"/>
                <w:color w:val="auto"/>
              </w:rPr>
            </w:pPr>
          </w:p>
        </w:tc>
        <w:tc>
          <w:tcPr>
            <w:tcW w:w="300" w:type="dxa"/>
            <w:vAlign w:val="bottom"/>
            <w:shd w:val="clear" w:color="auto" w:fill="CFF0FC"/>
          </w:tcPr>
          <w:p>
            <w:pPr>
              <w:spacing w:after="0"/>
              <w:rPr>
                <w:sz w:val="8"/>
                <w:szCs w:val="8"/>
                <w:color w:val="auto"/>
              </w:rPr>
            </w:pPr>
          </w:p>
        </w:tc>
        <w:tc>
          <w:tcPr>
            <w:tcW w:w="640" w:type="dxa"/>
            <w:vAlign w:val="bottom"/>
            <w:shd w:val="clear" w:color="auto" w:fill="CFF0FC"/>
          </w:tcPr>
          <w:p>
            <w:pPr>
              <w:spacing w:after="0"/>
              <w:rPr>
                <w:sz w:val="8"/>
                <w:szCs w:val="8"/>
                <w:color w:val="auto"/>
              </w:rPr>
            </w:pPr>
          </w:p>
        </w:tc>
        <w:tc>
          <w:tcPr>
            <w:tcW w:w="240" w:type="dxa"/>
            <w:vAlign w:val="bottom"/>
            <w:shd w:val="clear" w:color="auto" w:fill="CFF0FC"/>
          </w:tcPr>
          <w:p>
            <w:pPr>
              <w:spacing w:after="0"/>
              <w:rPr>
                <w:sz w:val="8"/>
                <w:szCs w:val="8"/>
                <w:color w:val="auto"/>
              </w:rPr>
            </w:pPr>
          </w:p>
        </w:tc>
        <w:tc>
          <w:tcPr>
            <w:tcW w:w="1000" w:type="dxa"/>
            <w:vAlign w:val="bottom"/>
            <w:shd w:val="clear" w:color="auto" w:fill="CFF0FC"/>
          </w:tcPr>
          <w:p>
            <w:pPr>
              <w:spacing w:after="0"/>
              <w:rPr>
                <w:sz w:val="8"/>
                <w:szCs w:val="8"/>
                <w:color w:val="auto"/>
              </w:rPr>
            </w:pPr>
          </w:p>
        </w:tc>
        <w:tc>
          <w:tcPr>
            <w:tcW w:w="240" w:type="dxa"/>
            <w:vAlign w:val="bottom"/>
            <w:shd w:val="clear" w:color="auto" w:fill="CFF0FC"/>
          </w:tcPr>
          <w:p>
            <w:pPr>
              <w:spacing w:after="0"/>
              <w:rPr>
                <w:sz w:val="8"/>
                <w:szCs w:val="8"/>
                <w:color w:val="auto"/>
              </w:rPr>
            </w:pPr>
          </w:p>
        </w:tc>
        <w:tc>
          <w:tcPr>
            <w:tcW w:w="160" w:type="dxa"/>
            <w:vAlign w:val="bottom"/>
            <w:shd w:val="clear" w:color="auto" w:fill="CFF0FC"/>
          </w:tcPr>
          <w:p>
            <w:pPr>
              <w:spacing w:after="0"/>
              <w:rPr>
                <w:sz w:val="8"/>
                <w:szCs w:val="8"/>
                <w:color w:val="auto"/>
              </w:rPr>
            </w:pPr>
          </w:p>
        </w:tc>
        <w:tc>
          <w:tcPr>
            <w:tcW w:w="700" w:type="dxa"/>
            <w:vAlign w:val="bottom"/>
            <w:shd w:val="clear" w:color="auto" w:fill="CFF0FC"/>
          </w:tcPr>
          <w:p>
            <w:pPr>
              <w:spacing w:after="0"/>
              <w:rPr>
                <w:sz w:val="8"/>
                <w:szCs w:val="8"/>
                <w:color w:val="auto"/>
              </w:rPr>
            </w:pPr>
          </w:p>
        </w:tc>
        <w:tc>
          <w:tcPr>
            <w:tcW w:w="260" w:type="dxa"/>
            <w:vAlign w:val="bottom"/>
            <w:shd w:val="clear" w:color="auto" w:fill="CFF0FC"/>
          </w:tcPr>
          <w:p>
            <w:pPr>
              <w:spacing w:after="0"/>
              <w:rPr>
                <w:sz w:val="8"/>
                <w:szCs w:val="8"/>
                <w:color w:val="auto"/>
              </w:rPr>
            </w:pPr>
          </w:p>
        </w:tc>
        <w:tc>
          <w:tcPr>
            <w:tcW w:w="140" w:type="dxa"/>
            <w:vAlign w:val="bottom"/>
            <w:shd w:val="clear" w:color="auto" w:fill="CFF0FC"/>
          </w:tcPr>
          <w:p>
            <w:pPr>
              <w:spacing w:after="0"/>
              <w:rPr>
                <w:sz w:val="8"/>
                <w:szCs w:val="8"/>
                <w:color w:val="auto"/>
              </w:rPr>
            </w:pPr>
          </w:p>
        </w:tc>
        <w:tc>
          <w:tcPr>
            <w:tcW w:w="760" w:type="dxa"/>
            <w:vAlign w:val="bottom"/>
            <w:shd w:val="clear" w:color="auto" w:fill="CFF0FC"/>
          </w:tcPr>
          <w:p>
            <w:pPr>
              <w:spacing w:after="0"/>
              <w:rPr>
                <w:sz w:val="8"/>
                <w:szCs w:val="8"/>
                <w:color w:val="auto"/>
              </w:rPr>
            </w:pPr>
          </w:p>
        </w:tc>
        <w:tc>
          <w:tcPr>
            <w:tcW w:w="260" w:type="dxa"/>
            <w:vAlign w:val="bottom"/>
            <w:shd w:val="clear" w:color="auto" w:fill="CFF0FC"/>
          </w:tcPr>
          <w:p>
            <w:pPr>
              <w:spacing w:after="0"/>
              <w:rPr>
                <w:sz w:val="8"/>
                <w:szCs w:val="8"/>
                <w:color w:val="auto"/>
              </w:rPr>
            </w:pPr>
          </w:p>
        </w:tc>
        <w:tc>
          <w:tcPr>
            <w:tcW w:w="140" w:type="dxa"/>
            <w:vAlign w:val="bottom"/>
            <w:shd w:val="clear" w:color="auto" w:fill="CFF0FC"/>
          </w:tcPr>
          <w:p>
            <w:pPr>
              <w:spacing w:after="0"/>
              <w:rPr>
                <w:sz w:val="8"/>
                <w:szCs w:val="8"/>
                <w:color w:val="auto"/>
              </w:rPr>
            </w:pPr>
          </w:p>
        </w:tc>
        <w:tc>
          <w:tcPr>
            <w:tcW w:w="880" w:type="dxa"/>
            <w:vAlign w:val="bottom"/>
            <w:shd w:val="clear" w:color="auto" w:fill="CFF0FC"/>
          </w:tcPr>
          <w:p>
            <w:pPr>
              <w:spacing w:after="0"/>
              <w:rPr>
                <w:sz w:val="8"/>
                <w:szCs w:val="8"/>
                <w:color w:val="auto"/>
              </w:rPr>
            </w:pPr>
          </w:p>
        </w:tc>
        <w:tc>
          <w:tcPr>
            <w:tcW w:w="240" w:type="dxa"/>
            <w:vAlign w:val="bottom"/>
            <w:shd w:val="clear" w:color="auto" w:fill="CFF0FC"/>
          </w:tcPr>
          <w:p>
            <w:pPr>
              <w:spacing w:after="0"/>
              <w:rPr>
                <w:sz w:val="8"/>
                <w:szCs w:val="8"/>
                <w:color w:val="auto"/>
              </w:rPr>
            </w:pPr>
          </w:p>
        </w:tc>
        <w:tc>
          <w:tcPr>
            <w:tcW w:w="160" w:type="dxa"/>
            <w:vAlign w:val="bottom"/>
            <w:shd w:val="clear" w:color="auto" w:fill="CFF0FC"/>
          </w:tcPr>
          <w:p>
            <w:pPr>
              <w:spacing w:after="0"/>
              <w:rPr>
                <w:sz w:val="8"/>
                <w:szCs w:val="8"/>
                <w:color w:val="auto"/>
              </w:rPr>
            </w:pPr>
          </w:p>
        </w:tc>
        <w:tc>
          <w:tcPr>
            <w:tcW w:w="980" w:type="dxa"/>
            <w:vAlign w:val="bottom"/>
            <w:shd w:val="clear" w:color="auto" w:fill="CFF0FC"/>
          </w:tcPr>
          <w:p>
            <w:pPr>
              <w:spacing w:after="0"/>
              <w:rPr>
                <w:sz w:val="8"/>
                <w:szCs w:val="8"/>
                <w:color w:val="auto"/>
              </w:rPr>
            </w:pPr>
          </w:p>
        </w:tc>
        <w:tc>
          <w:tcPr>
            <w:tcW w:w="100" w:type="dxa"/>
            <w:vAlign w:val="bottom"/>
            <w:shd w:val="clear" w:color="auto" w:fill="CFF0FC"/>
          </w:tcPr>
          <w:p>
            <w:pPr>
              <w:spacing w:after="0"/>
              <w:rPr>
                <w:sz w:val="8"/>
                <w:szCs w:val="8"/>
                <w:color w:val="auto"/>
              </w:rPr>
            </w:pPr>
          </w:p>
        </w:tc>
      </w:tr>
      <w:tr>
        <w:trPr>
          <w:trHeight w:val="176"/>
        </w:trPr>
        <w:tc>
          <w:tcPr>
            <w:tcW w:w="2840" w:type="dxa"/>
            <w:vAlign w:val="bottom"/>
            <w:shd w:val="clear" w:color="auto" w:fill="CFF0FC"/>
          </w:tcPr>
          <w:p>
            <w:pPr>
              <w:ind w:left="20"/>
              <w:spacing w:after="0"/>
              <w:rPr>
                <w:sz w:val="20"/>
                <w:szCs w:val="20"/>
                <w:color w:val="auto"/>
              </w:rPr>
            </w:pPr>
            <w:r>
              <w:rPr>
                <w:rFonts w:ascii="Arial" w:cs="Arial" w:eastAsia="Arial" w:hAnsi="Arial"/>
                <w:sz w:val="13"/>
                <w:szCs w:val="13"/>
                <w:color w:val="auto"/>
              </w:rPr>
              <w:t>net of issuance costs of $198</w:t>
            </w:r>
          </w:p>
        </w:tc>
        <w:tc>
          <w:tcPr>
            <w:tcW w:w="920" w:type="dxa"/>
            <w:vAlign w:val="bottom"/>
            <w:shd w:val="clear" w:color="auto" w:fill="CFF0FC"/>
          </w:tcPr>
          <w:p>
            <w:pPr>
              <w:jc w:val="right"/>
              <w:spacing w:after="0"/>
              <w:rPr>
                <w:sz w:val="20"/>
                <w:szCs w:val="20"/>
                <w:color w:val="auto"/>
              </w:rPr>
            </w:pPr>
            <w:r>
              <w:rPr>
                <w:rFonts w:ascii="Arial" w:cs="Arial" w:eastAsia="Arial" w:hAnsi="Arial"/>
                <w:sz w:val="13"/>
                <w:szCs w:val="13"/>
                <w:color w:val="auto"/>
              </w:rPr>
              <w:t>5,419</w:t>
            </w:r>
          </w:p>
        </w:tc>
        <w:tc>
          <w:tcPr>
            <w:tcW w:w="280" w:type="dxa"/>
            <w:vAlign w:val="bottom"/>
            <w:shd w:val="clear" w:color="auto" w:fill="CFF0FC"/>
          </w:tcPr>
          <w:p>
            <w:pPr>
              <w:spacing w:after="0"/>
              <w:rPr>
                <w:sz w:val="15"/>
                <w:szCs w:val="15"/>
                <w:color w:val="auto"/>
              </w:rPr>
            </w:pPr>
          </w:p>
        </w:tc>
        <w:tc>
          <w:tcPr>
            <w:tcW w:w="300" w:type="dxa"/>
            <w:vAlign w:val="bottom"/>
            <w:shd w:val="clear" w:color="auto" w:fill="CFF0FC"/>
          </w:tcPr>
          <w:p>
            <w:pPr>
              <w:spacing w:after="0"/>
              <w:rPr>
                <w:sz w:val="15"/>
                <w:szCs w:val="15"/>
                <w:color w:val="auto"/>
              </w:rPr>
            </w:pPr>
          </w:p>
        </w:tc>
        <w:tc>
          <w:tcPr>
            <w:tcW w:w="640" w:type="dxa"/>
            <w:vAlign w:val="bottom"/>
            <w:shd w:val="clear" w:color="auto" w:fill="CFF0FC"/>
          </w:tcPr>
          <w:p>
            <w:pPr>
              <w:jc w:val="right"/>
              <w:spacing w:after="0"/>
              <w:rPr>
                <w:sz w:val="20"/>
                <w:szCs w:val="20"/>
                <w:color w:val="auto"/>
              </w:rPr>
            </w:pPr>
            <w:r>
              <w:rPr>
                <w:rFonts w:ascii="Arial" w:cs="Arial" w:eastAsia="Arial" w:hAnsi="Arial"/>
                <w:sz w:val="13"/>
                <w:szCs w:val="13"/>
                <w:color w:val="auto"/>
              </w:rPr>
              <w:t>173,302</w:t>
            </w:r>
          </w:p>
        </w:tc>
        <w:tc>
          <w:tcPr>
            <w:tcW w:w="240" w:type="dxa"/>
            <w:vAlign w:val="bottom"/>
            <w:shd w:val="clear" w:color="auto" w:fill="CFF0FC"/>
          </w:tcPr>
          <w:p>
            <w:pPr>
              <w:spacing w:after="0"/>
              <w:rPr>
                <w:sz w:val="15"/>
                <w:szCs w:val="15"/>
                <w:color w:val="auto"/>
              </w:rPr>
            </w:pPr>
          </w:p>
        </w:tc>
        <w:tc>
          <w:tcPr>
            <w:tcW w:w="1000" w:type="dxa"/>
            <w:vAlign w:val="bottom"/>
            <w:shd w:val="clear" w:color="auto" w:fill="CFF0FC"/>
          </w:tcPr>
          <w:p>
            <w:pPr>
              <w:jc w:val="right"/>
              <w:spacing w:after="0"/>
              <w:rPr>
                <w:sz w:val="20"/>
                <w:szCs w:val="20"/>
                <w:color w:val="auto"/>
              </w:rPr>
            </w:pPr>
            <w:r>
              <w:rPr>
                <w:rFonts w:ascii="Arial" w:cs="Arial" w:eastAsia="Arial" w:hAnsi="Arial"/>
                <w:sz w:val="13"/>
                <w:szCs w:val="13"/>
                <w:color w:val="auto"/>
              </w:rPr>
              <w:t>—</w:t>
            </w:r>
          </w:p>
        </w:tc>
        <w:tc>
          <w:tcPr>
            <w:tcW w:w="240" w:type="dxa"/>
            <w:vAlign w:val="bottom"/>
            <w:shd w:val="clear" w:color="auto" w:fill="CFF0FC"/>
          </w:tcPr>
          <w:p>
            <w:pPr>
              <w:spacing w:after="0"/>
              <w:rPr>
                <w:sz w:val="15"/>
                <w:szCs w:val="15"/>
                <w:color w:val="auto"/>
              </w:rPr>
            </w:pPr>
          </w:p>
        </w:tc>
        <w:tc>
          <w:tcPr>
            <w:tcW w:w="160" w:type="dxa"/>
            <w:vAlign w:val="bottom"/>
            <w:shd w:val="clear" w:color="auto" w:fill="CFF0FC"/>
          </w:tcPr>
          <w:p>
            <w:pPr>
              <w:spacing w:after="0"/>
              <w:rPr>
                <w:sz w:val="15"/>
                <w:szCs w:val="15"/>
                <w:color w:val="auto"/>
              </w:rPr>
            </w:pPr>
          </w:p>
        </w:tc>
        <w:tc>
          <w:tcPr>
            <w:tcW w:w="700" w:type="dxa"/>
            <w:vAlign w:val="bottom"/>
            <w:shd w:val="clear" w:color="auto" w:fill="CFF0FC"/>
          </w:tcPr>
          <w:p>
            <w:pPr>
              <w:jc w:val="right"/>
              <w:spacing w:after="0"/>
              <w:rPr>
                <w:sz w:val="20"/>
                <w:szCs w:val="20"/>
                <w:color w:val="auto"/>
              </w:rPr>
            </w:pPr>
            <w:r>
              <w:rPr>
                <w:rFonts w:ascii="Arial" w:cs="Arial" w:eastAsia="Arial" w:hAnsi="Arial"/>
                <w:sz w:val="13"/>
                <w:szCs w:val="13"/>
                <w:color w:val="auto"/>
              </w:rPr>
              <w:t>—</w:t>
            </w:r>
          </w:p>
        </w:tc>
        <w:tc>
          <w:tcPr>
            <w:tcW w:w="260" w:type="dxa"/>
            <w:vAlign w:val="bottom"/>
            <w:shd w:val="clear" w:color="auto" w:fill="CFF0FC"/>
          </w:tcPr>
          <w:p>
            <w:pPr>
              <w:spacing w:after="0"/>
              <w:rPr>
                <w:sz w:val="15"/>
                <w:szCs w:val="15"/>
                <w:color w:val="auto"/>
              </w:rPr>
            </w:pPr>
          </w:p>
        </w:tc>
        <w:tc>
          <w:tcPr>
            <w:tcW w:w="140" w:type="dxa"/>
            <w:vAlign w:val="bottom"/>
            <w:shd w:val="clear" w:color="auto" w:fill="CFF0FC"/>
          </w:tcPr>
          <w:p>
            <w:pPr>
              <w:spacing w:after="0"/>
              <w:rPr>
                <w:sz w:val="15"/>
                <w:szCs w:val="15"/>
                <w:color w:val="auto"/>
              </w:rPr>
            </w:pPr>
          </w:p>
        </w:tc>
        <w:tc>
          <w:tcPr>
            <w:tcW w:w="760" w:type="dxa"/>
            <w:vAlign w:val="bottom"/>
            <w:shd w:val="clear" w:color="auto" w:fill="CFF0FC"/>
          </w:tcPr>
          <w:p>
            <w:pPr>
              <w:jc w:val="right"/>
              <w:spacing w:after="0"/>
              <w:rPr>
                <w:sz w:val="20"/>
                <w:szCs w:val="20"/>
                <w:color w:val="auto"/>
              </w:rPr>
            </w:pPr>
            <w:r>
              <w:rPr>
                <w:rFonts w:ascii="Arial" w:cs="Arial" w:eastAsia="Arial" w:hAnsi="Arial"/>
                <w:sz w:val="13"/>
                <w:szCs w:val="13"/>
                <w:color w:val="auto"/>
              </w:rPr>
              <w:t>—</w:t>
            </w:r>
          </w:p>
        </w:tc>
        <w:tc>
          <w:tcPr>
            <w:tcW w:w="260" w:type="dxa"/>
            <w:vAlign w:val="bottom"/>
            <w:shd w:val="clear" w:color="auto" w:fill="CFF0FC"/>
          </w:tcPr>
          <w:p>
            <w:pPr>
              <w:spacing w:after="0"/>
              <w:rPr>
                <w:sz w:val="15"/>
                <w:szCs w:val="15"/>
                <w:color w:val="auto"/>
              </w:rPr>
            </w:pPr>
          </w:p>
        </w:tc>
        <w:tc>
          <w:tcPr>
            <w:tcW w:w="140" w:type="dxa"/>
            <w:vAlign w:val="bottom"/>
            <w:shd w:val="clear" w:color="auto" w:fill="CFF0FC"/>
          </w:tcPr>
          <w:p>
            <w:pPr>
              <w:spacing w:after="0"/>
              <w:rPr>
                <w:sz w:val="15"/>
                <w:szCs w:val="15"/>
                <w:color w:val="auto"/>
              </w:rPr>
            </w:pPr>
          </w:p>
        </w:tc>
        <w:tc>
          <w:tcPr>
            <w:tcW w:w="1120" w:type="dxa"/>
            <w:vAlign w:val="bottom"/>
            <w:gridSpan w:val="2"/>
            <w:shd w:val="clear" w:color="auto" w:fill="CFF0FC"/>
          </w:tcPr>
          <w:p>
            <w:pPr>
              <w:jc w:val="right"/>
              <w:ind w:right="260"/>
              <w:spacing w:after="0"/>
              <w:rPr>
                <w:sz w:val="20"/>
                <w:szCs w:val="20"/>
                <w:color w:val="auto"/>
              </w:rPr>
            </w:pPr>
            <w:r>
              <w:rPr>
                <w:rFonts w:ascii="Arial" w:cs="Arial" w:eastAsia="Arial" w:hAnsi="Arial"/>
                <w:sz w:val="13"/>
                <w:szCs w:val="13"/>
                <w:color w:val="auto"/>
              </w:rPr>
              <w:t>—</w:t>
            </w:r>
          </w:p>
        </w:tc>
        <w:tc>
          <w:tcPr>
            <w:tcW w:w="160" w:type="dxa"/>
            <w:vAlign w:val="bottom"/>
            <w:shd w:val="clear" w:color="auto" w:fill="CFF0FC"/>
          </w:tcPr>
          <w:p>
            <w:pPr>
              <w:spacing w:after="0"/>
              <w:rPr>
                <w:sz w:val="15"/>
                <w:szCs w:val="15"/>
                <w:color w:val="auto"/>
              </w:rPr>
            </w:pPr>
          </w:p>
        </w:tc>
        <w:tc>
          <w:tcPr>
            <w:tcW w:w="1080" w:type="dxa"/>
            <w:vAlign w:val="bottom"/>
            <w:gridSpan w:val="2"/>
            <w:shd w:val="clear" w:color="auto" w:fill="CFF0FC"/>
          </w:tcPr>
          <w:p>
            <w:pPr>
              <w:jc w:val="right"/>
              <w:ind w:right="120"/>
              <w:spacing w:after="0"/>
              <w:rPr>
                <w:sz w:val="20"/>
                <w:szCs w:val="20"/>
                <w:color w:val="auto"/>
              </w:rPr>
            </w:pPr>
            <w:r>
              <w:rPr>
                <w:rFonts w:ascii="Arial" w:cs="Arial" w:eastAsia="Arial" w:hAnsi="Arial"/>
                <w:sz w:val="13"/>
                <w:szCs w:val="13"/>
                <w:color w:val="auto"/>
              </w:rPr>
              <w:t>—</w:t>
            </w:r>
          </w:p>
        </w:tc>
      </w:tr>
      <w:tr>
        <w:trPr>
          <w:trHeight w:val="160"/>
        </w:trPr>
        <w:tc>
          <w:tcPr>
            <w:tcW w:w="2840" w:type="dxa"/>
            <w:vAlign w:val="bottom"/>
          </w:tcPr>
          <w:p>
            <w:pPr>
              <w:ind w:left="20"/>
              <w:spacing w:after="0"/>
              <w:rPr>
                <w:sz w:val="20"/>
                <w:szCs w:val="20"/>
                <w:color w:val="auto"/>
              </w:rPr>
            </w:pPr>
            <w:r>
              <w:rPr>
                <w:rFonts w:ascii="Arial" w:cs="Arial" w:eastAsia="Arial" w:hAnsi="Arial"/>
                <w:sz w:val="13"/>
                <w:szCs w:val="13"/>
                <w:color w:val="auto"/>
              </w:rPr>
              <w:t>Stock-based compensation expense</w:t>
            </w:r>
          </w:p>
        </w:tc>
        <w:tc>
          <w:tcPr>
            <w:tcW w:w="1200" w:type="dxa"/>
            <w:vAlign w:val="bottom"/>
            <w:gridSpan w:val="2"/>
          </w:tcPr>
          <w:p>
            <w:pPr>
              <w:jc w:val="right"/>
              <w:ind w:right="280"/>
              <w:spacing w:after="0"/>
              <w:rPr>
                <w:sz w:val="20"/>
                <w:szCs w:val="20"/>
                <w:color w:val="auto"/>
              </w:rPr>
            </w:pPr>
            <w:r>
              <w:rPr>
                <w:rFonts w:ascii="Arial" w:cs="Arial" w:eastAsia="Arial" w:hAnsi="Arial"/>
                <w:sz w:val="13"/>
                <w:szCs w:val="13"/>
                <w:color w:val="auto"/>
              </w:rPr>
              <w:t>—</w:t>
            </w:r>
          </w:p>
        </w:tc>
        <w:tc>
          <w:tcPr>
            <w:tcW w:w="300" w:type="dxa"/>
            <w:vAlign w:val="bottom"/>
          </w:tcPr>
          <w:p>
            <w:pPr>
              <w:spacing w:after="0"/>
              <w:rPr>
                <w:sz w:val="13"/>
                <w:szCs w:val="13"/>
                <w:color w:val="auto"/>
              </w:rPr>
            </w:pPr>
          </w:p>
        </w:tc>
        <w:tc>
          <w:tcPr>
            <w:tcW w:w="880" w:type="dxa"/>
            <w:vAlign w:val="bottom"/>
            <w:gridSpan w:val="2"/>
          </w:tcPr>
          <w:p>
            <w:pPr>
              <w:jc w:val="right"/>
              <w:ind w:right="240"/>
              <w:spacing w:after="0"/>
              <w:rPr>
                <w:sz w:val="20"/>
                <w:szCs w:val="20"/>
                <w:color w:val="auto"/>
              </w:rPr>
            </w:pPr>
            <w:r>
              <w:rPr>
                <w:rFonts w:ascii="Arial" w:cs="Arial" w:eastAsia="Arial" w:hAnsi="Arial"/>
                <w:sz w:val="13"/>
                <w:szCs w:val="13"/>
                <w:color w:val="auto"/>
              </w:rPr>
              <w:t>—</w:t>
            </w:r>
          </w:p>
        </w:tc>
        <w:tc>
          <w:tcPr>
            <w:tcW w:w="1000" w:type="dxa"/>
            <w:vAlign w:val="bottom"/>
          </w:tcPr>
          <w:p>
            <w:pPr>
              <w:jc w:val="right"/>
              <w:spacing w:after="0"/>
              <w:rPr>
                <w:sz w:val="20"/>
                <w:szCs w:val="20"/>
                <w:color w:val="auto"/>
              </w:rPr>
            </w:pPr>
            <w:r>
              <w:rPr>
                <w:rFonts w:ascii="Arial" w:cs="Arial" w:eastAsia="Arial" w:hAnsi="Arial"/>
                <w:sz w:val="13"/>
                <w:szCs w:val="13"/>
                <w:color w:val="auto"/>
              </w:rPr>
              <w:t>—</w:t>
            </w:r>
          </w:p>
        </w:tc>
        <w:tc>
          <w:tcPr>
            <w:tcW w:w="24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700" w:type="dxa"/>
            <w:vAlign w:val="bottom"/>
          </w:tcPr>
          <w:p>
            <w:pPr>
              <w:jc w:val="right"/>
              <w:spacing w:after="0"/>
              <w:rPr>
                <w:sz w:val="20"/>
                <w:szCs w:val="20"/>
                <w:color w:val="auto"/>
              </w:rPr>
            </w:pPr>
            <w:r>
              <w:rPr>
                <w:rFonts w:ascii="Arial" w:cs="Arial" w:eastAsia="Arial" w:hAnsi="Arial"/>
                <w:sz w:val="13"/>
                <w:szCs w:val="13"/>
                <w:color w:val="auto"/>
              </w:rPr>
              <w:t>—</w:t>
            </w:r>
          </w:p>
        </w:tc>
        <w:tc>
          <w:tcPr>
            <w:tcW w:w="26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760" w:type="dxa"/>
            <w:vAlign w:val="bottom"/>
          </w:tcPr>
          <w:p>
            <w:pPr>
              <w:jc w:val="right"/>
              <w:spacing w:after="0"/>
              <w:rPr>
                <w:sz w:val="20"/>
                <w:szCs w:val="20"/>
                <w:color w:val="auto"/>
              </w:rPr>
            </w:pPr>
            <w:r>
              <w:rPr>
                <w:rFonts w:ascii="Arial" w:cs="Arial" w:eastAsia="Arial" w:hAnsi="Arial"/>
                <w:sz w:val="13"/>
                <w:szCs w:val="13"/>
                <w:color w:val="auto"/>
              </w:rPr>
              <w:t>3,085</w:t>
            </w:r>
          </w:p>
        </w:tc>
        <w:tc>
          <w:tcPr>
            <w:tcW w:w="26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120" w:type="dxa"/>
            <w:vAlign w:val="bottom"/>
            <w:gridSpan w:val="2"/>
          </w:tcPr>
          <w:p>
            <w:pPr>
              <w:jc w:val="right"/>
              <w:ind w:right="260"/>
              <w:spacing w:after="0"/>
              <w:rPr>
                <w:sz w:val="20"/>
                <w:szCs w:val="20"/>
                <w:color w:val="auto"/>
              </w:rPr>
            </w:pPr>
            <w:r>
              <w:rPr>
                <w:rFonts w:ascii="Arial" w:cs="Arial" w:eastAsia="Arial" w:hAnsi="Arial"/>
                <w:sz w:val="13"/>
                <w:szCs w:val="13"/>
                <w:color w:val="auto"/>
              </w:rPr>
              <w:t>—</w:t>
            </w:r>
          </w:p>
        </w:tc>
        <w:tc>
          <w:tcPr>
            <w:tcW w:w="160" w:type="dxa"/>
            <w:vAlign w:val="bottom"/>
          </w:tcPr>
          <w:p>
            <w:pPr>
              <w:spacing w:after="0"/>
              <w:rPr>
                <w:sz w:val="13"/>
                <w:szCs w:val="13"/>
                <w:color w:val="auto"/>
              </w:rPr>
            </w:pPr>
          </w:p>
        </w:tc>
        <w:tc>
          <w:tcPr>
            <w:tcW w:w="980" w:type="dxa"/>
            <w:vAlign w:val="bottom"/>
          </w:tcPr>
          <w:p>
            <w:pPr>
              <w:jc w:val="right"/>
              <w:spacing w:after="0"/>
              <w:rPr>
                <w:sz w:val="20"/>
                <w:szCs w:val="20"/>
                <w:color w:val="auto"/>
              </w:rPr>
            </w:pPr>
            <w:r>
              <w:rPr>
                <w:rFonts w:ascii="Arial" w:cs="Arial" w:eastAsia="Arial" w:hAnsi="Arial"/>
                <w:sz w:val="13"/>
                <w:szCs w:val="13"/>
                <w:color w:val="auto"/>
              </w:rPr>
              <w:t>3,085</w:t>
            </w:r>
          </w:p>
        </w:tc>
        <w:tc>
          <w:tcPr>
            <w:tcW w:w="100" w:type="dxa"/>
            <w:vAlign w:val="bottom"/>
          </w:tcPr>
          <w:p>
            <w:pPr>
              <w:spacing w:after="0"/>
              <w:rPr>
                <w:sz w:val="13"/>
                <w:szCs w:val="13"/>
                <w:color w:val="auto"/>
              </w:rPr>
            </w:pPr>
          </w:p>
        </w:tc>
      </w:tr>
      <w:tr>
        <w:trPr>
          <w:trHeight w:val="164"/>
        </w:trPr>
        <w:tc>
          <w:tcPr>
            <w:tcW w:w="2840" w:type="dxa"/>
            <w:vAlign w:val="bottom"/>
            <w:shd w:val="clear" w:color="auto" w:fill="CFF0FC"/>
          </w:tcPr>
          <w:p>
            <w:pPr>
              <w:ind w:left="20"/>
              <w:spacing w:after="0"/>
              <w:rPr>
                <w:sz w:val="20"/>
                <w:szCs w:val="20"/>
                <w:color w:val="auto"/>
              </w:rPr>
            </w:pPr>
            <w:r>
              <w:rPr>
                <w:rFonts w:ascii="Arial" w:cs="Arial" w:eastAsia="Arial" w:hAnsi="Arial"/>
                <w:sz w:val="13"/>
                <w:szCs w:val="13"/>
                <w:color w:val="auto"/>
              </w:rPr>
              <w:t>Exercise of stock options</w:t>
            </w:r>
          </w:p>
        </w:tc>
        <w:tc>
          <w:tcPr>
            <w:tcW w:w="1200" w:type="dxa"/>
            <w:vAlign w:val="bottom"/>
            <w:gridSpan w:val="2"/>
            <w:shd w:val="clear" w:color="auto" w:fill="CFF0FC"/>
          </w:tcPr>
          <w:p>
            <w:pPr>
              <w:jc w:val="right"/>
              <w:ind w:right="280"/>
              <w:spacing w:after="0"/>
              <w:rPr>
                <w:sz w:val="20"/>
                <w:szCs w:val="20"/>
                <w:color w:val="auto"/>
              </w:rPr>
            </w:pPr>
            <w:r>
              <w:rPr>
                <w:rFonts w:ascii="Arial" w:cs="Arial" w:eastAsia="Arial" w:hAnsi="Arial"/>
                <w:sz w:val="13"/>
                <w:szCs w:val="13"/>
                <w:color w:val="auto"/>
              </w:rPr>
              <w:t>—</w:t>
            </w:r>
          </w:p>
        </w:tc>
        <w:tc>
          <w:tcPr>
            <w:tcW w:w="300" w:type="dxa"/>
            <w:vAlign w:val="bottom"/>
            <w:shd w:val="clear" w:color="auto" w:fill="CFF0FC"/>
          </w:tcPr>
          <w:p>
            <w:pPr>
              <w:spacing w:after="0"/>
              <w:rPr>
                <w:sz w:val="14"/>
                <w:szCs w:val="14"/>
                <w:color w:val="auto"/>
              </w:rPr>
            </w:pPr>
          </w:p>
        </w:tc>
        <w:tc>
          <w:tcPr>
            <w:tcW w:w="880" w:type="dxa"/>
            <w:vAlign w:val="bottom"/>
            <w:gridSpan w:val="2"/>
            <w:shd w:val="clear" w:color="auto" w:fill="CFF0FC"/>
          </w:tcPr>
          <w:p>
            <w:pPr>
              <w:jc w:val="right"/>
              <w:ind w:right="240"/>
              <w:spacing w:after="0"/>
              <w:rPr>
                <w:sz w:val="20"/>
                <w:szCs w:val="20"/>
                <w:color w:val="auto"/>
              </w:rPr>
            </w:pPr>
            <w:r>
              <w:rPr>
                <w:rFonts w:ascii="Arial" w:cs="Arial" w:eastAsia="Arial" w:hAnsi="Arial"/>
                <w:sz w:val="13"/>
                <w:szCs w:val="13"/>
                <w:color w:val="auto"/>
              </w:rPr>
              <w:t>—</w:t>
            </w:r>
          </w:p>
        </w:tc>
        <w:tc>
          <w:tcPr>
            <w:tcW w:w="1000" w:type="dxa"/>
            <w:vAlign w:val="bottom"/>
            <w:shd w:val="clear" w:color="auto" w:fill="CFF0FC"/>
          </w:tcPr>
          <w:p>
            <w:pPr>
              <w:jc w:val="right"/>
              <w:spacing w:after="0"/>
              <w:rPr>
                <w:sz w:val="20"/>
                <w:szCs w:val="20"/>
                <w:color w:val="auto"/>
              </w:rPr>
            </w:pPr>
            <w:r>
              <w:rPr>
                <w:rFonts w:ascii="Arial" w:cs="Arial" w:eastAsia="Arial" w:hAnsi="Arial"/>
                <w:sz w:val="13"/>
                <w:szCs w:val="13"/>
                <w:color w:val="auto"/>
              </w:rPr>
              <w:t>1,690</w:t>
            </w:r>
          </w:p>
        </w:tc>
        <w:tc>
          <w:tcPr>
            <w:tcW w:w="240" w:type="dxa"/>
            <w:vAlign w:val="bottom"/>
            <w:shd w:val="clear" w:color="auto" w:fill="CFF0FC"/>
          </w:tcPr>
          <w:p>
            <w:pPr>
              <w:spacing w:after="0"/>
              <w:rPr>
                <w:sz w:val="14"/>
                <w:szCs w:val="14"/>
                <w:color w:val="auto"/>
              </w:rPr>
            </w:pPr>
          </w:p>
        </w:tc>
        <w:tc>
          <w:tcPr>
            <w:tcW w:w="160" w:type="dxa"/>
            <w:vAlign w:val="bottom"/>
            <w:shd w:val="clear" w:color="auto" w:fill="CFF0FC"/>
          </w:tcPr>
          <w:p>
            <w:pPr>
              <w:spacing w:after="0"/>
              <w:rPr>
                <w:sz w:val="14"/>
                <w:szCs w:val="14"/>
                <w:color w:val="auto"/>
              </w:rPr>
            </w:pPr>
          </w:p>
        </w:tc>
        <w:tc>
          <w:tcPr>
            <w:tcW w:w="700" w:type="dxa"/>
            <w:vAlign w:val="bottom"/>
            <w:shd w:val="clear" w:color="auto" w:fill="CFF0FC"/>
          </w:tcPr>
          <w:p>
            <w:pPr>
              <w:jc w:val="right"/>
              <w:spacing w:after="0"/>
              <w:rPr>
                <w:sz w:val="20"/>
                <w:szCs w:val="20"/>
                <w:color w:val="auto"/>
              </w:rPr>
            </w:pPr>
            <w:r>
              <w:rPr>
                <w:rFonts w:ascii="Arial" w:cs="Arial" w:eastAsia="Arial" w:hAnsi="Arial"/>
                <w:sz w:val="13"/>
                <w:szCs w:val="13"/>
                <w:color w:val="auto"/>
              </w:rPr>
              <w:t>—</w:t>
            </w:r>
          </w:p>
        </w:tc>
        <w:tc>
          <w:tcPr>
            <w:tcW w:w="260" w:type="dxa"/>
            <w:vAlign w:val="bottom"/>
            <w:shd w:val="clear" w:color="auto" w:fill="CFF0FC"/>
          </w:tcPr>
          <w:p>
            <w:pPr>
              <w:spacing w:after="0"/>
              <w:rPr>
                <w:sz w:val="14"/>
                <w:szCs w:val="14"/>
                <w:color w:val="auto"/>
              </w:rPr>
            </w:pPr>
          </w:p>
        </w:tc>
        <w:tc>
          <w:tcPr>
            <w:tcW w:w="140" w:type="dxa"/>
            <w:vAlign w:val="bottom"/>
            <w:shd w:val="clear" w:color="auto" w:fill="CFF0FC"/>
          </w:tcPr>
          <w:p>
            <w:pPr>
              <w:spacing w:after="0"/>
              <w:rPr>
                <w:sz w:val="14"/>
                <w:szCs w:val="14"/>
                <w:color w:val="auto"/>
              </w:rPr>
            </w:pPr>
          </w:p>
        </w:tc>
        <w:tc>
          <w:tcPr>
            <w:tcW w:w="760" w:type="dxa"/>
            <w:vAlign w:val="bottom"/>
            <w:shd w:val="clear" w:color="auto" w:fill="CFF0FC"/>
          </w:tcPr>
          <w:p>
            <w:pPr>
              <w:jc w:val="right"/>
              <w:spacing w:after="0"/>
              <w:rPr>
                <w:sz w:val="20"/>
                <w:szCs w:val="20"/>
                <w:color w:val="auto"/>
              </w:rPr>
            </w:pPr>
            <w:r>
              <w:rPr>
                <w:rFonts w:ascii="Arial" w:cs="Arial" w:eastAsia="Arial" w:hAnsi="Arial"/>
                <w:sz w:val="13"/>
                <w:szCs w:val="13"/>
                <w:color w:val="auto"/>
              </w:rPr>
              <w:t>2,691</w:t>
            </w:r>
          </w:p>
        </w:tc>
        <w:tc>
          <w:tcPr>
            <w:tcW w:w="260" w:type="dxa"/>
            <w:vAlign w:val="bottom"/>
            <w:shd w:val="clear" w:color="auto" w:fill="CFF0FC"/>
          </w:tcPr>
          <w:p>
            <w:pPr>
              <w:spacing w:after="0"/>
              <w:rPr>
                <w:sz w:val="14"/>
                <w:szCs w:val="14"/>
                <w:color w:val="auto"/>
              </w:rPr>
            </w:pPr>
          </w:p>
        </w:tc>
        <w:tc>
          <w:tcPr>
            <w:tcW w:w="140" w:type="dxa"/>
            <w:vAlign w:val="bottom"/>
            <w:shd w:val="clear" w:color="auto" w:fill="CFF0FC"/>
          </w:tcPr>
          <w:p>
            <w:pPr>
              <w:spacing w:after="0"/>
              <w:rPr>
                <w:sz w:val="14"/>
                <w:szCs w:val="14"/>
                <w:color w:val="auto"/>
              </w:rPr>
            </w:pPr>
          </w:p>
        </w:tc>
        <w:tc>
          <w:tcPr>
            <w:tcW w:w="1120" w:type="dxa"/>
            <w:vAlign w:val="bottom"/>
            <w:gridSpan w:val="2"/>
            <w:shd w:val="clear" w:color="auto" w:fill="CFF0FC"/>
          </w:tcPr>
          <w:p>
            <w:pPr>
              <w:jc w:val="right"/>
              <w:ind w:right="260"/>
              <w:spacing w:after="0"/>
              <w:rPr>
                <w:sz w:val="20"/>
                <w:szCs w:val="20"/>
                <w:color w:val="auto"/>
              </w:rPr>
            </w:pPr>
            <w:r>
              <w:rPr>
                <w:rFonts w:ascii="Arial" w:cs="Arial" w:eastAsia="Arial" w:hAnsi="Arial"/>
                <w:sz w:val="13"/>
                <w:szCs w:val="13"/>
                <w:color w:val="auto"/>
              </w:rPr>
              <w:t>—</w:t>
            </w:r>
          </w:p>
        </w:tc>
        <w:tc>
          <w:tcPr>
            <w:tcW w:w="160" w:type="dxa"/>
            <w:vAlign w:val="bottom"/>
            <w:shd w:val="clear" w:color="auto" w:fill="CFF0FC"/>
          </w:tcPr>
          <w:p>
            <w:pPr>
              <w:spacing w:after="0"/>
              <w:rPr>
                <w:sz w:val="14"/>
                <w:szCs w:val="14"/>
                <w:color w:val="auto"/>
              </w:rPr>
            </w:pPr>
          </w:p>
        </w:tc>
        <w:tc>
          <w:tcPr>
            <w:tcW w:w="980" w:type="dxa"/>
            <w:vAlign w:val="bottom"/>
            <w:shd w:val="clear" w:color="auto" w:fill="CFF0FC"/>
          </w:tcPr>
          <w:p>
            <w:pPr>
              <w:jc w:val="right"/>
              <w:spacing w:after="0"/>
              <w:rPr>
                <w:sz w:val="20"/>
                <w:szCs w:val="20"/>
                <w:color w:val="auto"/>
              </w:rPr>
            </w:pPr>
            <w:r>
              <w:rPr>
                <w:rFonts w:ascii="Arial" w:cs="Arial" w:eastAsia="Arial" w:hAnsi="Arial"/>
                <w:sz w:val="13"/>
                <w:szCs w:val="13"/>
                <w:color w:val="auto"/>
              </w:rPr>
              <w:t>2,691</w:t>
            </w:r>
          </w:p>
        </w:tc>
        <w:tc>
          <w:tcPr>
            <w:tcW w:w="100" w:type="dxa"/>
            <w:vAlign w:val="bottom"/>
            <w:shd w:val="clear" w:color="auto" w:fill="CFF0FC"/>
          </w:tcPr>
          <w:p>
            <w:pPr>
              <w:spacing w:after="0"/>
              <w:rPr>
                <w:sz w:val="14"/>
                <w:szCs w:val="14"/>
                <w:color w:val="auto"/>
              </w:rPr>
            </w:pPr>
          </w:p>
        </w:tc>
      </w:tr>
      <w:tr>
        <w:trPr>
          <w:trHeight w:val="160"/>
        </w:trPr>
        <w:tc>
          <w:tcPr>
            <w:tcW w:w="2840" w:type="dxa"/>
            <w:vAlign w:val="bottom"/>
          </w:tcPr>
          <w:p>
            <w:pPr>
              <w:ind w:left="20"/>
              <w:spacing w:after="0"/>
              <w:rPr>
                <w:sz w:val="20"/>
                <w:szCs w:val="20"/>
                <w:color w:val="auto"/>
              </w:rPr>
            </w:pPr>
            <w:r>
              <w:rPr>
                <w:rFonts w:ascii="Arial" w:cs="Arial" w:eastAsia="Arial" w:hAnsi="Arial"/>
                <w:sz w:val="13"/>
                <w:szCs w:val="13"/>
                <w:color w:val="auto"/>
              </w:rPr>
              <w:t>Vesting of early exercised stock options</w:t>
            </w:r>
          </w:p>
        </w:tc>
        <w:tc>
          <w:tcPr>
            <w:tcW w:w="1200" w:type="dxa"/>
            <w:vAlign w:val="bottom"/>
            <w:gridSpan w:val="2"/>
          </w:tcPr>
          <w:p>
            <w:pPr>
              <w:jc w:val="right"/>
              <w:ind w:right="280"/>
              <w:spacing w:after="0"/>
              <w:rPr>
                <w:sz w:val="20"/>
                <w:szCs w:val="20"/>
                <w:color w:val="auto"/>
              </w:rPr>
            </w:pPr>
            <w:r>
              <w:rPr>
                <w:rFonts w:ascii="Arial" w:cs="Arial" w:eastAsia="Arial" w:hAnsi="Arial"/>
                <w:sz w:val="13"/>
                <w:szCs w:val="13"/>
                <w:color w:val="auto"/>
              </w:rPr>
              <w:t>—</w:t>
            </w:r>
          </w:p>
        </w:tc>
        <w:tc>
          <w:tcPr>
            <w:tcW w:w="300" w:type="dxa"/>
            <w:vAlign w:val="bottom"/>
          </w:tcPr>
          <w:p>
            <w:pPr>
              <w:spacing w:after="0"/>
              <w:rPr>
                <w:sz w:val="13"/>
                <w:szCs w:val="13"/>
                <w:color w:val="auto"/>
              </w:rPr>
            </w:pPr>
          </w:p>
        </w:tc>
        <w:tc>
          <w:tcPr>
            <w:tcW w:w="880" w:type="dxa"/>
            <w:vAlign w:val="bottom"/>
            <w:gridSpan w:val="2"/>
          </w:tcPr>
          <w:p>
            <w:pPr>
              <w:jc w:val="right"/>
              <w:ind w:right="240"/>
              <w:spacing w:after="0"/>
              <w:rPr>
                <w:sz w:val="20"/>
                <w:szCs w:val="20"/>
                <w:color w:val="auto"/>
              </w:rPr>
            </w:pPr>
            <w:r>
              <w:rPr>
                <w:rFonts w:ascii="Arial" w:cs="Arial" w:eastAsia="Arial" w:hAnsi="Arial"/>
                <w:sz w:val="13"/>
                <w:szCs w:val="13"/>
                <w:color w:val="auto"/>
              </w:rPr>
              <w:t>—</w:t>
            </w:r>
          </w:p>
        </w:tc>
        <w:tc>
          <w:tcPr>
            <w:tcW w:w="1000" w:type="dxa"/>
            <w:vAlign w:val="bottom"/>
          </w:tcPr>
          <w:p>
            <w:pPr>
              <w:jc w:val="right"/>
              <w:spacing w:after="0"/>
              <w:rPr>
                <w:sz w:val="20"/>
                <w:szCs w:val="20"/>
                <w:color w:val="auto"/>
              </w:rPr>
            </w:pPr>
            <w:r>
              <w:rPr>
                <w:rFonts w:ascii="Arial" w:cs="Arial" w:eastAsia="Arial" w:hAnsi="Arial"/>
                <w:sz w:val="13"/>
                <w:szCs w:val="13"/>
                <w:color w:val="auto"/>
              </w:rPr>
              <w:t>—</w:t>
            </w:r>
          </w:p>
        </w:tc>
        <w:tc>
          <w:tcPr>
            <w:tcW w:w="24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700" w:type="dxa"/>
            <w:vAlign w:val="bottom"/>
          </w:tcPr>
          <w:p>
            <w:pPr>
              <w:jc w:val="right"/>
              <w:spacing w:after="0"/>
              <w:rPr>
                <w:sz w:val="20"/>
                <w:szCs w:val="20"/>
                <w:color w:val="auto"/>
              </w:rPr>
            </w:pPr>
            <w:r>
              <w:rPr>
                <w:rFonts w:ascii="Arial" w:cs="Arial" w:eastAsia="Arial" w:hAnsi="Arial"/>
                <w:sz w:val="13"/>
                <w:szCs w:val="13"/>
                <w:color w:val="auto"/>
              </w:rPr>
              <w:t>—</w:t>
            </w:r>
          </w:p>
        </w:tc>
        <w:tc>
          <w:tcPr>
            <w:tcW w:w="26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760" w:type="dxa"/>
            <w:vAlign w:val="bottom"/>
          </w:tcPr>
          <w:p>
            <w:pPr>
              <w:jc w:val="right"/>
              <w:spacing w:after="0"/>
              <w:rPr>
                <w:sz w:val="20"/>
                <w:szCs w:val="20"/>
                <w:color w:val="auto"/>
              </w:rPr>
            </w:pPr>
            <w:r>
              <w:rPr>
                <w:rFonts w:ascii="Arial" w:cs="Arial" w:eastAsia="Arial" w:hAnsi="Arial"/>
                <w:sz w:val="13"/>
                <w:szCs w:val="13"/>
                <w:color w:val="auto"/>
              </w:rPr>
              <w:t>480</w:t>
            </w:r>
          </w:p>
        </w:tc>
        <w:tc>
          <w:tcPr>
            <w:tcW w:w="26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120" w:type="dxa"/>
            <w:vAlign w:val="bottom"/>
            <w:gridSpan w:val="2"/>
          </w:tcPr>
          <w:p>
            <w:pPr>
              <w:jc w:val="right"/>
              <w:ind w:right="260"/>
              <w:spacing w:after="0"/>
              <w:rPr>
                <w:sz w:val="20"/>
                <w:szCs w:val="20"/>
                <w:color w:val="auto"/>
              </w:rPr>
            </w:pPr>
            <w:r>
              <w:rPr>
                <w:rFonts w:ascii="Arial" w:cs="Arial" w:eastAsia="Arial" w:hAnsi="Arial"/>
                <w:sz w:val="13"/>
                <w:szCs w:val="13"/>
                <w:color w:val="auto"/>
              </w:rPr>
              <w:t>—</w:t>
            </w:r>
          </w:p>
        </w:tc>
        <w:tc>
          <w:tcPr>
            <w:tcW w:w="160" w:type="dxa"/>
            <w:vAlign w:val="bottom"/>
          </w:tcPr>
          <w:p>
            <w:pPr>
              <w:spacing w:after="0"/>
              <w:rPr>
                <w:sz w:val="13"/>
                <w:szCs w:val="13"/>
                <w:color w:val="auto"/>
              </w:rPr>
            </w:pPr>
          </w:p>
        </w:tc>
        <w:tc>
          <w:tcPr>
            <w:tcW w:w="980" w:type="dxa"/>
            <w:vAlign w:val="bottom"/>
          </w:tcPr>
          <w:p>
            <w:pPr>
              <w:jc w:val="right"/>
              <w:spacing w:after="0"/>
              <w:rPr>
                <w:sz w:val="20"/>
                <w:szCs w:val="20"/>
                <w:color w:val="auto"/>
              </w:rPr>
            </w:pPr>
            <w:r>
              <w:rPr>
                <w:rFonts w:ascii="Arial" w:cs="Arial" w:eastAsia="Arial" w:hAnsi="Arial"/>
                <w:sz w:val="13"/>
                <w:szCs w:val="13"/>
                <w:color w:val="auto"/>
              </w:rPr>
              <w:t>480</w:t>
            </w:r>
          </w:p>
        </w:tc>
        <w:tc>
          <w:tcPr>
            <w:tcW w:w="100" w:type="dxa"/>
            <w:vAlign w:val="bottom"/>
          </w:tcPr>
          <w:p>
            <w:pPr>
              <w:spacing w:after="0"/>
              <w:rPr>
                <w:sz w:val="13"/>
                <w:szCs w:val="13"/>
                <w:color w:val="auto"/>
              </w:rPr>
            </w:pPr>
          </w:p>
        </w:tc>
      </w:tr>
      <w:tr>
        <w:trPr>
          <w:trHeight w:val="122"/>
        </w:trPr>
        <w:tc>
          <w:tcPr>
            <w:tcW w:w="2840" w:type="dxa"/>
            <w:vAlign w:val="bottom"/>
            <w:shd w:val="clear" w:color="auto" w:fill="CFF0FC"/>
          </w:tcPr>
          <w:p>
            <w:pPr>
              <w:ind w:left="20"/>
              <w:spacing w:after="0" w:line="123" w:lineRule="exact"/>
              <w:rPr>
                <w:sz w:val="20"/>
                <w:szCs w:val="20"/>
                <w:color w:val="auto"/>
              </w:rPr>
            </w:pPr>
            <w:r>
              <w:rPr>
                <w:rFonts w:ascii="Arial" w:cs="Arial" w:eastAsia="Arial" w:hAnsi="Arial"/>
                <w:sz w:val="13"/>
                <w:szCs w:val="13"/>
                <w:color w:val="auto"/>
              </w:rPr>
              <w:t>Issuance of common stock in connection with an</w:t>
            </w:r>
          </w:p>
        </w:tc>
        <w:tc>
          <w:tcPr>
            <w:tcW w:w="920" w:type="dxa"/>
            <w:vAlign w:val="bottom"/>
            <w:shd w:val="clear" w:color="auto" w:fill="CFF0FC"/>
          </w:tcPr>
          <w:p>
            <w:pPr>
              <w:spacing w:after="0"/>
              <w:rPr>
                <w:sz w:val="10"/>
                <w:szCs w:val="10"/>
                <w:color w:val="auto"/>
              </w:rPr>
            </w:pPr>
          </w:p>
        </w:tc>
        <w:tc>
          <w:tcPr>
            <w:tcW w:w="280" w:type="dxa"/>
            <w:vAlign w:val="bottom"/>
            <w:shd w:val="clear" w:color="auto" w:fill="CFF0FC"/>
          </w:tcPr>
          <w:p>
            <w:pPr>
              <w:spacing w:after="0"/>
              <w:rPr>
                <w:sz w:val="10"/>
                <w:szCs w:val="10"/>
                <w:color w:val="auto"/>
              </w:rPr>
            </w:pPr>
          </w:p>
        </w:tc>
        <w:tc>
          <w:tcPr>
            <w:tcW w:w="300" w:type="dxa"/>
            <w:vAlign w:val="bottom"/>
            <w:shd w:val="clear" w:color="auto" w:fill="CFF0FC"/>
          </w:tcPr>
          <w:p>
            <w:pPr>
              <w:spacing w:after="0"/>
              <w:rPr>
                <w:sz w:val="10"/>
                <w:szCs w:val="10"/>
                <w:color w:val="auto"/>
              </w:rPr>
            </w:pPr>
          </w:p>
        </w:tc>
        <w:tc>
          <w:tcPr>
            <w:tcW w:w="640" w:type="dxa"/>
            <w:vAlign w:val="bottom"/>
            <w:shd w:val="clear" w:color="auto" w:fill="CFF0FC"/>
          </w:tcPr>
          <w:p>
            <w:pPr>
              <w:spacing w:after="0"/>
              <w:rPr>
                <w:sz w:val="10"/>
                <w:szCs w:val="10"/>
                <w:color w:val="auto"/>
              </w:rPr>
            </w:pPr>
          </w:p>
        </w:tc>
        <w:tc>
          <w:tcPr>
            <w:tcW w:w="240" w:type="dxa"/>
            <w:vAlign w:val="bottom"/>
            <w:shd w:val="clear" w:color="auto" w:fill="CFF0FC"/>
          </w:tcPr>
          <w:p>
            <w:pPr>
              <w:spacing w:after="0"/>
              <w:rPr>
                <w:sz w:val="10"/>
                <w:szCs w:val="10"/>
                <w:color w:val="auto"/>
              </w:rPr>
            </w:pPr>
          </w:p>
        </w:tc>
        <w:tc>
          <w:tcPr>
            <w:tcW w:w="1000" w:type="dxa"/>
            <w:vAlign w:val="bottom"/>
            <w:shd w:val="clear" w:color="auto" w:fill="CFF0FC"/>
          </w:tcPr>
          <w:p>
            <w:pPr>
              <w:spacing w:after="0"/>
              <w:rPr>
                <w:sz w:val="10"/>
                <w:szCs w:val="10"/>
                <w:color w:val="auto"/>
              </w:rPr>
            </w:pPr>
          </w:p>
        </w:tc>
        <w:tc>
          <w:tcPr>
            <w:tcW w:w="240" w:type="dxa"/>
            <w:vAlign w:val="bottom"/>
            <w:shd w:val="clear" w:color="auto" w:fill="CFF0FC"/>
          </w:tcPr>
          <w:p>
            <w:pPr>
              <w:spacing w:after="0"/>
              <w:rPr>
                <w:sz w:val="10"/>
                <w:szCs w:val="10"/>
                <w:color w:val="auto"/>
              </w:rPr>
            </w:pPr>
          </w:p>
        </w:tc>
        <w:tc>
          <w:tcPr>
            <w:tcW w:w="160" w:type="dxa"/>
            <w:vAlign w:val="bottom"/>
            <w:shd w:val="clear" w:color="auto" w:fill="CFF0FC"/>
          </w:tcPr>
          <w:p>
            <w:pPr>
              <w:spacing w:after="0"/>
              <w:rPr>
                <w:sz w:val="10"/>
                <w:szCs w:val="10"/>
                <w:color w:val="auto"/>
              </w:rPr>
            </w:pPr>
          </w:p>
        </w:tc>
        <w:tc>
          <w:tcPr>
            <w:tcW w:w="700" w:type="dxa"/>
            <w:vAlign w:val="bottom"/>
            <w:shd w:val="clear" w:color="auto" w:fill="CFF0FC"/>
          </w:tcPr>
          <w:p>
            <w:pPr>
              <w:spacing w:after="0"/>
              <w:rPr>
                <w:sz w:val="10"/>
                <w:szCs w:val="10"/>
                <w:color w:val="auto"/>
              </w:rPr>
            </w:pPr>
          </w:p>
        </w:tc>
        <w:tc>
          <w:tcPr>
            <w:tcW w:w="260" w:type="dxa"/>
            <w:vAlign w:val="bottom"/>
            <w:shd w:val="clear" w:color="auto" w:fill="CFF0FC"/>
          </w:tcPr>
          <w:p>
            <w:pPr>
              <w:spacing w:after="0"/>
              <w:rPr>
                <w:sz w:val="10"/>
                <w:szCs w:val="10"/>
                <w:color w:val="auto"/>
              </w:rPr>
            </w:pPr>
          </w:p>
        </w:tc>
        <w:tc>
          <w:tcPr>
            <w:tcW w:w="140" w:type="dxa"/>
            <w:vAlign w:val="bottom"/>
            <w:shd w:val="clear" w:color="auto" w:fill="CFF0FC"/>
          </w:tcPr>
          <w:p>
            <w:pPr>
              <w:spacing w:after="0"/>
              <w:rPr>
                <w:sz w:val="10"/>
                <w:szCs w:val="10"/>
                <w:color w:val="auto"/>
              </w:rPr>
            </w:pPr>
          </w:p>
        </w:tc>
        <w:tc>
          <w:tcPr>
            <w:tcW w:w="760" w:type="dxa"/>
            <w:vAlign w:val="bottom"/>
            <w:shd w:val="clear" w:color="auto" w:fill="CFF0FC"/>
          </w:tcPr>
          <w:p>
            <w:pPr>
              <w:spacing w:after="0"/>
              <w:rPr>
                <w:sz w:val="10"/>
                <w:szCs w:val="10"/>
                <w:color w:val="auto"/>
              </w:rPr>
            </w:pPr>
          </w:p>
        </w:tc>
        <w:tc>
          <w:tcPr>
            <w:tcW w:w="260" w:type="dxa"/>
            <w:vAlign w:val="bottom"/>
            <w:shd w:val="clear" w:color="auto" w:fill="CFF0FC"/>
          </w:tcPr>
          <w:p>
            <w:pPr>
              <w:spacing w:after="0"/>
              <w:rPr>
                <w:sz w:val="10"/>
                <w:szCs w:val="10"/>
                <w:color w:val="auto"/>
              </w:rPr>
            </w:pPr>
          </w:p>
        </w:tc>
        <w:tc>
          <w:tcPr>
            <w:tcW w:w="140" w:type="dxa"/>
            <w:vAlign w:val="bottom"/>
            <w:shd w:val="clear" w:color="auto" w:fill="CFF0FC"/>
          </w:tcPr>
          <w:p>
            <w:pPr>
              <w:spacing w:after="0"/>
              <w:rPr>
                <w:sz w:val="10"/>
                <w:szCs w:val="10"/>
                <w:color w:val="auto"/>
              </w:rPr>
            </w:pPr>
          </w:p>
        </w:tc>
        <w:tc>
          <w:tcPr>
            <w:tcW w:w="880" w:type="dxa"/>
            <w:vAlign w:val="bottom"/>
            <w:shd w:val="clear" w:color="auto" w:fill="CFF0FC"/>
          </w:tcPr>
          <w:p>
            <w:pPr>
              <w:spacing w:after="0"/>
              <w:rPr>
                <w:sz w:val="10"/>
                <w:szCs w:val="10"/>
                <w:color w:val="auto"/>
              </w:rPr>
            </w:pPr>
          </w:p>
        </w:tc>
        <w:tc>
          <w:tcPr>
            <w:tcW w:w="240" w:type="dxa"/>
            <w:vAlign w:val="bottom"/>
            <w:shd w:val="clear" w:color="auto" w:fill="CFF0FC"/>
          </w:tcPr>
          <w:p>
            <w:pPr>
              <w:spacing w:after="0"/>
              <w:rPr>
                <w:sz w:val="10"/>
                <w:szCs w:val="10"/>
                <w:color w:val="auto"/>
              </w:rPr>
            </w:pPr>
          </w:p>
        </w:tc>
        <w:tc>
          <w:tcPr>
            <w:tcW w:w="160" w:type="dxa"/>
            <w:vAlign w:val="bottom"/>
            <w:shd w:val="clear" w:color="auto" w:fill="CFF0FC"/>
          </w:tcPr>
          <w:p>
            <w:pPr>
              <w:spacing w:after="0"/>
              <w:rPr>
                <w:sz w:val="10"/>
                <w:szCs w:val="10"/>
                <w:color w:val="auto"/>
              </w:rPr>
            </w:pPr>
          </w:p>
        </w:tc>
        <w:tc>
          <w:tcPr>
            <w:tcW w:w="980" w:type="dxa"/>
            <w:vAlign w:val="bottom"/>
            <w:shd w:val="clear" w:color="auto" w:fill="CFF0FC"/>
          </w:tcPr>
          <w:p>
            <w:pPr>
              <w:spacing w:after="0"/>
              <w:rPr>
                <w:sz w:val="10"/>
                <w:szCs w:val="10"/>
                <w:color w:val="auto"/>
              </w:rPr>
            </w:pPr>
          </w:p>
        </w:tc>
        <w:tc>
          <w:tcPr>
            <w:tcW w:w="100" w:type="dxa"/>
            <w:vAlign w:val="bottom"/>
            <w:shd w:val="clear" w:color="auto" w:fill="CFF0FC"/>
          </w:tcPr>
          <w:p>
            <w:pPr>
              <w:spacing w:after="0"/>
              <w:rPr>
                <w:sz w:val="10"/>
                <w:szCs w:val="10"/>
                <w:color w:val="auto"/>
              </w:rPr>
            </w:pPr>
          </w:p>
        </w:tc>
      </w:tr>
      <w:tr>
        <w:trPr>
          <w:trHeight w:val="176"/>
        </w:trPr>
        <w:tc>
          <w:tcPr>
            <w:tcW w:w="2840" w:type="dxa"/>
            <w:vAlign w:val="bottom"/>
            <w:shd w:val="clear" w:color="auto" w:fill="CFF0FC"/>
          </w:tcPr>
          <w:p>
            <w:pPr>
              <w:ind w:left="20"/>
              <w:spacing w:after="0"/>
              <w:rPr>
                <w:sz w:val="20"/>
                <w:szCs w:val="20"/>
                <w:color w:val="auto"/>
              </w:rPr>
            </w:pPr>
            <w:r>
              <w:rPr>
                <w:rFonts w:ascii="Arial" w:cs="Arial" w:eastAsia="Arial" w:hAnsi="Arial"/>
                <w:sz w:val="13"/>
                <w:szCs w:val="13"/>
                <w:color w:val="auto"/>
              </w:rPr>
              <w:t>acquisition</w:t>
            </w:r>
          </w:p>
        </w:tc>
        <w:tc>
          <w:tcPr>
            <w:tcW w:w="1200" w:type="dxa"/>
            <w:vAlign w:val="bottom"/>
            <w:gridSpan w:val="2"/>
            <w:shd w:val="clear" w:color="auto" w:fill="CFF0FC"/>
          </w:tcPr>
          <w:p>
            <w:pPr>
              <w:jc w:val="right"/>
              <w:ind w:right="280"/>
              <w:spacing w:after="0"/>
              <w:rPr>
                <w:sz w:val="20"/>
                <w:szCs w:val="20"/>
                <w:color w:val="auto"/>
              </w:rPr>
            </w:pPr>
            <w:r>
              <w:rPr>
                <w:rFonts w:ascii="Arial" w:cs="Arial" w:eastAsia="Arial" w:hAnsi="Arial"/>
                <w:sz w:val="13"/>
                <w:szCs w:val="13"/>
                <w:color w:val="auto"/>
              </w:rPr>
              <w:t>—</w:t>
            </w:r>
          </w:p>
        </w:tc>
        <w:tc>
          <w:tcPr>
            <w:tcW w:w="300" w:type="dxa"/>
            <w:vAlign w:val="bottom"/>
            <w:shd w:val="clear" w:color="auto" w:fill="CFF0FC"/>
          </w:tcPr>
          <w:p>
            <w:pPr>
              <w:spacing w:after="0"/>
              <w:rPr>
                <w:sz w:val="15"/>
                <w:szCs w:val="15"/>
                <w:color w:val="auto"/>
              </w:rPr>
            </w:pPr>
          </w:p>
        </w:tc>
        <w:tc>
          <w:tcPr>
            <w:tcW w:w="880" w:type="dxa"/>
            <w:vAlign w:val="bottom"/>
            <w:gridSpan w:val="2"/>
            <w:shd w:val="clear" w:color="auto" w:fill="CFF0FC"/>
          </w:tcPr>
          <w:p>
            <w:pPr>
              <w:jc w:val="right"/>
              <w:ind w:right="240"/>
              <w:spacing w:after="0"/>
              <w:rPr>
                <w:sz w:val="20"/>
                <w:szCs w:val="20"/>
                <w:color w:val="auto"/>
              </w:rPr>
            </w:pPr>
            <w:r>
              <w:rPr>
                <w:rFonts w:ascii="Arial" w:cs="Arial" w:eastAsia="Arial" w:hAnsi="Arial"/>
                <w:sz w:val="13"/>
                <w:szCs w:val="13"/>
                <w:color w:val="auto"/>
              </w:rPr>
              <w:t>—</w:t>
            </w:r>
          </w:p>
        </w:tc>
        <w:tc>
          <w:tcPr>
            <w:tcW w:w="1000" w:type="dxa"/>
            <w:vAlign w:val="bottom"/>
            <w:shd w:val="clear" w:color="auto" w:fill="CFF0FC"/>
          </w:tcPr>
          <w:p>
            <w:pPr>
              <w:jc w:val="right"/>
              <w:spacing w:after="0"/>
              <w:rPr>
                <w:sz w:val="20"/>
                <w:szCs w:val="20"/>
                <w:color w:val="auto"/>
              </w:rPr>
            </w:pPr>
            <w:r>
              <w:rPr>
                <w:rFonts w:ascii="Arial" w:cs="Arial" w:eastAsia="Arial" w:hAnsi="Arial"/>
                <w:sz w:val="13"/>
                <w:szCs w:val="13"/>
                <w:color w:val="auto"/>
              </w:rPr>
              <w:t>1,070</w:t>
            </w:r>
          </w:p>
        </w:tc>
        <w:tc>
          <w:tcPr>
            <w:tcW w:w="240" w:type="dxa"/>
            <w:vAlign w:val="bottom"/>
            <w:shd w:val="clear" w:color="auto" w:fill="CFF0FC"/>
          </w:tcPr>
          <w:p>
            <w:pPr>
              <w:spacing w:after="0"/>
              <w:rPr>
                <w:sz w:val="15"/>
                <w:szCs w:val="15"/>
                <w:color w:val="auto"/>
              </w:rPr>
            </w:pPr>
          </w:p>
        </w:tc>
        <w:tc>
          <w:tcPr>
            <w:tcW w:w="160" w:type="dxa"/>
            <w:vAlign w:val="bottom"/>
            <w:shd w:val="clear" w:color="auto" w:fill="CFF0FC"/>
          </w:tcPr>
          <w:p>
            <w:pPr>
              <w:spacing w:after="0"/>
              <w:rPr>
                <w:sz w:val="15"/>
                <w:szCs w:val="15"/>
                <w:color w:val="auto"/>
              </w:rPr>
            </w:pPr>
          </w:p>
        </w:tc>
        <w:tc>
          <w:tcPr>
            <w:tcW w:w="700" w:type="dxa"/>
            <w:vAlign w:val="bottom"/>
            <w:shd w:val="clear" w:color="auto" w:fill="CFF0FC"/>
          </w:tcPr>
          <w:p>
            <w:pPr>
              <w:jc w:val="right"/>
              <w:spacing w:after="0"/>
              <w:rPr>
                <w:sz w:val="20"/>
                <w:szCs w:val="20"/>
                <w:color w:val="auto"/>
              </w:rPr>
            </w:pPr>
            <w:r>
              <w:rPr>
                <w:rFonts w:ascii="Arial" w:cs="Arial" w:eastAsia="Arial" w:hAnsi="Arial"/>
                <w:sz w:val="13"/>
                <w:szCs w:val="13"/>
                <w:color w:val="auto"/>
              </w:rPr>
              <w:t>—</w:t>
            </w:r>
          </w:p>
        </w:tc>
        <w:tc>
          <w:tcPr>
            <w:tcW w:w="260" w:type="dxa"/>
            <w:vAlign w:val="bottom"/>
            <w:shd w:val="clear" w:color="auto" w:fill="CFF0FC"/>
          </w:tcPr>
          <w:p>
            <w:pPr>
              <w:spacing w:after="0"/>
              <w:rPr>
                <w:sz w:val="15"/>
                <w:szCs w:val="15"/>
                <w:color w:val="auto"/>
              </w:rPr>
            </w:pPr>
          </w:p>
        </w:tc>
        <w:tc>
          <w:tcPr>
            <w:tcW w:w="140" w:type="dxa"/>
            <w:vAlign w:val="bottom"/>
            <w:shd w:val="clear" w:color="auto" w:fill="CFF0FC"/>
          </w:tcPr>
          <w:p>
            <w:pPr>
              <w:spacing w:after="0"/>
              <w:rPr>
                <w:sz w:val="15"/>
                <w:szCs w:val="15"/>
                <w:color w:val="auto"/>
              </w:rPr>
            </w:pPr>
          </w:p>
        </w:tc>
        <w:tc>
          <w:tcPr>
            <w:tcW w:w="760" w:type="dxa"/>
            <w:vAlign w:val="bottom"/>
            <w:shd w:val="clear" w:color="auto" w:fill="CFF0FC"/>
          </w:tcPr>
          <w:p>
            <w:pPr>
              <w:jc w:val="right"/>
              <w:spacing w:after="0"/>
              <w:rPr>
                <w:sz w:val="20"/>
                <w:szCs w:val="20"/>
                <w:color w:val="auto"/>
              </w:rPr>
            </w:pPr>
            <w:r>
              <w:rPr>
                <w:rFonts w:ascii="Arial" w:cs="Arial" w:eastAsia="Arial" w:hAnsi="Arial"/>
                <w:sz w:val="13"/>
                <w:szCs w:val="13"/>
                <w:color w:val="auto"/>
              </w:rPr>
              <w:t>7,402</w:t>
            </w:r>
          </w:p>
        </w:tc>
        <w:tc>
          <w:tcPr>
            <w:tcW w:w="260" w:type="dxa"/>
            <w:vAlign w:val="bottom"/>
            <w:shd w:val="clear" w:color="auto" w:fill="CFF0FC"/>
          </w:tcPr>
          <w:p>
            <w:pPr>
              <w:spacing w:after="0"/>
              <w:rPr>
                <w:sz w:val="15"/>
                <w:szCs w:val="15"/>
                <w:color w:val="auto"/>
              </w:rPr>
            </w:pPr>
          </w:p>
        </w:tc>
        <w:tc>
          <w:tcPr>
            <w:tcW w:w="140" w:type="dxa"/>
            <w:vAlign w:val="bottom"/>
            <w:shd w:val="clear" w:color="auto" w:fill="CFF0FC"/>
          </w:tcPr>
          <w:p>
            <w:pPr>
              <w:spacing w:after="0"/>
              <w:rPr>
                <w:sz w:val="15"/>
                <w:szCs w:val="15"/>
                <w:color w:val="auto"/>
              </w:rPr>
            </w:pPr>
          </w:p>
        </w:tc>
        <w:tc>
          <w:tcPr>
            <w:tcW w:w="1120" w:type="dxa"/>
            <w:vAlign w:val="bottom"/>
            <w:gridSpan w:val="2"/>
            <w:shd w:val="clear" w:color="auto" w:fill="CFF0FC"/>
          </w:tcPr>
          <w:p>
            <w:pPr>
              <w:jc w:val="right"/>
              <w:ind w:right="260"/>
              <w:spacing w:after="0"/>
              <w:rPr>
                <w:sz w:val="20"/>
                <w:szCs w:val="20"/>
                <w:color w:val="auto"/>
              </w:rPr>
            </w:pPr>
            <w:r>
              <w:rPr>
                <w:rFonts w:ascii="Arial" w:cs="Arial" w:eastAsia="Arial" w:hAnsi="Arial"/>
                <w:sz w:val="13"/>
                <w:szCs w:val="13"/>
                <w:color w:val="auto"/>
              </w:rPr>
              <w:t>—</w:t>
            </w:r>
          </w:p>
        </w:tc>
        <w:tc>
          <w:tcPr>
            <w:tcW w:w="160" w:type="dxa"/>
            <w:vAlign w:val="bottom"/>
            <w:shd w:val="clear" w:color="auto" w:fill="CFF0FC"/>
          </w:tcPr>
          <w:p>
            <w:pPr>
              <w:spacing w:after="0"/>
              <w:rPr>
                <w:sz w:val="15"/>
                <w:szCs w:val="15"/>
                <w:color w:val="auto"/>
              </w:rPr>
            </w:pPr>
          </w:p>
        </w:tc>
        <w:tc>
          <w:tcPr>
            <w:tcW w:w="980" w:type="dxa"/>
            <w:vAlign w:val="bottom"/>
            <w:shd w:val="clear" w:color="auto" w:fill="CFF0FC"/>
          </w:tcPr>
          <w:p>
            <w:pPr>
              <w:jc w:val="right"/>
              <w:spacing w:after="0"/>
              <w:rPr>
                <w:sz w:val="20"/>
                <w:szCs w:val="20"/>
                <w:color w:val="auto"/>
              </w:rPr>
            </w:pPr>
            <w:r>
              <w:rPr>
                <w:rFonts w:ascii="Arial" w:cs="Arial" w:eastAsia="Arial" w:hAnsi="Arial"/>
                <w:sz w:val="13"/>
                <w:szCs w:val="13"/>
                <w:color w:val="auto"/>
              </w:rPr>
              <w:t>7,402</w:t>
            </w:r>
          </w:p>
        </w:tc>
        <w:tc>
          <w:tcPr>
            <w:tcW w:w="100" w:type="dxa"/>
            <w:vAlign w:val="bottom"/>
            <w:shd w:val="clear" w:color="auto" w:fill="CFF0FC"/>
          </w:tcPr>
          <w:p>
            <w:pPr>
              <w:spacing w:after="0"/>
              <w:rPr>
                <w:sz w:val="15"/>
                <w:szCs w:val="15"/>
                <w:color w:val="auto"/>
              </w:rPr>
            </w:pPr>
          </w:p>
        </w:tc>
      </w:tr>
      <w:tr>
        <w:trPr>
          <w:trHeight w:val="160"/>
        </w:trPr>
        <w:tc>
          <w:tcPr>
            <w:tcW w:w="2840" w:type="dxa"/>
            <w:vAlign w:val="bottom"/>
          </w:tcPr>
          <w:p>
            <w:pPr>
              <w:ind w:left="20"/>
              <w:spacing w:after="0"/>
              <w:rPr>
                <w:sz w:val="20"/>
                <w:szCs w:val="20"/>
                <w:color w:val="auto"/>
              </w:rPr>
            </w:pPr>
            <w:r>
              <w:rPr>
                <w:rFonts w:ascii="Arial" w:cs="Arial" w:eastAsia="Arial" w:hAnsi="Arial"/>
                <w:sz w:val="13"/>
                <w:szCs w:val="13"/>
                <w:color w:val="auto"/>
              </w:rPr>
              <w:t>Net loss</w:t>
            </w:r>
          </w:p>
        </w:tc>
        <w:tc>
          <w:tcPr>
            <w:tcW w:w="920" w:type="dxa"/>
            <w:vAlign w:val="bottom"/>
          </w:tcPr>
          <w:p>
            <w:pPr>
              <w:jc w:val="right"/>
              <w:spacing w:after="0"/>
              <w:rPr>
                <w:sz w:val="20"/>
                <w:szCs w:val="20"/>
                <w:color w:val="auto"/>
              </w:rPr>
            </w:pPr>
            <w:r>
              <w:rPr>
                <w:rFonts w:ascii="Arial" w:cs="Arial" w:eastAsia="Arial" w:hAnsi="Arial"/>
                <w:sz w:val="13"/>
                <w:szCs w:val="13"/>
                <w:color w:val="auto"/>
              </w:rPr>
              <w:t>—</w:t>
            </w:r>
          </w:p>
        </w:tc>
        <w:tc>
          <w:tcPr>
            <w:tcW w:w="28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640" w:type="dxa"/>
            <w:vAlign w:val="bottom"/>
          </w:tcPr>
          <w:p>
            <w:pPr>
              <w:jc w:val="right"/>
              <w:spacing w:after="0"/>
              <w:rPr>
                <w:sz w:val="20"/>
                <w:szCs w:val="20"/>
                <w:color w:val="auto"/>
              </w:rPr>
            </w:pPr>
            <w:r>
              <w:rPr>
                <w:rFonts w:ascii="Arial" w:cs="Arial" w:eastAsia="Arial" w:hAnsi="Arial"/>
                <w:sz w:val="13"/>
                <w:szCs w:val="13"/>
                <w:color w:val="auto"/>
              </w:rPr>
              <w:t>—</w:t>
            </w:r>
          </w:p>
        </w:tc>
        <w:tc>
          <w:tcPr>
            <w:tcW w:w="240" w:type="dxa"/>
            <w:vAlign w:val="bottom"/>
          </w:tcPr>
          <w:p>
            <w:pPr>
              <w:spacing w:after="0"/>
              <w:rPr>
                <w:sz w:val="13"/>
                <w:szCs w:val="13"/>
                <w:color w:val="auto"/>
              </w:rPr>
            </w:pPr>
          </w:p>
        </w:tc>
        <w:tc>
          <w:tcPr>
            <w:tcW w:w="1000" w:type="dxa"/>
            <w:vAlign w:val="bottom"/>
          </w:tcPr>
          <w:p>
            <w:pPr>
              <w:jc w:val="right"/>
              <w:spacing w:after="0"/>
              <w:rPr>
                <w:sz w:val="20"/>
                <w:szCs w:val="20"/>
                <w:color w:val="auto"/>
              </w:rPr>
            </w:pPr>
            <w:r>
              <w:rPr>
                <w:rFonts w:ascii="Arial" w:cs="Arial" w:eastAsia="Arial" w:hAnsi="Arial"/>
                <w:sz w:val="13"/>
                <w:szCs w:val="13"/>
                <w:color w:val="auto"/>
              </w:rPr>
              <w:t>—</w:t>
            </w:r>
          </w:p>
        </w:tc>
        <w:tc>
          <w:tcPr>
            <w:tcW w:w="24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700" w:type="dxa"/>
            <w:vAlign w:val="bottom"/>
          </w:tcPr>
          <w:p>
            <w:pPr>
              <w:jc w:val="right"/>
              <w:spacing w:after="0"/>
              <w:rPr>
                <w:sz w:val="20"/>
                <w:szCs w:val="20"/>
                <w:color w:val="auto"/>
              </w:rPr>
            </w:pPr>
            <w:r>
              <w:rPr>
                <w:rFonts w:ascii="Arial" w:cs="Arial" w:eastAsia="Arial" w:hAnsi="Arial"/>
                <w:sz w:val="13"/>
                <w:szCs w:val="13"/>
                <w:color w:val="auto"/>
              </w:rPr>
              <w:t>—</w:t>
            </w:r>
          </w:p>
        </w:tc>
        <w:tc>
          <w:tcPr>
            <w:tcW w:w="26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760" w:type="dxa"/>
            <w:vAlign w:val="bottom"/>
          </w:tcPr>
          <w:p>
            <w:pPr>
              <w:jc w:val="right"/>
              <w:spacing w:after="0"/>
              <w:rPr>
                <w:sz w:val="20"/>
                <w:szCs w:val="20"/>
                <w:color w:val="auto"/>
              </w:rPr>
            </w:pPr>
            <w:r>
              <w:rPr>
                <w:rFonts w:ascii="Arial" w:cs="Arial" w:eastAsia="Arial" w:hAnsi="Arial"/>
                <w:sz w:val="13"/>
                <w:szCs w:val="13"/>
                <w:color w:val="auto"/>
              </w:rPr>
              <w:t>—</w:t>
            </w:r>
          </w:p>
        </w:tc>
        <w:tc>
          <w:tcPr>
            <w:tcW w:w="26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120" w:type="dxa"/>
            <w:vAlign w:val="bottom"/>
            <w:gridSpan w:val="2"/>
          </w:tcPr>
          <w:p>
            <w:pPr>
              <w:jc w:val="right"/>
              <w:ind w:right="180"/>
              <w:spacing w:after="0"/>
              <w:rPr>
                <w:sz w:val="20"/>
                <w:szCs w:val="20"/>
                <w:color w:val="auto"/>
              </w:rPr>
            </w:pPr>
            <w:r>
              <w:rPr>
                <w:rFonts w:ascii="Arial" w:cs="Arial" w:eastAsia="Arial" w:hAnsi="Arial"/>
                <w:sz w:val="13"/>
                <w:szCs w:val="13"/>
                <w:color w:val="auto"/>
              </w:rPr>
              <w:t>(10,083 )</w:t>
            </w:r>
          </w:p>
        </w:tc>
        <w:tc>
          <w:tcPr>
            <w:tcW w:w="160" w:type="dxa"/>
            <w:vAlign w:val="bottom"/>
          </w:tcPr>
          <w:p>
            <w:pPr>
              <w:spacing w:after="0"/>
              <w:rPr>
                <w:sz w:val="13"/>
                <w:szCs w:val="13"/>
                <w:color w:val="auto"/>
              </w:rPr>
            </w:pPr>
          </w:p>
        </w:tc>
        <w:tc>
          <w:tcPr>
            <w:tcW w:w="1080" w:type="dxa"/>
            <w:vAlign w:val="bottom"/>
            <w:gridSpan w:val="2"/>
          </w:tcPr>
          <w:p>
            <w:pPr>
              <w:jc w:val="right"/>
              <w:ind w:right="60"/>
              <w:spacing w:after="0"/>
              <w:rPr>
                <w:sz w:val="20"/>
                <w:szCs w:val="20"/>
                <w:color w:val="auto"/>
              </w:rPr>
            </w:pPr>
            <w:r>
              <w:rPr>
                <w:rFonts w:ascii="Arial" w:cs="Arial" w:eastAsia="Arial" w:hAnsi="Arial"/>
                <w:sz w:val="13"/>
                <w:szCs w:val="13"/>
                <w:color w:val="auto"/>
              </w:rPr>
              <w:t>(10,083 )</w:t>
            </w:r>
          </w:p>
        </w:tc>
      </w:tr>
      <w:tr>
        <w:trPr>
          <w:trHeight w:val="20"/>
        </w:trPr>
        <w:tc>
          <w:tcPr>
            <w:tcW w:w="2840" w:type="dxa"/>
            <w:vAlign w:val="bottom"/>
          </w:tcPr>
          <w:p>
            <w:pPr>
              <w:spacing w:after="0" w:line="20" w:lineRule="exact"/>
              <w:rPr>
                <w:sz w:val="1"/>
                <w:szCs w:val="1"/>
                <w:color w:val="auto"/>
              </w:rPr>
            </w:pPr>
          </w:p>
        </w:tc>
        <w:tc>
          <w:tcPr>
            <w:tcW w:w="920" w:type="dxa"/>
            <w:vAlign w:val="bottom"/>
            <w:shd w:val="clear" w:color="auto" w:fill="000000"/>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300" w:type="dxa"/>
            <w:vAlign w:val="bottom"/>
            <w:shd w:val="clear" w:color="auto" w:fill="000000"/>
          </w:tcPr>
          <w:p>
            <w:pPr>
              <w:spacing w:after="0" w:line="20" w:lineRule="exact"/>
              <w:rPr>
                <w:sz w:val="1"/>
                <w:szCs w:val="1"/>
                <w:color w:val="auto"/>
              </w:rPr>
            </w:pPr>
          </w:p>
        </w:tc>
        <w:tc>
          <w:tcPr>
            <w:tcW w:w="640" w:type="dxa"/>
            <w:vAlign w:val="bottom"/>
            <w:shd w:val="clear" w:color="auto" w:fill="000000"/>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000" w:type="dxa"/>
            <w:vAlign w:val="bottom"/>
            <w:shd w:val="clear" w:color="auto" w:fill="000000"/>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700" w:type="dxa"/>
            <w:vAlign w:val="bottom"/>
            <w:shd w:val="clear" w:color="auto" w:fill="000000"/>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760" w:type="dxa"/>
            <w:vAlign w:val="bottom"/>
            <w:shd w:val="clear" w:color="auto" w:fill="000000"/>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880" w:type="dxa"/>
            <w:vAlign w:val="bottom"/>
            <w:shd w:val="clear" w:color="auto" w:fill="000000"/>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98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332"/>
        </w:trPr>
        <w:tc>
          <w:tcPr>
            <w:tcW w:w="2840" w:type="dxa"/>
            <w:vAlign w:val="bottom"/>
            <w:shd w:val="clear" w:color="auto" w:fill="CFF0FC"/>
          </w:tcPr>
          <w:p>
            <w:pPr>
              <w:ind w:left="20"/>
              <w:spacing w:after="0"/>
              <w:rPr>
                <w:sz w:val="20"/>
                <w:szCs w:val="20"/>
                <w:color w:val="auto"/>
              </w:rPr>
            </w:pPr>
            <w:r>
              <w:rPr>
                <w:rFonts w:ascii="Arial" w:cs="Arial" w:eastAsia="Arial" w:hAnsi="Arial"/>
                <w:sz w:val="13"/>
                <w:szCs w:val="13"/>
                <w:color w:val="auto"/>
              </w:rPr>
              <w:t>Balance at June 30, 2021</w:t>
            </w:r>
          </w:p>
        </w:tc>
        <w:tc>
          <w:tcPr>
            <w:tcW w:w="920" w:type="dxa"/>
            <w:vAlign w:val="bottom"/>
            <w:shd w:val="clear" w:color="auto" w:fill="CFF0FC"/>
          </w:tcPr>
          <w:p>
            <w:pPr>
              <w:jc w:val="right"/>
              <w:spacing w:after="0"/>
              <w:rPr>
                <w:sz w:val="20"/>
                <w:szCs w:val="20"/>
                <w:color w:val="auto"/>
              </w:rPr>
            </w:pPr>
            <w:r>
              <w:rPr>
                <w:rFonts w:ascii="Arial" w:cs="Arial" w:eastAsia="Arial" w:hAnsi="Arial"/>
                <w:sz w:val="13"/>
                <w:szCs w:val="13"/>
                <w:color w:val="auto"/>
              </w:rPr>
              <w:t>67,136</w:t>
            </w:r>
          </w:p>
        </w:tc>
        <w:tc>
          <w:tcPr>
            <w:tcW w:w="280" w:type="dxa"/>
            <w:vAlign w:val="bottom"/>
            <w:shd w:val="clear" w:color="auto" w:fill="CFF0FC"/>
          </w:tcPr>
          <w:p>
            <w:pPr>
              <w:spacing w:after="0"/>
              <w:rPr>
                <w:sz w:val="24"/>
                <w:szCs w:val="24"/>
                <w:color w:val="auto"/>
              </w:rPr>
            </w:pPr>
          </w:p>
        </w:tc>
        <w:tc>
          <w:tcPr>
            <w:tcW w:w="300" w:type="dxa"/>
            <w:vAlign w:val="bottom"/>
            <w:shd w:val="clear" w:color="auto" w:fill="CFF0FC"/>
          </w:tcPr>
          <w:p>
            <w:pPr>
              <w:jc w:val="right"/>
              <w:ind w:right="137"/>
              <w:spacing w:after="0"/>
              <w:rPr>
                <w:sz w:val="20"/>
                <w:szCs w:val="20"/>
                <w:color w:val="auto"/>
              </w:rPr>
            </w:pPr>
            <w:r>
              <w:rPr>
                <w:rFonts w:ascii="Arial" w:cs="Arial" w:eastAsia="Arial" w:hAnsi="Arial"/>
                <w:sz w:val="13"/>
                <w:szCs w:val="13"/>
                <w:color w:val="auto"/>
              </w:rPr>
              <w:t>$</w:t>
            </w:r>
          </w:p>
        </w:tc>
        <w:tc>
          <w:tcPr>
            <w:tcW w:w="640" w:type="dxa"/>
            <w:vAlign w:val="bottom"/>
            <w:shd w:val="clear" w:color="auto" w:fill="CFF0FC"/>
          </w:tcPr>
          <w:p>
            <w:pPr>
              <w:jc w:val="right"/>
              <w:spacing w:after="0"/>
              <w:rPr>
                <w:sz w:val="20"/>
                <w:szCs w:val="20"/>
                <w:color w:val="auto"/>
              </w:rPr>
            </w:pPr>
            <w:r>
              <w:rPr>
                <w:rFonts w:ascii="Arial" w:cs="Arial" w:eastAsia="Arial" w:hAnsi="Arial"/>
                <w:sz w:val="13"/>
                <w:szCs w:val="13"/>
                <w:color w:val="auto"/>
              </w:rPr>
              <w:t>361,113</w:t>
            </w:r>
          </w:p>
        </w:tc>
        <w:tc>
          <w:tcPr>
            <w:tcW w:w="240" w:type="dxa"/>
            <w:vAlign w:val="bottom"/>
            <w:shd w:val="clear" w:color="auto" w:fill="CFF0FC"/>
          </w:tcPr>
          <w:p>
            <w:pPr>
              <w:spacing w:after="0"/>
              <w:rPr>
                <w:sz w:val="24"/>
                <w:szCs w:val="24"/>
                <w:color w:val="auto"/>
              </w:rPr>
            </w:pPr>
          </w:p>
        </w:tc>
        <w:tc>
          <w:tcPr>
            <w:tcW w:w="1000" w:type="dxa"/>
            <w:vAlign w:val="bottom"/>
            <w:shd w:val="clear" w:color="auto" w:fill="CFF0FC"/>
          </w:tcPr>
          <w:p>
            <w:pPr>
              <w:jc w:val="right"/>
              <w:spacing w:after="0"/>
              <w:rPr>
                <w:sz w:val="20"/>
                <w:szCs w:val="20"/>
                <w:color w:val="auto"/>
              </w:rPr>
            </w:pPr>
            <w:r>
              <w:rPr>
                <w:rFonts w:ascii="Arial" w:cs="Arial" w:eastAsia="Arial" w:hAnsi="Arial"/>
                <w:sz w:val="13"/>
                <w:szCs w:val="13"/>
                <w:color w:val="auto"/>
              </w:rPr>
              <w:t>31,910</w:t>
            </w:r>
          </w:p>
        </w:tc>
        <w:tc>
          <w:tcPr>
            <w:tcW w:w="240" w:type="dxa"/>
            <w:vAlign w:val="bottom"/>
            <w:shd w:val="clear" w:color="auto" w:fill="CFF0FC"/>
          </w:tcPr>
          <w:p>
            <w:pPr>
              <w:spacing w:after="0"/>
              <w:rPr>
                <w:sz w:val="24"/>
                <w:szCs w:val="24"/>
                <w:color w:val="auto"/>
              </w:rPr>
            </w:pPr>
          </w:p>
        </w:tc>
        <w:tc>
          <w:tcPr>
            <w:tcW w:w="160" w:type="dxa"/>
            <w:vAlign w:val="bottom"/>
            <w:shd w:val="clear" w:color="auto" w:fill="CFF0FC"/>
          </w:tcPr>
          <w:p>
            <w:pPr>
              <w:jc w:val="right"/>
              <w:ind w:right="48"/>
              <w:spacing w:after="0"/>
              <w:rPr>
                <w:sz w:val="20"/>
                <w:szCs w:val="20"/>
                <w:color w:val="auto"/>
              </w:rPr>
            </w:pPr>
            <w:r>
              <w:rPr>
                <w:rFonts w:ascii="Arial" w:cs="Arial" w:eastAsia="Arial" w:hAnsi="Arial"/>
                <w:sz w:val="10"/>
                <w:szCs w:val="10"/>
                <w:color w:val="auto"/>
                <w:w w:val="71"/>
              </w:rPr>
              <w:t>$</w:t>
            </w:r>
          </w:p>
        </w:tc>
        <w:tc>
          <w:tcPr>
            <w:tcW w:w="700" w:type="dxa"/>
            <w:vAlign w:val="bottom"/>
            <w:shd w:val="clear" w:color="auto" w:fill="CFF0FC"/>
          </w:tcPr>
          <w:p>
            <w:pPr>
              <w:jc w:val="right"/>
              <w:spacing w:after="0"/>
              <w:rPr>
                <w:sz w:val="20"/>
                <w:szCs w:val="20"/>
                <w:color w:val="auto"/>
              </w:rPr>
            </w:pPr>
            <w:r>
              <w:rPr>
                <w:rFonts w:ascii="Arial" w:cs="Arial" w:eastAsia="Arial" w:hAnsi="Arial"/>
                <w:sz w:val="13"/>
                <w:szCs w:val="13"/>
                <w:color w:val="auto"/>
              </w:rPr>
              <w:t>—</w:t>
            </w:r>
          </w:p>
        </w:tc>
        <w:tc>
          <w:tcPr>
            <w:tcW w:w="260" w:type="dxa"/>
            <w:vAlign w:val="bottom"/>
            <w:shd w:val="clear" w:color="auto" w:fill="CFF0FC"/>
          </w:tcPr>
          <w:p>
            <w:pPr>
              <w:spacing w:after="0"/>
              <w:rPr>
                <w:sz w:val="24"/>
                <w:szCs w:val="24"/>
                <w:color w:val="auto"/>
              </w:rPr>
            </w:pPr>
          </w:p>
        </w:tc>
        <w:tc>
          <w:tcPr>
            <w:tcW w:w="140" w:type="dxa"/>
            <w:vAlign w:val="bottom"/>
            <w:shd w:val="clear" w:color="auto" w:fill="CFF0FC"/>
          </w:tcPr>
          <w:p>
            <w:pPr>
              <w:jc w:val="right"/>
              <w:ind w:right="28"/>
              <w:spacing w:after="0"/>
              <w:rPr>
                <w:sz w:val="20"/>
                <w:szCs w:val="20"/>
                <w:color w:val="auto"/>
              </w:rPr>
            </w:pPr>
            <w:r>
              <w:rPr>
                <w:rFonts w:ascii="Arial" w:cs="Arial" w:eastAsia="Arial" w:hAnsi="Arial"/>
                <w:sz w:val="10"/>
                <w:szCs w:val="10"/>
                <w:color w:val="auto"/>
                <w:w w:val="71"/>
              </w:rPr>
              <w:t>$</w:t>
            </w:r>
          </w:p>
        </w:tc>
        <w:tc>
          <w:tcPr>
            <w:tcW w:w="760" w:type="dxa"/>
            <w:vAlign w:val="bottom"/>
            <w:shd w:val="clear" w:color="auto" w:fill="CFF0FC"/>
          </w:tcPr>
          <w:p>
            <w:pPr>
              <w:jc w:val="right"/>
              <w:spacing w:after="0"/>
              <w:rPr>
                <w:sz w:val="20"/>
                <w:szCs w:val="20"/>
                <w:color w:val="auto"/>
              </w:rPr>
            </w:pPr>
            <w:r>
              <w:rPr>
                <w:rFonts w:ascii="Arial" w:cs="Arial" w:eastAsia="Arial" w:hAnsi="Arial"/>
                <w:sz w:val="13"/>
                <w:szCs w:val="13"/>
                <w:color w:val="auto"/>
              </w:rPr>
              <w:t>55,657</w:t>
            </w:r>
          </w:p>
        </w:tc>
        <w:tc>
          <w:tcPr>
            <w:tcW w:w="260" w:type="dxa"/>
            <w:vAlign w:val="bottom"/>
            <w:shd w:val="clear" w:color="auto" w:fill="CFF0FC"/>
          </w:tcPr>
          <w:p>
            <w:pPr>
              <w:spacing w:after="0"/>
              <w:rPr>
                <w:sz w:val="24"/>
                <w:szCs w:val="24"/>
                <w:color w:val="auto"/>
              </w:rPr>
            </w:pPr>
          </w:p>
        </w:tc>
        <w:tc>
          <w:tcPr>
            <w:tcW w:w="140" w:type="dxa"/>
            <w:vAlign w:val="bottom"/>
            <w:shd w:val="clear" w:color="auto" w:fill="CFF0FC"/>
          </w:tcPr>
          <w:p>
            <w:pPr>
              <w:jc w:val="right"/>
              <w:ind w:right="28"/>
              <w:spacing w:after="0"/>
              <w:rPr>
                <w:sz w:val="20"/>
                <w:szCs w:val="20"/>
                <w:color w:val="auto"/>
              </w:rPr>
            </w:pPr>
            <w:r>
              <w:rPr>
                <w:rFonts w:ascii="Arial" w:cs="Arial" w:eastAsia="Arial" w:hAnsi="Arial"/>
                <w:sz w:val="10"/>
                <w:szCs w:val="10"/>
                <w:color w:val="auto"/>
                <w:w w:val="71"/>
              </w:rPr>
              <w:t>$</w:t>
            </w:r>
          </w:p>
        </w:tc>
        <w:tc>
          <w:tcPr>
            <w:tcW w:w="1120" w:type="dxa"/>
            <w:vAlign w:val="bottom"/>
            <w:gridSpan w:val="2"/>
            <w:shd w:val="clear" w:color="auto" w:fill="CFF0FC"/>
          </w:tcPr>
          <w:p>
            <w:pPr>
              <w:jc w:val="right"/>
              <w:ind w:right="180"/>
              <w:spacing w:after="0"/>
              <w:rPr>
                <w:sz w:val="20"/>
                <w:szCs w:val="20"/>
                <w:color w:val="auto"/>
              </w:rPr>
            </w:pPr>
            <w:r>
              <w:rPr>
                <w:rFonts w:ascii="Arial" w:cs="Arial" w:eastAsia="Arial" w:hAnsi="Arial"/>
                <w:sz w:val="13"/>
                <w:szCs w:val="13"/>
                <w:color w:val="auto"/>
              </w:rPr>
              <w:t>(121,346 )</w:t>
            </w:r>
          </w:p>
        </w:tc>
        <w:tc>
          <w:tcPr>
            <w:tcW w:w="160" w:type="dxa"/>
            <w:vAlign w:val="bottom"/>
            <w:shd w:val="clear" w:color="auto" w:fill="CFF0FC"/>
          </w:tcPr>
          <w:p>
            <w:pPr>
              <w:jc w:val="right"/>
              <w:ind w:right="17"/>
              <w:spacing w:after="0"/>
              <w:rPr>
                <w:sz w:val="20"/>
                <w:szCs w:val="20"/>
                <w:color w:val="auto"/>
              </w:rPr>
            </w:pPr>
            <w:r>
              <w:rPr>
                <w:rFonts w:ascii="Arial" w:cs="Arial" w:eastAsia="Arial" w:hAnsi="Arial"/>
                <w:sz w:val="13"/>
                <w:szCs w:val="13"/>
                <w:color w:val="auto"/>
                <w:w w:val="82"/>
              </w:rPr>
              <w:t>$</w:t>
            </w:r>
          </w:p>
        </w:tc>
        <w:tc>
          <w:tcPr>
            <w:tcW w:w="1080" w:type="dxa"/>
            <w:vAlign w:val="bottom"/>
            <w:gridSpan w:val="2"/>
            <w:shd w:val="clear" w:color="auto" w:fill="CFF0FC"/>
          </w:tcPr>
          <w:p>
            <w:pPr>
              <w:jc w:val="right"/>
              <w:ind w:right="60"/>
              <w:spacing w:after="0"/>
              <w:rPr>
                <w:sz w:val="20"/>
                <w:szCs w:val="20"/>
                <w:color w:val="auto"/>
              </w:rPr>
            </w:pPr>
            <w:r>
              <w:rPr>
                <w:rFonts w:ascii="Arial" w:cs="Arial" w:eastAsia="Arial" w:hAnsi="Arial"/>
                <w:sz w:val="13"/>
                <w:szCs w:val="13"/>
                <w:color w:val="auto"/>
              </w:rPr>
              <w:t>(65,689 )</w:t>
            </w:r>
          </w:p>
        </w:tc>
      </w:tr>
      <w:tr>
        <w:trPr>
          <w:trHeight w:val="101"/>
        </w:trPr>
        <w:tc>
          <w:tcPr>
            <w:tcW w:w="2840" w:type="dxa"/>
            <w:vAlign w:val="bottom"/>
            <w:tcBorders>
              <w:top w:val="single" w:sz="8" w:color="CFF0FC"/>
            </w:tcBorders>
          </w:tcPr>
          <w:p>
            <w:pPr>
              <w:ind w:left="20"/>
              <w:spacing w:after="0" w:line="101" w:lineRule="exact"/>
              <w:rPr>
                <w:sz w:val="20"/>
                <w:szCs w:val="20"/>
                <w:color w:val="auto"/>
              </w:rPr>
            </w:pPr>
            <w:r>
              <w:rPr>
                <w:rFonts w:ascii="Arial" w:cs="Arial" w:eastAsia="Arial" w:hAnsi="Arial"/>
                <w:sz w:val="10"/>
                <w:szCs w:val="10"/>
                <w:color w:val="auto"/>
              </w:rPr>
              <w:t>Issuance of redeemable convertible preferred stock,</w:t>
            </w:r>
          </w:p>
        </w:tc>
        <w:tc>
          <w:tcPr>
            <w:tcW w:w="920" w:type="dxa"/>
            <w:vAlign w:val="bottom"/>
            <w:tcBorders>
              <w:top w:val="single" w:sz="8" w:color="auto"/>
            </w:tcBorders>
          </w:tcPr>
          <w:p>
            <w:pPr>
              <w:spacing w:after="0"/>
              <w:rPr>
                <w:sz w:val="8"/>
                <w:szCs w:val="8"/>
                <w:color w:val="auto"/>
              </w:rPr>
            </w:pPr>
          </w:p>
        </w:tc>
        <w:tc>
          <w:tcPr>
            <w:tcW w:w="280" w:type="dxa"/>
            <w:vAlign w:val="bottom"/>
            <w:tcBorders>
              <w:top w:val="single" w:sz="8" w:color="CFF0FC"/>
            </w:tcBorders>
          </w:tcPr>
          <w:p>
            <w:pPr>
              <w:spacing w:after="0"/>
              <w:rPr>
                <w:sz w:val="8"/>
                <w:szCs w:val="8"/>
                <w:color w:val="auto"/>
              </w:rPr>
            </w:pPr>
          </w:p>
        </w:tc>
        <w:tc>
          <w:tcPr>
            <w:tcW w:w="300" w:type="dxa"/>
            <w:vAlign w:val="bottom"/>
            <w:tcBorders>
              <w:top w:val="single" w:sz="8" w:color="auto"/>
            </w:tcBorders>
          </w:tcPr>
          <w:p>
            <w:pPr>
              <w:spacing w:after="0"/>
              <w:rPr>
                <w:sz w:val="8"/>
                <w:szCs w:val="8"/>
                <w:color w:val="auto"/>
              </w:rPr>
            </w:pPr>
          </w:p>
        </w:tc>
        <w:tc>
          <w:tcPr>
            <w:tcW w:w="640" w:type="dxa"/>
            <w:vAlign w:val="bottom"/>
            <w:tcBorders>
              <w:top w:val="single" w:sz="8" w:color="auto"/>
            </w:tcBorders>
          </w:tcPr>
          <w:p>
            <w:pPr>
              <w:spacing w:after="0"/>
              <w:rPr>
                <w:sz w:val="8"/>
                <w:szCs w:val="8"/>
                <w:color w:val="auto"/>
              </w:rPr>
            </w:pPr>
          </w:p>
        </w:tc>
        <w:tc>
          <w:tcPr>
            <w:tcW w:w="240" w:type="dxa"/>
            <w:vAlign w:val="bottom"/>
            <w:tcBorders>
              <w:top w:val="single" w:sz="8" w:color="CFF0FC"/>
            </w:tcBorders>
          </w:tcPr>
          <w:p>
            <w:pPr>
              <w:spacing w:after="0"/>
              <w:rPr>
                <w:sz w:val="8"/>
                <w:szCs w:val="8"/>
                <w:color w:val="auto"/>
              </w:rPr>
            </w:pPr>
          </w:p>
        </w:tc>
        <w:tc>
          <w:tcPr>
            <w:tcW w:w="1000" w:type="dxa"/>
            <w:vAlign w:val="bottom"/>
            <w:tcBorders>
              <w:top w:val="single" w:sz="8" w:color="auto"/>
            </w:tcBorders>
          </w:tcPr>
          <w:p>
            <w:pPr>
              <w:spacing w:after="0"/>
              <w:rPr>
                <w:sz w:val="8"/>
                <w:szCs w:val="8"/>
                <w:color w:val="auto"/>
              </w:rPr>
            </w:pPr>
          </w:p>
        </w:tc>
        <w:tc>
          <w:tcPr>
            <w:tcW w:w="240" w:type="dxa"/>
            <w:vAlign w:val="bottom"/>
            <w:tcBorders>
              <w:top w:val="single" w:sz="8" w:color="CFF0FC"/>
            </w:tcBorders>
          </w:tcPr>
          <w:p>
            <w:pPr>
              <w:spacing w:after="0"/>
              <w:rPr>
                <w:sz w:val="8"/>
                <w:szCs w:val="8"/>
                <w:color w:val="auto"/>
              </w:rPr>
            </w:pPr>
          </w:p>
        </w:tc>
        <w:tc>
          <w:tcPr>
            <w:tcW w:w="160" w:type="dxa"/>
            <w:vAlign w:val="bottom"/>
            <w:tcBorders>
              <w:top w:val="single" w:sz="8" w:color="auto"/>
            </w:tcBorders>
          </w:tcPr>
          <w:p>
            <w:pPr>
              <w:spacing w:after="0"/>
              <w:rPr>
                <w:sz w:val="8"/>
                <w:szCs w:val="8"/>
                <w:color w:val="auto"/>
              </w:rPr>
            </w:pPr>
          </w:p>
        </w:tc>
        <w:tc>
          <w:tcPr>
            <w:tcW w:w="700" w:type="dxa"/>
            <w:vAlign w:val="bottom"/>
            <w:tcBorders>
              <w:top w:val="single" w:sz="8" w:color="auto"/>
            </w:tcBorders>
          </w:tcPr>
          <w:p>
            <w:pPr>
              <w:spacing w:after="0"/>
              <w:rPr>
                <w:sz w:val="8"/>
                <w:szCs w:val="8"/>
                <w:color w:val="auto"/>
              </w:rPr>
            </w:pPr>
          </w:p>
        </w:tc>
        <w:tc>
          <w:tcPr>
            <w:tcW w:w="260" w:type="dxa"/>
            <w:vAlign w:val="bottom"/>
            <w:tcBorders>
              <w:top w:val="single" w:sz="8" w:color="CFF0FC"/>
            </w:tcBorders>
          </w:tcPr>
          <w:p>
            <w:pPr>
              <w:spacing w:after="0"/>
              <w:rPr>
                <w:sz w:val="8"/>
                <w:szCs w:val="8"/>
                <w:color w:val="auto"/>
              </w:rPr>
            </w:pPr>
          </w:p>
        </w:tc>
        <w:tc>
          <w:tcPr>
            <w:tcW w:w="140" w:type="dxa"/>
            <w:vAlign w:val="bottom"/>
            <w:tcBorders>
              <w:top w:val="single" w:sz="8" w:color="auto"/>
            </w:tcBorders>
          </w:tcPr>
          <w:p>
            <w:pPr>
              <w:spacing w:after="0"/>
              <w:rPr>
                <w:sz w:val="8"/>
                <w:szCs w:val="8"/>
                <w:color w:val="auto"/>
              </w:rPr>
            </w:pPr>
          </w:p>
        </w:tc>
        <w:tc>
          <w:tcPr>
            <w:tcW w:w="760" w:type="dxa"/>
            <w:vAlign w:val="bottom"/>
            <w:tcBorders>
              <w:top w:val="single" w:sz="8" w:color="auto"/>
            </w:tcBorders>
          </w:tcPr>
          <w:p>
            <w:pPr>
              <w:spacing w:after="0"/>
              <w:rPr>
                <w:sz w:val="8"/>
                <w:szCs w:val="8"/>
                <w:color w:val="auto"/>
              </w:rPr>
            </w:pPr>
          </w:p>
        </w:tc>
        <w:tc>
          <w:tcPr>
            <w:tcW w:w="260" w:type="dxa"/>
            <w:vAlign w:val="bottom"/>
            <w:tcBorders>
              <w:top w:val="single" w:sz="8" w:color="CFF0FC"/>
            </w:tcBorders>
          </w:tcPr>
          <w:p>
            <w:pPr>
              <w:spacing w:after="0"/>
              <w:rPr>
                <w:sz w:val="8"/>
                <w:szCs w:val="8"/>
                <w:color w:val="auto"/>
              </w:rPr>
            </w:pPr>
          </w:p>
        </w:tc>
        <w:tc>
          <w:tcPr>
            <w:tcW w:w="140" w:type="dxa"/>
            <w:vAlign w:val="bottom"/>
            <w:tcBorders>
              <w:top w:val="single" w:sz="8" w:color="auto"/>
            </w:tcBorders>
          </w:tcPr>
          <w:p>
            <w:pPr>
              <w:spacing w:after="0"/>
              <w:rPr>
                <w:sz w:val="8"/>
                <w:szCs w:val="8"/>
                <w:color w:val="auto"/>
              </w:rPr>
            </w:pPr>
          </w:p>
        </w:tc>
        <w:tc>
          <w:tcPr>
            <w:tcW w:w="880" w:type="dxa"/>
            <w:vAlign w:val="bottom"/>
            <w:tcBorders>
              <w:top w:val="single" w:sz="8" w:color="auto"/>
            </w:tcBorders>
          </w:tcPr>
          <w:p>
            <w:pPr>
              <w:spacing w:after="0"/>
              <w:rPr>
                <w:sz w:val="8"/>
                <w:szCs w:val="8"/>
                <w:color w:val="auto"/>
              </w:rPr>
            </w:pPr>
          </w:p>
        </w:tc>
        <w:tc>
          <w:tcPr>
            <w:tcW w:w="240" w:type="dxa"/>
            <w:vAlign w:val="bottom"/>
            <w:tcBorders>
              <w:top w:val="single" w:sz="8" w:color="CFF0FC"/>
            </w:tcBorders>
          </w:tcPr>
          <w:p>
            <w:pPr>
              <w:spacing w:after="0"/>
              <w:rPr>
                <w:sz w:val="8"/>
                <w:szCs w:val="8"/>
                <w:color w:val="auto"/>
              </w:rPr>
            </w:pPr>
          </w:p>
        </w:tc>
        <w:tc>
          <w:tcPr>
            <w:tcW w:w="160" w:type="dxa"/>
            <w:vAlign w:val="bottom"/>
            <w:tcBorders>
              <w:top w:val="single" w:sz="8" w:color="auto"/>
            </w:tcBorders>
          </w:tcPr>
          <w:p>
            <w:pPr>
              <w:spacing w:after="0"/>
              <w:rPr>
                <w:sz w:val="8"/>
                <w:szCs w:val="8"/>
                <w:color w:val="auto"/>
              </w:rPr>
            </w:pPr>
          </w:p>
        </w:tc>
        <w:tc>
          <w:tcPr>
            <w:tcW w:w="980" w:type="dxa"/>
            <w:vAlign w:val="bottom"/>
            <w:tcBorders>
              <w:top w:val="single" w:sz="8" w:color="auto"/>
            </w:tcBorders>
          </w:tcPr>
          <w:p>
            <w:pPr>
              <w:spacing w:after="0"/>
              <w:rPr>
                <w:sz w:val="8"/>
                <w:szCs w:val="8"/>
                <w:color w:val="auto"/>
              </w:rPr>
            </w:pPr>
          </w:p>
        </w:tc>
        <w:tc>
          <w:tcPr>
            <w:tcW w:w="100" w:type="dxa"/>
            <w:vAlign w:val="bottom"/>
            <w:tcBorders>
              <w:top w:val="single" w:sz="8" w:color="CFF0FC"/>
            </w:tcBorders>
          </w:tcPr>
          <w:p>
            <w:pPr>
              <w:spacing w:after="0"/>
              <w:rPr>
                <w:sz w:val="8"/>
                <w:szCs w:val="8"/>
                <w:color w:val="auto"/>
              </w:rPr>
            </w:pPr>
          </w:p>
        </w:tc>
      </w:tr>
      <w:tr>
        <w:trPr>
          <w:trHeight w:val="167"/>
        </w:trPr>
        <w:tc>
          <w:tcPr>
            <w:tcW w:w="2840" w:type="dxa"/>
            <w:vAlign w:val="bottom"/>
          </w:tcPr>
          <w:p>
            <w:pPr>
              <w:ind w:left="20"/>
              <w:spacing w:after="0"/>
              <w:rPr>
                <w:sz w:val="20"/>
                <w:szCs w:val="20"/>
                <w:color w:val="auto"/>
              </w:rPr>
            </w:pPr>
            <w:r>
              <w:rPr>
                <w:rFonts w:ascii="Arial" w:cs="Arial" w:eastAsia="Arial" w:hAnsi="Arial"/>
                <w:sz w:val="13"/>
                <w:szCs w:val="13"/>
                <w:color w:val="auto"/>
              </w:rPr>
              <w:t>net of issuance costs of $0</w:t>
            </w:r>
          </w:p>
        </w:tc>
        <w:tc>
          <w:tcPr>
            <w:tcW w:w="920" w:type="dxa"/>
            <w:vAlign w:val="bottom"/>
          </w:tcPr>
          <w:p>
            <w:pPr>
              <w:jc w:val="right"/>
              <w:spacing w:after="0"/>
              <w:rPr>
                <w:sz w:val="20"/>
                <w:szCs w:val="20"/>
                <w:color w:val="auto"/>
              </w:rPr>
            </w:pPr>
            <w:r>
              <w:rPr>
                <w:rFonts w:ascii="Arial" w:cs="Arial" w:eastAsia="Arial" w:hAnsi="Arial"/>
                <w:sz w:val="13"/>
                <w:szCs w:val="13"/>
                <w:color w:val="auto"/>
              </w:rPr>
              <w:t>828</w:t>
            </w:r>
          </w:p>
        </w:tc>
        <w:tc>
          <w:tcPr>
            <w:tcW w:w="28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640" w:type="dxa"/>
            <w:vAlign w:val="bottom"/>
          </w:tcPr>
          <w:p>
            <w:pPr>
              <w:jc w:val="right"/>
              <w:spacing w:after="0"/>
              <w:rPr>
                <w:sz w:val="20"/>
                <w:szCs w:val="20"/>
                <w:color w:val="auto"/>
              </w:rPr>
            </w:pPr>
            <w:r>
              <w:rPr>
                <w:rFonts w:ascii="Arial" w:cs="Arial" w:eastAsia="Arial" w:hAnsi="Arial"/>
                <w:sz w:val="13"/>
                <w:szCs w:val="13"/>
                <w:color w:val="auto"/>
              </w:rPr>
              <w:t>26,500</w:t>
            </w:r>
          </w:p>
        </w:tc>
        <w:tc>
          <w:tcPr>
            <w:tcW w:w="240" w:type="dxa"/>
            <w:vAlign w:val="bottom"/>
          </w:tcPr>
          <w:p>
            <w:pPr>
              <w:spacing w:after="0"/>
              <w:rPr>
                <w:sz w:val="14"/>
                <w:szCs w:val="14"/>
                <w:color w:val="auto"/>
              </w:rPr>
            </w:pPr>
          </w:p>
        </w:tc>
        <w:tc>
          <w:tcPr>
            <w:tcW w:w="1000" w:type="dxa"/>
            <w:vAlign w:val="bottom"/>
          </w:tcPr>
          <w:p>
            <w:pPr>
              <w:jc w:val="right"/>
              <w:spacing w:after="0"/>
              <w:rPr>
                <w:sz w:val="20"/>
                <w:szCs w:val="20"/>
                <w:color w:val="auto"/>
              </w:rPr>
            </w:pPr>
            <w:r>
              <w:rPr>
                <w:rFonts w:ascii="Arial" w:cs="Arial" w:eastAsia="Arial" w:hAnsi="Arial"/>
                <w:sz w:val="13"/>
                <w:szCs w:val="13"/>
                <w:color w:val="auto"/>
              </w:rPr>
              <w:t>—</w:t>
            </w:r>
          </w:p>
        </w:tc>
        <w:tc>
          <w:tcPr>
            <w:tcW w:w="2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700" w:type="dxa"/>
            <w:vAlign w:val="bottom"/>
          </w:tcPr>
          <w:p>
            <w:pPr>
              <w:jc w:val="right"/>
              <w:spacing w:after="0"/>
              <w:rPr>
                <w:sz w:val="20"/>
                <w:szCs w:val="20"/>
                <w:color w:val="auto"/>
              </w:rPr>
            </w:pPr>
            <w:r>
              <w:rPr>
                <w:rFonts w:ascii="Arial" w:cs="Arial" w:eastAsia="Arial" w:hAnsi="Arial"/>
                <w:sz w:val="13"/>
                <w:szCs w:val="13"/>
                <w:color w:val="auto"/>
              </w:rPr>
              <w:t>—</w:t>
            </w:r>
          </w:p>
        </w:tc>
        <w:tc>
          <w:tcPr>
            <w:tcW w:w="2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760" w:type="dxa"/>
            <w:vAlign w:val="bottom"/>
          </w:tcPr>
          <w:p>
            <w:pPr>
              <w:jc w:val="right"/>
              <w:spacing w:after="0"/>
              <w:rPr>
                <w:sz w:val="20"/>
                <w:szCs w:val="20"/>
                <w:color w:val="auto"/>
              </w:rPr>
            </w:pPr>
            <w:r>
              <w:rPr>
                <w:rFonts w:ascii="Arial" w:cs="Arial" w:eastAsia="Arial" w:hAnsi="Arial"/>
                <w:sz w:val="13"/>
                <w:szCs w:val="13"/>
                <w:color w:val="auto"/>
              </w:rPr>
              <w:t>—</w:t>
            </w:r>
          </w:p>
        </w:tc>
        <w:tc>
          <w:tcPr>
            <w:tcW w:w="2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120" w:type="dxa"/>
            <w:vAlign w:val="bottom"/>
            <w:gridSpan w:val="2"/>
          </w:tcPr>
          <w:p>
            <w:pPr>
              <w:jc w:val="right"/>
              <w:ind w:right="260"/>
              <w:spacing w:after="0"/>
              <w:rPr>
                <w:sz w:val="20"/>
                <w:szCs w:val="20"/>
                <w:color w:val="auto"/>
              </w:rPr>
            </w:pPr>
            <w:r>
              <w:rPr>
                <w:rFonts w:ascii="Arial" w:cs="Arial" w:eastAsia="Arial" w:hAnsi="Arial"/>
                <w:sz w:val="13"/>
                <w:szCs w:val="13"/>
                <w:color w:val="auto"/>
              </w:rPr>
              <w:t>—</w:t>
            </w:r>
          </w:p>
        </w:tc>
        <w:tc>
          <w:tcPr>
            <w:tcW w:w="160" w:type="dxa"/>
            <w:vAlign w:val="bottom"/>
          </w:tcPr>
          <w:p>
            <w:pPr>
              <w:spacing w:after="0"/>
              <w:rPr>
                <w:sz w:val="14"/>
                <w:szCs w:val="14"/>
                <w:color w:val="auto"/>
              </w:rPr>
            </w:pPr>
          </w:p>
        </w:tc>
        <w:tc>
          <w:tcPr>
            <w:tcW w:w="1080" w:type="dxa"/>
            <w:vAlign w:val="bottom"/>
            <w:gridSpan w:val="2"/>
          </w:tcPr>
          <w:p>
            <w:pPr>
              <w:jc w:val="right"/>
              <w:ind w:right="120"/>
              <w:spacing w:after="0"/>
              <w:rPr>
                <w:sz w:val="20"/>
                <w:szCs w:val="20"/>
                <w:color w:val="auto"/>
              </w:rPr>
            </w:pPr>
            <w:r>
              <w:rPr>
                <w:rFonts w:ascii="Arial" w:cs="Arial" w:eastAsia="Arial" w:hAnsi="Arial"/>
                <w:sz w:val="13"/>
                <w:szCs w:val="13"/>
                <w:color w:val="auto"/>
              </w:rPr>
              <w:t>—</w:t>
            </w:r>
          </w:p>
        </w:tc>
      </w:tr>
      <w:tr>
        <w:trPr>
          <w:trHeight w:val="130"/>
        </w:trPr>
        <w:tc>
          <w:tcPr>
            <w:tcW w:w="2840" w:type="dxa"/>
            <w:vAlign w:val="bottom"/>
            <w:shd w:val="clear" w:color="auto" w:fill="CFF0FC"/>
          </w:tcPr>
          <w:p>
            <w:pPr>
              <w:ind w:left="20"/>
              <w:spacing w:after="0" w:line="130" w:lineRule="exact"/>
              <w:rPr>
                <w:sz w:val="20"/>
                <w:szCs w:val="20"/>
                <w:color w:val="auto"/>
              </w:rPr>
            </w:pPr>
            <w:r>
              <w:rPr>
                <w:rFonts w:ascii="Arial" w:cs="Arial" w:eastAsia="Arial" w:hAnsi="Arial"/>
                <w:sz w:val="13"/>
                <w:szCs w:val="13"/>
                <w:color w:val="auto"/>
              </w:rPr>
              <w:t>Conversion of redeemable convertible preferred</w:t>
            </w:r>
          </w:p>
        </w:tc>
        <w:tc>
          <w:tcPr>
            <w:tcW w:w="920" w:type="dxa"/>
            <w:vAlign w:val="bottom"/>
            <w:shd w:val="clear" w:color="auto" w:fill="CFF0FC"/>
          </w:tcPr>
          <w:p>
            <w:pPr>
              <w:spacing w:after="0"/>
              <w:rPr>
                <w:sz w:val="11"/>
                <w:szCs w:val="11"/>
                <w:color w:val="auto"/>
              </w:rPr>
            </w:pPr>
          </w:p>
        </w:tc>
        <w:tc>
          <w:tcPr>
            <w:tcW w:w="280" w:type="dxa"/>
            <w:vAlign w:val="bottom"/>
            <w:shd w:val="clear" w:color="auto" w:fill="CFF0FC"/>
          </w:tcPr>
          <w:p>
            <w:pPr>
              <w:spacing w:after="0"/>
              <w:rPr>
                <w:sz w:val="11"/>
                <w:szCs w:val="11"/>
                <w:color w:val="auto"/>
              </w:rPr>
            </w:pPr>
          </w:p>
        </w:tc>
        <w:tc>
          <w:tcPr>
            <w:tcW w:w="300" w:type="dxa"/>
            <w:vAlign w:val="bottom"/>
            <w:shd w:val="clear" w:color="auto" w:fill="CFF0FC"/>
          </w:tcPr>
          <w:p>
            <w:pPr>
              <w:spacing w:after="0"/>
              <w:rPr>
                <w:sz w:val="11"/>
                <w:szCs w:val="11"/>
                <w:color w:val="auto"/>
              </w:rPr>
            </w:pPr>
          </w:p>
        </w:tc>
        <w:tc>
          <w:tcPr>
            <w:tcW w:w="640" w:type="dxa"/>
            <w:vAlign w:val="bottom"/>
            <w:shd w:val="clear" w:color="auto" w:fill="CFF0FC"/>
          </w:tcPr>
          <w:p>
            <w:pPr>
              <w:spacing w:after="0"/>
              <w:rPr>
                <w:sz w:val="11"/>
                <w:szCs w:val="11"/>
                <w:color w:val="auto"/>
              </w:rPr>
            </w:pPr>
          </w:p>
        </w:tc>
        <w:tc>
          <w:tcPr>
            <w:tcW w:w="240" w:type="dxa"/>
            <w:vAlign w:val="bottom"/>
            <w:shd w:val="clear" w:color="auto" w:fill="CFF0FC"/>
          </w:tcPr>
          <w:p>
            <w:pPr>
              <w:spacing w:after="0"/>
              <w:rPr>
                <w:sz w:val="11"/>
                <w:szCs w:val="11"/>
                <w:color w:val="auto"/>
              </w:rPr>
            </w:pPr>
          </w:p>
        </w:tc>
        <w:tc>
          <w:tcPr>
            <w:tcW w:w="1000" w:type="dxa"/>
            <w:vAlign w:val="bottom"/>
            <w:shd w:val="clear" w:color="auto" w:fill="CFF0FC"/>
          </w:tcPr>
          <w:p>
            <w:pPr>
              <w:spacing w:after="0"/>
              <w:rPr>
                <w:sz w:val="11"/>
                <w:szCs w:val="11"/>
                <w:color w:val="auto"/>
              </w:rPr>
            </w:pPr>
          </w:p>
        </w:tc>
        <w:tc>
          <w:tcPr>
            <w:tcW w:w="240" w:type="dxa"/>
            <w:vAlign w:val="bottom"/>
            <w:shd w:val="clear" w:color="auto" w:fill="CFF0FC"/>
          </w:tcPr>
          <w:p>
            <w:pPr>
              <w:spacing w:after="0"/>
              <w:rPr>
                <w:sz w:val="11"/>
                <w:szCs w:val="11"/>
                <w:color w:val="auto"/>
              </w:rPr>
            </w:pPr>
          </w:p>
        </w:tc>
        <w:tc>
          <w:tcPr>
            <w:tcW w:w="160" w:type="dxa"/>
            <w:vAlign w:val="bottom"/>
            <w:shd w:val="clear" w:color="auto" w:fill="CFF0FC"/>
          </w:tcPr>
          <w:p>
            <w:pPr>
              <w:spacing w:after="0"/>
              <w:rPr>
                <w:sz w:val="11"/>
                <w:szCs w:val="11"/>
                <w:color w:val="auto"/>
              </w:rPr>
            </w:pPr>
          </w:p>
        </w:tc>
        <w:tc>
          <w:tcPr>
            <w:tcW w:w="700" w:type="dxa"/>
            <w:vAlign w:val="bottom"/>
            <w:shd w:val="clear" w:color="auto" w:fill="CFF0FC"/>
          </w:tcPr>
          <w:p>
            <w:pPr>
              <w:spacing w:after="0"/>
              <w:rPr>
                <w:sz w:val="11"/>
                <w:szCs w:val="11"/>
                <w:color w:val="auto"/>
              </w:rPr>
            </w:pPr>
          </w:p>
        </w:tc>
        <w:tc>
          <w:tcPr>
            <w:tcW w:w="260" w:type="dxa"/>
            <w:vAlign w:val="bottom"/>
            <w:shd w:val="clear" w:color="auto" w:fill="CFF0FC"/>
          </w:tcPr>
          <w:p>
            <w:pPr>
              <w:spacing w:after="0"/>
              <w:rPr>
                <w:sz w:val="11"/>
                <w:szCs w:val="11"/>
                <w:color w:val="auto"/>
              </w:rPr>
            </w:pPr>
          </w:p>
        </w:tc>
        <w:tc>
          <w:tcPr>
            <w:tcW w:w="140" w:type="dxa"/>
            <w:vAlign w:val="bottom"/>
            <w:shd w:val="clear" w:color="auto" w:fill="CFF0FC"/>
          </w:tcPr>
          <w:p>
            <w:pPr>
              <w:spacing w:after="0"/>
              <w:rPr>
                <w:sz w:val="11"/>
                <w:szCs w:val="11"/>
                <w:color w:val="auto"/>
              </w:rPr>
            </w:pPr>
          </w:p>
        </w:tc>
        <w:tc>
          <w:tcPr>
            <w:tcW w:w="760" w:type="dxa"/>
            <w:vAlign w:val="bottom"/>
            <w:shd w:val="clear" w:color="auto" w:fill="CFF0FC"/>
          </w:tcPr>
          <w:p>
            <w:pPr>
              <w:spacing w:after="0"/>
              <w:rPr>
                <w:sz w:val="11"/>
                <w:szCs w:val="11"/>
                <w:color w:val="auto"/>
              </w:rPr>
            </w:pPr>
          </w:p>
        </w:tc>
        <w:tc>
          <w:tcPr>
            <w:tcW w:w="260" w:type="dxa"/>
            <w:vAlign w:val="bottom"/>
            <w:shd w:val="clear" w:color="auto" w:fill="CFF0FC"/>
          </w:tcPr>
          <w:p>
            <w:pPr>
              <w:spacing w:after="0"/>
              <w:rPr>
                <w:sz w:val="11"/>
                <w:szCs w:val="11"/>
                <w:color w:val="auto"/>
              </w:rPr>
            </w:pPr>
          </w:p>
        </w:tc>
        <w:tc>
          <w:tcPr>
            <w:tcW w:w="140" w:type="dxa"/>
            <w:vAlign w:val="bottom"/>
            <w:shd w:val="clear" w:color="auto" w:fill="CFF0FC"/>
          </w:tcPr>
          <w:p>
            <w:pPr>
              <w:spacing w:after="0"/>
              <w:rPr>
                <w:sz w:val="11"/>
                <w:szCs w:val="11"/>
                <w:color w:val="auto"/>
              </w:rPr>
            </w:pPr>
          </w:p>
        </w:tc>
        <w:tc>
          <w:tcPr>
            <w:tcW w:w="880" w:type="dxa"/>
            <w:vAlign w:val="bottom"/>
            <w:shd w:val="clear" w:color="auto" w:fill="CFF0FC"/>
          </w:tcPr>
          <w:p>
            <w:pPr>
              <w:spacing w:after="0"/>
              <w:rPr>
                <w:sz w:val="11"/>
                <w:szCs w:val="11"/>
                <w:color w:val="auto"/>
              </w:rPr>
            </w:pPr>
          </w:p>
        </w:tc>
        <w:tc>
          <w:tcPr>
            <w:tcW w:w="240" w:type="dxa"/>
            <w:vAlign w:val="bottom"/>
            <w:shd w:val="clear" w:color="auto" w:fill="CFF0FC"/>
          </w:tcPr>
          <w:p>
            <w:pPr>
              <w:spacing w:after="0"/>
              <w:rPr>
                <w:sz w:val="11"/>
                <w:szCs w:val="11"/>
                <w:color w:val="auto"/>
              </w:rPr>
            </w:pPr>
          </w:p>
        </w:tc>
        <w:tc>
          <w:tcPr>
            <w:tcW w:w="160" w:type="dxa"/>
            <w:vAlign w:val="bottom"/>
            <w:shd w:val="clear" w:color="auto" w:fill="CFF0FC"/>
          </w:tcPr>
          <w:p>
            <w:pPr>
              <w:spacing w:after="0"/>
              <w:rPr>
                <w:sz w:val="11"/>
                <w:szCs w:val="11"/>
                <w:color w:val="auto"/>
              </w:rPr>
            </w:pPr>
          </w:p>
        </w:tc>
        <w:tc>
          <w:tcPr>
            <w:tcW w:w="980" w:type="dxa"/>
            <w:vAlign w:val="bottom"/>
            <w:shd w:val="clear" w:color="auto" w:fill="CFF0FC"/>
          </w:tcPr>
          <w:p>
            <w:pPr>
              <w:spacing w:after="0"/>
              <w:rPr>
                <w:sz w:val="11"/>
                <w:szCs w:val="11"/>
                <w:color w:val="auto"/>
              </w:rPr>
            </w:pPr>
          </w:p>
        </w:tc>
        <w:tc>
          <w:tcPr>
            <w:tcW w:w="100" w:type="dxa"/>
            <w:vAlign w:val="bottom"/>
            <w:shd w:val="clear" w:color="auto" w:fill="CFF0FC"/>
          </w:tcPr>
          <w:p>
            <w:pPr>
              <w:spacing w:after="0"/>
              <w:rPr>
                <w:sz w:val="11"/>
                <w:szCs w:val="11"/>
                <w:color w:val="auto"/>
              </w:rPr>
            </w:pPr>
          </w:p>
        </w:tc>
      </w:tr>
      <w:tr>
        <w:trPr>
          <w:trHeight w:val="176"/>
        </w:trPr>
        <w:tc>
          <w:tcPr>
            <w:tcW w:w="2840" w:type="dxa"/>
            <w:vAlign w:val="bottom"/>
            <w:shd w:val="clear" w:color="auto" w:fill="CFF0FC"/>
          </w:tcPr>
          <w:p>
            <w:pPr>
              <w:ind w:left="20"/>
              <w:spacing w:after="0"/>
              <w:rPr>
                <w:sz w:val="20"/>
                <w:szCs w:val="20"/>
                <w:color w:val="auto"/>
              </w:rPr>
            </w:pPr>
            <w:r>
              <w:rPr>
                <w:rFonts w:ascii="Arial" w:cs="Arial" w:eastAsia="Arial" w:hAnsi="Arial"/>
                <w:sz w:val="13"/>
                <w:szCs w:val="13"/>
                <w:color w:val="auto"/>
              </w:rPr>
              <w:t>stock to common stock upon direct listing</w:t>
            </w:r>
          </w:p>
        </w:tc>
        <w:tc>
          <w:tcPr>
            <w:tcW w:w="1200" w:type="dxa"/>
            <w:vAlign w:val="bottom"/>
            <w:gridSpan w:val="2"/>
            <w:shd w:val="clear" w:color="auto" w:fill="CFF0FC"/>
          </w:tcPr>
          <w:p>
            <w:pPr>
              <w:jc w:val="right"/>
              <w:ind w:right="220"/>
              <w:spacing w:after="0"/>
              <w:rPr>
                <w:sz w:val="20"/>
                <w:szCs w:val="20"/>
                <w:color w:val="auto"/>
              </w:rPr>
            </w:pPr>
            <w:r>
              <w:rPr>
                <w:rFonts w:ascii="Arial" w:cs="Arial" w:eastAsia="Arial" w:hAnsi="Arial"/>
                <w:sz w:val="13"/>
                <w:szCs w:val="13"/>
                <w:color w:val="auto"/>
              </w:rPr>
              <w:t>(67,964 )</w:t>
            </w:r>
          </w:p>
        </w:tc>
        <w:tc>
          <w:tcPr>
            <w:tcW w:w="300" w:type="dxa"/>
            <w:vAlign w:val="bottom"/>
            <w:shd w:val="clear" w:color="auto" w:fill="CFF0FC"/>
          </w:tcPr>
          <w:p>
            <w:pPr>
              <w:spacing w:after="0"/>
              <w:rPr>
                <w:sz w:val="15"/>
                <w:szCs w:val="15"/>
                <w:color w:val="auto"/>
              </w:rPr>
            </w:pPr>
          </w:p>
        </w:tc>
        <w:tc>
          <w:tcPr>
            <w:tcW w:w="880" w:type="dxa"/>
            <w:vAlign w:val="bottom"/>
            <w:gridSpan w:val="2"/>
            <w:shd w:val="clear" w:color="auto" w:fill="CFF0FC"/>
          </w:tcPr>
          <w:p>
            <w:pPr>
              <w:jc w:val="right"/>
              <w:ind w:right="180"/>
              <w:spacing w:after="0"/>
              <w:rPr>
                <w:sz w:val="20"/>
                <w:szCs w:val="20"/>
                <w:color w:val="auto"/>
              </w:rPr>
            </w:pPr>
            <w:r>
              <w:rPr>
                <w:rFonts w:ascii="Arial" w:cs="Arial" w:eastAsia="Arial" w:hAnsi="Arial"/>
                <w:sz w:val="13"/>
                <w:szCs w:val="13"/>
                <w:color w:val="auto"/>
              </w:rPr>
              <w:t>(387,613 )</w:t>
            </w:r>
          </w:p>
        </w:tc>
        <w:tc>
          <w:tcPr>
            <w:tcW w:w="1000" w:type="dxa"/>
            <w:vAlign w:val="bottom"/>
            <w:shd w:val="clear" w:color="auto" w:fill="CFF0FC"/>
          </w:tcPr>
          <w:p>
            <w:pPr>
              <w:jc w:val="right"/>
              <w:spacing w:after="0"/>
              <w:rPr>
                <w:sz w:val="20"/>
                <w:szCs w:val="20"/>
                <w:color w:val="auto"/>
              </w:rPr>
            </w:pPr>
            <w:r>
              <w:rPr>
                <w:rFonts w:ascii="Arial" w:cs="Arial" w:eastAsia="Arial" w:hAnsi="Arial"/>
                <w:sz w:val="13"/>
                <w:szCs w:val="13"/>
                <w:color w:val="auto"/>
              </w:rPr>
              <w:t>67,964</w:t>
            </w:r>
          </w:p>
        </w:tc>
        <w:tc>
          <w:tcPr>
            <w:tcW w:w="240" w:type="dxa"/>
            <w:vAlign w:val="bottom"/>
            <w:shd w:val="clear" w:color="auto" w:fill="CFF0FC"/>
          </w:tcPr>
          <w:p>
            <w:pPr>
              <w:spacing w:after="0"/>
              <w:rPr>
                <w:sz w:val="15"/>
                <w:szCs w:val="15"/>
                <w:color w:val="auto"/>
              </w:rPr>
            </w:pPr>
          </w:p>
        </w:tc>
        <w:tc>
          <w:tcPr>
            <w:tcW w:w="160" w:type="dxa"/>
            <w:vAlign w:val="bottom"/>
            <w:shd w:val="clear" w:color="auto" w:fill="CFF0FC"/>
          </w:tcPr>
          <w:p>
            <w:pPr>
              <w:spacing w:after="0"/>
              <w:rPr>
                <w:sz w:val="15"/>
                <w:szCs w:val="15"/>
                <w:color w:val="auto"/>
              </w:rPr>
            </w:pPr>
          </w:p>
        </w:tc>
        <w:tc>
          <w:tcPr>
            <w:tcW w:w="700" w:type="dxa"/>
            <w:vAlign w:val="bottom"/>
            <w:shd w:val="clear" w:color="auto" w:fill="CFF0FC"/>
          </w:tcPr>
          <w:p>
            <w:pPr>
              <w:jc w:val="right"/>
              <w:spacing w:after="0"/>
              <w:rPr>
                <w:sz w:val="20"/>
                <w:szCs w:val="20"/>
                <w:color w:val="auto"/>
              </w:rPr>
            </w:pPr>
            <w:r>
              <w:rPr>
                <w:rFonts w:ascii="Arial" w:cs="Arial" w:eastAsia="Arial" w:hAnsi="Arial"/>
                <w:sz w:val="13"/>
                <w:szCs w:val="13"/>
                <w:color w:val="auto"/>
              </w:rPr>
              <w:t>1</w:t>
            </w:r>
          </w:p>
        </w:tc>
        <w:tc>
          <w:tcPr>
            <w:tcW w:w="260" w:type="dxa"/>
            <w:vAlign w:val="bottom"/>
            <w:shd w:val="clear" w:color="auto" w:fill="CFF0FC"/>
          </w:tcPr>
          <w:p>
            <w:pPr>
              <w:spacing w:after="0"/>
              <w:rPr>
                <w:sz w:val="15"/>
                <w:szCs w:val="15"/>
                <w:color w:val="auto"/>
              </w:rPr>
            </w:pPr>
          </w:p>
        </w:tc>
        <w:tc>
          <w:tcPr>
            <w:tcW w:w="140" w:type="dxa"/>
            <w:vAlign w:val="bottom"/>
            <w:shd w:val="clear" w:color="auto" w:fill="CFF0FC"/>
          </w:tcPr>
          <w:p>
            <w:pPr>
              <w:spacing w:after="0"/>
              <w:rPr>
                <w:sz w:val="15"/>
                <w:szCs w:val="15"/>
                <w:color w:val="auto"/>
              </w:rPr>
            </w:pPr>
          </w:p>
        </w:tc>
        <w:tc>
          <w:tcPr>
            <w:tcW w:w="760" w:type="dxa"/>
            <w:vAlign w:val="bottom"/>
            <w:shd w:val="clear" w:color="auto" w:fill="CFF0FC"/>
          </w:tcPr>
          <w:p>
            <w:pPr>
              <w:jc w:val="right"/>
              <w:spacing w:after="0"/>
              <w:rPr>
                <w:sz w:val="20"/>
                <w:szCs w:val="20"/>
                <w:color w:val="auto"/>
              </w:rPr>
            </w:pPr>
            <w:r>
              <w:rPr>
                <w:rFonts w:ascii="Arial" w:cs="Arial" w:eastAsia="Arial" w:hAnsi="Arial"/>
                <w:sz w:val="13"/>
                <w:szCs w:val="13"/>
                <w:color w:val="auto"/>
              </w:rPr>
              <w:t>387,612</w:t>
            </w:r>
          </w:p>
        </w:tc>
        <w:tc>
          <w:tcPr>
            <w:tcW w:w="260" w:type="dxa"/>
            <w:vAlign w:val="bottom"/>
            <w:shd w:val="clear" w:color="auto" w:fill="CFF0FC"/>
          </w:tcPr>
          <w:p>
            <w:pPr>
              <w:spacing w:after="0"/>
              <w:rPr>
                <w:sz w:val="15"/>
                <w:szCs w:val="15"/>
                <w:color w:val="auto"/>
              </w:rPr>
            </w:pPr>
          </w:p>
        </w:tc>
        <w:tc>
          <w:tcPr>
            <w:tcW w:w="140" w:type="dxa"/>
            <w:vAlign w:val="bottom"/>
            <w:shd w:val="clear" w:color="auto" w:fill="CFF0FC"/>
          </w:tcPr>
          <w:p>
            <w:pPr>
              <w:spacing w:after="0"/>
              <w:rPr>
                <w:sz w:val="15"/>
                <w:szCs w:val="15"/>
                <w:color w:val="auto"/>
              </w:rPr>
            </w:pPr>
          </w:p>
        </w:tc>
        <w:tc>
          <w:tcPr>
            <w:tcW w:w="1120" w:type="dxa"/>
            <w:vAlign w:val="bottom"/>
            <w:gridSpan w:val="2"/>
            <w:shd w:val="clear" w:color="auto" w:fill="CFF0FC"/>
          </w:tcPr>
          <w:p>
            <w:pPr>
              <w:jc w:val="right"/>
              <w:ind w:right="260"/>
              <w:spacing w:after="0"/>
              <w:rPr>
                <w:sz w:val="20"/>
                <w:szCs w:val="20"/>
                <w:color w:val="auto"/>
              </w:rPr>
            </w:pPr>
            <w:r>
              <w:rPr>
                <w:rFonts w:ascii="Arial" w:cs="Arial" w:eastAsia="Arial" w:hAnsi="Arial"/>
                <w:sz w:val="13"/>
                <w:szCs w:val="13"/>
                <w:color w:val="auto"/>
              </w:rPr>
              <w:t>—</w:t>
            </w:r>
          </w:p>
        </w:tc>
        <w:tc>
          <w:tcPr>
            <w:tcW w:w="160" w:type="dxa"/>
            <w:vAlign w:val="bottom"/>
            <w:shd w:val="clear" w:color="auto" w:fill="CFF0FC"/>
          </w:tcPr>
          <w:p>
            <w:pPr>
              <w:spacing w:after="0"/>
              <w:rPr>
                <w:sz w:val="15"/>
                <w:szCs w:val="15"/>
                <w:color w:val="auto"/>
              </w:rPr>
            </w:pPr>
          </w:p>
        </w:tc>
        <w:tc>
          <w:tcPr>
            <w:tcW w:w="980" w:type="dxa"/>
            <w:vAlign w:val="bottom"/>
            <w:shd w:val="clear" w:color="auto" w:fill="CFF0FC"/>
          </w:tcPr>
          <w:p>
            <w:pPr>
              <w:jc w:val="right"/>
              <w:spacing w:after="0"/>
              <w:rPr>
                <w:sz w:val="20"/>
                <w:szCs w:val="20"/>
                <w:color w:val="auto"/>
              </w:rPr>
            </w:pPr>
            <w:r>
              <w:rPr>
                <w:rFonts w:ascii="Arial" w:cs="Arial" w:eastAsia="Arial" w:hAnsi="Arial"/>
                <w:sz w:val="13"/>
                <w:szCs w:val="13"/>
                <w:color w:val="auto"/>
              </w:rPr>
              <w:t>387,613</w:t>
            </w:r>
          </w:p>
        </w:tc>
        <w:tc>
          <w:tcPr>
            <w:tcW w:w="100" w:type="dxa"/>
            <w:vAlign w:val="bottom"/>
            <w:shd w:val="clear" w:color="auto" w:fill="CFF0FC"/>
          </w:tcPr>
          <w:p>
            <w:pPr>
              <w:spacing w:after="0"/>
              <w:rPr>
                <w:sz w:val="15"/>
                <w:szCs w:val="15"/>
                <w:color w:val="auto"/>
              </w:rPr>
            </w:pPr>
          </w:p>
        </w:tc>
      </w:tr>
      <w:tr>
        <w:trPr>
          <w:trHeight w:val="160"/>
        </w:trPr>
        <w:tc>
          <w:tcPr>
            <w:tcW w:w="2840" w:type="dxa"/>
            <w:vAlign w:val="bottom"/>
          </w:tcPr>
          <w:p>
            <w:pPr>
              <w:ind w:left="20"/>
              <w:spacing w:after="0"/>
              <w:rPr>
                <w:sz w:val="20"/>
                <w:szCs w:val="20"/>
                <w:color w:val="auto"/>
              </w:rPr>
            </w:pPr>
            <w:r>
              <w:rPr>
                <w:rFonts w:ascii="Arial" w:cs="Arial" w:eastAsia="Arial" w:hAnsi="Arial"/>
                <w:sz w:val="13"/>
                <w:szCs w:val="13"/>
                <w:color w:val="auto"/>
              </w:rPr>
              <w:t>Stock-based compensation expense</w:t>
            </w:r>
          </w:p>
        </w:tc>
        <w:tc>
          <w:tcPr>
            <w:tcW w:w="1200" w:type="dxa"/>
            <w:vAlign w:val="bottom"/>
            <w:gridSpan w:val="2"/>
          </w:tcPr>
          <w:p>
            <w:pPr>
              <w:jc w:val="right"/>
              <w:ind w:right="280"/>
              <w:spacing w:after="0"/>
              <w:rPr>
                <w:sz w:val="20"/>
                <w:szCs w:val="20"/>
                <w:color w:val="auto"/>
              </w:rPr>
            </w:pPr>
            <w:r>
              <w:rPr>
                <w:rFonts w:ascii="Arial" w:cs="Arial" w:eastAsia="Arial" w:hAnsi="Arial"/>
                <w:sz w:val="13"/>
                <w:szCs w:val="13"/>
                <w:color w:val="auto"/>
              </w:rPr>
              <w:t>—</w:t>
            </w:r>
          </w:p>
        </w:tc>
        <w:tc>
          <w:tcPr>
            <w:tcW w:w="300" w:type="dxa"/>
            <w:vAlign w:val="bottom"/>
          </w:tcPr>
          <w:p>
            <w:pPr>
              <w:spacing w:after="0"/>
              <w:rPr>
                <w:sz w:val="13"/>
                <w:szCs w:val="13"/>
                <w:color w:val="auto"/>
              </w:rPr>
            </w:pPr>
          </w:p>
        </w:tc>
        <w:tc>
          <w:tcPr>
            <w:tcW w:w="880" w:type="dxa"/>
            <w:vAlign w:val="bottom"/>
            <w:gridSpan w:val="2"/>
          </w:tcPr>
          <w:p>
            <w:pPr>
              <w:jc w:val="right"/>
              <w:ind w:right="240"/>
              <w:spacing w:after="0"/>
              <w:rPr>
                <w:sz w:val="20"/>
                <w:szCs w:val="20"/>
                <w:color w:val="auto"/>
              </w:rPr>
            </w:pPr>
            <w:r>
              <w:rPr>
                <w:rFonts w:ascii="Arial" w:cs="Arial" w:eastAsia="Arial" w:hAnsi="Arial"/>
                <w:sz w:val="13"/>
                <w:szCs w:val="13"/>
                <w:color w:val="auto"/>
              </w:rPr>
              <w:t>—</w:t>
            </w:r>
          </w:p>
        </w:tc>
        <w:tc>
          <w:tcPr>
            <w:tcW w:w="1000" w:type="dxa"/>
            <w:vAlign w:val="bottom"/>
          </w:tcPr>
          <w:p>
            <w:pPr>
              <w:jc w:val="right"/>
              <w:spacing w:after="0"/>
              <w:rPr>
                <w:sz w:val="20"/>
                <w:szCs w:val="20"/>
                <w:color w:val="auto"/>
              </w:rPr>
            </w:pPr>
            <w:r>
              <w:rPr>
                <w:rFonts w:ascii="Arial" w:cs="Arial" w:eastAsia="Arial" w:hAnsi="Arial"/>
                <w:sz w:val="13"/>
                <w:szCs w:val="13"/>
                <w:color w:val="auto"/>
              </w:rPr>
              <w:t>—</w:t>
            </w:r>
          </w:p>
        </w:tc>
        <w:tc>
          <w:tcPr>
            <w:tcW w:w="24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700" w:type="dxa"/>
            <w:vAlign w:val="bottom"/>
          </w:tcPr>
          <w:p>
            <w:pPr>
              <w:jc w:val="right"/>
              <w:spacing w:after="0"/>
              <w:rPr>
                <w:sz w:val="20"/>
                <w:szCs w:val="20"/>
                <w:color w:val="auto"/>
              </w:rPr>
            </w:pPr>
            <w:r>
              <w:rPr>
                <w:rFonts w:ascii="Arial" w:cs="Arial" w:eastAsia="Arial" w:hAnsi="Arial"/>
                <w:sz w:val="13"/>
                <w:szCs w:val="13"/>
                <w:color w:val="auto"/>
              </w:rPr>
              <w:t>—</w:t>
            </w:r>
          </w:p>
        </w:tc>
        <w:tc>
          <w:tcPr>
            <w:tcW w:w="26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760" w:type="dxa"/>
            <w:vAlign w:val="bottom"/>
          </w:tcPr>
          <w:p>
            <w:pPr>
              <w:jc w:val="right"/>
              <w:spacing w:after="0"/>
              <w:rPr>
                <w:sz w:val="20"/>
                <w:szCs w:val="20"/>
                <w:color w:val="auto"/>
              </w:rPr>
            </w:pPr>
            <w:r>
              <w:rPr>
                <w:rFonts w:ascii="Arial" w:cs="Arial" w:eastAsia="Arial" w:hAnsi="Arial"/>
                <w:sz w:val="13"/>
                <w:szCs w:val="13"/>
                <w:color w:val="auto"/>
              </w:rPr>
              <w:t>14,613</w:t>
            </w:r>
          </w:p>
        </w:tc>
        <w:tc>
          <w:tcPr>
            <w:tcW w:w="26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120" w:type="dxa"/>
            <w:vAlign w:val="bottom"/>
            <w:gridSpan w:val="2"/>
          </w:tcPr>
          <w:p>
            <w:pPr>
              <w:jc w:val="right"/>
              <w:ind w:right="260"/>
              <w:spacing w:after="0"/>
              <w:rPr>
                <w:sz w:val="20"/>
                <w:szCs w:val="20"/>
                <w:color w:val="auto"/>
              </w:rPr>
            </w:pPr>
            <w:r>
              <w:rPr>
                <w:rFonts w:ascii="Arial" w:cs="Arial" w:eastAsia="Arial" w:hAnsi="Arial"/>
                <w:sz w:val="13"/>
                <w:szCs w:val="13"/>
                <w:color w:val="auto"/>
              </w:rPr>
              <w:t>—</w:t>
            </w:r>
          </w:p>
        </w:tc>
        <w:tc>
          <w:tcPr>
            <w:tcW w:w="160" w:type="dxa"/>
            <w:vAlign w:val="bottom"/>
          </w:tcPr>
          <w:p>
            <w:pPr>
              <w:spacing w:after="0"/>
              <w:rPr>
                <w:sz w:val="13"/>
                <w:szCs w:val="13"/>
                <w:color w:val="auto"/>
              </w:rPr>
            </w:pPr>
          </w:p>
        </w:tc>
        <w:tc>
          <w:tcPr>
            <w:tcW w:w="980" w:type="dxa"/>
            <w:vAlign w:val="bottom"/>
          </w:tcPr>
          <w:p>
            <w:pPr>
              <w:jc w:val="right"/>
              <w:spacing w:after="0"/>
              <w:rPr>
                <w:sz w:val="20"/>
                <w:szCs w:val="20"/>
                <w:color w:val="auto"/>
              </w:rPr>
            </w:pPr>
            <w:r>
              <w:rPr>
                <w:rFonts w:ascii="Arial" w:cs="Arial" w:eastAsia="Arial" w:hAnsi="Arial"/>
                <w:sz w:val="13"/>
                <w:szCs w:val="13"/>
                <w:color w:val="auto"/>
              </w:rPr>
              <w:t>14,613</w:t>
            </w:r>
          </w:p>
        </w:tc>
        <w:tc>
          <w:tcPr>
            <w:tcW w:w="100" w:type="dxa"/>
            <w:vAlign w:val="bottom"/>
          </w:tcPr>
          <w:p>
            <w:pPr>
              <w:spacing w:after="0"/>
              <w:rPr>
                <w:sz w:val="13"/>
                <w:szCs w:val="13"/>
                <w:color w:val="auto"/>
              </w:rPr>
            </w:pPr>
          </w:p>
        </w:tc>
      </w:tr>
      <w:tr>
        <w:trPr>
          <w:trHeight w:val="164"/>
        </w:trPr>
        <w:tc>
          <w:tcPr>
            <w:tcW w:w="2840" w:type="dxa"/>
            <w:vAlign w:val="bottom"/>
            <w:shd w:val="clear" w:color="auto" w:fill="CFF0FC"/>
          </w:tcPr>
          <w:p>
            <w:pPr>
              <w:ind w:left="20"/>
              <w:spacing w:after="0"/>
              <w:rPr>
                <w:sz w:val="20"/>
                <w:szCs w:val="20"/>
                <w:color w:val="auto"/>
              </w:rPr>
            </w:pPr>
            <w:r>
              <w:rPr>
                <w:rFonts w:ascii="Arial" w:cs="Arial" w:eastAsia="Arial" w:hAnsi="Arial"/>
                <w:sz w:val="13"/>
                <w:szCs w:val="13"/>
                <w:color w:val="auto"/>
              </w:rPr>
              <w:t>Exercise of stock options</w:t>
            </w:r>
          </w:p>
        </w:tc>
        <w:tc>
          <w:tcPr>
            <w:tcW w:w="1200" w:type="dxa"/>
            <w:vAlign w:val="bottom"/>
            <w:gridSpan w:val="2"/>
            <w:shd w:val="clear" w:color="auto" w:fill="CFF0FC"/>
          </w:tcPr>
          <w:p>
            <w:pPr>
              <w:jc w:val="right"/>
              <w:ind w:right="280"/>
              <w:spacing w:after="0"/>
              <w:rPr>
                <w:sz w:val="20"/>
                <w:szCs w:val="20"/>
                <w:color w:val="auto"/>
              </w:rPr>
            </w:pPr>
            <w:r>
              <w:rPr>
                <w:rFonts w:ascii="Arial" w:cs="Arial" w:eastAsia="Arial" w:hAnsi="Arial"/>
                <w:sz w:val="13"/>
                <w:szCs w:val="13"/>
                <w:color w:val="auto"/>
              </w:rPr>
              <w:t>—</w:t>
            </w:r>
          </w:p>
        </w:tc>
        <w:tc>
          <w:tcPr>
            <w:tcW w:w="300" w:type="dxa"/>
            <w:vAlign w:val="bottom"/>
            <w:shd w:val="clear" w:color="auto" w:fill="CFF0FC"/>
          </w:tcPr>
          <w:p>
            <w:pPr>
              <w:spacing w:after="0"/>
              <w:rPr>
                <w:sz w:val="14"/>
                <w:szCs w:val="14"/>
                <w:color w:val="auto"/>
              </w:rPr>
            </w:pPr>
          </w:p>
        </w:tc>
        <w:tc>
          <w:tcPr>
            <w:tcW w:w="880" w:type="dxa"/>
            <w:vAlign w:val="bottom"/>
            <w:gridSpan w:val="2"/>
            <w:shd w:val="clear" w:color="auto" w:fill="CFF0FC"/>
          </w:tcPr>
          <w:p>
            <w:pPr>
              <w:jc w:val="right"/>
              <w:ind w:right="240"/>
              <w:spacing w:after="0"/>
              <w:rPr>
                <w:sz w:val="20"/>
                <w:szCs w:val="20"/>
                <w:color w:val="auto"/>
              </w:rPr>
            </w:pPr>
            <w:r>
              <w:rPr>
                <w:rFonts w:ascii="Arial" w:cs="Arial" w:eastAsia="Arial" w:hAnsi="Arial"/>
                <w:sz w:val="13"/>
                <w:szCs w:val="13"/>
                <w:color w:val="auto"/>
              </w:rPr>
              <w:t>—</w:t>
            </w:r>
          </w:p>
        </w:tc>
        <w:tc>
          <w:tcPr>
            <w:tcW w:w="1000" w:type="dxa"/>
            <w:vAlign w:val="bottom"/>
            <w:shd w:val="clear" w:color="auto" w:fill="CFF0FC"/>
          </w:tcPr>
          <w:p>
            <w:pPr>
              <w:jc w:val="right"/>
              <w:spacing w:after="0"/>
              <w:rPr>
                <w:sz w:val="20"/>
                <w:szCs w:val="20"/>
                <w:color w:val="auto"/>
              </w:rPr>
            </w:pPr>
            <w:r>
              <w:rPr>
                <w:rFonts w:ascii="Arial" w:cs="Arial" w:eastAsia="Arial" w:hAnsi="Arial"/>
                <w:sz w:val="13"/>
                <w:szCs w:val="13"/>
                <w:color w:val="auto"/>
              </w:rPr>
              <w:t>5,221</w:t>
            </w:r>
          </w:p>
        </w:tc>
        <w:tc>
          <w:tcPr>
            <w:tcW w:w="240" w:type="dxa"/>
            <w:vAlign w:val="bottom"/>
            <w:shd w:val="clear" w:color="auto" w:fill="CFF0FC"/>
          </w:tcPr>
          <w:p>
            <w:pPr>
              <w:spacing w:after="0"/>
              <w:rPr>
                <w:sz w:val="14"/>
                <w:szCs w:val="14"/>
                <w:color w:val="auto"/>
              </w:rPr>
            </w:pPr>
          </w:p>
        </w:tc>
        <w:tc>
          <w:tcPr>
            <w:tcW w:w="160" w:type="dxa"/>
            <w:vAlign w:val="bottom"/>
            <w:shd w:val="clear" w:color="auto" w:fill="CFF0FC"/>
          </w:tcPr>
          <w:p>
            <w:pPr>
              <w:spacing w:after="0"/>
              <w:rPr>
                <w:sz w:val="14"/>
                <w:szCs w:val="14"/>
                <w:color w:val="auto"/>
              </w:rPr>
            </w:pPr>
          </w:p>
        </w:tc>
        <w:tc>
          <w:tcPr>
            <w:tcW w:w="700" w:type="dxa"/>
            <w:vAlign w:val="bottom"/>
            <w:shd w:val="clear" w:color="auto" w:fill="CFF0FC"/>
          </w:tcPr>
          <w:p>
            <w:pPr>
              <w:jc w:val="right"/>
              <w:spacing w:after="0"/>
              <w:rPr>
                <w:sz w:val="20"/>
                <w:szCs w:val="20"/>
                <w:color w:val="auto"/>
              </w:rPr>
            </w:pPr>
            <w:r>
              <w:rPr>
                <w:rFonts w:ascii="Arial" w:cs="Arial" w:eastAsia="Arial" w:hAnsi="Arial"/>
                <w:sz w:val="13"/>
                <w:szCs w:val="13"/>
                <w:color w:val="auto"/>
              </w:rPr>
              <w:t>—</w:t>
            </w:r>
          </w:p>
        </w:tc>
        <w:tc>
          <w:tcPr>
            <w:tcW w:w="260" w:type="dxa"/>
            <w:vAlign w:val="bottom"/>
            <w:shd w:val="clear" w:color="auto" w:fill="CFF0FC"/>
          </w:tcPr>
          <w:p>
            <w:pPr>
              <w:spacing w:after="0"/>
              <w:rPr>
                <w:sz w:val="14"/>
                <w:szCs w:val="14"/>
                <w:color w:val="auto"/>
              </w:rPr>
            </w:pPr>
          </w:p>
        </w:tc>
        <w:tc>
          <w:tcPr>
            <w:tcW w:w="140" w:type="dxa"/>
            <w:vAlign w:val="bottom"/>
            <w:shd w:val="clear" w:color="auto" w:fill="CFF0FC"/>
          </w:tcPr>
          <w:p>
            <w:pPr>
              <w:spacing w:after="0"/>
              <w:rPr>
                <w:sz w:val="14"/>
                <w:szCs w:val="14"/>
                <w:color w:val="auto"/>
              </w:rPr>
            </w:pPr>
          </w:p>
        </w:tc>
        <w:tc>
          <w:tcPr>
            <w:tcW w:w="760" w:type="dxa"/>
            <w:vAlign w:val="bottom"/>
            <w:shd w:val="clear" w:color="auto" w:fill="CFF0FC"/>
          </w:tcPr>
          <w:p>
            <w:pPr>
              <w:jc w:val="right"/>
              <w:spacing w:after="0"/>
              <w:rPr>
                <w:sz w:val="20"/>
                <w:szCs w:val="20"/>
                <w:color w:val="auto"/>
              </w:rPr>
            </w:pPr>
            <w:r>
              <w:rPr>
                <w:rFonts w:ascii="Arial" w:cs="Arial" w:eastAsia="Arial" w:hAnsi="Arial"/>
                <w:sz w:val="13"/>
                <w:szCs w:val="13"/>
                <w:color w:val="auto"/>
              </w:rPr>
              <w:t>7,758</w:t>
            </w:r>
          </w:p>
        </w:tc>
        <w:tc>
          <w:tcPr>
            <w:tcW w:w="260" w:type="dxa"/>
            <w:vAlign w:val="bottom"/>
            <w:shd w:val="clear" w:color="auto" w:fill="CFF0FC"/>
          </w:tcPr>
          <w:p>
            <w:pPr>
              <w:spacing w:after="0"/>
              <w:rPr>
                <w:sz w:val="14"/>
                <w:szCs w:val="14"/>
                <w:color w:val="auto"/>
              </w:rPr>
            </w:pPr>
          </w:p>
        </w:tc>
        <w:tc>
          <w:tcPr>
            <w:tcW w:w="140" w:type="dxa"/>
            <w:vAlign w:val="bottom"/>
            <w:shd w:val="clear" w:color="auto" w:fill="CFF0FC"/>
          </w:tcPr>
          <w:p>
            <w:pPr>
              <w:spacing w:after="0"/>
              <w:rPr>
                <w:sz w:val="14"/>
                <w:szCs w:val="14"/>
                <w:color w:val="auto"/>
              </w:rPr>
            </w:pPr>
          </w:p>
        </w:tc>
        <w:tc>
          <w:tcPr>
            <w:tcW w:w="1120" w:type="dxa"/>
            <w:vAlign w:val="bottom"/>
            <w:gridSpan w:val="2"/>
            <w:shd w:val="clear" w:color="auto" w:fill="CFF0FC"/>
          </w:tcPr>
          <w:p>
            <w:pPr>
              <w:jc w:val="right"/>
              <w:ind w:right="260"/>
              <w:spacing w:after="0"/>
              <w:rPr>
                <w:sz w:val="20"/>
                <w:szCs w:val="20"/>
                <w:color w:val="auto"/>
              </w:rPr>
            </w:pPr>
            <w:r>
              <w:rPr>
                <w:rFonts w:ascii="Arial" w:cs="Arial" w:eastAsia="Arial" w:hAnsi="Arial"/>
                <w:sz w:val="13"/>
                <w:szCs w:val="13"/>
                <w:color w:val="auto"/>
              </w:rPr>
              <w:t>—</w:t>
            </w:r>
          </w:p>
        </w:tc>
        <w:tc>
          <w:tcPr>
            <w:tcW w:w="160" w:type="dxa"/>
            <w:vAlign w:val="bottom"/>
            <w:shd w:val="clear" w:color="auto" w:fill="CFF0FC"/>
          </w:tcPr>
          <w:p>
            <w:pPr>
              <w:spacing w:after="0"/>
              <w:rPr>
                <w:sz w:val="14"/>
                <w:szCs w:val="14"/>
                <w:color w:val="auto"/>
              </w:rPr>
            </w:pPr>
          </w:p>
        </w:tc>
        <w:tc>
          <w:tcPr>
            <w:tcW w:w="980" w:type="dxa"/>
            <w:vAlign w:val="bottom"/>
            <w:shd w:val="clear" w:color="auto" w:fill="CFF0FC"/>
          </w:tcPr>
          <w:p>
            <w:pPr>
              <w:jc w:val="right"/>
              <w:spacing w:after="0"/>
              <w:rPr>
                <w:sz w:val="20"/>
                <w:szCs w:val="20"/>
                <w:color w:val="auto"/>
              </w:rPr>
            </w:pPr>
            <w:r>
              <w:rPr>
                <w:rFonts w:ascii="Arial" w:cs="Arial" w:eastAsia="Arial" w:hAnsi="Arial"/>
                <w:sz w:val="13"/>
                <w:szCs w:val="13"/>
                <w:color w:val="auto"/>
              </w:rPr>
              <w:t>7,758</w:t>
            </w:r>
          </w:p>
        </w:tc>
        <w:tc>
          <w:tcPr>
            <w:tcW w:w="100" w:type="dxa"/>
            <w:vAlign w:val="bottom"/>
            <w:shd w:val="clear" w:color="auto" w:fill="CFF0FC"/>
          </w:tcPr>
          <w:p>
            <w:pPr>
              <w:spacing w:after="0"/>
              <w:rPr>
                <w:sz w:val="14"/>
                <w:szCs w:val="14"/>
                <w:color w:val="auto"/>
              </w:rPr>
            </w:pPr>
          </w:p>
        </w:tc>
      </w:tr>
      <w:tr>
        <w:trPr>
          <w:trHeight w:val="160"/>
        </w:trPr>
        <w:tc>
          <w:tcPr>
            <w:tcW w:w="2840" w:type="dxa"/>
            <w:vAlign w:val="bottom"/>
          </w:tcPr>
          <w:p>
            <w:pPr>
              <w:ind w:left="20"/>
              <w:spacing w:after="0"/>
              <w:rPr>
                <w:sz w:val="20"/>
                <w:szCs w:val="20"/>
                <w:color w:val="auto"/>
              </w:rPr>
            </w:pPr>
            <w:r>
              <w:rPr>
                <w:rFonts w:ascii="Arial" w:cs="Arial" w:eastAsia="Arial" w:hAnsi="Arial"/>
                <w:sz w:val="13"/>
                <w:szCs w:val="13"/>
                <w:color w:val="auto"/>
              </w:rPr>
              <w:t>Vesting of restricted stock units</w:t>
            </w:r>
          </w:p>
        </w:tc>
        <w:tc>
          <w:tcPr>
            <w:tcW w:w="1200" w:type="dxa"/>
            <w:vAlign w:val="bottom"/>
            <w:gridSpan w:val="2"/>
          </w:tcPr>
          <w:p>
            <w:pPr>
              <w:jc w:val="right"/>
              <w:ind w:right="280"/>
              <w:spacing w:after="0"/>
              <w:rPr>
                <w:sz w:val="20"/>
                <w:szCs w:val="20"/>
                <w:color w:val="auto"/>
              </w:rPr>
            </w:pPr>
            <w:r>
              <w:rPr>
                <w:rFonts w:ascii="Arial" w:cs="Arial" w:eastAsia="Arial" w:hAnsi="Arial"/>
                <w:sz w:val="13"/>
                <w:szCs w:val="13"/>
                <w:color w:val="auto"/>
              </w:rPr>
              <w:t>—</w:t>
            </w:r>
          </w:p>
        </w:tc>
        <w:tc>
          <w:tcPr>
            <w:tcW w:w="300" w:type="dxa"/>
            <w:vAlign w:val="bottom"/>
          </w:tcPr>
          <w:p>
            <w:pPr>
              <w:spacing w:after="0"/>
              <w:rPr>
                <w:sz w:val="13"/>
                <w:szCs w:val="13"/>
                <w:color w:val="auto"/>
              </w:rPr>
            </w:pPr>
          </w:p>
        </w:tc>
        <w:tc>
          <w:tcPr>
            <w:tcW w:w="880" w:type="dxa"/>
            <w:vAlign w:val="bottom"/>
            <w:gridSpan w:val="2"/>
          </w:tcPr>
          <w:p>
            <w:pPr>
              <w:jc w:val="right"/>
              <w:ind w:right="240"/>
              <w:spacing w:after="0"/>
              <w:rPr>
                <w:sz w:val="20"/>
                <w:szCs w:val="20"/>
                <w:color w:val="auto"/>
              </w:rPr>
            </w:pPr>
            <w:r>
              <w:rPr>
                <w:rFonts w:ascii="Arial" w:cs="Arial" w:eastAsia="Arial" w:hAnsi="Arial"/>
                <w:sz w:val="13"/>
                <w:szCs w:val="13"/>
                <w:color w:val="auto"/>
              </w:rPr>
              <w:t>—</w:t>
            </w:r>
          </w:p>
        </w:tc>
        <w:tc>
          <w:tcPr>
            <w:tcW w:w="1000" w:type="dxa"/>
            <w:vAlign w:val="bottom"/>
          </w:tcPr>
          <w:p>
            <w:pPr>
              <w:jc w:val="right"/>
              <w:spacing w:after="0"/>
              <w:rPr>
                <w:sz w:val="20"/>
                <w:szCs w:val="20"/>
                <w:color w:val="auto"/>
              </w:rPr>
            </w:pPr>
            <w:r>
              <w:rPr>
                <w:rFonts w:ascii="Arial" w:cs="Arial" w:eastAsia="Arial" w:hAnsi="Arial"/>
                <w:sz w:val="13"/>
                <w:szCs w:val="13"/>
                <w:color w:val="auto"/>
              </w:rPr>
              <w:t>2,580</w:t>
            </w:r>
          </w:p>
        </w:tc>
        <w:tc>
          <w:tcPr>
            <w:tcW w:w="24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700" w:type="dxa"/>
            <w:vAlign w:val="bottom"/>
          </w:tcPr>
          <w:p>
            <w:pPr>
              <w:jc w:val="right"/>
              <w:spacing w:after="0"/>
              <w:rPr>
                <w:sz w:val="20"/>
                <w:szCs w:val="20"/>
                <w:color w:val="auto"/>
              </w:rPr>
            </w:pPr>
            <w:r>
              <w:rPr>
                <w:rFonts w:ascii="Arial" w:cs="Arial" w:eastAsia="Arial" w:hAnsi="Arial"/>
                <w:sz w:val="13"/>
                <w:szCs w:val="13"/>
                <w:color w:val="auto"/>
              </w:rPr>
              <w:t>—</w:t>
            </w:r>
          </w:p>
        </w:tc>
        <w:tc>
          <w:tcPr>
            <w:tcW w:w="26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760" w:type="dxa"/>
            <w:vAlign w:val="bottom"/>
          </w:tcPr>
          <w:p>
            <w:pPr>
              <w:jc w:val="right"/>
              <w:spacing w:after="0"/>
              <w:rPr>
                <w:sz w:val="20"/>
                <w:szCs w:val="20"/>
                <w:color w:val="auto"/>
              </w:rPr>
            </w:pPr>
            <w:r>
              <w:rPr>
                <w:rFonts w:ascii="Arial" w:cs="Arial" w:eastAsia="Arial" w:hAnsi="Arial"/>
                <w:sz w:val="13"/>
                <w:szCs w:val="13"/>
                <w:color w:val="auto"/>
              </w:rPr>
              <w:t>—</w:t>
            </w:r>
          </w:p>
        </w:tc>
        <w:tc>
          <w:tcPr>
            <w:tcW w:w="26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120" w:type="dxa"/>
            <w:vAlign w:val="bottom"/>
            <w:gridSpan w:val="2"/>
          </w:tcPr>
          <w:p>
            <w:pPr>
              <w:jc w:val="right"/>
              <w:ind w:right="260"/>
              <w:spacing w:after="0"/>
              <w:rPr>
                <w:sz w:val="20"/>
                <w:szCs w:val="20"/>
                <w:color w:val="auto"/>
              </w:rPr>
            </w:pPr>
            <w:r>
              <w:rPr>
                <w:rFonts w:ascii="Arial" w:cs="Arial" w:eastAsia="Arial" w:hAnsi="Arial"/>
                <w:sz w:val="13"/>
                <w:szCs w:val="13"/>
                <w:color w:val="auto"/>
              </w:rPr>
              <w:t>—</w:t>
            </w:r>
          </w:p>
        </w:tc>
        <w:tc>
          <w:tcPr>
            <w:tcW w:w="160" w:type="dxa"/>
            <w:vAlign w:val="bottom"/>
          </w:tcPr>
          <w:p>
            <w:pPr>
              <w:spacing w:after="0"/>
              <w:rPr>
                <w:sz w:val="13"/>
                <w:szCs w:val="13"/>
                <w:color w:val="auto"/>
              </w:rPr>
            </w:pPr>
          </w:p>
        </w:tc>
        <w:tc>
          <w:tcPr>
            <w:tcW w:w="1080" w:type="dxa"/>
            <w:vAlign w:val="bottom"/>
            <w:gridSpan w:val="2"/>
          </w:tcPr>
          <w:p>
            <w:pPr>
              <w:jc w:val="right"/>
              <w:ind w:right="120"/>
              <w:spacing w:after="0"/>
              <w:rPr>
                <w:sz w:val="20"/>
                <w:szCs w:val="20"/>
                <w:color w:val="auto"/>
              </w:rPr>
            </w:pPr>
            <w:r>
              <w:rPr>
                <w:rFonts w:ascii="Arial" w:cs="Arial" w:eastAsia="Arial" w:hAnsi="Arial"/>
                <w:sz w:val="13"/>
                <w:szCs w:val="13"/>
                <w:color w:val="auto"/>
              </w:rPr>
              <w:t>—</w:t>
            </w:r>
          </w:p>
        </w:tc>
      </w:tr>
      <w:tr>
        <w:trPr>
          <w:trHeight w:val="164"/>
        </w:trPr>
        <w:tc>
          <w:tcPr>
            <w:tcW w:w="2840" w:type="dxa"/>
            <w:vAlign w:val="bottom"/>
            <w:shd w:val="clear" w:color="auto" w:fill="CFF0FC"/>
          </w:tcPr>
          <w:p>
            <w:pPr>
              <w:ind w:left="20"/>
              <w:spacing w:after="0"/>
              <w:rPr>
                <w:sz w:val="20"/>
                <w:szCs w:val="20"/>
                <w:color w:val="auto"/>
              </w:rPr>
            </w:pPr>
            <w:r>
              <w:rPr>
                <w:rFonts w:ascii="Arial" w:cs="Arial" w:eastAsia="Arial" w:hAnsi="Arial"/>
                <w:sz w:val="13"/>
                <w:szCs w:val="13"/>
                <w:color w:val="auto"/>
              </w:rPr>
              <w:t>Vesting of early exercised stock options</w:t>
            </w:r>
          </w:p>
        </w:tc>
        <w:tc>
          <w:tcPr>
            <w:tcW w:w="1200" w:type="dxa"/>
            <w:vAlign w:val="bottom"/>
            <w:gridSpan w:val="2"/>
            <w:shd w:val="clear" w:color="auto" w:fill="CFF0FC"/>
          </w:tcPr>
          <w:p>
            <w:pPr>
              <w:jc w:val="right"/>
              <w:ind w:right="280"/>
              <w:spacing w:after="0"/>
              <w:rPr>
                <w:sz w:val="20"/>
                <w:szCs w:val="20"/>
                <w:color w:val="auto"/>
              </w:rPr>
            </w:pPr>
            <w:r>
              <w:rPr>
                <w:rFonts w:ascii="Arial" w:cs="Arial" w:eastAsia="Arial" w:hAnsi="Arial"/>
                <w:sz w:val="13"/>
                <w:szCs w:val="13"/>
                <w:color w:val="auto"/>
              </w:rPr>
              <w:t>—</w:t>
            </w:r>
          </w:p>
        </w:tc>
        <w:tc>
          <w:tcPr>
            <w:tcW w:w="300" w:type="dxa"/>
            <w:vAlign w:val="bottom"/>
            <w:shd w:val="clear" w:color="auto" w:fill="CFF0FC"/>
          </w:tcPr>
          <w:p>
            <w:pPr>
              <w:spacing w:after="0"/>
              <w:rPr>
                <w:sz w:val="14"/>
                <w:szCs w:val="14"/>
                <w:color w:val="auto"/>
              </w:rPr>
            </w:pPr>
          </w:p>
        </w:tc>
        <w:tc>
          <w:tcPr>
            <w:tcW w:w="880" w:type="dxa"/>
            <w:vAlign w:val="bottom"/>
            <w:gridSpan w:val="2"/>
            <w:shd w:val="clear" w:color="auto" w:fill="CFF0FC"/>
          </w:tcPr>
          <w:p>
            <w:pPr>
              <w:jc w:val="right"/>
              <w:ind w:right="240"/>
              <w:spacing w:after="0"/>
              <w:rPr>
                <w:sz w:val="20"/>
                <w:szCs w:val="20"/>
                <w:color w:val="auto"/>
              </w:rPr>
            </w:pPr>
            <w:r>
              <w:rPr>
                <w:rFonts w:ascii="Arial" w:cs="Arial" w:eastAsia="Arial" w:hAnsi="Arial"/>
                <w:sz w:val="13"/>
                <w:szCs w:val="13"/>
                <w:color w:val="auto"/>
              </w:rPr>
              <w:t>—</w:t>
            </w:r>
          </w:p>
        </w:tc>
        <w:tc>
          <w:tcPr>
            <w:tcW w:w="1000" w:type="dxa"/>
            <w:vAlign w:val="bottom"/>
            <w:shd w:val="clear" w:color="auto" w:fill="CFF0FC"/>
          </w:tcPr>
          <w:p>
            <w:pPr>
              <w:jc w:val="right"/>
              <w:spacing w:after="0"/>
              <w:rPr>
                <w:sz w:val="20"/>
                <w:szCs w:val="20"/>
                <w:color w:val="auto"/>
              </w:rPr>
            </w:pPr>
            <w:r>
              <w:rPr>
                <w:rFonts w:ascii="Arial" w:cs="Arial" w:eastAsia="Arial" w:hAnsi="Arial"/>
                <w:sz w:val="13"/>
                <w:szCs w:val="13"/>
                <w:color w:val="auto"/>
              </w:rPr>
              <w:t>—</w:t>
            </w:r>
          </w:p>
        </w:tc>
        <w:tc>
          <w:tcPr>
            <w:tcW w:w="240" w:type="dxa"/>
            <w:vAlign w:val="bottom"/>
            <w:shd w:val="clear" w:color="auto" w:fill="CFF0FC"/>
          </w:tcPr>
          <w:p>
            <w:pPr>
              <w:spacing w:after="0"/>
              <w:rPr>
                <w:sz w:val="14"/>
                <w:szCs w:val="14"/>
                <w:color w:val="auto"/>
              </w:rPr>
            </w:pPr>
          </w:p>
        </w:tc>
        <w:tc>
          <w:tcPr>
            <w:tcW w:w="160" w:type="dxa"/>
            <w:vAlign w:val="bottom"/>
            <w:shd w:val="clear" w:color="auto" w:fill="CFF0FC"/>
          </w:tcPr>
          <w:p>
            <w:pPr>
              <w:spacing w:after="0"/>
              <w:rPr>
                <w:sz w:val="14"/>
                <w:szCs w:val="14"/>
                <w:color w:val="auto"/>
              </w:rPr>
            </w:pPr>
          </w:p>
        </w:tc>
        <w:tc>
          <w:tcPr>
            <w:tcW w:w="700" w:type="dxa"/>
            <w:vAlign w:val="bottom"/>
            <w:shd w:val="clear" w:color="auto" w:fill="CFF0FC"/>
          </w:tcPr>
          <w:p>
            <w:pPr>
              <w:jc w:val="right"/>
              <w:spacing w:after="0"/>
              <w:rPr>
                <w:sz w:val="20"/>
                <w:szCs w:val="20"/>
                <w:color w:val="auto"/>
              </w:rPr>
            </w:pPr>
            <w:r>
              <w:rPr>
                <w:rFonts w:ascii="Arial" w:cs="Arial" w:eastAsia="Arial" w:hAnsi="Arial"/>
                <w:sz w:val="13"/>
                <w:szCs w:val="13"/>
                <w:color w:val="auto"/>
              </w:rPr>
              <w:t>—</w:t>
            </w:r>
          </w:p>
        </w:tc>
        <w:tc>
          <w:tcPr>
            <w:tcW w:w="260" w:type="dxa"/>
            <w:vAlign w:val="bottom"/>
            <w:shd w:val="clear" w:color="auto" w:fill="CFF0FC"/>
          </w:tcPr>
          <w:p>
            <w:pPr>
              <w:spacing w:after="0"/>
              <w:rPr>
                <w:sz w:val="14"/>
                <w:szCs w:val="14"/>
                <w:color w:val="auto"/>
              </w:rPr>
            </w:pPr>
          </w:p>
        </w:tc>
        <w:tc>
          <w:tcPr>
            <w:tcW w:w="140" w:type="dxa"/>
            <w:vAlign w:val="bottom"/>
            <w:shd w:val="clear" w:color="auto" w:fill="CFF0FC"/>
          </w:tcPr>
          <w:p>
            <w:pPr>
              <w:spacing w:after="0"/>
              <w:rPr>
                <w:sz w:val="14"/>
                <w:szCs w:val="14"/>
                <w:color w:val="auto"/>
              </w:rPr>
            </w:pPr>
          </w:p>
        </w:tc>
        <w:tc>
          <w:tcPr>
            <w:tcW w:w="760" w:type="dxa"/>
            <w:vAlign w:val="bottom"/>
            <w:shd w:val="clear" w:color="auto" w:fill="CFF0FC"/>
          </w:tcPr>
          <w:p>
            <w:pPr>
              <w:jc w:val="right"/>
              <w:spacing w:after="0"/>
              <w:rPr>
                <w:sz w:val="20"/>
                <w:szCs w:val="20"/>
                <w:color w:val="auto"/>
              </w:rPr>
            </w:pPr>
            <w:r>
              <w:rPr>
                <w:rFonts w:ascii="Arial" w:cs="Arial" w:eastAsia="Arial" w:hAnsi="Arial"/>
                <w:sz w:val="13"/>
                <w:szCs w:val="13"/>
                <w:color w:val="auto"/>
              </w:rPr>
              <w:t>512</w:t>
            </w:r>
          </w:p>
        </w:tc>
        <w:tc>
          <w:tcPr>
            <w:tcW w:w="260" w:type="dxa"/>
            <w:vAlign w:val="bottom"/>
            <w:shd w:val="clear" w:color="auto" w:fill="CFF0FC"/>
          </w:tcPr>
          <w:p>
            <w:pPr>
              <w:spacing w:after="0"/>
              <w:rPr>
                <w:sz w:val="14"/>
                <w:szCs w:val="14"/>
                <w:color w:val="auto"/>
              </w:rPr>
            </w:pPr>
          </w:p>
        </w:tc>
        <w:tc>
          <w:tcPr>
            <w:tcW w:w="140" w:type="dxa"/>
            <w:vAlign w:val="bottom"/>
            <w:shd w:val="clear" w:color="auto" w:fill="CFF0FC"/>
          </w:tcPr>
          <w:p>
            <w:pPr>
              <w:spacing w:after="0"/>
              <w:rPr>
                <w:sz w:val="14"/>
                <w:szCs w:val="14"/>
                <w:color w:val="auto"/>
              </w:rPr>
            </w:pPr>
          </w:p>
        </w:tc>
        <w:tc>
          <w:tcPr>
            <w:tcW w:w="1120" w:type="dxa"/>
            <w:vAlign w:val="bottom"/>
            <w:gridSpan w:val="2"/>
            <w:shd w:val="clear" w:color="auto" w:fill="CFF0FC"/>
          </w:tcPr>
          <w:p>
            <w:pPr>
              <w:jc w:val="right"/>
              <w:ind w:right="260"/>
              <w:spacing w:after="0"/>
              <w:rPr>
                <w:sz w:val="20"/>
                <w:szCs w:val="20"/>
                <w:color w:val="auto"/>
              </w:rPr>
            </w:pPr>
            <w:r>
              <w:rPr>
                <w:rFonts w:ascii="Arial" w:cs="Arial" w:eastAsia="Arial" w:hAnsi="Arial"/>
                <w:sz w:val="13"/>
                <w:szCs w:val="13"/>
                <w:color w:val="auto"/>
              </w:rPr>
              <w:t>—</w:t>
            </w:r>
          </w:p>
        </w:tc>
        <w:tc>
          <w:tcPr>
            <w:tcW w:w="160" w:type="dxa"/>
            <w:vAlign w:val="bottom"/>
            <w:shd w:val="clear" w:color="auto" w:fill="CFF0FC"/>
          </w:tcPr>
          <w:p>
            <w:pPr>
              <w:spacing w:after="0"/>
              <w:rPr>
                <w:sz w:val="14"/>
                <w:szCs w:val="14"/>
                <w:color w:val="auto"/>
              </w:rPr>
            </w:pPr>
          </w:p>
        </w:tc>
        <w:tc>
          <w:tcPr>
            <w:tcW w:w="980" w:type="dxa"/>
            <w:vAlign w:val="bottom"/>
            <w:shd w:val="clear" w:color="auto" w:fill="CFF0FC"/>
          </w:tcPr>
          <w:p>
            <w:pPr>
              <w:jc w:val="right"/>
              <w:spacing w:after="0"/>
              <w:rPr>
                <w:sz w:val="20"/>
                <w:szCs w:val="20"/>
                <w:color w:val="auto"/>
              </w:rPr>
            </w:pPr>
            <w:r>
              <w:rPr>
                <w:rFonts w:ascii="Arial" w:cs="Arial" w:eastAsia="Arial" w:hAnsi="Arial"/>
                <w:sz w:val="13"/>
                <w:szCs w:val="13"/>
                <w:color w:val="auto"/>
              </w:rPr>
              <w:t>512</w:t>
            </w:r>
          </w:p>
        </w:tc>
        <w:tc>
          <w:tcPr>
            <w:tcW w:w="100" w:type="dxa"/>
            <w:vAlign w:val="bottom"/>
            <w:shd w:val="clear" w:color="auto" w:fill="CFF0FC"/>
          </w:tcPr>
          <w:p>
            <w:pPr>
              <w:spacing w:after="0"/>
              <w:rPr>
                <w:sz w:val="14"/>
                <w:szCs w:val="14"/>
                <w:color w:val="auto"/>
              </w:rPr>
            </w:pPr>
          </w:p>
        </w:tc>
      </w:tr>
      <w:tr>
        <w:trPr>
          <w:trHeight w:val="160"/>
        </w:trPr>
        <w:tc>
          <w:tcPr>
            <w:tcW w:w="2840" w:type="dxa"/>
            <w:vAlign w:val="bottom"/>
          </w:tcPr>
          <w:p>
            <w:pPr>
              <w:ind w:left="20"/>
              <w:spacing w:after="0"/>
              <w:rPr>
                <w:sz w:val="20"/>
                <w:szCs w:val="20"/>
                <w:color w:val="auto"/>
              </w:rPr>
            </w:pPr>
            <w:r>
              <w:rPr>
                <w:rFonts w:ascii="Arial" w:cs="Arial" w:eastAsia="Arial" w:hAnsi="Arial"/>
                <w:sz w:val="13"/>
                <w:szCs w:val="13"/>
                <w:color w:val="auto"/>
              </w:rPr>
              <w:t>Net loss</w:t>
            </w:r>
          </w:p>
        </w:tc>
        <w:tc>
          <w:tcPr>
            <w:tcW w:w="920" w:type="dxa"/>
            <w:vAlign w:val="bottom"/>
          </w:tcPr>
          <w:p>
            <w:pPr>
              <w:jc w:val="right"/>
              <w:spacing w:after="0"/>
              <w:rPr>
                <w:sz w:val="20"/>
                <w:szCs w:val="20"/>
                <w:color w:val="auto"/>
              </w:rPr>
            </w:pPr>
            <w:r>
              <w:rPr>
                <w:rFonts w:ascii="Arial" w:cs="Arial" w:eastAsia="Arial" w:hAnsi="Arial"/>
                <w:sz w:val="13"/>
                <w:szCs w:val="13"/>
                <w:color w:val="auto"/>
              </w:rPr>
              <w:t>—</w:t>
            </w:r>
          </w:p>
        </w:tc>
        <w:tc>
          <w:tcPr>
            <w:tcW w:w="28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640" w:type="dxa"/>
            <w:vAlign w:val="bottom"/>
          </w:tcPr>
          <w:p>
            <w:pPr>
              <w:jc w:val="right"/>
              <w:spacing w:after="0"/>
              <w:rPr>
                <w:sz w:val="20"/>
                <w:szCs w:val="20"/>
                <w:color w:val="auto"/>
              </w:rPr>
            </w:pPr>
            <w:r>
              <w:rPr>
                <w:rFonts w:ascii="Arial" w:cs="Arial" w:eastAsia="Arial" w:hAnsi="Arial"/>
                <w:sz w:val="13"/>
                <w:szCs w:val="13"/>
                <w:color w:val="auto"/>
              </w:rPr>
              <w:t>—</w:t>
            </w:r>
          </w:p>
        </w:tc>
        <w:tc>
          <w:tcPr>
            <w:tcW w:w="240" w:type="dxa"/>
            <w:vAlign w:val="bottom"/>
          </w:tcPr>
          <w:p>
            <w:pPr>
              <w:spacing w:after="0"/>
              <w:rPr>
                <w:sz w:val="13"/>
                <w:szCs w:val="13"/>
                <w:color w:val="auto"/>
              </w:rPr>
            </w:pPr>
          </w:p>
        </w:tc>
        <w:tc>
          <w:tcPr>
            <w:tcW w:w="1000" w:type="dxa"/>
            <w:vAlign w:val="bottom"/>
          </w:tcPr>
          <w:p>
            <w:pPr>
              <w:jc w:val="right"/>
              <w:spacing w:after="0"/>
              <w:rPr>
                <w:sz w:val="20"/>
                <w:szCs w:val="20"/>
                <w:color w:val="auto"/>
              </w:rPr>
            </w:pPr>
            <w:r>
              <w:rPr>
                <w:rFonts w:ascii="Arial" w:cs="Arial" w:eastAsia="Arial" w:hAnsi="Arial"/>
                <w:sz w:val="13"/>
                <w:szCs w:val="13"/>
                <w:color w:val="auto"/>
              </w:rPr>
              <w:t>—</w:t>
            </w:r>
          </w:p>
        </w:tc>
        <w:tc>
          <w:tcPr>
            <w:tcW w:w="24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700" w:type="dxa"/>
            <w:vAlign w:val="bottom"/>
          </w:tcPr>
          <w:p>
            <w:pPr>
              <w:jc w:val="right"/>
              <w:spacing w:after="0"/>
              <w:rPr>
                <w:sz w:val="20"/>
                <w:szCs w:val="20"/>
                <w:color w:val="auto"/>
              </w:rPr>
            </w:pPr>
            <w:r>
              <w:rPr>
                <w:rFonts w:ascii="Arial" w:cs="Arial" w:eastAsia="Arial" w:hAnsi="Arial"/>
                <w:sz w:val="13"/>
                <w:szCs w:val="13"/>
                <w:color w:val="auto"/>
              </w:rPr>
              <w:t>—</w:t>
            </w:r>
          </w:p>
        </w:tc>
        <w:tc>
          <w:tcPr>
            <w:tcW w:w="26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760" w:type="dxa"/>
            <w:vAlign w:val="bottom"/>
          </w:tcPr>
          <w:p>
            <w:pPr>
              <w:jc w:val="right"/>
              <w:spacing w:after="0"/>
              <w:rPr>
                <w:sz w:val="20"/>
                <w:szCs w:val="20"/>
                <w:color w:val="auto"/>
              </w:rPr>
            </w:pPr>
            <w:r>
              <w:rPr>
                <w:rFonts w:ascii="Arial" w:cs="Arial" w:eastAsia="Arial" w:hAnsi="Arial"/>
                <w:sz w:val="13"/>
                <w:szCs w:val="13"/>
                <w:color w:val="auto"/>
              </w:rPr>
              <w:t>—</w:t>
            </w:r>
          </w:p>
        </w:tc>
        <w:tc>
          <w:tcPr>
            <w:tcW w:w="26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120" w:type="dxa"/>
            <w:vAlign w:val="bottom"/>
            <w:gridSpan w:val="2"/>
          </w:tcPr>
          <w:p>
            <w:pPr>
              <w:jc w:val="right"/>
              <w:ind w:right="180"/>
              <w:spacing w:after="0"/>
              <w:rPr>
                <w:sz w:val="20"/>
                <w:szCs w:val="20"/>
                <w:color w:val="auto"/>
              </w:rPr>
            </w:pPr>
            <w:r>
              <w:rPr>
                <w:rFonts w:ascii="Arial" w:cs="Arial" w:eastAsia="Arial" w:hAnsi="Arial"/>
                <w:sz w:val="13"/>
                <w:szCs w:val="13"/>
                <w:color w:val="auto"/>
              </w:rPr>
              <w:t>(36,559 )</w:t>
            </w:r>
          </w:p>
        </w:tc>
        <w:tc>
          <w:tcPr>
            <w:tcW w:w="160" w:type="dxa"/>
            <w:vAlign w:val="bottom"/>
          </w:tcPr>
          <w:p>
            <w:pPr>
              <w:spacing w:after="0"/>
              <w:rPr>
                <w:sz w:val="13"/>
                <w:szCs w:val="13"/>
                <w:color w:val="auto"/>
              </w:rPr>
            </w:pPr>
          </w:p>
        </w:tc>
        <w:tc>
          <w:tcPr>
            <w:tcW w:w="1080" w:type="dxa"/>
            <w:vAlign w:val="bottom"/>
            <w:gridSpan w:val="2"/>
          </w:tcPr>
          <w:p>
            <w:pPr>
              <w:jc w:val="right"/>
              <w:ind w:right="60"/>
              <w:spacing w:after="0"/>
              <w:rPr>
                <w:sz w:val="20"/>
                <w:szCs w:val="20"/>
                <w:color w:val="auto"/>
              </w:rPr>
            </w:pPr>
            <w:r>
              <w:rPr>
                <w:rFonts w:ascii="Arial" w:cs="Arial" w:eastAsia="Arial" w:hAnsi="Arial"/>
                <w:sz w:val="13"/>
                <w:szCs w:val="13"/>
                <w:color w:val="auto"/>
              </w:rPr>
              <w:t>(36,559 )</w:t>
            </w:r>
          </w:p>
        </w:tc>
      </w:tr>
      <w:tr>
        <w:trPr>
          <w:trHeight w:val="20"/>
        </w:trPr>
        <w:tc>
          <w:tcPr>
            <w:tcW w:w="2840" w:type="dxa"/>
            <w:vAlign w:val="bottom"/>
          </w:tcPr>
          <w:p>
            <w:pPr>
              <w:spacing w:after="0" w:line="20" w:lineRule="exact"/>
              <w:rPr>
                <w:sz w:val="1"/>
                <w:szCs w:val="1"/>
                <w:color w:val="auto"/>
              </w:rPr>
            </w:pPr>
          </w:p>
        </w:tc>
        <w:tc>
          <w:tcPr>
            <w:tcW w:w="920" w:type="dxa"/>
            <w:vAlign w:val="bottom"/>
            <w:shd w:val="clear" w:color="auto" w:fill="000000"/>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300" w:type="dxa"/>
            <w:vAlign w:val="bottom"/>
            <w:shd w:val="clear" w:color="auto" w:fill="000000"/>
          </w:tcPr>
          <w:p>
            <w:pPr>
              <w:spacing w:after="0" w:line="20" w:lineRule="exact"/>
              <w:rPr>
                <w:sz w:val="1"/>
                <w:szCs w:val="1"/>
                <w:color w:val="auto"/>
              </w:rPr>
            </w:pPr>
          </w:p>
        </w:tc>
        <w:tc>
          <w:tcPr>
            <w:tcW w:w="640" w:type="dxa"/>
            <w:vAlign w:val="bottom"/>
            <w:shd w:val="clear" w:color="auto" w:fill="000000"/>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000" w:type="dxa"/>
            <w:vAlign w:val="bottom"/>
            <w:shd w:val="clear" w:color="auto" w:fill="000000"/>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700" w:type="dxa"/>
            <w:vAlign w:val="bottom"/>
            <w:shd w:val="clear" w:color="auto" w:fill="000000"/>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760" w:type="dxa"/>
            <w:vAlign w:val="bottom"/>
            <w:shd w:val="clear" w:color="auto" w:fill="000000"/>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880" w:type="dxa"/>
            <w:vAlign w:val="bottom"/>
            <w:shd w:val="clear" w:color="auto" w:fill="000000"/>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98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312"/>
        </w:trPr>
        <w:tc>
          <w:tcPr>
            <w:tcW w:w="2840" w:type="dxa"/>
            <w:vAlign w:val="bottom"/>
            <w:shd w:val="clear" w:color="auto" w:fill="CFF0FC"/>
          </w:tcPr>
          <w:p>
            <w:pPr>
              <w:ind w:left="20"/>
              <w:spacing w:after="0"/>
              <w:rPr>
                <w:sz w:val="20"/>
                <w:szCs w:val="20"/>
                <w:color w:val="auto"/>
              </w:rPr>
            </w:pPr>
            <w:r>
              <w:rPr>
                <w:rFonts w:ascii="Arial" w:cs="Arial" w:eastAsia="Arial" w:hAnsi="Arial"/>
                <w:sz w:val="13"/>
                <w:szCs w:val="13"/>
                <w:color w:val="auto"/>
              </w:rPr>
              <w:t>Balance at September 30, 2021</w:t>
            </w:r>
          </w:p>
        </w:tc>
        <w:tc>
          <w:tcPr>
            <w:tcW w:w="920" w:type="dxa"/>
            <w:vAlign w:val="bottom"/>
            <w:shd w:val="clear" w:color="auto" w:fill="CFF0FC"/>
          </w:tcPr>
          <w:p>
            <w:pPr>
              <w:jc w:val="right"/>
              <w:spacing w:after="0"/>
              <w:rPr>
                <w:sz w:val="20"/>
                <w:szCs w:val="20"/>
                <w:color w:val="auto"/>
              </w:rPr>
            </w:pPr>
            <w:r>
              <w:rPr>
                <w:rFonts w:ascii="Arial" w:cs="Arial" w:eastAsia="Arial" w:hAnsi="Arial"/>
                <w:sz w:val="13"/>
                <w:szCs w:val="13"/>
                <w:color w:val="auto"/>
              </w:rPr>
              <w:t>—</w:t>
            </w:r>
          </w:p>
        </w:tc>
        <w:tc>
          <w:tcPr>
            <w:tcW w:w="280" w:type="dxa"/>
            <w:vAlign w:val="bottom"/>
            <w:shd w:val="clear" w:color="auto" w:fill="CFF0FC"/>
          </w:tcPr>
          <w:p>
            <w:pPr>
              <w:spacing w:after="0"/>
              <w:rPr>
                <w:sz w:val="24"/>
                <w:szCs w:val="24"/>
                <w:color w:val="auto"/>
              </w:rPr>
            </w:pPr>
          </w:p>
        </w:tc>
        <w:tc>
          <w:tcPr>
            <w:tcW w:w="300" w:type="dxa"/>
            <w:vAlign w:val="bottom"/>
            <w:shd w:val="clear" w:color="auto" w:fill="CFF0FC"/>
          </w:tcPr>
          <w:p>
            <w:pPr>
              <w:jc w:val="right"/>
              <w:ind w:right="137"/>
              <w:spacing w:after="0"/>
              <w:rPr>
                <w:sz w:val="20"/>
                <w:szCs w:val="20"/>
                <w:color w:val="auto"/>
              </w:rPr>
            </w:pPr>
            <w:r>
              <w:rPr>
                <w:rFonts w:ascii="Arial" w:cs="Arial" w:eastAsia="Arial" w:hAnsi="Arial"/>
                <w:sz w:val="13"/>
                <w:szCs w:val="13"/>
                <w:color w:val="auto"/>
              </w:rPr>
              <w:t>$</w:t>
            </w:r>
          </w:p>
        </w:tc>
        <w:tc>
          <w:tcPr>
            <w:tcW w:w="640" w:type="dxa"/>
            <w:vAlign w:val="bottom"/>
            <w:shd w:val="clear" w:color="auto" w:fill="CFF0FC"/>
          </w:tcPr>
          <w:p>
            <w:pPr>
              <w:jc w:val="right"/>
              <w:spacing w:after="0"/>
              <w:rPr>
                <w:sz w:val="20"/>
                <w:szCs w:val="20"/>
                <w:color w:val="auto"/>
              </w:rPr>
            </w:pPr>
            <w:r>
              <w:rPr>
                <w:rFonts w:ascii="Arial" w:cs="Arial" w:eastAsia="Arial" w:hAnsi="Arial"/>
                <w:sz w:val="13"/>
                <w:szCs w:val="13"/>
                <w:color w:val="auto"/>
              </w:rPr>
              <w:t>—</w:t>
            </w:r>
          </w:p>
        </w:tc>
        <w:tc>
          <w:tcPr>
            <w:tcW w:w="240" w:type="dxa"/>
            <w:vAlign w:val="bottom"/>
            <w:shd w:val="clear" w:color="auto" w:fill="CFF0FC"/>
          </w:tcPr>
          <w:p>
            <w:pPr>
              <w:spacing w:after="0"/>
              <w:rPr>
                <w:sz w:val="24"/>
                <w:szCs w:val="24"/>
                <w:color w:val="auto"/>
              </w:rPr>
            </w:pPr>
          </w:p>
        </w:tc>
        <w:tc>
          <w:tcPr>
            <w:tcW w:w="1000" w:type="dxa"/>
            <w:vAlign w:val="bottom"/>
            <w:shd w:val="clear" w:color="auto" w:fill="CFF0FC"/>
          </w:tcPr>
          <w:p>
            <w:pPr>
              <w:jc w:val="right"/>
              <w:spacing w:after="0"/>
              <w:rPr>
                <w:sz w:val="20"/>
                <w:szCs w:val="20"/>
                <w:color w:val="auto"/>
              </w:rPr>
            </w:pPr>
            <w:r>
              <w:rPr>
                <w:rFonts w:ascii="Arial" w:cs="Arial" w:eastAsia="Arial" w:hAnsi="Arial"/>
                <w:sz w:val="13"/>
                <w:szCs w:val="13"/>
                <w:color w:val="auto"/>
              </w:rPr>
              <w:t>107,675</w:t>
            </w:r>
          </w:p>
        </w:tc>
        <w:tc>
          <w:tcPr>
            <w:tcW w:w="240" w:type="dxa"/>
            <w:vAlign w:val="bottom"/>
            <w:shd w:val="clear" w:color="auto" w:fill="CFF0FC"/>
          </w:tcPr>
          <w:p>
            <w:pPr>
              <w:spacing w:after="0"/>
              <w:rPr>
                <w:sz w:val="24"/>
                <w:szCs w:val="24"/>
                <w:color w:val="auto"/>
              </w:rPr>
            </w:pPr>
          </w:p>
        </w:tc>
        <w:tc>
          <w:tcPr>
            <w:tcW w:w="160" w:type="dxa"/>
            <w:vAlign w:val="bottom"/>
            <w:shd w:val="clear" w:color="auto" w:fill="CFF0FC"/>
          </w:tcPr>
          <w:p>
            <w:pPr>
              <w:jc w:val="right"/>
              <w:ind w:right="48"/>
              <w:spacing w:after="0"/>
              <w:rPr>
                <w:sz w:val="20"/>
                <w:szCs w:val="20"/>
                <w:color w:val="auto"/>
              </w:rPr>
            </w:pPr>
            <w:r>
              <w:rPr>
                <w:rFonts w:ascii="Arial" w:cs="Arial" w:eastAsia="Arial" w:hAnsi="Arial"/>
                <w:sz w:val="10"/>
                <w:szCs w:val="10"/>
                <w:color w:val="auto"/>
                <w:w w:val="71"/>
              </w:rPr>
              <w:t>$</w:t>
            </w:r>
          </w:p>
        </w:tc>
        <w:tc>
          <w:tcPr>
            <w:tcW w:w="700" w:type="dxa"/>
            <w:vAlign w:val="bottom"/>
            <w:shd w:val="clear" w:color="auto" w:fill="CFF0FC"/>
          </w:tcPr>
          <w:p>
            <w:pPr>
              <w:jc w:val="right"/>
              <w:spacing w:after="0"/>
              <w:rPr>
                <w:sz w:val="20"/>
                <w:szCs w:val="20"/>
                <w:color w:val="auto"/>
              </w:rPr>
            </w:pPr>
            <w:r>
              <w:rPr>
                <w:rFonts w:ascii="Arial" w:cs="Arial" w:eastAsia="Arial" w:hAnsi="Arial"/>
                <w:sz w:val="13"/>
                <w:szCs w:val="13"/>
                <w:color w:val="auto"/>
              </w:rPr>
              <w:t>1</w:t>
            </w:r>
          </w:p>
        </w:tc>
        <w:tc>
          <w:tcPr>
            <w:tcW w:w="260" w:type="dxa"/>
            <w:vAlign w:val="bottom"/>
            <w:shd w:val="clear" w:color="auto" w:fill="CFF0FC"/>
          </w:tcPr>
          <w:p>
            <w:pPr>
              <w:spacing w:after="0"/>
              <w:rPr>
                <w:sz w:val="24"/>
                <w:szCs w:val="24"/>
                <w:color w:val="auto"/>
              </w:rPr>
            </w:pPr>
          </w:p>
        </w:tc>
        <w:tc>
          <w:tcPr>
            <w:tcW w:w="140" w:type="dxa"/>
            <w:vAlign w:val="bottom"/>
            <w:shd w:val="clear" w:color="auto" w:fill="CFF0FC"/>
          </w:tcPr>
          <w:p>
            <w:pPr>
              <w:jc w:val="right"/>
              <w:ind w:right="28"/>
              <w:spacing w:after="0"/>
              <w:rPr>
                <w:sz w:val="20"/>
                <w:szCs w:val="20"/>
                <w:color w:val="auto"/>
              </w:rPr>
            </w:pPr>
            <w:r>
              <w:rPr>
                <w:rFonts w:ascii="Arial" w:cs="Arial" w:eastAsia="Arial" w:hAnsi="Arial"/>
                <w:sz w:val="10"/>
                <w:szCs w:val="10"/>
                <w:color w:val="auto"/>
                <w:w w:val="71"/>
              </w:rPr>
              <w:t>$</w:t>
            </w:r>
          </w:p>
        </w:tc>
        <w:tc>
          <w:tcPr>
            <w:tcW w:w="760" w:type="dxa"/>
            <w:vAlign w:val="bottom"/>
            <w:shd w:val="clear" w:color="auto" w:fill="CFF0FC"/>
          </w:tcPr>
          <w:p>
            <w:pPr>
              <w:jc w:val="right"/>
              <w:spacing w:after="0"/>
              <w:rPr>
                <w:sz w:val="20"/>
                <w:szCs w:val="20"/>
                <w:color w:val="auto"/>
              </w:rPr>
            </w:pPr>
            <w:r>
              <w:rPr>
                <w:rFonts w:ascii="Arial" w:cs="Arial" w:eastAsia="Arial" w:hAnsi="Arial"/>
                <w:sz w:val="13"/>
                <w:szCs w:val="13"/>
                <w:color w:val="auto"/>
              </w:rPr>
              <w:t>466,152</w:t>
            </w:r>
          </w:p>
        </w:tc>
        <w:tc>
          <w:tcPr>
            <w:tcW w:w="260" w:type="dxa"/>
            <w:vAlign w:val="bottom"/>
            <w:shd w:val="clear" w:color="auto" w:fill="CFF0FC"/>
          </w:tcPr>
          <w:p>
            <w:pPr>
              <w:spacing w:after="0"/>
              <w:rPr>
                <w:sz w:val="24"/>
                <w:szCs w:val="24"/>
                <w:color w:val="auto"/>
              </w:rPr>
            </w:pPr>
          </w:p>
        </w:tc>
        <w:tc>
          <w:tcPr>
            <w:tcW w:w="140" w:type="dxa"/>
            <w:vAlign w:val="bottom"/>
            <w:shd w:val="clear" w:color="auto" w:fill="CFF0FC"/>
          </w:tcPr>
          <w:p>
            <w:pPr>
              <w:jc w:val="right"/>
              <w:ind w:right="28"/>
              <w:spacing w:after="0"/>
              <w:rPr>
                <w:sz w:val="20"/>
                <w:szCs w:val="20"/>
                <w:color w:val="auto"/>
              </w:rPr>
            </w:pPr>
            <w:r>
              <w:rPr>
                <w:rFonts w:ascii="Arial" w:cs="Arial" w:eastAsia="Arial" w:hAnsi="Arial"/>
                <w:sz w:val="10"/>
                <w:szCs w:val="10"/>
                <w:color w:val="auto"/>
                <w:w w:val="71"/>
              </w:rPr>
              <w:t>$</w:t>
            </w:r>
          </w:p>
        </w:tc>
        <w:tc>
          <w:tcPr>
            <w:tcW w:w="1120" w:type="dxa"/>
            <w:vAlign w:val="bottom"/>
            <w:gridSpan w:val="2"/>
            <w:shd w:val="clear" w:color="auto" w:fill="CFF0FC"/>
          </w:tcPr>
          <w:p>
            <w:pPr>
              <w:jc w:val="right"/>
              <w:ind w:right="180"/>
              <w:spacing w:after="0"/>
              <w:rPr>
                <w:sz w:val="20"/>
                <w:szCs w:val="20"/>
                <w:color w:val="auto"/>
              </w:rPr>
            </w:pPr>
            <w:r>
              <w:rPr>
                <w:rFonts w:ascii="Arial" w:cs="Arial" w:eastAsia="Arial" w:hAnsi="Arial"/>
                <w:sz w:val="13"/>
                <w:szCs w:val="13"/>
                <w:color w:val="auto"/>
              </w:rPr>
              <w:t>(157,905 )</w:t>
            </w:r>
          </w:p>
        </w:tc>
        <w:tc>
          <w:tcPr>
            <w:tcW w:w="160" w:type="dxa"/>
            <w:vAlign w:val="bottom"/>
            <w:shd w:val="clear" w:color="auto" w:fill="CFF0FC"/>
          </w:tcPr>
          <w:p>
            <w:pPr>
              <w:jc w:val="right"/>
              <w:ind w:right="17"/>
              <w:spacing w:after="0"/>
              <w:rPr>
                <w:sz w:val="20"/>
                <w:szCs w:val="20"/>
                <w:color w:val="auto"/>
              </w:rPr>
            </w:pPr>
            <w:r>
              <w:rPr>
                <w:rFonts w:ascii="Arial" w:cs="Arial" w:eastAsia="Arial" w:hAnsi="Arial"/>
                <w:sz w:val="13"/>
                <w:szCs w:val="13"/>
                <w:color w:val="auto"/>
                <w:w w:val="82"/>
              </w:rPr>
              <w:t>$</w:t>
            </w:r>
          </w:p>
        </w:tc>
        <w:tc>
          <w:tcPr>
            <w:tcW w:w="980" w:type="dxa"/>
            <w:vAlign w:val="bottom"/>
            <w:shd w:val="clear" w:color="auto" w:fill="CFF0FC"/>
          </w:tcPr>
          <w:p>
            <w:pPr>
              <w:jc w:val="right"/>
              <w:spacing w:after="0"/>
              <w:rPr>
                <w:sz w:val="20"/>
                <w:szCs w:val="20"/>
                <w:color w:val="auto"/>
              </w:rPr>
            </w:pPr>
            <w:r>
              <w:rPr>
                <w:rFonts w:ascii="Arial" w:cs="Arial" w:eastAsia="Arial" w:hAnsi="Arial"/>
                <w:sz w:val="13"/>
                <w:szCs w:val="13"/>
                <w:color w:val="auto"/>
              </w:rPr>
              <w:t>308,248</w:t>
            </w:r>
          </w:p>
        </w:tc>
        <w:tc>
          <w:tcPr>
            <w:tcW w:w="100" w:type="dxa"/>
            <w:vAlign w:val="bottom"/>
            <w:shd w:val="clear" w:color="auto" w:fill="CFF0FC"/>
          </w:tcPr>
          <w:p>
            <w:pPr>
              <w:spacing w:after="0"/>
              <w:rPr>
                <w:sz w:val="24"/>
                <w:szCs w:val="24"/>
                <w:color w:val="auto"/>
              </w:rPr>
            </w:pPr>
          </w:p>
        </w:tc>
      </w:tr>
      <w:tr>
        <w:trPr>
          <w:trHeight w:val="20"/>
        </w:trPr>
        <w:tc>
          <w:tcPr>
            <w:tcW w:w="2840" w:type="dxa"/>
            <w:vAlign w:val="bottom"/>
            <w:tcBorders>
              <w:top w:val="single" w:sz="8" w:color="CFF0FC"/>
            </w:tcBorders>
            <w:shd w:val="clear" w:color="auto" w:fill="CFF0FC"/>
          </w:tcPr>
          <w:p>
            <w:pPr>
              <w:spacing w:after="0" w:line="20" w:lineRule="exact"/>
              <w:rPr>
                <w:sz w:val="1"/>
                <w:szCs w:val="1"/>
                <w:color w:val="auto"/>
              </w:rPr>
            </w:pPr>
          </w:p>
        </w:tc>
        <w:tc>
          <w:tcPr>
            <w:tcW w:w="920" w:type="dxa"/>
            <w:vAlign w:val="bottom"/>
            <w:tcBorders>
              <w:top w:val="single" w:sz="8" w:color="auto"/>
            </w:tcBorders>
            <w:shd w:val="clear" w:color="auto" w:fill="000000"/>
          </w:tcPr>
          <w:p>
            <w:pPr>
              <w:spacing w:after="0" w:line="20" w:lineRule="exact"/>
              <w:rPr>
                <w:sz w:val="1"/>
                <w:szCs w:val="1"/>
                <w:color w:val="auto"/>
              </w:rPr>
            </w:pPr>
          </w:p>
        </w:tc>
        <w:tc>
          <w:tcPr>
            <w:tcW w:w="280" w:type="dxa"/>
            <w:vAlign w:val="bottom"/>
            <w:tcBorders>
              <w:top w:val="single" w:sz="8" w:color="CFF0FC"/>
            </w:tcBorders>
            <w:shd w:val="clear" w:color="auto" w:fill="CFF0FC"/>
          </w:tcPr>
          <w:p>
            <w:pPr>
              <w:spacing w:after="0" w:line="20" w:lineRule="exact"/>
              <w:rPr>
                <w:sz w:val="1"/>
                <w:szCs w:val="1"/>
                <w:color w:val="auto"/>
              </w:rPr>
            </w:pPr>
          </w:p>
        </w:tc>
        <w:tc>
          <w:tcPr>
            <w:tcW w:w="300" w:type="dxa"/>
            <w:vAlign w:val="bottom"/>
            <w:tcBorders>
              <w:top w:val="single" w:sz="8" w:color="auto"/>
            </w:tcBorders>
            <w:shd w:val="clear" w:color="auto" w:fill="000000"/>
          </w:tcPr>
          <w:p>
            <w:pPr>
              <w:spacing w:after="0" w:line="20" w:lineRule="exact"/>
              <w:rPr>
                <w:sz w:val="1"/>
                <w:szCs w:val="1"/>
                <w:color w:val="auto"/>
              </w:rPr>
            </w:pPr>
          </w:p>
        </w:tc>
        <w:tc>
          <w:tcPr>
            <w:tcW w:w="640" w:type="dxa"/>
            <w:vAlign w:val="bottom"/>
            <w:tcBorders>
              <w:top w:val="single" w:sz="8" w:color="auto"/>
            </w:tcBorders>
            <w:shd w:val="clear" w:color="auto" w:fill="000000"/>
          </w:tcPr>
          <w:p>
            <w:pPr>
              <w:spacing w:after="0" w:line="20" w:lineRule="exact"/>
              <w:rPr>
                <w:sz w:val="1"/>
                <w:szCs w:val="1"/>
                <w:color w:val="auto"/>
              </w:rPr>
            </w:pPr>
          </w:p>
        </w:tc>
        <w:tc>
          <w:tcPr>
            <w:tcW w:w="240" w:type="dxa"/>
            <w:vAlign w:val="bottom"/>
            <w:tcBorders>
              <w:top w:val="single" w:sz="8" w:color="CFF0FC"/>
            </w:tcBorders>
            <w:shd w:val="clear" w:color="auto" w:fill="CFF0FC"/>
          </w:tcPr>
          <w:p>
            <w:pPr>
              <w:spacing w:after="0" w:line="20" w:lineRule="exact"/>
              <w:rPr>
                <w:sz w:val="1"/>
                <w:szCs w:val="1"/>
                <w:color w:val="auto"/>
              </w:rPr>
            </w:pPr>
          </w:p>
        </w:tc>
        <w:tc>
          <w:tcPr>
            <w:tcW w:w="1000" w:type="dxa"/>
            <w:vAlign w:val="bottom"/>
            <w:tcBorders>
              <w:top w:val="single" w:sz="8" w:color="auto"/>
            </w:tcBorders>
            <w:shd w:val="clear" w:color="auto" w:fill="000000"/>
          </w:tcPr>
          <w:p>
            <w:pPr>
              <w:spacing w:after="0" w:line="20" w:lineRule="exact"/>
              <w:rPr>
                <w:sz w:val="1"/>
                <w:szCs w:val="1"/>
                <w:color w:val="auto"/>
              </w:rPr>
            </w:pPr>
          </w:p>
        </w:tc>
        <w:tc>
          <w:tcPr>
            <w:tcW w:w="240" w:type="dxa"/>
            <w:vAlign w:val="bottom"/>
            <w:tcBorders>
              <w:top w:val="single" w:sz="8" w:color="CFF0FC"/>
            </w:tcBorders>
            <w:shd w:val="clear" w:color="auto" w:fill="CFF0FC"/>
          </w:tcPr>
          <w:p>
            <w:pPr>
              <w:spacing w:after="0" w:line="20" w:lineRule="exact"/>
              <w:rPr>
                <w:sz w:val="1"/>
                <w:szCs w:val="1"/>
                <w:color w:val="auto"/>
              </w:rPr>
            </w:pPr>
          </w:p>
        </w:tc>
        <w:tc>
          <w:tcPr>
            <w:tcW w:w="160" w:type="dxa"/>
            <w:vAlign w:val="bottom"/>
            <w:tcBorders>
              <w:top w:val="single" w:sz="8" w:color="auto"/>
            </w:tcBorders>
            <w:shd w:val="clear" w:color="auto" w:fill="000000"/>
          </w:tcPr>
          <w:p>
            <w:pPr>
              <w:spacing w:after="0" w:line="20" w:lineRule="exact"/>
              <w:rPr>
                <w:sz w:val="1"/>
                <w:szCs w:val="1"/>
                <w:color w:val="auto"/>
              </w:rPr>
            </w:pPr>
          </w:p>
        </w:tc>
        <w:tc>
          <w:tcPr>
            <w:tcW w:w="700" w:type="dxa"/>
            <w:vAlign w:val="bottom"/>
            <w:tcBorders>
              <w:top w:val="single" w:sz="8" w:color="auto"/>
            </w:tcBorders>
            <w:shd w:val="clear" w:color="auto" w:fill="000000"/>
          </w:tcPr>
          <w:p>
            <w:pPr>
              <w:spacing w:after="0" w:line="20" w:lineRule="exact"/>
              <w:rPr>
                <w:sz w:val="1"/>
                <w:szCs w:val="1"/>
                <w:color w:val="auto"/>
              </w:rPr>
            </w:pPr>
          </w:p>
        </w:tc>
        <w:tc>
          <w:tcPr>
            <w:tcW w:w="260" w:type="dxa"/>
            <w:vAlign w:val="bottom"/>
            <w:tcBorders>
              <w:top w:val="single" w:sz="8" w:color="CFF0FC"/>
            </w:tcBorders>
            <w:shd w:val="clear" w:color="auto" w:fill="CFF0FC"/>
          </w:tcPr>
          <w:p>
            <w:pPr>
              <w:spacing w:after="0" w:line="20" w:lineRule="exact"/>
              <w:rPr>
                <w:sz w:val="1"/>
                <w:szCs w:val="1"/>
                <w:color w:val="auto"/>
              </w:rPr>
            </w:pPr>
          </w:p>
        </w:tc>
        <w:tc>
          <w:tcPr>
            <w:tcW w:w="140" w:type="dxa"/>
            <w:vAlign w:val="bottom"/>
            <w:tcBorders>
              <w:top w:val="single" w:sz="8" w:color="auto"/>
            </w:tcBorders>
            <w:shd w:val="clear" w:color="auto" w:fill="000000"/>
          </w:tcPr>
          <w:p>
            <w:pPr>
              <w:spacing w:after="0" w:line="20" w:lineRule="exact"/>
              <w:rPr>
                <w:sz w:val="1"/>
                <w:szCs w:val="1"/>
                <w:color w:val="auto"/>
              </w:rPr>
            </w:pPr>
          </w:p>
        </w:tc>
        <w:tc>
          <w:tcPr>
            <w:tcW w:w="760" w:type="dxa"/>
            <w:vAlign w:val="bottom"/>
            <w:tcBorders>
              <w:top w:val="single" w:sz="8" w:color="auto"/>
            </w:tcBorders>
            <w:shd w:val="clear" w:color="auto" w:fill="000000"/>
          </w:tcPr>
          <w:p>
            <w:pPr>
              <w:spacing w:after="0" w:line="20" w:lineRule="exact"/>
              <w:rPr>
                <w:sz w:val="1"/>
                <w:szCs w:val="1"/>
                <w:color w:val="auto"/>
              </w:rPr>
            </w:pPr>
          </w:p>
        </w:tc>
        <w:tc>
          <w:tcPr>
            <w:tcW w:w="260" w:type="dxa"/>
            <w:vAlign w:val="bottom"/>
            <w:tcBorders>
              <w:top w:val="single" w:sz="8" w:color="CFF0FC"/>
            </w:tcBorders>
            <w:shd w:val="clear" w:color="auto" w:fill="CFF0FC"/>
          </w:tcPr>
          <w:p>
            <w:pPr>
              <w:spacing w:after="0" w:line="20" w:lineRule="exact"/>
              <w:rPr>
                <w:sz w:val="1"/>
                <w:szCs w:val="1"/>
                <w:color w:val="auto"/>
              </w:rPr>
            </w:pPr>
          </w:p>
        </w:tc>
        <w:tc>
          <w:tcPr>
            <w:tcW w:w="140" w:type="dxa"/>
            <w:vAlign w:val="bottom"/>
            <w:tcBorders>
              <w:top w:val="single" w:sz="8" w:color="auto"/>
            </w:tcBorders>
            <w:shd w:val="clear" w:color="auto" w:fill="000000"/>
          </w:tcPr>
          <w:p>
            <w:pPr>
              <w:spacing w:after="0" w:line="20" w:lineRule="exact"/>
              <w:rPr>
                <w:sz w:val="1"/>
                <w:szCs w:val="1"/>
                <w:color w:val="auto"/>
              </w:rPr>
            </w:pPr>
          </w:p>
        </w:tc>
        <w:tc>
          <w:tcPr>
            <w:tcW w:w="880" w:type="dxa"/>
            <w:vAlign w:val="bottom"/>
            <w:tcBorders>
              <w:top w:val="single" w:sz="8" w:color="auto"/>
            </w:tcBorders>
            <w:shd w:val="clear" w:color="auto" w:fill="000000"/>
          </w:tcPr>
          <w:p>
            <w:pPr>
              <w:spacing w:after="0" w:line="20" w:lineRule="exact"/>
              <w:rPr>
                <w:sz w:val="1"/>
                <w:szCs w:val="1"/>
                <w:color w:val="auto"/>
              </w:rPr>
            </w:pPr>
          </w:p>
        </w:tc>
        <w:tc>
          <w:tcPr>
            <w:tcW w:w="240" w:type="dxa"/>
            <w:vAlign w:val="bottom"/>
            <w:tcBorders>
              <w:top w:val="single" w:sz="8" w:color="CFF0FC"/>
            </w:tcBorders>
            <w:shd w:val="clear" w:color="auto" w:fill="CFF0FC"/>
          </w:tcPr>
          <w:p>
            <w:pPr>
              <w:spacing w:after="0" w:line="20" w:lineRule="exact"/>
              <w:rPr>
                <w:sz w:val="1"/>
                <w:szCs w:val="1"/>
                <w:color w:val="auto"/>
              </w:rPr>
            </w:pPr>
          </w:p>
        </w:tc>
        <w:tc>
          <w:tcPr>
            <w:tcW w:w="160" w:type="dxa"/>
            <w:vAlign w:val="bottom"/>
            <w:tcBorders>
              <w:top w:val="single" w:sz="8" w:color="auto"/>
            </w:tcBorders>
            <w:shd w:val="clear" w:color="auto" w:fill="000000"/>
          </w:tcPr>
          <w:p>
            <w:pPr>
              <w:spacing w:after="0" w:line="20" w:lineRule="exact"/>
              <w:rPr>
                <w:sz w:val="1"/>
                <w:szCs w:val="1"/>
                <w:color w:val="auto"/>
              </w:rPr>
            </w:pPr>
          </w:p>
        </w:tc>
        <w:tc>
          <w:tcPr>
            <w:tcW w:w="980" w:type="dxa"/>
            <w:vAlign w:val="bottom"/>
            <w:tcBorders>
              <w:top w:val="single" w:sz="8" w:color="auto"/>
            </w:tcBorders>
            <w:shd w:val="clear" w:color="auto" w:fill="000000"/>
          </w:tcPr>
          <w:p>
            <w:pPr>
              <w:spacing w:after="0" w:line="20" w:lineRule="exact"/>
              <w:rPr>
                <w:sz w:val="1"/>
                <w:szCs w:val="1"/>
                <w:color w:val="auto"/>
              </w:rPr>
            </w:pPr>
          </w:p>
        </w:tc>
        <w:tc>
          <w:tcPr>
            <w:tcW w:w="100" w:type="dxa"/>
            <w:vAlign w:val="bottom"/>
            <w:tcBorders>
              <w:top w:val="single" w:sz="8" w:color="CFF0FC"/>
            </w:tcBorders>
            <w:shd w:val="clear" w:color="auto" w:fill="CFF0FC"/>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2393950</wp:posOffset>
            </wp:positionH>
            <wp:positionV relativeFrom="paragraph">
              <wp:posOffset>-2345690</wp:posOffset>
            </wp:positionV>
            <wp:extent cx="76835" cy="222885"/>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72">
                      <a:extLst>
                        <a:ext uri="{28A0092B-C50C-407E-A947-70E740481C1C}"/>
                      </a:extLst>
                    </a:blip>
                    <a:srcRect/>
                    <a:stretch>
                      <a:fillRect/>
                    </a:stretch>
                  </pic:blipFill>
                  <pic:spPr bwMode="auto">
                    <a:xfrm>
                      <a:off x="0" y="0"/>
                      <a:ext cx="76835" cy="222885"/>
                    </a:xfrm>
                    <a:prstGeom prst="rect">
                      <a:avLst/>
                    </a:prstGeom>
                    <a:noFill/>
                  </pic:spPr>
                </pic:pic>
              </a:graphicData>
            </a:graphic>
          </wp:anchor>
        </w:drawing>
        <w:drawing>
          <wp:anchor simplePos="0" relativeHeight="251657728" behindDoc="1" locked="0" layoutInCell="0" allowOverlap="1">
            <wp:simplePos x="0" y="0"/>
            <wp:positionH relativeFrom="column">
              <wp:posOffset>3164840</wp:posOffset>
            </wp:positionH>
            <wp:positionV relativeFrom="paragraph">
              <wp:posOffset>-2345690</wp:posOffset>
            </wp:positionV>
            <wp:extent cx="76835" cy="222885"/>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73">
                      <a:extLst>
                        <a:ext uri="{28A0092B-C50C-407E-A947-70E740481C1C}"/>
                      </a:extLst>
                    </a:blip>
                    <a:srcRect/>
                    <a:stretch>
                      <a:fillRect/>
                    </a:stretch>
                  </pic:blipFill>
                  <pic:spPr bwMode="auto">
                    <a:xfrm>
                      <a:off x="0" y="0"/>
                      <a:ext cx="76835" cy="222885"/>
                    </a:xfrm>
                    <a:prstGeom prst="rect">
                      <a:avLst/>
                    </a:prstGeom>
                    <a:noFill/>
                  </pic:spPr>
                </pic:pic>
              </a:graphicData>
            </a:graphic>
          </wp:anchor>
        </w:drawing>
        <w:drawing>
          <wp:anchor simplePos="0" relativeHeight="251657728" behindDoc="1" locked="0" layoutInCell="0" allowOverlap="1">
            <wp:simplePos x="0" y="0"/>
            <wp:positionH relativeFrom="column">
              <wp:posOffset>3943985</wp:posOffset>
            </wp:positionH>
            <wp:positionV relativeFrom="paragraph">
              <wp:posOffset>-2345690</wp:posOffset>
            </wp:positionV>
            <wp:extent cx="68580" cy="222885"/>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74">
                      <a:extLst>
                        <a:ext uri="{28A0092B-C50C-407E-A947-70E740481C1C}"/>
                      </a:extLst>
                    </a:blip>
                    <a:srcRect/>
                    <a:stretch>
                      <a:fillRect/>
                    </a:stretch>
                  </pic:blipFill>
                  <pic:spPr bwMode="auto">
                    <a:xfrm>
                      <a:off x="0" y="0"/>
                      <a:ext cx="68580" cy="222885"/>
                    </a:xfrm>
                    <a:prstGeom prst="rect">
                      <a:avLst/>
                    </a:prstGeom>
                    <a:noFill/>
                  </pic:spPr>
                </pic:pic>
              </a:graphicData>
            </a:graphic>
          </wp:anchor>
        </w:drawing>
        <w:drawing>
          <wp:anchor simplePos="0" relativeHeight="251657728" behindDoc="1" locked="0" layoutInCell="0" allowOverlap="1">
            <wp:simplePos x="0" y="0"/>
            <wp:positionH relativeFrom="column">
              <wp:posOffset>4654550</wp:posOffset>
            </wp:positionH>
            <wp:positionV relativeFrom="paragraph">
              <wp:posOffset>-2345690</wp:posOffset>
            </wp:positionV>
            <wp:extent cx="68580" cy="222885"/>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75">
                      <a:extLst>
                        <a:ext uri="{28A0092B-C50C-407E-A947-70E740481C1C}"/>
                      </a:extLst>
                    </a:blip>
                    <a:srcRect/>
                    <a:stretch>
                      <a:fillRect/>
                    </a:stretch>
                  </pic:blipFill>
                  <pic:spPr bwMode="auto">
                    <a:xfrm>
                      <a:off x="0" y="0"/>
                      <a:ext cx="68580" cy="222885"/>
                    </a:xfrm>
                    <a:prstGeom prst="rect">
                      <a:avLst/>
                    </a:prstGeom>
                    <a:noFill/>
                  </pic:spPr>
                </pic:pic>
              </a:graphicData>
            </a:graphic>
          </wp:anchor>
        </w:drawing>
        <w:drawing>
          <wp:anchor simplePos="0" relativeHeight="251657728" behindDoc="1" locked="0" layoutInCell="0" allowOverlap="1">
            <wp:simplePos x="0" y="0"/>
            <wp:positionH relativeFrom="column">
              <wp:posOffset>5390515</wp:posOffset>
            </wp:positionH>
            <wp:positionV relativeFrom="paragraph">
              <wp:posOffset>-2345690</wp:posOffset>
            </wp:positionV>
            <wp:extent cx="68580" cy="222885"/>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76">
                      <a:extLst>
                        <a:ext uri="{28A0092B-C50C-407E-A947-70E740481C1C}"/>
                      </a:extLst>
                    </a:blip>
                    <a:srcRect/>
                    <a:stretch>
                      <a:fillRect/>
                    </a:stretch>
                  </pic:blipFill>
                  <pic:spPr bwMode="auto">
                    <a:xfrm>
                      <a:off x="0" y="0"/>
                      <a:ext cx="68580" cy="222885"/>
                    </a:xfrm>
                    <a:prstGeom prst="rect">
                      <a:avLst/>
                    </a:prstGeom>
                    <a:noFill/>
                  </pic:spPr>
                </pic:pic>
              </a:graphicData>
            </a:graphic>
          </wp:anchor>
        </w:drawing>
        <w:drawing>
          <wp:anchor simplePos="0" relativeHeight="251657728" behindDoc="1" locked="0" layoutInCell="0" allowOverlap="1">
            <wp:simplePos x="0" y="0"/>
            <wp:positionH relativeFrom="column">
              <wp:posOffset>6195695</wp:posOffset>
            </wp:positionH>
            <wp:positionV relativeFrom="paragraph">
              <wp:posOffset>-2345690</wp:posOffset>
            </wp:positionV>
            <wp:extent cx="68580" cy="222885"/>
            <wp:wrapNone/>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77">
                      <a:extLst>
                        <a:ext uri="{28A0092B-C50C-407E-A947-70E740481C1C}"/>
                      </a:extLst>
                    </a:blip>
                    <a:srcRect/>
                    <a:stretch>
                      <a:fillRect/>
                    </a:stretch>
                  </pic:blipFill>
                  <pic:spPr bwMode="auto">
                    <a:xfrm>
                      <a:off x="0" y="0"/>
                      <a:ext cx="68580" cy="22288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-2345690</wp:posOffset>
            </wp:positionV>
            <wp:extent cx="68580" cy="222885"/>
            <wp:wrapNone/>
            <wp:docPr id="7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pic:cNvPicPr>
                      <a:picLocks noChangeAspect="1" noChangeArrowheads="1"/>
                    </pic:cNvPicPr>
                  </pic:nvPicPr>
                  <pic:blipFill>
                    <a:blip r:embed="rId78">
                      <a:extLst>
                        <a:ext uri="{28A0092B-C50C-407E-A947-70E740481C1C}"/>
                      </a:extLst>
                    </a:blip>
                    <a:srcRect/>
                    <a:stretch>
                      <a:fillRect/>
                    </a:stretch>
                  </pic:blipFill>
                  <pic:spPr bwMode="auto">
                    <a:xfrm>
                      <a:off x="0" y="0"/>
                      <a:ext cx="68580" cy="222885"/>
                    </a:xfrm>
                    <a:prstGeom prst="rect">
                      <a:avLst/>
                    </a:prstGeom>
                    <a:noFill/>
                  </pic:spPr>
                </pic:pic>
              </a:graphicData>
            </a:graphic>
          </wp:anchor>
        </w:drawing>
        <w:drawing>
          <wp:anchor simplePos="0" relativeHeight="251657728" behindDoc="1" locked="0" layoutInCell="0" allowOverlap="1">
            <wp:simplePos x="0" y="0"/>
            <wp:positionH relativeFrom="column">
              <wp:posOffset>2393950</wp:posOffset>
            </wp:positionH>
            <wp:positionV relativeFrom="paragraph">
              <wp:posOffset>-1137920</wp:posOffset>
            </wp:positionV>
            <wp:extent cx="4743450" cy="213995"/>
            <wp:wrapNone/>
            <wp:docPr id="72" name="Picture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
                    <pic:cNvPicPr>
                      <a:picLocks noChangeAspect="1" noChangeArrowheads="1"/>
                    </pic:cNvPicPr>
                  </pic:nvPicPr>
                  <pic:blipFill>
                    <a:blip r:embed="rId79">
                      <a:extLst>
                        <a:ext uri="{28A0092B-C50C-407E-A947-70E740481C1C}"/>
                      </a:extLst>
                    </a:blip>
                    <a:srcRect/>
                    <a:stretch>
                      <a:fillRect/>
                    </a:stretch>
                  </pic:blipFill>
                  <pic:spPr bwMode="auto">
                    <a:xfrm>
                      <a:off x="0" y="0"/>
                      <a:ext cx="4743450" cy="213995"/>
                    </a:xfrm>
                    <a:prstGeom prst="rect">
                      <a:avLst/>
                    </a:prstGeom>
                    <a:noFill/>
                  </pic:spPr>
                </pic:pic>
              </a:graphicData>
            </a:graphic>
          </wp:anchor>
        </w:drawing>
        <w:drawing>
          <wp:anchor simplePos="0" relativeHeight="251657728" behindDoc="1" locked="0" layoutInCell="0" allowOverlap="1">
            <wp:simplePos x="0" y="0"/>
            <wp:positionH relativeFrom="column">
              <wp:posOffset>2393950</wp:posOffset>
            </wp:positionH>
            <wp:positionV relativeFrom="paragraph">
              <wp:posOffset>-24765</wp:posOffset>
            </wp:positionV>
            <wp:extent cx="76835" cy="8255"/>
            <wp:wrapNone/>
            <wp:docPr id="73" name="Picture 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
                    <pic:cNvPicPr>
                      <a:picLocks noChangeAspect="1" noChangeArrowheads="1"/>
                    </pic:cNvPicPr>
                  </pic:nvPicPr>
                  <pic:blipFill>
                    <a:blip r:embed="rId80">
                      <a:extLst>
                        <a:ext uri="{28A0092B-C50C-407E-A947-70E740481C1C}"/>
                      </a:extLst>
                    </a:blip>
                    <a:srcRect/>
                    <a:stretch>
                      <a:fillRect/>
                    </a:stretch>
                  </pic:blipFill>
                  <pic:spPr bwMode="auto">
                    <a:xfrm>
                      <a:off x="0" y="0"/>
                      <a:ext cx="76835" cy="8255"/>
                    </a:xfrm>
                    <a:prstGeom prst="rect">
                      <a:avLst/>
                    </a:prstGeom>
                    <a:noFill/>
                  </pic:spPr>
                </pic:pic>
              </a:graphicData>
            </a:graphic>
          </wp:anchor>
        </w:drawing>
        <w:drawing>
          <wp:anchor simplePos="0" relativeHeight="251657728" behindDoc="1" locked="0" layoutInCell="0" allowOverlap="1">
            <wp:simplePos x="0" y="0"/>
            <wp:positionH relativeFrom="column">
              <wp:posOffset>2393950</wp:posOffset>
            </wp:positionH>
            <wp:positionV relativeFrom="paragraph">
              <wp:posOffset>-7620</wp:posOffset>
            </wp:positionV>
            <wp:extent cx="76835" cy="8255"/>
            <wp:wrapNone/>
            <wp:docPr id="74" name="Picture 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
                    <pic:cNvPicPr>
                      <a:picLocks noChangeAspect="1" noChangeArrowheads="1"/>
                    </pic:cNvPicPr>
                  </pic:nvPicPr>
                  <pic:blipFill>
                    <a:blip r:embed="rId81">
                      <a:extLst>
                        <a:ext uri="{28A0092B-C50C-407E-A947-70E740481C1C}"/>
                      </a:extLst>
                    </a:blip>
                    <a:srcRect/>
                    <a:stretch>
                      <a:fillRect/>
                    </a:stretch>
                  </pic:blipFill>
                  <pic:spPr bwMode="auto">
                    <a:xfrm>
                      <a:off x="0" y="0"/>
                      <a:ext cx="76835" cy="8255"/>
                    </a:xfrm>
                    <a:prstGeom prst="rect">
                      <a:avLst/>
                    </a:prstGeom>
                    <a:noFill/>
                  </pic:spPr>
                </pic:pic>
              </a:graphicData>
            </a:graphic>
          </wp:anchor>
        </w:drawing>
        <w:drawing>
          <wp:anchor simplePos="0" relativeHeight="251657728" behindDoc="1" locked="0" layoutInCell="0" allowOverlap="1">
            <wp:simplePos x="0" y="0"/>
            <wp:positionH relativeFrom="column">
              <wp:posOffset>3164840</wp:posOffset>
            </wp:positionH>
            <wp:positionV relativeFrom="paragraph">
              <wp:posOffset>-24765</wp:posOffset>
            </wp:positionV>
            <wp:extent cx="76835" cy="8255"/>
            <wp:wrapNone/>
            <wp:docPr id="75" name="Picture 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
                    <pic:cNvPicPr>
                      <a:picLocks noChangeAspect="1" noChangeArrowheads="1"/>
                    </pic:cNvPicPr>
                  </pic:nvPicPr>
                  <pic:blipFill>
                    <a:blip r:embed="rId82">
                      <a:extLst>
                        <a:ext uri="{28A0092B-C50C-407E-A947-70E740481C1C}"/>
                      </a:extLst>
                    </a:blip>
                    <a:srcRect/>
                    <a:stretch>
                      <a:fillRect/>
                    </a:stretch>
                  </pic:blipFill>
                  <pic:spPr bwMode="auto">
                    <a:xfrm>
                      <a:off x="0" y="0"/>
                      <a:ext cx="76835" cy="8255"/>
                    </a:xfrm>
                    <a:prstGeom prst="rect">
                      <a:avLst/>
                    </a:prstGeom>
                    <a:noFill/>
                  </pic:spPr>
                </pic:pic>
              </a:graphicData>
            </a:graphic>
          </wp:anchor>
        </w:drawing>
        <w:drawing>
          <wp:anchor simplePos="0" relativeHeight="251657728" behindDoc="1" locked="0" layoutInCell="0" allowOverlap="1">
            <wp:simplePos x="0" y="0"/>
            <wp:positionH relativeFrom="column">
              <wp:posOffset>3164840</wp:posOffset>
            </wp:positionH>
            <wp:positionV relativeFrom="paragraph">
              <wp:posOffset>-7620</wp:posOffset>
            </wp:positionV>
            <wp:extent cx="76835" cy="8255"/>
            <wp:wrapNone/>
            <wp:docPr id="76" name="Picture 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
                    <pic:cNvPicPr>
                      <a:picLocks noChangeAspect="1" noChangeArrowheads="1"/>
                    </pic:cNvPicPr>
                  </pic:nvPicPr>
                  <pic:blipFill>
                    <a:blip r:embed="rId83">
                      <a:extLst>
                        <a:ext uri="{28A0092B-C50C-407E-A947-70E740481C1C}"/>
                      </a:extLst>
                    </a:blip>
                    <a:srcRect/>
                    <a:stretch>
                      <a:fillRect/>
                    </a:stretch>
                  </pic:blipFill>
                  <pic:spPr bwMode="auto">
                    <a:xfrm>
                      <a:off x="0" y="0"/>
                      <a:ext cx="76835" cy="8255"/>
                    </a:xfrm>
                    <a:prstGeom prst="rect">
                      <a:avLst/>
                    </a:prstGeom>
                    <a:noFill/>
                  </pic:spPr>
                </pic:pic>
              </a:graphicData>
            </a:graphic>
          </wp:anchor>
        </w:drawing>
        <w:drawing>
          <wp:anchor simplePos="0" relativeHeight="251657728" behindDoc="1" locked="0" layoutInCell="0" allowOverlap="1">
            <wp:simplePos x="0" y="0"/>
            <wp:positionH relativeFrom="column">
              <wp:posOffset>3943985</wp:posOffset>
            </wp:positionH>
            <wp:positionV relativeFrom="paragraph">
              <wp:posOffset>-24765</wp:posOffset>
            </wp:positionV>
            <wp:extent cx="68580" cy="8255"/>
            <wp:wrapNone/>
            <wp:docPr id="77" name="Picture 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
                    <pic:cNvPicPr>
                      <a:picLocks noChangeAspect="1" noChangeArrowheads="1"/>
                    </pic:cNvPicPr>
                  </pic:nvPicPr>
                  <pic:blipFill>
                    <a:blip r:embed="rId84">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3943985</wp:posOffset>
            </wp:positionH>
            <wp:positionV relativeFrom="paragraph">
              <wp:posOffset>-7620</wp:posOffset>
            </wp:positionV>
            <wp:extent cx="68580" cy="8255"/>
            <wp:wrapNone/>
            <wp:docPr id="78" name="Picture 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
                    <pic:cNvPicPr>
                      <a:picLocks noChangeAspect="1" noChangeArrowheads="1"/>
                    </pic:cNvPicPr>
                  </pic:nvPicPr>
                  <pic:blipFill>
                    <a:blip r:embed="rId85">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4654550</wp:posOffset>
            </wp:positionH>
            <wp:positionV relativeFrom="paragraph">
              <wp:posOffset>-24765</wp:posOffset>
            </wp:positionV>
            <wp:extent cx="68580" cy="8255"/>
            <wp:wrapNone/>
            <wp:docPr id="79" name="Picture 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
                    <pic:cNvPicPr>
                      <a:picLocks noChangeAspect="1" noChangeArrowheads="1"/>
                    </pic:cNvPicPr>
                  </pic:nvPicPr>
                  <pic:blipFill>
                    <a:blip r:embed="rId86">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4654550</wp:posOffset>
            </wp:positionH>
            <wp:positionV relativeFrom="paragraph">
              <wp:posOffset>-7620</wp:posOffset>
            </wp:positionV>
            <wp:extent cx="68580" cy="8255"/>
            <wp:wrapNone/>
            <wp:docPr id="80" name="Picture 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
                    <pic:cNvPicPr>
                      <a:picLocks noChangeAspect="1" noChangeArrowheads="1"/>
                    </pic:cNvPicPr>
                  </pic:nvPicPr>
                  <pic:blipFill>
                    <a:blip r:embed="rId87">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5390515</wp:posOffset>
            </wp:positionH>
            <wp:positionV relativeFrom="paragraph">
              <wp:posOffset>-24765</wp:posOffset>
            </wp:positionV>
            <wp:extent cx="68580" cy="8255"/>
            <wp:wrapNone/>
            <wp:docPr id="81" name="Picture 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
                    <pic:cNvPicPr>
                      <a:picLocks noChangeAspect="1" noChangeArrowheads="1"/>
                    </pic:cNvPicPr>
                  </pic:nvPicPr>
                  <pic:blipFill>
                    <a:blip r:embed="rId88">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5390515</wp:posOffset>
            </wp:positionH>
            <wp:positionV relativeFrom="paragraph">
              <wp:posOffset>-7620</wp:posOffset>
            </wp:positionV>
            <wp:extent cx="68580" cy="8255"/>
            <wp:wrapNone/>
            <wp:docPr id="82" name="Picture 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
                    <pic:cNvPicPr>
                      <a:picLocks noChangeAspect="1" noChangeArrowheads="1"/>
                    </pic:cNvPicPr>
                  </pic:nvPicPr>
                  <pic:blipFill>
                    <a:blip r:embed="rId89">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6195695</wp:posOffset>
            </wp:positionH>
            <wp:positionV relativeFrom="paragraph">
              <wp:posOffset>-24765</wp:posOffset>
            </wp:positionV>
            <wp:extent cx="68580" cy="8255"/>
            <wp:wrapNone/>
            <wp:docPr id="83" name="Picture 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
                    <pic:cNvPicPr>
                      <a:picLocks noChangeAspect="1" noChangeArrowheads="1"/>
                    </pic:cNvPicPr>
                  </pic:nvPicPr>
                  <pic:blipFill>
                    <a:blip r:embed="rId90">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6195695</wp:posOffset>
            </wp:positionH>
            <wp:positionV relativeFrom="paragraph">
              <wp:posOffset>-7620</wp:posOffset>
            </wp:positionV>
            <wp:extent cx="68580" cy="8255"/>
            <wp:wrapNone/>
            <wp:docPr id="84" name="Picture 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
                    <pic:cNvPicPr>
                      <a:picLocks noChangeAspect="1" noChangeArrowheads="1"/>
                    </pic:cNvPicPr>
                  </pic:nvPicPr>
                  <pic:blipFill>
                    <a:blip r:embed="rId91">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-24765</wp:posOffset>
            </wp:positionV>
            <wp:extent cx="68580" cy="8255"/>
            <wp:wrapNone/>
            <wp:docPr id="85" name="Picture 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
                    <pic:cNvPicPr>
                      <a:picLocks noChangeAspect="1" noChangeArrowheads="1"/>
                    </pic:cNvPicPr>
                  </pic:nvPicPr>
                  <pic:blipFill>
                    <a:blip r:embed="rId92">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-7620</wp:posOffset>
            </wp:positionV>
            <wp:extent cx="68580" cy="8255"/>
            <wp:wrapNone/>
            <wp:docPr id="86" name="Picture 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
                    <pic:cNvPicPr>
                      <a:picLocks noChangeAspect="1" noChangeArrowheads="1"/>
                    </pic:cNvPicPr>
                  </pic:nvPicPr>
                  <pic:blipFill>
                    <a:blip r:embed="rId93">
                      <a:extLst>
                        <a:ext uri="{28A0092B-C50C-407E-A947-70E740481C1C}"/>
                      </a:extLst>
                    </a:blip>
                    <a:srcRect/>
                    <a:stretch>
                      <a:fillRect/>
                    </a:stretch>
                  </pic:blipFill>
                  <pic:spPr bwMode="auto">
                    <a:xfrm>
                      <a:off x="0" y="0"/>
                      <a:ext cx="68580" cy="8255"/>
                    </a:xfrm>
                    <a:prstGeom prst="rect">
                      <a:avLst/>
                    </a:prstGeom>
                    <a:noFill/>
                  </pic:spPr>
                </pic:pic>
              </a:graphicData>
            </a:graphic>
          </wp:anchor>
        </w:drawing>
      </w:r>
    </w:p>
    <w:p>
      <w:pPr>
        <w:spacing w:after="0" w:line="16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See accompanying notes to condensed consolidated financial statements.</w:t>
      </w:r>
    </w:p>
    <w:p>
      <w:pPr>
        <w:spacing w:after="0" w:line="11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61595</wp:posOffset>
            </wp:positionV>
            <wp:extent cx="7157720" cy="42545"/>
            <wp:wrapNone/>
            <wp:docPr id="87" name="Picture 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
                    <pic:cNvPicPr>
                      <a:picLocks noChangeAspect="1" noChangeArrowheads="1"/>
                    </pic:cNvPicPr>
                  </pic:nvPicPr>
                  <pic:blipFill>
                    <a:blip r:embed="rId9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539" w:right="339" w:bottom="1440" w:gutter="0" w:footer="0" w:header="0"/>
        </w:sectPr>
      </w:pPr>
    </w:p>
    <w:bookmarkStart w:id="9" w:name="page10"/>
    <w:bookmarkEnd w:id="9"/>
    <w:p>
      <w:pPr>
        <w:jc w:val="center"/>
        <w:ind w:right="40"/>
        <w:spacing w:after="0"/>
        <w:rPr>
          <w:sz w:val="20"/>
          <w:szCs w:val="20"/>
          <w:color w:val="auto"/>
        </w:rPr>
      </w:pPr>
      <w:r>
        <w:rPr>
          <w:rFonts w:ascii="Arial" w:cs="Arial" w:eastAsia="Arial" w:hAnsi="Arial"/>
          <w:sz w:val="18"/>
          <w:szCs w:val="18"/>
          <w:b w:val="1"/>
          <w:bCs w:val="1"/>
          <w:color w:val="auto"/>
        </w:rPr>
        <w:t>AMPLITUDE, INC.</w:t>
      </w:r>
    </w:p>
    <w:p>
      <w:pPr>
        <w:spacing w:after="0" w:line="24" w:lineRule="exact"/>
        <w:rPr>
          <w:sz w:val="20"/>
          <w:szCs w:val="20"/>
          <w:color w:val="auto"/>
        </w:rPr>
      </w:pPr>
    </w:p>
    <w:p>
      <w:pPr>
        <w:jc w:val="center"/>
        <w:ind w:right="40"/>
        <w:spacing w:after="0"/>
        <w:rPr>
          <w:sz w:val="20"/>
          <w:szCs w:val="20"/>
          <w:color w:val="auto"/>
        </w:rPr>
      </w:pPr>
      <w:r>
        <w:rPr>
          <w:rFonts w:ascii="Arial" w:cs="Arial" w:eastAsia="Arial" w:hAnsi="Arial"/>
          <w:sz w:val="18"/>
          <w:szCs w:val="18"/>
          <w:b w:val="1"/>
          <w:bCs w:val="1"/>
          <w:color w:val="auto"/>
        </w:rPr>
        <w:t>Condensed Consolidated Statements of Cash Flows</w:t>
      </w:r>
    </w:p>
    <w:p>
      <w:pPr>
        <w:ind w:left="5040"/>
        <w:spacing w:after="0" w:line="234" w:lineRule="auto"/>
        <w:rPr>
          <w:sz w:val="20"/>
          <w:szCs w:val="20"/>
          <w:color w:val="auto"/>
        </w:rPr>
      </w:pPr>
      <w:r>
        <w:rPr>
          <w:rFonts w:ascii="Arial" w:cs="Arial" w:eastAsia="Arial" w:hAnsi="Arial"/>
          <w:sz w:val="18"/>
          <w:szCs w:val="18"/>
          <w:b w:val="1"/>
          <w:bCs w:val="1"/>
          <w:color w:val="auto"/>
        </w:rPr>
        <w:t>(In thousands)</w:t>
      </w:r>
    </w:p>
    <w:p>
      <w:pPr>
        <w:ind w:left="5180"/>
        <w:spacing w:after="0"/>
        <w:rPr>
          <w:sz w:val="20"/>
          <w:szCs w:val="20"/>
          <w:color w:val="auto"/>
        </w:rPr>
      </w:pPr>
      <w:r>
        <w:rPr>
          <w:rFonts w:ascii="Arial" w:cs="Arial" w:eastAsia="Arial" w:hAnsi="Arial"/>
          <w:sz w:val="18"/>
          <w:szCs w:val="18"/>
          <w:b w:val="1"/>
          <w:bCs w:val="1"/>
          <w:color w:val="auto"/>
        </w:rPr>
        <w:t>(unaudited)</w:t>
      </w:r>
    </w:p>
    <w:p>
      <w:pPr>
        <w:spacing w:after="0" w:line="191"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7240" w:type="dxa"/>
            <w:vAlign w:val="bottom"/>
          </w:tcPr>
          <w:p>
            <w:pPr>
              <w:spacing w:after="0"/>
              <w:rPr>
                <w:sz w:val="18"/>
                <w:szCs w:val="18"/>
                <w:color w:val="auto"/>
              </w:rPr>
            </w:pPr>
          </w:p>
        </w:tc>
        <w:tc>
          <w:tcPr>
            <w:tcW w:w="4000" w:type="dxa"/>
            <w:vAlign w:val="bottom"/>
            <w:gridSpan w:val="6"/>
          </w:tcPr>
          <w:p>
            <w:pPr>
              <w:jc w:val="right"/>
              <w:ind w:right="690"/>
              <w:spacing w:after="0"/>
              <w:rPr>
                <w:sz w:val="20"/>
                <w:szCs w:val="20"/>
                <w:color w:val="auto"/>
              </w:rPr>
            </w:pPr>
            <w:r>
              <w:rPr>
                <w:rFonts w:ascii="Arial" w:cs="Arial" w:eastAsia="Arial" w:hAnsi="Arial"/>
                <w:sz w:val="18"/>
                <w:szCs w:val="18"/>
                <w:b w:val="1"/>
                <w:bCs w:val="1"/>
                <w:color w:val="auto"/>
              </w:rPr>
              <w:t>Nine Months Ended September 30,</w:t>
            </w:r>
          </w:p>
        </w:tc>
      </w:tr>
      <w:tr>
        <w:trPr>
          <w:trHeight w:val="234"/>
        </w:trPr>
        <w:tc>
          <w:tcPr>
            <w:tcW w:w="7240" w:type="dxa"/>
            <w:vAlign w:val="bottom"/>
          </w:tcPr>
          <w:p>
            <w:pPr>
              <w:spacing w:after="0"/>
              <w:rPr>
                <w:sz w:val="20"/>
                <w:szCs w:val="20"/>
                <w:color w:val="auto"/>
              </w:rPr>
            </w:pPr>
          </w:p>
        </w:tc>
        <w:tc>
          <w:tcPr>
            <w:tcW w:w="130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b w:val="1"/>
                <w:bCs w:val="1"/>
                <w:color w:val="auto"/>
              </w:rPr>
              <w:t>2022</w:t>
            </w:r>
          </w:p>
        </w:tc>
        <w:tc>
          <w:tcPr>
            <w:tcW w:w="720" w:type="dxa"/>
            <w:vAlign w:val="bottom"/>
            <w:tcBorders>
              <w:bottom w:val="single" w:sz="8" w:color="auto"/>
            </w:tcBorders>
          </w:tcPr>
          <w:p>
            <w:pPr>
              <w:spacing w:after="0"/>
              <w:rPr>
                <w:sz w:val="20"/>
                <w:szCs w:val="20"/>
                <w:color w:val="auto"/>
              </w:rPr>
            </w:pPr>
          </w:p>
        </w:tc>
        <w:tc>
          <w:tcPr>
            <w:tcW w:w="260" w:type="dxa"/>
            <w:vAlign w:val="bottom"/>
          </w:tcPr>
          <w:p>
            <w:pPr>
              <w:spacing w:after="0"/>
              <w:rPr>
                <w:sz w:val="20"/>
                <w:szCs w:val="20"/>
                <w:color w:val="auto"/>
              </w:rPr>
            </w:pPr>
          </w:p>
        </w:tc>
        <w:tc>
          <w:tcPr>
            <w:tcW w:w="340" w:type="dxa"/>
            <w:vAlign w:val="bottom"/>
            <w:tcBorders>
              <w:bottom w:val="single" w:sz="8" w:color="auto"/>
            </w:tcBorders>
          </w:tcPr>
          <w:p>
            <w:pPr>
              <w:spacing w:after="0"/>
              <w:rPr>
                <w:sz w:val="20"/>
                <w:szCs w:val="20"/>
                <w:color w:val="auto"/>
              </w:rPr>
            </w:pPr>
          </w:p>
        </w:tc>
        <w:tc>
          <w:tcPr>
            <w:tcW w:w="1120" w:type="dxa"/>
            <w:vAlign w:val="bottom"/>
            <w:tcBorders>
              <w:bottom w:val="single" w:sz="8" w:color="auto"/>
            </w:tcBorders>
          </w:tcPr>
          <w:p>
            <w:pPr>
              <w:jc w:val="right"/>
              <w:ind w:right="453"/>
              <w:spacing w:after="0"/>
              <w:rPr>
                <w:sz w:val="20"/>
                <w:szCs w:val="20"/>
                <w:color w:val="auto"/>
              </w:rPr>
            </w:pPr>
            <w:r>
              <w:rPr>
                <w:rFonts w:ascii="Arial" w:cs="Arial" w:eastAsia="Arial" w:hAnsi="Arial"/>
                <w:sz w:val="18"/>
                <w:szCs w:val="18"/>
                <w:b w:val="1"/>
                <w:bCs w:val="1"/>
                <w:color w:val="auto"/>
              </w:rPr>
              <w:t>2021</w:t>
            </w:r>
          </w:p>
        </w:tc>
        <w:tc>
          <w:tcPr>
            <w:tcW w:w="260" w:type="dxa"/>
            <w:vAlign w:val="bottom"/>
          </w:tcPr>
          <w:p>
            <w:pPr>
              <w:spacing w:after="0"/>
              <w:rPr>
                <w:sz w:val="20"/>
                <w:szCs w:val="20"/>
                <w:color w:val="auto"/>
              </w:rPr>
            </w:pPr>
          </w:p>
        </w:tc>
      </w:tr>
      <w:tr>
        <w:trPr>
          <w:trHeight w:val="209"/>
        </w:trPr>
        <w:tc>
          <w:tcPr>
            <w:tcW w:w="7240" w:type="dxa"/>
            <w:vAlign w:val="bottom"/>
            <w:shd w:val="clear" w:color="auto" w:fill="CFF0FC"/>
          </w:tcPr>
          <w:p>
            <w:pPr>
              <w:ind w:left="20"/>
              <w:spacing w:after="0"/>
              <w:rPr>
                <w:sz w:val="20"/>
                <w:szCs w:val="20"/>
                <w:color w:val="auto"/>
              </w:rPr>
            </w:pPr>
            <w:r>
              <w:rPr>
                <w:rFonts w:ascii="Arial" w:cs="Arial" w:eastAsia="Arial" w:hAnsi="Arial"/>
                <w:sz w:val="18"/>
                <w:szCs w:val="18"/>
                <w:color w:val="auto"/>
              </w:rPr>
              <w:t>Cash flows from operating activities:</w:t>
            </w:r>
          </w:p>
        </w:tc>
        <w:tc>
          <w:tcPr>
            <w:tcW w:w="1300" w:type="dxa"/>
            <w:vAlign w:val="bottom"/>
            <w:shd w:val="clear" w:color="auto" w:fill="CFF0FC"/>
          </w:tcPr>
          <w:p>
            <w:pPr>
              <w:spacing w:after="0"/>
              <w:rPr>
                <w:sz w:val="18"/>
                <w:szCs w:val="18"/>
                <w:color w:val="auto"/>
              </w:rPr>
            </w:pPr>
          </w:p>
        </w:tc>
        <w:tc>
          <w:tcPr>
            <w:tcW w:w="720" w:type="dxa"/>
            <w:vAlign w:val="bottom"/>
            <w:shd w:val="clear" w:color="auto" w:fill="CFF0FC"/>
          </w:tcPr>
          <w:p>
            <w:pPr>
              <w:spacing w:after="0"/>
              <w:rPr>
                <w:sz w:val="18"/>
                <w:szCs w:val="18"/>
                <w:color w:val="auto"/>
              </w:rPr>
            </w:pPr>
          </w:p>
        </w:tc>
        <w:tc>
          <w:tcPr>
            <w:tcW w:w="260" w:type="dxa"/>
            <w:vAlign w:val="bottom"/>
            <w:shd w:val="clear" w:color="auto" w:fill="CFF0FC"/>
          </w:tcPr>
          <w:p>
            <w:pPr>
              <w:spacing w:after="0"/>
              <w:rPr>
                <w:sz w:val="18"/>
                <w:szCs w:val="18"/>
                <w:color w:val="auto"/>
              </w:rPr>
            </w:pPr>
          </w:p>
        </w:tc>
        <w:tc>
          <w:tcPr>
            <w:tcW w:w="340" w:type="dxa"/>
            <w:vAlign w:val="bottom"/>
            <w:shd w:val="clear" w:color="auto" w:fill="CFF0FC"/>
          </w:tcPr>
          <w:p>
            <w:pPr>
              <w:spacing w:after="0"/>
              <w:rPr>
                <w:sz w:val="18"/>
                <w:szCs w:val="18"/>
                <w:color w:val="auto"/>
              </w:rPr>
            </w:pPr>
          </w:p>
        </w:tc>
        <w:tc>
          <w:tcPr>
            <w:tcW w:w="1120" w:type="dxa"/>
            <w:vAlign w:val="bottom"/>
            <w:shd w:val="clear" w:color="auto" w:fill="CFF0FC"/>
          </w:tcPr>
          <w:p>
            <w:pPr>
              <w:spacing w:after="0"/>
              <w:rPr>
                <w:sz w:val="18"/>
                <w:szCs w:val="18"/>
                <w:color w:val="auto"/>
              </w:rPr>
            </w:pPr>
          </w:p>
        </w:tc>
        <w:tc>
          <w:tcPr>
            <w:tcW w:w="260" w:type="dxa"/>
            <w:vAlign w:val="bottom"/>
            <w:shd w:val="clear" w:color="auto" w:fill="CFF0FC"/>
          </w:tcPr>
          <w:p>
            <w:pPr>
              <w:spacing w:after="0"/>
              <w:rPr>
                <w:sz w:val="18"/>
                <w:szCs w:val="18"/>
                <w:color w:val="auto"/>
              </w:rPr>
            </w:pPr>
          </w:p>
        </w:tc>
      </w:tr>
      <w:tr>
        <w:trPr>
          <w:trHeight w:val="216"/>
        </w:trPr>
        <w:tc>
          <w:tcPr>
            <w:tcW w:w="7240" w:type="dxa"/>
            <w:vAlign w:val="bottom"/>
          </w:tcPr>
          <w:p>
            <w:pPr>
              <w:ind w:left="200"/>
              <w:spacing w:after="0"/>
              <w:rPr>
                <w:sz w:val="20"/>
                <w:szCs w:val="20"/>
                <w:color w:val="auto"/>
              </w:rPr>
            </w:pPr>
            <w:r>
              <w:rPr>
                <w:rFonts w:ascii="Arial" w:cs="Arial" w:eastAsia="Arial" w:hAnsi="Arial"/>
                <w:sz w:val="18"/>
                <w:szCs w:val="18"/>
                <w:color w:val="auto"/>
              </w:rPr>
              <w:t>Net loss</w:t>
            </w:r>
          </w:p>
        </w:tc>
        <w:tc>
          <w:tcPr>
            <w:tcW w:w="1300" w:type="dxa"/>
            <w:vAlign w:val="bottom"/>
          </w:tcPr>
          <w:p>
            <w:pPr>
              <w:jc w:val="right"/>
              <w:ind w:right="1090"/>
              <w:spacing w:after="0"/>
              <w:rPr>
                <w:sz w:val="20"/>
                <w:szCs w:val="20"/>
                <w:color w:val="auto"/>
              </w:rPr>
            </w:pPr>
            <w:r>
              <w:rPr>
                <w:rFonts w:ascii="Arial" w:cs="Arial" w:eastAsia="Arial" w:hAnsi="Arial"/>
                <w:sz w:val="18"/>
                <w:szCs w:val="18"/>
                <w:color w:val="auto"/>
                <w:w w:val="99"/>
              </w:rPr>
              <w:t>$</w:t>
            </w:r>
          </w:p>
        </w:tc>
        <w:tc>
          <w:tcPr>
            <w:tcW w:w="980" w:type="dxa"/>
            <w:vAlign w:val="bottom"/>
            <w:gridSpan w:val="2"/>
          </w:tcPr>
          <w:p>
            <w:pPr>
              <w:jc w:val="right"/>
              <w:ind w:right="90"/>
              <w:spacing w:after="0"/>
              <w:rPr>
                <w:sz w:val="20"/>
                <w:szCs w:val="20"/>
                <w:color w:val="auto"/>
              </w:rPr>
            </w:pPr>
            <w:r>
              <w:rPr>
                <w:rFonts w:ascii="Arial" w:cs="Arial" w:eastAsia="Arial" w:hAnsi="Arial"/>
                <w:sz w:val="18"/>
                <w:szCs w:val="18"/>
                <w:color w:val="auto"/>
              </w:rPr>
              <w:t>(69,332 )</w:t>
            </w:r>
          </w:p>
        </w:tc>
        <w:tc>
          <w:tcPr>
            <w:tcW w:w="340" w:type="dxa"/>
            <w:vAlign w:val="bottom"/>
          </w:tcPr>
          <w:p>
            <w:pPr>
              <w:jc w:val="right"/>
              <w:ind w:right="130"/>
              <w:spacing w:after="0"/>
              <w:rPr>
                <w:sz w:val="20"/>
                <w:szCs w:val="20"/>
                <w:color w:val="auto"/>
              </w:rPr>
            </w:pPr>
            <w:r>
              <w:rPr>
                <w:rFonts w:ascii="Arial" w:cs="Arial" w:eastAsia="Arial" w:hAnsi="Arial"/>
                <w:sz w:val="18"/>
                <w:szCs w:val="18"/>
                <w:color w:val="auto"/>
                <w:w w:val="99"/>
              </w:rPr>
              <w:t>$</w:t>
            </w:r>
          </w:p>
        </w:tc>
        <w:tc>
          <w:tcPr>
            <w:tcW w:w="1380" w:type="dxa"/>
            <w:vAlign w:val="bottom"/>
            <w:gridSpan w:val="2"/>
          </w:tcPr>
          <w:p>
            <w:pPr>
              <w:jc w:val="right"/>
              <w:ind w:right="90"/>
              <w:spacing w:after="0"/>
              <w:rPr>
                <w:sz w:val="20"/>
                <w:szCs w:val="20"/>
                <w:color w:val="auto"/>
              </w:rPr>
            </w:pPr>
            <w:r>
              <w:rPr>
                <w:rFonts w:ascii="Arial" w:cs="Arial" w:eastAsia="Arial" w:hAnsi="Arial"/>
                <w:sz w:val="18"/>
                <w:szCs w:val="18"/>
                <w:color w:val="auto"/>
              </w:rPr>
              <w:t>(53,081 )</w:t>
            </w:r>
          </w:p>
        </w:tc>
      </w:tr>
      <w:tr>
        <w:trPr>
          <w:trHeight w:val="216"/>
        </w:trPr>
        <w:tc>
          <w:tcPr>
            <w:tcW w:w="7240" w:type="dxa"/>
            <w:vAlign w:val="bottom"/>
            <w:shd w:val="clear" w:color="auto" w:fill="CFF0FC"/>
          </w:tcPr>
          <w:p>
            <w:pPr>
              <w:ind w:left="200"/>
              <w:spacing w:after="0"/>
              <w:rPr>
                <w:sz w:val="20"/>
                <w:szCs w:val="20"/>
                <w:color w:val="auto"/>
              </w:rPr>
            </w:pPr>
            <w:r>
              <w:rPr>
                <w:rFonts w:ascii="Arial" w:cs="Arial" w:eastAsia="Arial" w:hAnsi="Arial"/>
                <w:sz w:val="18"/>
                <w:szCs w:val="18"/>
                <w:color w:val="auto"/>
              </w:rPr>
              <w:t>Adjustments to reconcile net loss to net cash used in operating activities:</w:t>
            </w:r>
          </w:p>
        </w:tc>
        <w:tc>
          <w:tcPr>
            <w:tcW w:w="1300" w:type="dxa"/>
            <w:vAlign w:val="bottom"/>
            <w:shd w:val="clear" w:color="auto" w:fill="CFF0FC"/>
          </w:tcPr>
          <w:p>
            <w:pPr>
              <w:spacing w:after="0"/>
              <w:rPr>
                <w:sz w:val="18"/>
                <w:szCs w:val="18"/>
                <w:color w:val="auto"/>
              </w:rPr>
            </w:pPr>
          </w:p>
        </w:tc>
        <w:tc>
          <w:tcPr>
            <w:tcW w:w="720" w:type="dxa"/>
            <w:vAlign w:val="bottom"/>
            <w:shd w:val="clear" w:color="auto" w:fill="CFF0FC"/>
          </w:tcPr>
          <w:p>
            <w:pPr>
              <w:spacing w:after="0"/>
              <w:rPr>
                <w:sz w:val="18"/>
                <w:szCs w:val="18"/>
                <w:color w:val="auto"/>
              </w:rPr>
            </w:pPr>
          </w:p>
        </w:tc>
        <w:tc>
          <w:tcPr>
            <w:tcW w:w="260" w:type="dxa"/>
            <w:vAlign w:val="bottom"/>
            <w:shd w:val="clear" w:color="auto" w:fill="CFF0FC"/>
          </w:tcPr>
          <w:p>
            <w:pPr>
              <w:spacing w:after="0"/>
              <w:rPr>
                <w:sz w:val="18"/>
                <w:szCs w:val="18"/>
                <w:color w:val="auto"/>
              </w:rPr>
            </w:pPr>
          </w:p>
        </w:tc>
        <w:tc>
          <w:tcPr>
            <w:tcW w:w="340" w:type="dxa"/>
            <w:vAlign w:val="bottom"/>
            <w:shd w:val="clear" w:color="auto" w:fill="CFF0FC"/>
          </w:tcPr>
          <w:p>
            <w:pPr>
              <w:spacing w:after="0"/>
              <w:rPr>
                <w:sz w:val="18"/>
                <w:szCs w:val="18"/>
                <w:color w:val="auto"/>
              </w:rPr>
            </w:pPr>
          </w:p>
        </w:tc>
        <w:tc>
          <w:tcPr>
            <w:tcW w:w="1120" w:type="dxa"/>
            <w:vAlign w:val="bottom"/>
            <w:shd w:val="clear" w:color="auto" w:fill="CFF0FC"/>
          </w:tcPr>
          <w:p>
            <w:pPr>
              <w:spacing w:after="0"/>
              <w:rPr>
                <w:sz w:val="18"/>
                <w:szCs w:val="18"/>
                <w:color w:val="auto"/>
              </w:rPr>
            </w:pPr>
          </w:p>
        </w:tc>
        <w:tc>
          <w:tcPr>
            <w:tcW w:w="260" w:type="dxa"/>
            <w:vAlign w:val="bottom"/>
            <w:shd w:val="clear" w:color="auto" w:fill="CFF0FC"/>
          </w:tcPr>
          <w:p>
            <w:pPr>
              <w:spacing w:after="0"/>
              <w:rPr>
                <w:sz w:val="18"/>
                <w:szCs w:val="18"/>
                <w:color w:val="auto"/>
              </w:rPr>
            </w:pPr>
          </w:p>
        </w:tc>
      </w:tr>
      <w:tr>
        <w:trPr>
          <w:trHeight w:val="216"/>
        </w:trPr>
        <w:tc>
          <w:tcPr>
            <w:tcW w:w="7240" w:type="dxa"/>
            <w:vAlign w:val="bottom"/>
          </w:tcPr>
          <w:p>
            <w:pPr>
              <w:ind w:left="380"/>
              <w:spacing w:after="0"/>
              <w:rPr>
                <w:sz w:val="20"/>
                <w:szCs w:val="20"/>
                <w:color w:val="auto"/>
              </w:rPr>
            </w:pPr>
            <w:r>
              <w:rPr>
                <w:rFonts w:ascii="Arial" w:cs="Arial" w:eastAsia="Arial" w:hAnsi="Arial"/>
                <w:sz w:val="18"/>
                <w:szCs w:val="18"/>
                <w:color w:val="auto"/>
              </w:rPr>
              <w:t>Depreciation and amortization</w:t>
            </w:r>
          </w:p>
        </w:tc>
        <w:tc>
          <w:tcPr>
            <w:tcW w:w="130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3,226</w:t>
            </w:r>
          </w:p>
        </w:tc>
        <w:tc>
          <w:tcPr>
            <w:tcW w:w="26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2,210</w:t>
            </w:r>
          </w:p>
        </w:tc>
        <w:tc>
          <w:tcPr>
            <w:tcW w:w="260" w:type="dxa"/>
            <w:vAlign w:val="bottom"/>
          </w:tcPr>
          <w:p>
            <w:pPr>
              <w:spacing w:after="0"/>
              <w:rPr>
                <w:sz w:val="18"/>
                <w:szCs w:val="18"/>
                <w:color w:val="auto"/>
              </w:rPr>
            </w:pPr>
          </w:p>
        </w:tc>
      </w:tr>
      <w:tr>
        <w:trPr>
          <w:trHeight w:val="216"/>
        </w:trPr>
        <w:tc>
          <w:tcPr>
            <w:tcW w:w="7240" w:type="dxa"/>
            <w:vAlign w:val="bottom"/>
            <w:shd w:val="clear" w:color="auto" w:fill="CFF0FC"/>
          </w:tcPr>
          <w:p>
            <w:pPr>
              <w:ind w:left="380"/>
              <w:spacing w:after="0"/>
              <w:rPr>
                <w:sz w:val="20"/>
                <w:szCs w:val="20"/>
                <w:color w:val="auto"/>
              </w:rPr>
            </w:pPr>
            <w:r>
              <w:rPr>
                <w:rFonts w:ascii="Arial" w:cs="Arial" w:eastAsia="Arial" w:hAnsi="Arial"/>
                <w:sz w:val="18"/>
                <w:szCs w:val="18"/>
                <w:color w:val="auto"/>
              </w:rPr>
              <w:t>Stock-based compensation expense</w:t>
            </w:r>
          </w:p>
        </w:tc>
        <w:tc>
          <w:tcPr>
            <w:tcW w:w="1300" w:type="dxa"/>
            <w:vAlign w:val="bottom"/>
            <w:shd w:val="clear" w:color="auto" w:fill="CFF0FC"/>
          </w:tcPr>
          <w:p>
            <w:pPr>
              <w:spacing w:after="0"/>
              <w:rPr>
                <w:sz w:val="18"/>
                <w:szCs w:val="18"/>
                <w:color w:val="auto"/>
              </w:rPr>
            </w:pPr>
          </w:p>
        </w:tc>
        <w:tc>
          <w:tcPr>
            <w:tcW w:w="7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46,831</w:t>
            </w:r>
          </w:p>
        </w:tc>
        <w:tc>
          <w:tcPr>
            <w:tcW w:w="260" w:type="dxa"/>
            <w:vAlign w:val="bottom"/>
            <w:shd w:val="clear" w:color="auto" w:fill="CFF0FC"/>
          </w:tcPr>
          <w:p>
            <w:pPr>
              <w:spacing w:after="0"/>
              <w:rPr>
                <w:sz w:val="18"/>
                <w:szCs w:val="18"/>
                <w:color w:val="auto"/>
              </w:rPr>
            </w:pPr>
          </w:p>
        </w:tc>
        <w:tc>
          <w:tcPr>
            <w:tcW w:w="340" w:type="dxa"/>
            <w:vAlign w:val="bottom"/>
            <w:shd w:val="clear" w:color="auto" w:fill="CFF0FC"/>
          </w:tcPr>
          <w:p>
            <w:pPr>
              <w:spacing w:after="0"/>
              <w:rPr>
                <w:sz w:val="18"/>
                <w:szCs w:val="18"/>
                <w:color w:val="auto"/>
              </w:rPr>
            </w:pPr>
          </w:p>
        </w:tc>
        <w:tc>
          <w:tcPr>
            <w:tcW w:w="11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20,137</w:t>
            </w:r>
          </w:p>
        </w:tc>
        <w:tc>
          <w:tcPr>
            <w:tcW w:w="260" w:type="dxa"/>
            <w:vAlign w:val="bottom"/>
            <w:shd w:val="clear" w:color="auto" w:fill="CFF0FC"/>
          </w:tcPr>
          <w:p>
            <w:pPr>
              <w:spacing w:after="0"/>
              <w:rPr>
                <w:sz w:val="18"/>
                <w:szCs w:val="18"/>
                <w:color w:val="auto"/>
              </w:rPr>
            </w:pPr>
          </w:p>
        </w:tc>
      </w:tr>
      <w:tr>
        <w:trPr>
          <w:trHeight w:val="216"/>
        </w:trPr>
        <w:tc>
          <w:tcPr>
            <w:tcW w:w="7240" w:type="dxa"/>
            <w:vAlign w:val="bottom"/>
          </w:tcPr>
          <w:p>
            <w:pPr>
              <w:ind w:left="380"/>
              <w:spacing w:after="0"/>
              <w:rPr>
                <w:sz w:val="20"/>
                <w:szCs w:val="20"/>
                <w:color w:val="auto"/>
              </w:rPr>
            </w:pPr>
            <w:r>
              <w:rPr>
                <w:rFonts w:ascii="Arial" w:cs="Arial" w:eastAsia="Arial" w:hAnsi="Arial"/>
                <w:sz w:val="18"/>
                <w:szCs w:val="18"/>
                <w:color w:val="auto"/>
              </w:rPr>
              <w:t>Other</w:t>
            </w:r>
          </w:p>
        </w:tc>
        <w:tc>
          <w:tcPr>
            <w:tcW w:w="1300" w:type="dxa"/>
            <w:vAlign w:val="bottom"/>
          </w:tcPr>
          <w:p>
            <w:pPr>
              <w:spacing w:after="0"/>
              <w:rPr>
                <w:sz w:val="18"/>
                <w:szCs w:val="18"/>
                <w:color w:val="auto"/>
              </w:rPr>
            </w:pPr>
          </w:p>
        </w:tc>
        <w:tc>
          <w:tcPr>
            <w:tcW w:w="980" w:type="dxa"/>
            <w:vAlign w:val="bottom"/>
            <w:gridSpan w:val="2"/>
          </w:tcPr>
          <w:p>
            <w:pPr>
              <w:jc w:val="right"/>
              <w:ind w:right="90"/>
              <w:spacing w:after="0"/>
              <w:rPr>
                <w:sz w:val="20"/>
                <w:szCs w:val="20"/>
                <w:color w:val="auto"/>
              </w:rPr>
            </w:pPr>
            <w:r>
              <w:rPr>
                <w:rFonts w:ascii="Arial" w:cs="Arial" w:eastAsia="Arial" w:hAnsi="Arial"/>
                <w:sz w:val="18"/>
                <w:szCs w:val="18"/>
                <w:color w:val="auto"/>
              </w:rPr>
              <w:t>(62 )</w:t>
            </w:r>
          </w:p>
        </w:tc>
        <w:tc>
          <w:tcPr>
            <w:tcW w:w="340" w:type="dxa"/>
            <w:vAlign w:val="bottom"/>
          </w:tcPr>
          <w:p>
            <w:pPr>
              <w:spacing w:after="0"/>
              <w:rPr>
                <w:sz w:val="18"/>
                <w:szCs w:val="18"/>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663</w:t>
            </w:r>
          </w:p>
        </w:tc>
        <w:tc>
          <w:tcPr>
            <w:tcW w:w="260" w:type="dxa"/>
            <w:vAlign w:val="bottom"/>
          </w:tcPr>
          <w:p>
            <w:pPr>
              <w:spacing w:after="0"/>
              <w:rPr>
                <w:sz w:val="18"/>
                <w:szCs w:val="18"/>
                <w:color w:val="auto"/>
              </w:rPr>
            </w:pPr>
          </w:p>
        </w:tc>
      </w:tr>
      <w:tr>
        <w:trPr>
          <w:trHeight w:val="216"/>
        </w:trPr>
        <w:tc>
          <w:tcPr>
            <w:tcW w:w="7240" w:type="dxa"/>
            <w:vAlign w:val="bottom"/>
            <w:shd w:val="clear" w:color="auto" w:fill="CFF0FC"/>
          </w:tcPr>
          <w:p>
            <w:pPr>
              <w:ind w:left="380"/>
              <w:spacing w:after="0"/>
              <w:rPr>
                <w:sz w:val="20"/>
                <w:szCs w:val="20"/>
                <w:color w:val="auto"/>
              </w:rPr>
            </w:pPr>
            <w:r>
              <w:rPr>
                <w:rFonts w:ascii="Arial" w:cs="Arial" w:eastAsia="Arial" w:hAnsi="Arial"/>
                <w:sz w:val="18"/>
                <w:szCs w:val="18"/>
                <w:color w:val="auto"/>
              </w:rPr>
              <w:t>Non-cash operating lease costs</w:t>
            </w:r>
          </w:p>
        </w:tc>
        <w:tc>
          <w:tcPr>
            <w:tcW w:w="1300" w:type="dxa"/>
            <w:vAlign w:val="bottom"/>
            <w:shd w:val="clear" w:color="auto" w:fill="CFF0FC"/>
          </w:tcPr>
          <w:p>
            <w:pPr>
              <w:spacing w:after="0"/>
              <w:rPr>
                <w:sz w:val="18"/>
                <w:szCs w:val="18"/>
                <w:color w:val="auto"/>
              </w:rPr>
            </w:pPr>
          </w:p>
        </w:tc>
        <w:tc>
          <w:tcPr>
            <w:tcW w:w="7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2,758</w:t>
            </w:r>
          </w:p>
        </w:tc>
        <w:tc>
          <w:tcPr>
            <w:tcW w:w="260" w:type="dxa"/>
            <w:vAlign w:val="bottom"/>
            <w:shd w:val="clear" w:color="auto" w:fill="CFF0FC"/>
          </w:tcPr>
          <w:p>
            <w:pPr>
              <w:spacing w:after="0"/>
              <w:rPr>
                <w:sz w:val="18"/>
                <w:szCs w:val="18"/>
                <w:color w:val="auto"/>
              </w:rPr>
            </w:pPr>
          </w:p>
        </w:tc>
        <w:tc>
          <w:tcPr>
            <w:tcW w:w="340" w:type="dxa"/>
            <w:vAlign w:val="bottom"/>
            <w:shd w:val="clear" w:color="auto" w:fill="CFF0FC"/>
          </w:tcPr>
          <w:p>
            <w:pPr>
              <w:spacing w:after="0"/>
              <w:rPr>
                <w:sz w:val="18"/>
                <w:szCs w:val="18"/>
                <w:color w:val="auto"/>
              </w:rPr>
            </w:pPr>
          </w:p>
        </w:tc>
        <w:tc>
          <w:tcPr>
            <w:tcW w:w="1380" w:type="dxa"/>
            <w:vAlign w:val="bottom"/>
            <w:gridSpan w:val="2"/>
            <w:shd w:val="clear" w:color="auto" w:fill="CFF0FC"/>
          </w:tcPr>
          <w:p>
            <w:pPr>
              <w:jc w:val="right"/>
              <w:ind w:right="170"/>
              <w:spacing w:after="0"/>
              <w:rPr>
                <w:sz w:val="20"/>
                <w:szCs w:val="20"/>
                <w:color w:val="auto"/>
              </w:rPr>
            </w:pPr>
            <w:r>
              <w:rPr>
                <w:rFonts w:ascii="Arial" w:cs="Arial" w:eastAsia="Arial" w:hAnsi="Arial"/>
                <w:sz w:val="13"/>
                <w:szCs w:val="13"/>
                <w:color w:val="auto"/>
              </w:rPr>
              <w:t>—</w:t>
            </w:r>
          </w:p>
        </w:tc>
      </w:tr>
      <w:tr>
        <w:trPr>
          <w:trHeight w:val="216"/>
        </w:trPr>
        <w:tc>
          <w:tcPr>
            <w:tcW w:w="7240" w:type="dxa"/>
            <w:vAlign w:val="bottom"/>
          </w:tcPr>
          <w:p>
            <w:pPr>
              <w:ind w:left="380"/>
              <w:spacing w:after="0"/>
              <w:rPr>
                <w:sz w:val="20"/>
                <w:szCs w:val="20"/>
                <w:color w:val="auto"/>
              </w:rPr>
            </w:pPr>
            <w:r>
              <w:rPr>
                <w:rFonts w:ascii="Arial" w:cs="Arial" w:eastAsia="Arial" w:hAnsi="Arial"/>
                <w:sz w:val="18"/>
                <w:szCs w:val="18"/>
                <w:color w:val="auto"/>
              </w:rPr>
              <w:t>Changes in operating assets and liabilities:</w:t>
            </w:r>
          </w:p>
        </w:tc>
        <w:tc>
          <w:tcPr>
            <w:tcW w:w="130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260" w:type="dxa"/>
            <w:vAlign w:val="bottom"/>
          </w:tcPr>
          <w:p>
            <w:pPr>
              <w:spacing w:after="0"/>
              <w:rPr>
                <w:sz w:val="18"/>
                <w:szCs w:val="18"/>
                <w:color w:val="auto"/>
              </w:rPr>
            </w:pPr>
          </w:p>
        </w:tc>
      </w:tr>
      <w:tr>
        <w:trPr>
          <w:trHeight w:val="216"/>
        </w:trPr>
        <w:tc>
          <w:tcPr>
            <w:tcW w:w="7240" w:type="dxa"/>
            <w:vAlign w:val="bottom"/>
            <w:shd w:val="clear" w:color="auto" w:fill="CFF0FC"/>
          </w:tcPr>
          <w:p>
            <w:pPr>
              <w:ind w:left="560"/>
              <w:spacing w:after="0"/>
              <w:rPr>
                <w:sz w:val="20"/>
                <w:szCs w:val="20"/>
                <w:color w:val="auto"/>
              </w:rPr>
            </w:pPr>
            <w:r>
              <w:rPr>
                <w:rFonts w:ascii="Arial" w:cs="Arial" w:eastAsia="Arial" w:hAnsi="Arial"/>
                <w:sz w:val="18"/>
                <w:szCs w:val="18"/>
                <w:color w:val="auto"/>
              </w:rPr>
              <w:t>Accounts receivable</w:t>
            </w:r>
          </w:p>
        </w:tc>
        <w:tc>
          <w:tcPr>
            <w:tcW w:w="1300" w:type="dxa"/>
            <w:vAlign w:val="bottom"/>
            <w:shd w:val="clear" w:color="auto" w:fill="CFF0FC"/>
          </w:tcPr>
          <w:p>
            <w:pPr>
              <w:spacing w:after="0"/>
              <w:rPr>
                <w:sz w:val="18"/>
                <w:szCs w:val="18"/>
                <w:color w:val="auto"/>
              </w:rPr>
            </w:pPr>
          </w:p>
        </w:tc>
        <w:tc>
          <w:tcPr>
            <w:tcW w:w="980" w:type="dxa"/>
            <w:vAlign w:val="bottom"/>
            <w:gridSpan w:val="2"/>
            <w:shd w:val="clear" w:color="auto" w:fill="CFF0FC"/>
          </w:tcPr>
          <w:p>
            <w:pPr>
              <w:jc w:val="right"/>
              <w:ind w:right="90"/>
              <w:spacing w:after="0"/>
              <w:rPr>
                <w:sz w:val="20"/>
                <w:szCs w:val="20"/>
                <w:color w:val="auto"/>
              </w:rPr>
            </w:pPr>
            <w:r>
              <w:rPr>
                <w:rFonts w:ascii="Arial" w:cs="Arial" w:eastAsia="Arial" w:hAnsi="Arial"/>
                <w:sz w:val="18"/>
                <w:szCs w:val="18"/>
                <w:color w:val="auto"/>
              </w:rPr>
              <w:t>(10,890 )</w:t>
            </w:r>
          </w:p>
        </w:tc>
        <w:tc>
          <w:tcPr>
            <w:tcW w:w="340" w:type="dxa"/>
            <w:vAlign w:val="bottom"/>
            <w:shd w:val="clear" w:color="auto" w:fill="CFF0FC"/>
          </w:tcPr>
          <w:p>
            <w:pPr>
              <w:spacing w:after="0"/>
              <w:rPr>
                <w:sz w:val="18"/>
                <w:szCs w:val="18"/>
                <w:color w:val="auto"/>
              </w:rPr>
            </w:pPr>
          </w:p>
        </w:tc>
        <w:tc>
          <w:tcPr>
            <w:tcW w:w="1380" w:type="dxa"/>
            <w:vAlign w:val="bottom"/>
            <w:gridSpan w:val="2"/>
            <w:shd w:val="clear" w:color="auto" w:fill="CFF0FC"/>
          </w:tcPr>
          <w:p>
            <w:pPr>
              <w:jc w:val="right"/>
              <w:ind w:right="90"/>
              <w:spacing w:after="0"/>
              <w:rPr>
                <w:sz w:val="20"/>
                <w:szCs w:val="20"/>
                <w:color w:val="auto"/>
              </w:rPr>
            </w:pPr>
            <w:r>
              <w:rPr>
                <w:rFonts w:ascii="Arial" w:cs="Arial" w:eastAsia="Arial" w:hAnsi="Arial"/>
                <w:sz w:val="18"/>
                <w:szCs w:val="18"/>
                <w:color w:val="auto"/>
              </w:rPr>
              <w:t>(5,389 )</w:t>
            </w:r>
          </w:p>
        </w:tc>
      </w:tr>
      <w:tr>
        <w:trPr>
          <w:trHeight w:val="216"/>
        </w:trPr>
        <w:tc>
          <w:tcPr>
            <w:tcW w:w="7240" w:type="dxa"/>
            <w:vAlign w:val="bottom"/>
          </w:tcPr>
          <w:p>
            <w:pPr>
              <w:ind w:left="560"/>
              <w:spacing w:after="0"/>
              <w:rPr>
                <w:sz w:val="20"/>
                <w:szCs w:val="20"/>
                <w:color w:val="auto"/>
              </w:rPr>
            </w:pPr>
            <w:r>
              <w:rPr>
                <w:rFonts w:ascii="Arial" w:cs="Arial" w:eastAsia="Arial" w:hAnsi="Arial"/>
                <w:sz w:val="18"/>
                <w:szCs w:val="18"/>
                <w:color w:val="auto"/>
              </w:rPr>
              <w:t>Prepaid expenses and other current assets</w:t>
            </w:r>
          </w:p>
        </w:tc>
        <w:tc>
          <w:tcPr>
            <w:tcW w:w="1300" w:type="dxa"/>
            <w:vAlign w:val="bottom"/>
          </w:tcPr>
          <w:p>
            <w:pPr>
              <w:spacing w:after="0"/>
              <w:rPr>
                <w:sz w:val="18"/>
                <w:szCs w:val="18"/>
                <w:color w:val="auto"/>
              </w:rPr>
            </w:pPr>
          </w:p>
        </w:tc>
        <w:tc>
          <w:tcPr>
            <w:tcW w:w="980" w:type="dxa"/>
            <w:vAlign w:val="bottom"/>
            <w:gridSpan w:val="2"/>
          </w:tcPr>
          <w:p>
            <w:pPr>
              <w:jc w:val="right"/>
              <w:ind w:right="90"/>
              <w:spacing w:after="0"/>
              <w:rPr>
                <w:sz w:val="20"/>
                <w:szCs w:val="20"/>
                <w:color w:val="auto"/>
              </w:rPr>
            </w:pPr>
            <w:r>
              <w:rPr>
                <w:rFonts w:ascii="Arial" w:cs="Arial" w:eastAsia="Arial" w:hAnsi="Arial"/>
                <w:sz w:val="18"/>
                <w:szCs w:val="18"/>
                <w:color w:val="auto"/>
              </w:rPr>
              <w:t>(793 )</w:t>
            </w:r>
          </w:p>
        </w:tc>
        <w:tc>
          <w:tcPr>
            <w:tcW w:w="340" w:type="dxa"/>
            <w:vAlign w:val="bottom"/>
          </w:tcPr>
          <w:p>
            <w:pPr>
              <w:spacing w:after="0"/>
              <w:rPr>
                <w:sz w:val="18"/>
                <w:szCs w:val="18"/>
                <w:color w:val="auto"/>
              </w:rPr>
            </w:pPr>
          </w:p>
        </w:tc>
        <w:tc>
          <w:tcPr>
            <w:tcW w:w="1380" w:type="dxa"/>
            <w:vAlign w:val="bottom"/>
            <w:gridSpan w:val="2"/>
          </w:tcPr>
          <w:p>
            <w:pPr>
              <w:jc w:val="right"/>
              <w:ind w:right="90"/>
              <w:spacing w:after="0"/>
              <w:rPr>
                <w:sz w:val="20"/>
                <w:szCs w:val="20"/>
                <w:color w:val="auto"/>
              </w:rPr>
            </w:pPr>
            <w:r>
              <w:rPr>
                <w:rFonts w:ascii="Arial" w:cs="Arial" w:eastAsia="Arial" w:hAnsi="Arial"/>
                <w:sz w:val="18"/>
                <w:szCs w:val="18"/>
                <w:color w:val="auto"/>
              </w:rPr>
              <w:t>(11,931 )</w:t>
            </w:r>
          </w:p>
        </w:tc>
      </w:tr>
      <w:tr>
        <w:trPr>
          <w:trHeight w:val="216"/>
        </w:trPr>
        <w:tc>
          <w:tcPr>
            <w:tcW w:w="7240" w:type="dxa"/>
            <w:vAlign w:val="bottom"/>
            <w:shd w:val="clear" w:color="auto" w:fill="CFF0FC"/>
          </w:tcPr>
          <w:p>
            <w:pPr>
              <w:ind w:left="560"/>
              <w:spacing w:after="0"/>
              <w:rPr>
                <w:sz w:val="20"/>
                <w:szCs w:val="20"/>
                <w:color w:val="auto"/>
              </w:rPr>
            </w:pPr>
            <w:r>
              <w:rPr>
                <w:rFonts w:ascii="Arial" w:cs="Arial" w:eastAsia="Arial" w:hAnsi="Arial"/>
                <w:sz w:val="18"/>
                <w:szCs w:val="18"/>
                <w:color w:val="auto"/>
              </w:rPr>
              <w:t>Deferred commissions</w:t>
            </w:r>
          </w:p>
        </w:tc>
        <w:tc>
          <w:tcPr>
            <w:tcW w:w="1300" w:type="dxa"/>
            <w:vAlign w:val="bottom"/>
            <w:shd w:val="clear" w:color="auto" w:fill="CFF0FC"/>
          </w:tcPr>
          <w:p>
            <w:pPr>
              <w:spacing w:after="0"/>
              <w:rPr>
                <w:sz w:val="18"/>
                <w:szCs w:val="18"/>
                <w:color w:val="auto"/>
              </w:rPr>
            </w:pPr>
          </w:p>
        </w:tc>
        <w:tc>
          <w:tcPr>
            <w:tcW w:w="980" w:type="dxa"/>
            <w:vAlign w:val="bottom"/>
            <w:gridSpan w:val="2"/>
            <w:shd w:val="clear" w:color="auto" w:fill="CFF0FC"/>
          </w:tcPr>
          <w:p>
            <w:pPr>
              <w:jc w:val="right"/>
              <w:ind w:right="90"/>
              <w:spacing w:after="0"/>
              <w:rPr>
                <w:sz w:val="20"/>
                <w:szCs w:val="20"/>
                <w:color w:val="auto"/>
              </w:rPr>
            </w:pPr>
            <w:r>
              <w:rPr>
                <w:rFonts w:ascii="Arial" w:cs="Arial" w:eastAsia="Arial" w:hAnsi="Arial"/>
                <w:sz w:val="18"/>
                <w:szCs w:val="18"/>
                <w:color w:val="auto"/>
              </w:rPr>
              <w:t>(7,588 )</w:t>
            </w:r>
          </w:p>
        </w:tc>
        <w:tc>
          <w:tcPr>
            <w:tcW w:w="340" w:type="dxa"/>
            <w:vAlign w:val="bottom"/>
            <w:shd w:val="clear" w:color="auto" w:fill="CFF0FC"/>
          </w:tcPr>
          <w:p>
            <w:pPr>
              <w:spacing w:after="0"/>
              <w:rPr>
                <w:sz w:val="18"/>
                <w:szCs w:val="18"/>
                <w:color w:val="auto"/>
              </w:rPr>
            </w:pPr>
          </w:p>
        </w:tc>
        <w:tc>
          <w:tcPr>
            <w:tcW w:w="1380" w:type="dxa"/>
            <w:vAlign w:val="bottom"/>
            <w:gridSpan w:val="2"/>
            <w:shd w:val="clear" w:color="auto" w:fill="CFF0FC"/>
          </w:tcPr>
          <w:p>
            <w:pPr>
              <w:jc w:val="right"/>
              <w:ind w:right="90"/>
              <w:spacing w:after="0"/>
              <w:rPr>
                <w:sz w:val="20"/>
                <w:szCs w:val="20"/>
                <w:color w:val="auto"/>
              </w:rPr>
            </w:pPr>
            <w:r>
              <w:rPr>
                <w:rFonts w:ascii="Arial" w:cs="Arial" w:eastAsia="Arial" w:hAnsi="Arial"/>
                <w:sz w:val="18"/>
                <w:szCs w:val="18"/>
                <w:color w:val="auto"/>
              </w:rPr>
              <w:t>(6,671 )</w:t>
            </w:r>
          </w:p>
        </w:tc>
      </w:tr>
      <w:tr>
        <w:trPr>
          <w:trHeight w:val="216"/>
        </w:trPr>
        <w:tc>
          <w:tcPr>
            <w:tcW w:w="7240" w:type="dxa"/>
            <w:vAlign w:val="bottom"/>
          </w:tcPr>
          <w:p>
            <w:pPr>
              <w:ind w:left="560"/>
              <w:spacing w:after="0"/>
              <w:rPr>
                <w:sz w:val="20"/>
                <w:szCs w:val="20"/>
                <w:color w:val="auto"/>
              </w:rPr>
            </w:pPr>
            <w:r>
              <w:rPr>
                <w:rFonts w:ascii="Arial" w:cs="Arial" w:eastAsia="Arial" w:hAnsi="Arial"/>
                <w:sz w:val="18"/>
                <w:szCs w:val="18"/>
                <w:color w:val="auto"/>
              </w:rPr>
              <w:t>Other noncurrent assets</w:t>
            </w:r>
          </w:p>
        </w:tc>
        <w:tc>
          <w:tcPr>
            <w:tcW w:w="130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3,636</w:t>
            </w:r>
          </w:p>
        </w:tc>
        <w:tc>
          <w:tcPr>
            <w:tcW w:w="26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380" w:type="dxa"/>
            <w:vAlign w:val="bottom"/>
            <w:gridSpan w:val="2"/>
          </w:tcPr>
          <w:p>
            <w:pPr>
              <w:jc w:val="right"/>
              <w:ind w:right="90"/>
              <w:spacing w:after="0"/>
              <w:rPr>
                <w:sz w:val="20"/>
                <w:szCs w:val="20"/>
                <w:color w:val="auto"/>
              </w:rPr>
            </w:pPr>
            <w:r>
              <w:rPr>
                <w:rFonts w:ascii="Arial" w:cs="Arial" w:eastAsia="Arial" w:hAnsi="Arial"/>
                <w:sz w:val="18"/>
                <w:szCs w:val="18"/>
                <w:color w:val="auto"/>
              </w:rPr>
              <w:t>(3,526 )</w:t>
            </w:r>
          </w:p>
        </w:tc>
      </w:tr>
      <w:tr>
        <w:trPr>
          <w:trHeight w:val="216"/>
        </w:trPr>
        <w:tc>
          <w:tcPr>
            <w:tcW w:w="7240" w:type="dxa"/>
            <w:vAlign w:val="bottom"/>
            <w:shd w:val="clear" w:color="auto" w:fill="CFF0FC"/>
          </w:tcPr>
          <w:p>
            <w:pPr>
              <w:ind w:left="560"/>
              <w:spacing w:after="0"/>
              <w:rPr>
                <w:sz w:val="20"/>
                <w:szCs w:val="20"/>
                <w:color w:val="auto"/>
              </w:rPr>
            </w:pPr>
            <w:r>
              <w:rPr>
                <w:rFonts w:ascii="Arial" w:cs="Arial" w:eastAsia="Arial" w:hAnsi="Arial"/>
                <w:sz w:val="18"/>
                <w:szCs w:val="18"/>
                <w:color w:val="auto"/>
              </w:rPr>
              <w:t>Accounts payable</w:t>
            </w:r>
          </w:p>
        </w:tc>
        <w:tc>
          <w:tcPr>
            <w:tcW w:w="1300" w:type="dxa"/>
            <w:vAlign w:val="bottom"/>
            <w:shd w:val="clear" w:color="auto" w:fill="CFF0FC"/>
          </w:tcPr>
          <w:p>
            <w:pPr>
              <w:spacing w:after="0"/>
              <w:rPr>
                <w:sz w:val="18"/>
                <w:szCs w:val="18"/>
                <w:color w:val="auto"/>
              </w:rPr>
            </w:pPr>
          </w:p>
        </w:tc>
        <w:tc>
          <w:tcPr>
            <w:tcW w:w="980" w:type="dxa"/>
            <w:vAlign w:val="bottom"/>
            <w:gridSpan w:val="2"/>
            <w:shd w:val="clear" w:color="auto" w:fill="CFF0FC"/>
          </w:tcPr>
          <w:p>
            <w:pPr>
              <w:jc w:val="right"/>
              <w:ind w:right="90"/>
              <w:spacing w:after="0"/>
              <w:rPr>
                <w:sz w:val="20"/>
                <w:szCs w:val="20"/>
                <w:color w:val="auto"/>
              </w:rPr>
            </w:pPr>
            <w:r>
              <w:rPr>
                <w:rFonts w:ascii="Arial" w:cs="Arial" w:eastAsia="Arial" w:hAnsi="Arial"/>
                <w:sz w:val="18"/>
                <w:szCs w:val="18"/>
                <w:color w:val="auto"/>
              </w:rPr>
              <w:t>(1,173 )</w:t>
            </w:r>
          </w:p>
        </w:tc>
        <w:tc>
          <w:tcPr>
            <w:tcW w:w="340" w:type="dxa"/>
            <w:vAlign w:val="bottom"/>
            <w:shd w:val="clear" w:color="auto" w:fill="CFF0FC"/>
          </w:tcPr>
          <w:p>
            <w:pPr>
              <w:spacing w:after="0"/>
              <w:rPr>
                <w:sz w:val="18"/>
                <w:szCs w:val="18"/>
                <w:color w:val="auto"/>
              </w:rPr>
            </w:pPr>
          </w:p>
        </w:tc>
        <w:tc>
          <w:tcPr>
            <w:tcW w:w="1380" w:type="dxa"/>
            <w:vAlign w:val="bottom"/>
            <w:gridSpan w:val="2"/>
            <w:shd w:val="clear" w:color="auto" w:fill="CFF0FC"/>
          </w:tcPr>
          <w:p>
            <w:pPr>
              <w:jc w:val="right"/>
              <w:ind w:right="90"/>
              <w:spacing w:after="0"/>
              <w:rPr>
                <w:sz w:val="20"/>
                <w:szCs w:val="20"/>
                <w:color w:val="auto"/>
              </w:rPr>
            </w:pPr>
            <w:r>
              <w:rPr>
                <w:rFonts w:ascii="Arial" w:cs="Arial" w:eastAsia="Arial" w:hAnsi="Arial"/>
                <w:sz w:val="18"/>
                <w:szCs w:val="18"/>
                <w:color w:val="auto"/>
              </w:rPr>
              <w:t>(1,200 )</w:t>
            </w:r>
          </w:p>
        </w:tc>
      </w:tr>
      <w:tr>
        <w:trPr>
          <w:trHeight w:val="216"/>
        </w:trPr>
        <w:tc>
          <w:tcPr>
            <w:tcW w:w="7240" w:type="dxa"/>
            <w:vAlign w:val="bottom"/>
          </w:tcPr>
          <w:p>
            <w:pPr>
              <w:ind w:left="560"/>
              <w:spacing w:after="0"/>
              <w:rPr>
                <w:sz w:val="20"/>
                <w:szCs w:val="20"/>
                <w:color w:val="auto"/>
              </w:rPr>
            </w:pPr>
            <w:r>
              <w:rPr>
                <w:rFonts w:ascii="Arial" w:cs="Arial" w:eastAsia="Arial" w:hAnsi="Arial"/>
                <w:sz w:val="18"/>
                <w:szCs w:val="18"/>
                <w:color w:val="auto"/>
              </w:rPr>
              <w:t>Accrued expenses</w:t>
            </w:r>
          </w:p>
        </w:tc>
        <w:tc>
          <w:tcPr>
            <w:tcW w:w="130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8,923</w:t>
            </w:r>
          </w:p>
        </w:tc>
        <w:tc>
          <w:tcPr>
            <w:tcW w:w="26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7,546</w:t>
            </w:r>
          </w:p>
        </w:tc>
        <w:tc>
          <w:tcPr>
            <w:tcW w:w="260" w:type="dxa"/>
            <w:vAlign w:val="bottom"/>
          </w:tcPr>
          <w:p>
            <w:pPr>
              <w:spacing w:after="0"/>
              <w:rPr>
                <w:sz w:val="18"/>
                <w:szCs w:val="18"/>
                <w:color w:val="auto"/>
              </w:rPr>
            </w:pPr>
          </w:p>
        </w:tc>
      </w:tr>
      <w:tr>
        <w:trPr>
          <w:trHeight w:val="216"/>
        </w:trPr>
        <w:tc>
          <w:tcPr>
            <w:tcW w:w="7240" w:type="dxa"/>
            <w:vAlign w:val="bottom"/>
            <w:shd w:val="clear" w:color="auto" w:fill="CFF0FC"/>
          </w:tcPr>
          <w:p>
            <w:pPr>
              <w:ind w:left="560"/>
              <w:spacing w:after="0"/>
              <w:rPr>
                <w:sz w:val="20"/>
                <w:szCs w:val="20"/>
                <w:color w:val="auto"/>
              </w:rPr>
            </w:pPr>
            <w:r>
              <w:rPr>
                <w:rFonts w:ascii="Arial" w:cs="Arial" w:eastAsia="Arial" w:hAnsi="Arial"/>
                <w:sz w:val="18"/>
                <w:szCs w:val="18"/>
                <w:color w:val="auto"/>
              </w:rPr>
              <w:t>Deferred revenue</w:t>
            </w:r>
          </w:p>
        </w:tc>
        <w:tc>
          <w:tcPr>
            <w:tcW w:w="1300" w:type="dxa"/>
            <w:vAlign w:val="bottom"/>
            <w:shd w:val="clear" w:color="auto" w:fill="CFF0FC"/>
          </w:tcPr>
          <w:p>
            <w:pPr>
              <w:spacing w:after="0"/>
              <w:rPr>
                <w:sz w:val="18"/>
                <w:szCs w:val="18"/>
                <w:color w:val="auto"/>
              </w:rPr>
            </w:pPr>
          </w:p>
        </w:tc>
        <w:tc>
          <w:tcPr>
            <w:tcW w:w="7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26,166</w:t>
            </w:r>
          </w:p>
        </w:tc>
        <w:tc>
          <w:tcPr>
            <w:tcW w:w="260" w:type="dxa"/>
            <w:vAlign w:val="bottom"/>
            <w:shd w:val="clear" w:color="auto" w:fill="CFF0FC"/>
          </w:tcPr>
          <w:p>
            <w:pPr>
              <w:spacing w:after="0"/>
              <w:rPr>
                <w:sz w:val="18"/>
                <w:szCs w:val="18"/>
                <w:color w:val="auto"/>
              </w:rPr>
            </w:pPr>
          </w:p>
        </w:tc>
        <w:tc>
          <w:tcPr>
            <w:tcW w:w="340" w:type="dxa"/>
            <w:vAlign w:val="bottom"/>
            <w:shd w:val="clear" w:color="auto" w:fill="CFF0FC"/>
          </w:tcPr>
          <w:p>
            <w:pPr>
              <w:spacing w:after="0"/>
              <w:rPr>
                <w:sz w:val="18"/>
                <w:szCs w:val="18"/>
                <w:color w:val="auto"/>
              </w:rPr>
            </w:pPr>
          </w:p>
        </w:tc>
        <w:tc>
          <w:tcPr>
            <w:tcW w:w="11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30,633</w:t>
            </w:r>
          </w:p>
        </w:tc>
        <w:tc>
          <w:tcPr>
            <w:tcW w:w="260" w:type="dxa"/>
            <w:vAlign w:val="bottom"/>
            <w:shd w:val="clear" w:color="auto" w:fill="CFF0FC"/>
          </w:tcPr>
          <w:p>
            <w:pPr>
              <w:spacing w:after="0"/>
              <w:rPr>
                <w:sz w:val="18"/>
                <w:szCs w:val="18"/>
                <w:color w:val="auto"/>
              </w:rPr>
            </w:pPr>
          </w:p>
        </w:tc>
      </w:tr>
      <w:tr>
        <w:trPr>
          <w:trHeight w:val="216"/>
        </w:trPr>
        <w:tc>
          <w:tcPr>
            <w:tcW w:w="7240" w:type="dxa"/>
            <w:vAlign w:val="bottom"/>
          </w:tcPr>
          <w:p>
            <w:pPr>
              <w:ind w:left="560"/>
              <w:spacing w:after="0"/>
              <w:rPr>
                <w:sz w:val="20"/>
                <w:szCs w:val="20"/>
                <w:color w:val="auto"/>
              </w:rPr>
            </w:pPr>
            <w:r>
              <w:rPr>
                <w:rFonts w:ascii="Arial" w:cs="Arial" w:eastAsia="Arial" w:hAnsi="Arial"/>
                <w:sz w:val="18"/>
                <w:szCs w:val="18"/>
                <w:color w:val="auto"/>
              </w:rPr>
              <w:t>Operating lease liabilities</w:t>
            </w:r>
          </w:p>
        </w:tc>
        <w:tc>
          <w:tcPr>
            <w:tcW w:w="1300" w:type="dxa"/>
            <w:vAlign w:val="bottom"/>
          </w:tcPr>
          <w:p>
            <w:pPr>
              <w:spacing w:after="0"/>
              <w:rPr>
                <w:sz w:val="18"/>
                <w:szCs w:val="18"/>
                <w:color w:val="auto"/>
              </w:rPr>
            </w:pPr>
          </w:p>
        </w:tc>
        <w:tc>
          <w:tcPr>
            <w:tcW w:w="980" w:type="dxa"/>
            <w:vAlign w:val="bottom"/>
            <w:gridSpan w:val="2"/>
          </w:tcPr>
          <w:p>
            <w:pPr>
              <w:jc w:val="right"/>
              <w:ind w:right="90"/>
              <w:spacing w:after="0"/>
              <w:rPr>
                <w:sz w:val="20"/>
                <w:szCs w:val="20"/>
                <w:color w:val="auto"/>
              </w:rPr>
            </w:pPr>
            <w:r>
              <w:rPr>
                <w:rFonts w:ascii="Arial" w:cs="Arial" w:eastAsia="Arial" w:hAnsi="Arial"/>
                <w:sz w:val="18"/>
                <w:szCs w:val="18"/>
                <w:color w:val="auto"/>
              </w:rPr>
              <w:t>(2,488 )</w:t>
            </w:r>
          </w:p>
        </w:tc>
        <w:tc>
          <w:tcPr>
            <w:tcW w:w="340" w:type="dxa"/>
            <w:vAlign w:val="bottom"/>
          </w:tcPr>
          <w:p>
            <w:pPr>
              <w:spacing w:after="0"/>
              <w:rPr>
                <w:sz w:val="18"/>
                <w:szCs w:val="18"/>
                <w:color w:val="auto"/>
              </w:rPr>
            </w:pPr>
          </w:p>
        </w:tc>
        <w:tc>
          <w:tcPr>
            <w:tcW w:w="1380" w:type="dxa"/>
            <w:vAlign w:val="bottom"/>
            <w:gridSpan w:val="2"/>
          </w:tcPr>
          <w:p>
            <w:pPr>
              <w:jc w:val="right"/>
              <w:ind w:right="170"/>
              <w:spacing w:after="0"/>
              <w:rPr>
                <w:sz w:val="20"/>
                <w:szCs w:val="20"/>
                <w:color w:val="auto"/>
              </w:rPr>
            </w:pPr>
            <w:r>
              <w:rPr>
                <w:rFonts w:ascii="Arial" w:cs="Arial" w:eastAsia="Arial" w:hAnsi="Arial"/>
                <w:sz w:val="13"/>
                <w:szCs w:val="13"/>
                <w:color w:val="auto"/>
              </w:rPr>
              <w:t>—</w:t>
            </w:r>
          </w:p>
        </w:tc>
      </w:tr>
      <w:tr>
        <w:trPr>
          <w:trHeight w:val="209"/>
        </w:trPr>
        <w:tc>
          <w:tcPr>
            <w:tcW w:w="7240" w:type="dxa"/>
            <w:vAlign w:val="bottom"/>
            <w:tcBorders>
              <w:bottom w:val="single" w:sz="8" w:color="CFF0FC"/>
            </w:tcBorders>
            <w:shd w:val="clear" w:color="auto" w:fill="CFF0FC"/>
          </w:tcPr>
          <w:p>
            <w:pPr>
              <w:ind w:left="740"/>
              <w:spacing w:after="0"/>
              <w:rPr>
                <w:sz w:val="20"/>
                <w:szCs w:val="20"/>
                <w:color w:val="auto"/>
              </w:rPr>
            </w:pPr>
            <w:r>
              <w:rPr>
                <w:rFonts w:ascii="Arial" w:cs="Arial" w:eastAsia="Arial" w:hAnsi="Arial"/>
                <w:sz w:val="18"/>
                <w:szCs w:val="18"/>
                <w:color w:val="auto"/>
              </w:rPr>
              <w:t>Net cash used in operating activities</w:t>
            </w:r>
          </w:p>
        </w:tc>
        <w:tc>
          <w:tcPr>
            <w:tcW w:w="1300" w:type="dxa"/>
            <w:vAlign w:val="bottom"/>
            <w:tcBorders>
              <w:top w:val="single" w:sz="8" w:color="auto"/>
              <w:bottom w:val="single" w:sz="8" w:color="auto"/>
            </w:tcBorders>
            <w:shd w:val="clear" w:color="auto" w:fill="CFF0FC"/>
          </w:tcPr>
          <w:p>
            <w:pPr>
              <w:spacing w:after="0"/>
              <w:rPr>
                <w:sz w:val="18"/>
                <w:szCs w:val="18"/>
                <w:color w:val="auto"/>
              </w:rPr>
            </w:pPr>
          </w:p>
        </w:tc>
        <w:tc>
          <w:tcPr>
            <w:tcW w:w="72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(786</w:t>
            </w:r>
          </w:p>
        </w:tc>
        <w:tc>
          <w:tcPr>
            <w:tcW w:w="260" w:type="dxa"/>
            <w:vAlign w:val="bottom"/>
            <w:tcBorders>
              <w:bottom w:val="single" w:sz="8" w:color="CFF0FC"/>
            </w:tcBorders>
            <w:shd w:val="clear" w:color="auto" w:fill="CFF0FC"/>
          </w:tcPr>
          <w:p>
            <w:pPr>
              <w:jc w:val="right"/>
              <w:ind w:right="90"/>
              <w:spacing w:after="0"/>
              <w:rPr>
                <w:sz w:val="20"/>
                <w:szCs w:val="20"/>
                <w:color w:val="auto"/>
              </w:rPr>
            </w:pPr>
            <w:r>
              <w:rPr>
                <w:rFonts w:ascii="Arial" w:cs="Arial" w:eastAsia="Arial" w:hAnsi="Arial"/>
                <w:sz w:val="18"/>
                <w:szCs w:val="18"/>
                <w:color w:val="auto"/>
                <w:w w:val="99"/>
              </w:rPr>
              <w:t>)</w:t>
            </w:r>
          </w:p>
        </w:tc>
        <w:tc>
          <w:tcPr>
            <w:tcW w:w="340" w:type="dxa"/>
            <w:vAlign w:val="bottom"/>
            <w:tcBorders>
              <w:top w:val="single" w:sz="8" w:color="auto"/>
              <w:bottom w:val="single" w:sz="8" w:color="auto"/>
            </w:tcBorders>
            <w:shd w:val="clear" w:color="auto" w:fill="CFF0FC"/>
          </w:tcPr>
          <w:p>
            <w:pPr>
              <w:spacing w:after="0"/>
              <w:rPr>
                <w:sz w:val="18"/>
                <w:szCs w:val="18"/>
                <w:color w:val="auto"/>
              </w:rPr>
            </w:pPr>
          </w:p>
        </w:tc>
        <w:tc>
          <w:tcPr>
            <w:tcW w:w="112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(20,609</w:t>
            </w:r>
          </w:p>
        </w:tc>
        <w:tc>
          <w:tcPr>
            <w:tcW w:w="260" w:type="dxa"/>
            <w:vAlign w:val="bottom"/>
            <w:tcBorders>
              <w:bottom w:val="single" w:sz="8" w:color="CFF0FC"/>
            </w:tcBorders>
            <w:shd w:val="clear" w:color="auto" w:fill="CFF0FC"/>
          </w:tcPr>
          <w:p>
            <w:pPr>
              <w:jc w:val="right"/>
              <w:ind w:right="90"/>
              <w:spacing w:after="0"/>
              <w:rPr>
                <w:sz w:val="20"/>
                <w:szCs w:val="20"/>
                <w:color w:val="auto"/>
              </w:rPr>
            </w:pPr>
            <w:r>
              <w:rPr>
                <w:rFonts w:ascii="Arial" w:cs="Arial" w:eastAsia="Arial" w:hAnsi="Arial"/>
                <w:sz w:val="18"/>
                <w:szCs w:val="18"/>
                <w:color w:val="auto"/>
                <w:w w:val="99"/>
              </w:rPr>
              <w:t>)</w:t>
            </w:r>
          </w:p>
        </w:tc>
      </w:tr>
      <w:tr>
        <w:trPr>
          <w:trHeight w:val="209"/>
        </w:trPr>
        <w:tc>
          <w:tcPr>
            <w:tcW w:w="7240" w:type="dxa"/>
            <w:vAlign w:val="bottom"/>
          </w:tcPr>
          <w:p>
            <w:pPr>
              <w:ind w:left="20"/>
              <w:spacing w:after="0"/>
              <w:rPr>
                <w:sz w:val="20"/>
                <w:szCs w:val="20"/>
                <w:color w:val="auto"/>
              </w:rPr>
            </w:pPr>
            <w:r>
              <w:rPr>
                <w:rFonts w:ascii="Arial" w:cs="Arial" w:eastAsia="Arial" w:hAnsi="Arial"/>
                <w:sz w:val="18"/>
                <w:szCs w:val="18"/>
                <w:color w:val="auto"/>
              </w:rPr>
              <w:t>Cash flows from investing activities:</w:t>
            </w:r>
          </w:p>
        </w:tc>
        <w:tc>
          <w:tcPr>
            <w:tcW w:w="130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260" w:type="dxa"/>
            <w:vAlign w:val="bottom"/>
          </w:tcPr>
          <w:p>
            <w:pPr>
              <w:spacing w:after="0"/>
              <w:rPr>
                <w:sz w:val="18"/>
                <w:szCs w:val="18"/>
                <w:color w:val="auto"/>
              </w:rPr>
            </w:pPr>
          </w:p>
        </w:tc>
      </w:tr>
      <w:tr>
        <w:trPr>
          <w:trHeight w:val="216"/>
        </w:trPr>
        <w:tc>
          <w:tcPr>
            <w:tcW w:w="7240" w:type="dxa"/>
            <w:vAlign w:val="bottom"/>
            <w:shd w:val="clear" w:color="auto" w:fill="CFF0FC"/>
          </w:tcPr>
          <w:p>
            <w:pPr>
              <w:ind w:left="200"/>
              <w:spacing w:after="0"/>
              <w:rPr>
                <w:sz w:val="20"/>
                <w:szCs w:val="20"/>
                <w:color w:val="auto"/>
              </w:rPr>
            </w:pPr>
            <w:r>
              <w:rPr>
                <w:rFonts w:ascii="Arial" w:cs="Arial" w:eastAsia="Arial" w:hAnsi="Arial"/>
                <w:sz w:val="18"/>
                <w:szCs w:val="18"/>
                <w:color w:val="auto"/>
              </w:rPr>
              <w:t>Purchases of marketable securities</w:t>
            </w:r>
          </w:p>
        </w:tc>
        <w:tc>
          <w:tcPr>
            <w:tcW w:w="1300" w:type="dxa"/>
            <w:vAlign w:val="bottom"/>
            <w:shd w:val="clear" w:color="auto" w:fill="CFF0FC"/>
          </w:tcPr>
          <w:p>
            <w:pPr>
              <w:spacing w:after="0"/>
              <w:rPr>
                <w:sz w:val="18"/>
                <w:szCs w:val="18"/>
                <w:color w:val="auto"/>
              </w:rPr>
            </w:pPr>
          </w:p>
        </w:tc>
        <w:tc>
          <w:tcPr>
            <w:tcW w:w="980" w:type="dxa"/>
            <w:vAlign w:val="bottom"/>
            <w:gridSpan w:val="2"/>
            <w:shd w:val="clear" w:color="auto" w:fill="CFF0FC"/>
          </w:tcPr>
          <w:p>
            <w:pPr>
              <w:jc w:val="right"/>
              <w:ind w:right="90"/>
              <w:spacing w:after="0"/>
              <w:rPr>
                <w:sz w:val="20"/>
                <w:szCs w:val="20"/>
                <w:color w:val="auto"/>
              </w:rPr>
            </w:pPr>
            <w:r>
              <w:rPr>
                <w:rFonts w:ascii="Arial" w:cs="Arial" w:eastAsia="Arial" w:hAnsi="Arial"/>
                <w:sz w:val="18"/>
                <w:szCs w:val="18"/>
                <w:color w:val="auto"/>
              </w:rPr>
              <w:t>(59,712 )</w:t>
            </w:r>
          </w:p>
        </w:tc>
        <w:tc>
          <w:tcPr>
            <w:tcW w:w="340" w:type="dxa"/>
            <w:vAlign w:val="bottom"/>
            <w:shd w:val="clear" w:color="auto" w:fill="CFF0FC"/>
          </w:tcPr>
          <w:p>
            <w:pPr>
              <w:spacing w:after="0"/>
              <w:rPr>
                <w:sz w:val="18"/>
                <w:szCs w:val="18"/>
                <w:color w:val="auto"/>
              </w:rPr>
            </w:pPr>
          </w:p>
        </w:tc>
        <w:tc>
          <w:tcPr>
            <w:tcW w:w="1380" w:type="dxa"/>
            <w:vAlign w:val="bottom"/>
            <w:gridSpan w:val="2"/>
            <w:shd w:val="clear" w:color="auto" w:fill="CFF0FC"/>
          </w:tcPr>
          <w:p>
            <w:pPr>
              <w:jc w:val="right"/>
              <w:ind w:right="170"/>
              <w:spacing w:after="0"/>
              <w:rPr>
                <w:sz w:val="20"/>
                <w:szCs w:val="20"/>
                <w:color w:val="auto"/>
              </w:rPr>
            </w:pPr>
            <w:r>
              <w:rPr>
                <w:rFonts w:ascii="Arial" w:cs="Arial" w:eastAsia="Arial" w:hAnsi="Arial"/>
                <w:sz w:val="13"/>
                <w:szCs w:val="13"/>
                <w:color w:val="auto"/>
              </w:rPr>
              <w:t>—</w:t>
            </w:r>
          </w:p>
        </w:tc>
      </w:tr>
      <w:tr>
        <w:trPr>
          <w:trHeight w:val="216"/>
        </w:trPr>
        <w:tc>
          <w:tcPr>
            <w:tcW w:w="7240" w:type="dxa"/>
            <w:vAlign w:val="bottom"/>
          </w:tcPr>
          <w:p>
            <w:pPr>
              <w:ind w:left="200"/>
              <w:spacing w:after="0"/>
              <w:rPr>
                <w:sz w:val="20"/>
                <w:szCs w:val="20"/>
                <w:color w:val="auto"/>
              </w:rPr>
            </w:pPr>
            <w:r>
              <w:rPr>
                <w:rFonts w:ascii="Arial" w:cs="Arial" w:eastAsia="Arial" w:hAnsi="Arial"/>
                <w:sz w:val="18"/>
                <w:szCs w:val="18"/>
                <w:color w:val="auto"/>
              </w:rPr>
              <w:t>Purchase of property and equipment</w:t>
            </w:r>
          </w:p>
        </w:tc>
        <w:tc>
          <w:tcPr>
            <w:tcW w:w="1300" w:type="dxa"/>
            <w:vAlign w:val="bottom"/>
          </w:tcPr>
          <w:p>
            <w:pPr>
              <w:spacing w:after="0"/>
              <w:rPr>
                <w:sz w:val="18"/>
                <w:szCs w:val="18"/>
                <w:color w:val="auto"/>
              </w:rPr>
            </w:pPr>
          </w:p>
        </w:tc>
        <w:tc>
          <w:tcPr>
            <w:tcW w:w="980" w:type="dxa"/>
            <w:vAlign w:val="bottom"/>
            <w:gridSpan w:val="2"/>
          </w:tcPr>
          <w:p>
            <w:pPr>
              <w:jc w:val="right"/>
              <w:ind w:right="90"/>
              <w:spacing w:after="0"/>
              <w:rPr>
                <w:sz w:val="20"/>
                <w:szCs w:val="20"/>
                <w:color w:val="auto"/>
              </w:rPr>
            </w:pPr>
            <w:r>
              <w:rPr>
                <w:rFonts w:ascii="Arial" w:cs="Arial" w:eastAsia="Arial" w:hAnsi="Arial"/>
                <w:sz w:val="18"/>
                <w:szCs w:val="18"/>
                <w:color w:val="auto"/>
              </w:rPr>
              <w:t>(3,012 )</w:t>
            </w:r>
          </w:p>
        </w:tc>
        <w:tc>
          <w:tcPr>
            <w:tcW w:w="340" w:type="dxa"/>
            <w:vAlign w:val="bottom"/>
          </w:tcPr>
          <w:p>
            <w:pPr>
              <w:spacing w:after="0"/>
              <w:rPr>
                <w:sz w:val="18"/>
                <w:szCs w:val="18"/>
                <w:color w:val="auto"/>
              </w:rPr>
            </w:pPr>
          </w:p>
        </w:tc>
        <w:tc>
          <w:tcPr>
            <w:tcW w:w="1380" w:type="dxa"/>
            <w:vAlign w:val="bottom"/>
            <w:gridSpan w:val="2"/>
          </w:tcPr>
          <w:p>
            <w:pPr>
              <w:jc w:val="right"/>
              <w:ind w:right="90"/>
              <w:spacing w:after="0"/>
              <w:rPr>
                <w:sz w:val="20"/>
                <w:szCs w:val="20"/>
                <w:color w:val="auto"/>
              </w:rPr>
            </w:pPr>
            <w:r>
              <w:rPr>
                <w:rFonts w:ascii="Arial" w:cs="Arial" w:eastAsia="Arial" w:hAnsi="Arial"/>
                <w:sz w:val="18"/>
                <w:szCs w:val="18"/>
                <w:color w:val="auto"/>
              </w:rPr>
              <w:t>(957 )</w:t>
            </w:r>
          </w:p>
        </w:tc>
      </w:tr>
      <w:tr>
        <w:trPr>
          <w:trHeight w:val="216"/>
        </w:trPr>
        <w:tc>
          <w:tcPr>
            <w:tcW w:w="7240" w:type="dxa"/>
            <w:vAlign w:val="bottom"/>
            <w:shd w:val="clear" w:color="auto" w:fill="CFF0FC"/>
          </w:tcPr>
          <w:p>
            <w:pPr>
              <w:ind w:left="200"/>
              <w:spacing w:after="0"/>
              <w:rPr>
                <w:sz w:val="20"/>
                <w:szCs w:val="20"/>
                <w:color w:val="auto"/>
              </w:rPr>
            </w:pPr>
            <w:r>
              <w:rPr>
                <w:rFonts w:ascii="Arial" w:cs="Arial" w:eastAsia="Arial" w:hAnsi="Arial"/>
                <w:sz w:val="18"/>
                <w:szCs w:val="18"/>
                <w:color w:val="auto"/>
              </w:rPr>
              <w:t>Capitalization of internal-use software costs</w:t>
            </w:r>
          </w:p>
        </w:tc>
        <w:tc>
          <w:tcPr>
            <w:tcW w:w="1300" w:type="dxa"/>
            <w:vAlign w:val="bottom"/>
            <w:shd w:val="clear" w:color="auto" w:fill="CFF0FC"/>
          </w:tcPr>
          <w:p>
            <w:pPr>
              <w:spacing w:after="0"/>
              <w:rPr>
                <w:sz w:val="18"/>
                <w:szCs w:val="18"/>
                <w:color w:val="auto"/>
              </w:rPr>
            </w:pPr>
          </w:p>
        </w:tc>
        <w:tc>
          <w:tcPr>
            <w:tcW w:w="980" w:type="dxa"/>
            <w:vAlign w:val="bottom"/>
            <w:gridSpan w:val="2"/>
            <w:shd w:val="clear" w:color="auto" w:fill="CFF0FC"/>
          </w:tcPr>
          <w:p>
            <w:pPr>
              <w:jc w:val="right"/>
              <w:ind w:right="90"/>
              <w:spacing w:after="0"/>
              <w:rPr>
                <w:sz w:val="20"/>
                <w:szCs w:val="20"/>
                <w:color w:val="auto"/>
              </w:rPr>
            </w:pPr>
            <w:r>
              <w:rPr>
                <w:rFonts w:ascii="Arial" w:cs="Arial" w:eastAsia="Arial" w:hAnsi="Arial"/>
                <w:sz w:val="18"/>
                <w:szCs w:val="18"/>
                <w:color w:val="auto"/>
              </w:rPr>
              <w:t>(1,523 )</w:t>
            </w:r>
          </w:p>
        </w:tc>
        <w:tc>
          <w:tcPr>
            <w:tcW w:w="340" w:type="dxa"/>
            <w:vAlign w:val="bottom"/>
            <w:shd w:val="clear" w:color="auto" w:fill="CFF0FC"/>
          </w:tcPr>
          <w:p>
            <w:pPr>
              <w:spacing w:after="0"/>
              <w:rPr>
                <w:sz w:val="18"/>
                <w:szCs w:val="18"/>
                <w:color w:val="auto"/>
              </w:rPr>
            </w:pPr>
          </w:p>
        </w:tc>
        <w:tc>
          <w:tcPr>
            <w:tcW w:w="1380" w:type="dxa"/>
            <w:vAlign w:val="bottom"/>
            <w:gridSpan w:val="2"/>
            <w:shd w:val="clear" w:color="auto" w:fill="CFF0FC"/>
          </w:tcPr>
          <w:p>
            <w:pPr>
              <w:jc w:val="right"/>
              <w:ind w:right="90"/>
              <w:spacing w:after="0"/>
              <w:rPr>
                <w:sz w:val="20"/>
                <w:szCs w:val="20"/>
                <w:color w:val="auto"/>
              </w:rPr>
            </w:pPr>
            <w:r>
              <w:rPr>
                <w:rFonts w:ascii="Arial" w:cs="Arial" w:eastAsia="Arial" w:hAnsi="Arial"/>
                <w:sz w:val="18"/>
                <w:szCs w:val="18"/>
                <w:color w:val="auto"/>
              </w:rPr>
              <w:t>(1,125 )</w:t>
            </w:r>
          </w:p>
        </w:tc>
      </w:tr>
      <w:tr>
        <w:trPr>
          <w:trHeight w:val="216"/>
        </w:trPr>
        <w:tc>
          <w:tcPr>
            <w:tcW w:w="7240" w:type="dxa"/>
            <w:vAlign w:val="bottom"/>
          </w:tcPr>
          <w:p>
            <w:pPr>
              <w:ind w:left="200"/>
              <w:spacing w:after="0"/>
              <w:rPr>
                <w:sz w:val="20"/>
                <w:szCs w:val="20"/>
                <w:color w:val="auto"/>
              </w:rPr>
            </w:pPr>
            <w:r>
              <w:rPr>
                <w:rFonts w:ascii="Arial" w:cs="Arial" w:eastAsia="Arial" w:hAnsi="Arial"/>
                <w:sz w:val="18"/>
                <w:szCs w:val="18"/>
                <w:color w:val="auto"/>
              </w:rPr>
              <w:t>Cash paid for acquisitions, net of cash acquired</w:t>
            </w:r>
          </w:p>
        </w:tc>
        <w:tc>
          <w:tcPr>
            <w:tcW w:w="1300" w:type="dxa"/>
            <w:vAlign w:val="bottom"/>
          </w:tcPr>
          <w:p>
            <w:pPr>
              <w:spacing w:after="0"/>
              <w:rPr>
                <w:sz w:val="18"/>
                <w:szCs w:val="18"/>
                <w:color w:val="auto"/>
              </w:rPr>
            </w:pPr>
          </w:p>
        </w:tc>
        <w:tc>
          <w:tcPr>
            <w:tcW w:w="980" w:type="dxa"/>
            <w:vAlign w:val="bottom"/>
            <w:gridSpan w:val="2"/>
          </w:tcPr>
          <w:p>
            <w:pPr>
              <w:jc w:val="right"/>
              <w:ind w:right="90"/>
              <w:spacing w:after="0"/>
              <w:rPr>
                <w:sz w:val="20"/>
                <w:szCs w:val="20"/>
                <w:color w:val="auto"/>
              </w:rPr>
            </w:pPr>
            <w:r>
              <w:rPr>
                <w:rFonts w:ascii="Arial" w:cs="Arial" w:eastAsia="Arial" w:hAnsi="Arial"/>
                <w:sz w:val="18"/>
                <w:szCs w:val="18"/>
                <w:color w:val="auto"/>
              </w:rPr>
              <w:t>(394 )</w:t>
            </w:r>
          </w:p>
        </w:tc>
        <w:tc>
          <w:tcPr>
            <w:tcW w:w="340" w:type="dxa"/>
            <w:vAlign w:val="bottom"/>
          </w:tcPr>
          <w:p>
            <w:pPr>
              <w:spacing w:after="0"/>
              <w:rPr>
                <w:sz w:val="18"/>
                <w:szCs w:val="18"/>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1,724</w:t>
            </w:r>
          </w:p>
        </w:tc>
        <w:tc>
          <w:tcPr>
            <w:tcW w:w="260" w:type="dxa"/>
            <w:vAlign w:val="bottom"/>
          </w:tcPr>
          <w:p>
            <w:pPr>
              <w:spacing w:after="0"/>
              <w:rPr>
                <w:sz w:val="18"/>
                <w:szCs w:val="18"/>
                <w:color w:val="auto"/>
              </w:rPr>
            </w:pPr>
          </w:p>
        </w:tc>
      </w:tr>
      <w:tr>
        <w:trPr>
          <w:trHeight w:val="209"/>
        </w:trPr>
        <w:tc>
          <w:tcPr>
            <w:tcW w:w="7240" w:type="dxa"/>
            <w:vAlign w:val="bottom"/>
            <w:tcBorders>
              <w:bottom w:val="single" w:sz="8" w:color="CFF0FC"/>
            </w:tcBorders>
            <w:shd w:val="clear" w:color="auto" w:fill="CFF0FC"/>
          </w:tcPr>
          <w:p>
            <w:pPr>
              <w:ind w:left="740"/>
              <w:spacing w:after="0"/>
              <w:rPr>
                <w:sz w:val="20"/>
                <w:szCs w:val="20"/>
                <w:color w:val="auto"/>
              </w:rPr>
            </w:pPr>
            <w:r>
              <w:rPr>
                <w:rFonts w:ascii="Arial" w:cs="Arial" w:eastAsia="Arial" w:hAnsi="Arial"/>
                <w:sz w:val="18"/>
                <w:szCs w:val="18"/>
                <w:color w:val="auto"/>
              </w:rPr>
              <w:t>Net cash used in investing activities</w:t>
            </w:r>
          </w:p>
        </w:tc>
        <w:tc>
          <w:tcPr>
            <w:tcW w:w="1300" w:type="dxa"/>
            <w:vAlign w:val="bottom"/>
            <w:tcBorders>
              <w:top w:val="single" w:sz="8" w:color="auto"/>
              <w:bottom w:val="single" w:sz="8" w:color="auto"/>
            </w:tcBorders>
            <w:shd w:val="clear" w:color="auto" w:fill="CFF0FC"/>
          </w:tcPr>
          <w:p>
            <w:pPr>
              <w:spacing w:after="0"/>
              <w:rPr>
                <w:sz w:val="18"/>
                <w:szCs w:val="18"/>
                <w:color w:val="auto"/>
              </w:rPr>
            </w:pPr>
          </w:p>
        </w:tc>
        <w:tc>
          <w:tcPr>
            <w:tcW w:w="72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(64,641</w:t>
            </w:r>
          </w:p>
        </w:tc>
        <w:tc>
          <w:tcPr>
            <w:tcW w:w="260" w:type="dxa"/>
            <w:vAlign w:val="bottom"/>
            <w:tcBorders>
              <w:bottom w:val="single" w:sz="8" w:color="CFF0FC"/>
            </w:tcBorders>
            <w:shd w:val="clear" w:color="auto" w:fill="CFF0FC"/>
          </w:tcPr>
          <w:p>
            <w:pPr>
              <w:jc w:val="right"/>
              <w:ind w:right="90"/>
              <w:spacing w:after="0"/>
              <w:rPr>
                <w:sz w:val="20"/>
                <w:szCs w:val="20"/>
                <w:color w:val="auto"/>
              </w:rPr>
            </w:pPr>
            <w:r>
              <w:rPr>
                <w:rFonts w:ascii="Arial" w:cs="Arial" w:eastAsia="Arial" w:hAnsi="Arial"/>
                <w:sz w:val="18"/>
                <w:szCs w:val="18"/>
                <w:color w:val="auto"/>
                <w:w w:val="99"/>
              </w:rPr>
              <w:t>)</w:t>
            </w:r>
          </w:p>
        </w:tc>
        <w:tc>
          <w:tcPr>
            <w:tcW w:w="340" w:type="dxa"/>
            <w:vAlign w:val="bottom"/>
            <w:tcBorders>
              <w:top w:val="single" w:sz="8" w:color="auto"/>
              <w:bottom w:val="single" w:sz="8" w:color="auto"/>
            </w:tcBorders>
            <w:shd w:val="clear" w:color="auto" w:fill="CFF0FC"/>
          </w:tcPr>
          <w:p>
            <w:pPr>
              <w:spacing w:after="0"/>
              <w:rPr>
                <w:sz w:val="18"/>
                <w:szCs w:val="18"/>
                <w:color w:val="auto"/>
              </w:rPr>
            </w:pPr>
          </w:p>
        </w:tc>
        <w:tc>
          <w:tcPr>
            <w:tcW w:w="112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(358</w:t>
            </w:r>
          </w:p>
        </w:tc>
        <w:tc>
          <w:tcPr>
            <w:tcW w:w="260" w:type="dxa"/>
            <w:vAlign w:val="bottom"/>
            <w:tcBorders>
              <w:bottom w:val="single" w:sz="8" w:color="CFF0FC"/>
            </w:tcBorders>
            <w:shd w:val="clear" w:color="auto" w:fill="CFF0FC"/>
          </w:tcPr>
          <w:p>
            <w:pPr>
              <w:jc w:val="right"/>
              <w:ind w:right="90"/>
              <w:spacing w:after="0"/>
              <w:rPr>
                <w:sz w:val="20"/>
                <w:szCs w:val="20"/>
                <w:color w:val="auto"/>
              </w:rPr>
            </w:pPr>
            <w:r>
              <w:rPr>
                <w:rFonts w:ascii="Arial" w:cs="Arial" w:eastAsia="Arial" w:hAnsi="Arial"/>
                <w:sz w:val="18"/>
                <w:szCs w:val="18"/>
                <w:color w:val="auto"/>
                <w:w w:val="99"/>
              </w:rPr>
              <w:t>)</w:t>
            </w:r>
          </w:p>
        </w:tc>
      </w:tr>
      <w:tr>
        <w:trPr>
          <w:trHeight w:val="209"/>
        </w:trPr>
        <w:tc>
          <w:tcPr>
            <w:tcW w:w="7240" w:type="dxa"/>
            <w:vAlign w:val="bottom"/>
          </w:tcPr>
          <w:p>
            <w:pPr>
              <w:ind w:left="20"/>
              <w:spacing w:after="0"/>
              <w:rPr>
                <w:sz w:val="20"/>
                <w:szCs w:val="20"/>
                <w:color w:val="auto"/>
              </w:rPr>
            </w:pPr>
            <w:r>
              <w:rPr>
                <w:rFonts w:ascii="Arial" w:cs="Arial" w:eastAsia="Arial" w:hAnsi="Arial"/>
                <w:sz w:val="18"/>
                <w:szCs w:val="18"/>
                <w:color w:val="auto"/>
              </w:rPr>
              <w:t>Cash flows from financing activities:</w:t>
            </w:r>
          </w:p>
        </w:tc>
        <w:tc>
          <w:tcPr>
            <w:tcW w:w="130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260" w:type="dxa"/>
            <w:vAlign w:val="bottom"/>
          </w:tcPr>
          <w:p>
            <w:pPr>
              <w:spacing w:after="0"/>
              <w:rPr>
                <w:sz w:val="18"/>
                <w:szCs w:val="18"/>
                <w:color w:val="auto"/>
              </w:rPr>
            </w:pPr>
          </w:p>
        </w:tc>
      </w:tr>
      <w:tr>
        <w:trPr>
          <w:trHeight w:val="216"/>
        </w:trPr>
        <w:tc>
          <w:tcPr>
            <w:tcW w:w="7240" w:type="dxa"/>
            <w:vAlign w:val="bottom"/>
            <w:shd w:val="clear" w:color="auto" w:fill="CFF0FC"/>
          </w:tcPr>
          <w:p>
            <w:pPr>
              <w:ind w:left="200"/>
              <w:spacing w:after="0"/>
              <w:rPr>
                <w:sz w:val="20"/>
                <w:szCs w:val="20"/>
                <w:color w:val="auto"/>
              </w:rPr>
            </w:pPr>
            <w:r>
              <w:rPr>
                <w:rFonts w:ascii="Arial" w:cs="Arial" w:eastAsia="Arial" w:hAnsi="Arial"/>
                <w:sz w:val="18"/>
                <w:szCs w:val="18"/>
                <w:color w:val="auto"/>
              </w:rPr>
              <w:t>Proceeds from the exercise of stock options</w:t>
            </w:r>
          </w:p>
        </w:tc>
        <w:tc>
          <w:tcPr>
            <w:tcW w:w="1300" w:type="dxa"/>
            <w:vAlign w:val="bottom"/>
            <w:shd w:val="clear" w:color="auto" w:fill="CFF0FC"/>
          </w:tcPr>
          <w:p>
            <w:pPr>
              <w:spacing w:after="0"/>
              <w:rPr>
                <w:sz w:val="18"/>
                <w:szCs w:val="18"/>
                <w:color w:val="auto"/>
              </w:rPr>
            </w:pPr>
          </w:p>
        </w:tc>
        <w:tc>
          <w:tcPr>
            <w:tcW w:w="7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6,209</w:t>
            </w:r>
          </w:p>
        </w:tc>
        <w:tc>
          <w:tcPr>
            <w:tcW w:w="260" w:type="dxa"/>
            <w:vAlign w:val="bottom"/>
            <w:shd w:val="clear" w:color="auto" w:fill="CFF0FC"/>
          </w:tcPr>
          <w:p>
            <w:pPr>
              <w:spacing w:after="0"/>
              <w:rPr>
                <w:sz w:val="18"/>
                <w:szCs w:val="18"/>
                <w:color w:val="auto"/>
              </w:rPr>
            </w:pPr>
          </w:p>
        </w:tc>
        <w:tc>
          <w:tcPr>
            <w:tcW w:w="340" w:type="dxa"/>
            <w:vAlign w:val="bottom"/>
            <w:shd w:val="clear" w:color="auto" w:fill="CFF0FC"/>
          </w:tcPr>
          <w:p>
            <w:pPr>
              <w:spacing w:after="0"/>
              <w:rPr>
                <w:sz w:val="18"/>
                <w:szCs w:val="18"/>
                <w:color w:val="auto"/>
              </w:rPr>
            </w:pPr>
          </w:p>
        </w:tc>
        <w:tc>
          <w:tcPr>
            <w:tcW w:w="11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16,634</w:t>
            </w:r>
          </w:p>
        </w:tc>
        <w:tc>
          <w:tcPr>
            <w:tcW w:w="260" w:type="dxa"/>
            <w:vAlign w:val="bottom"/>
            <w:shd w:val="clear" w:color="auto" w:fill="CFF0FC"/>
          </w:tcPr>
          <w:p>
            <w:pPr>
              <w:spacing w:after="0"/>
              <w:rPr>
                <w:sz w:val="18"/>
                <w:szCs w:val="18"/>
                <w:color w:val="auto"/>
              </w:rPr>
            </w:pPr>
          </w:p>
        </w:tc>
      </w:tr>
      <w:tr>
        <w:trPr>
          <w:trHeight w:val="216"/>
        </w:trPr>
        <w:tc>
          <w:tcPr>
            <w:tcW w:w="7240" w:type="dxa"/>
            <w:vAlign w:val="bottom"/>
          </w:tcPr>
          <w:p>
            <w:pPr>
              <w:ind w:left="200"/>
              <w:spacing w:after="0"/>
              <w:rPr>
                <w:sz w:val="20"/>
                <w:szCs w:val="20"/>
                <w:color w:val="auto"/>
              </w:rPr>
            </w:pPr>
            <w:r>
              <w:rPr>
                <w:rFonts w:ascii="Arial" w:cs="Arial" w:eastAsia="Arial" w:hAnsi="Arial"/>
                <w:sz w:val="18"/>
                <w:szCs w:val="18"/>
                <w:color w:val="auto"/>
              </w:rPr>
              <w:t>Proceeds from the issuance of redeemable convertible preferred stock, net</w:t>
            </w:r>
          </w:p>
        </w:tc>
        <w:tc>
          <w:tcPr>
            <w:tcW w:w="1300" w:type="dxa"/>
            <w:vAlign w:val="bottom"/>
          </w:tcPr>
          <w:p>
            <w:pPr>
              <w:spacing w:after="0"/>
              <w:rPr>
                <w:sz w:val="18"/>
                <w:szCs w:val="18"/>
                <w:color w:val="auto"/>
              </w:rPr>
            </w:pPr>
          </w:p>
        </w:tc>
        <w:tc>
          <w:tcPr>
            <w:tcW w:w="980" w:type="dxa"/>
            <w:vAlign w:val="bottom"/>
            <w:gridSpan w:val="2"/>
          </w:tcPr>
          <w:p>
            <w:pPr>
              <w:jc w:val="right"/>
              <w:ind w:right="190"/>
              <w:spacing w:after="0"/>
              <w:rPr>
                <w:sz w:val="20"/>
                <w:szCs w:val="20"/>
                <w:color w:val="auto"/>
              </w:rPr>
            </w:pPr>
            <w:r>
              <w:rPr>
                <w:rFonts w:ascii="Arial" w:cs="Arial" w:eastAsia="Arial" w:hAnsi="Arial"/>
                <w:sz w:val="13"/>
                <w:szCs w:val="13"/>
                <w:color w:val="auto"/>
              </w:rPr>
              <w:t>—</w:t>
            </w:r>
          </w:p>
        </w:tc>
        <w:tc>
          <w:tcPr>
            <w:tcW w:w="340" w:type="dxa"/>
            <w:vAlign w:val="bottom"/>
          </w:tcPr>
          <w:p>
            <w:pPr>
              <w:spacing w:after="0"/>
              <w:rPr>
                <w:sz w:val="18"/>
                <w:szCs w:val="18"/>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199,802</w:t>
            </w:r>
          </w:p>
        </w:tc>
        <w:tc>
          <w:tcPr>
            <w:tcW w:w="260" w:type="dxa"/>
            <w:vAlign w:val="bottom"/>
          </w:tcPr>
          <w:p>
            <w:pPr>
              <w:spacing w:after="0"/>
              <w:rPr>
                <w:sz w:val="18"/>
                <w:szCs w:val="18"/>
                <w:color w:val="auto"/>
              </w:rPr>
            </w:pPr>
          </w:p>
        </w:tc>
      </w:tr>
      <w:tr>
        <w:trPr>
          <w:trHeight w:val="216"/>
        </w:trPr>
        <w:tc>
          <w:tcPr>
            <w:tcW w:w="7240" w:type="dxa"/>
            <w:vAlign w:val="bottom"/>
            <w:shd w:val="clear" w:color="auto" w:fill="CFF0FC"/>
          </w:tcPr>
          <w:p>
            <w:pPr>
              <w:ind w:left="200"/>
              <w:spacing w:after="0"/>
              <w:rPr>
                <w:sz w:val="20"/>
                <w:szCs w:val="20"/>
                <w:color w:val="auto"/>
              </w:rPr>
            </w:pPr>
            <w:r>
              <w:rPr>
                <w:rFonts w:ascii="Arial" w:cs="Arial" w:eastAsia="Arial" w:hAnsi="Arial"/>
                <w:sz w:val="18"/>
                <w:szCs w:val="18"/>
                <w:color w:val="auto"/>
              </w:rPr>
              <w:t>Cash received for tax withholding obligations on equity award settlements</w:t>
            </w:r>
          </w:p>
        </w:tc>
        <w:tc>
          <w:tcPr>
            <w:tcW w:w="1300" w:type="dxa"/>
            <w:vAlign w:val="bottom"/>
            <w:shd w:val="clear" w:color="auto" w:fill="CFF0FC"/>
          </w:tcPr>
          <w:p>
            <w:pPr>
              <w:spacing w:after="0"/>
              <w:rPr>
                <w:sz w:val="18"/>
                <w:szCs w:val="18"/>
                <w:color w:val="auto"/>
              </w:rPr>
            </w:pPr>
          </w:p>
        </w:tc>
        <w:tc>
          <w:tcPr>
            <w:tcW w:w="7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14,026</w:t>
            </w:r>
          </w:p>
        </w:tc>
        <w:tc>
          <w:tcPr>
            <w:tcW w:w="260" w:type="dxa"/>
            <w:vAlign w:val="bottom"/>
            <w:shd w:val="clear" w:color="auto" w:fill="CFF0FC"/>
          </w:tcPr>
          <w:p>
            <w:pPr>
              <w:spacing w:after="0"/>
              <w:rPr>
                <w:sz w:val="18"/>
                <w:szCs w:val="18"/>
                <w:color w:val="auto"/>
              </w:rPr>
            </w:pPr>
          </w:p>
        </w:tc>
        <w:tc>
          <w:tcPr>
            <w:tcW w:w="340" w:type="dxa"/>
            <w:vAlign w:val="bottom"/>
            <w:shd w:val="clear" w:color="auto" w:fill="CFF0FC"/>
          </w:tcPr>
          <w:p>
            <w:pPr>
              <w:spacing w:after="0"/>
              <w:rPr>
                <w:sz w:val="18"/>
                <w:szCs w:val="18"/>
                <w:color w:val="auto"/>
              </w:rPr>
            </w:pPr>
          </w:p>
        </w:tc>
        <w:tc>
          <w:tcPr>
            <w:tcW w:w="11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106,919</w:t>
            </w:r>
          </w:p>
        </w:tc>
        <w:tc>
          <w:tcPr>
            <w:tcW w:w="260" w:type="dxa"/>
            <w:vAlign w:val="bottom"/>
            <w:shd w:val="clear" w:color="auto" w:fill="CFF0FC"/>
          </w:tcPr>
          <w:p>
            <w:pPr>
              <w:spacing w:after="0"/>
              <w:rPr>
                <w:sz w:val="18"/>
                <w:szCs w:val="18"/>
                <w:color w:val="auto"/>
              </w:rPr>
            </w:pPr>
          </w:p>
        </w:tc>
      </w:tr>
      <w:tr>
        <w:trPr>
          <w:trHeight w:val="216"/>
        </w:trPr>
        <w:tc>
          <w:tcPr>
            <w:tcW w:w="7240" w:type="dxa"/>
            <w:vAlign w:val="bottom"/>
          </w:tcPr>
          <w:p>
            <w:pPr>
              <w:ind w:left="200"/>
              <w:spacing w:after="0"/>
              <w:rPr>
                <w:sz w:val="20"/>
                <w:szCs w:val="20"/>
                <w:color w:val="auto"/>
              </w:rPr>
            </w:pPr>
            <w:r>
              <w:rPr>
                <w:rFonts w:ascii="Arial" w:cs="Arial" w:eastAsia="Arial" w:hAnsi="Arial"/>
                <w:sz w:val="18"/>
                <w:szCs w:val="18"/>
                <w:color w:val="auto"/>
              </w:rPr>
              <w:t>Cash paid for tax withholding obligations on equity award settlements</w:t>
            </w:r>
          </w:p>
        </w:tc>
        <w:tc>
          <w:tcPr>
            <w:tcW w:w="1300" w:type="dxa"/>
            <w:vAlign w:val="bottom"/>
          </w:tcPr>
          <w:p>
            <w:pPr>
              <w:spacing w:after="0"/>
              <w:rPr>
                <w:sz w:val="18"/>
                <w:szCs w:val="18"/>
                <w:color w:val="auto"/>
              </w:rPr>
            </w:pPr>
          </w:p>
        </w:tc>
        <w:tc>
          <w:tcPr>
            <w:tcW w:w="980" w:type="dxa"/>
            <w:vAlign w:val="bottom"/>
            <w:gridSpan w:val="2"/>
          </w:tcPr>
          <w:p>
            <w:pPr>
              <w:jc w:val="right"/>
              <w:ind w:right="90"/>
              <w:spacing w:after="0"/>
              <w:rPr>
                <w:sz w:val="20"/>
                <w:szCs w:val="20"/>
                <w:color w:val="auto"/>
              </w:rPr>
            </w:pPr>
            <w:r>
              <w:rPr>
                <w:rFonts w:ascii="Arial" w:cs="Arial" w:eastAsia="Arial" w:hAnsi="Arial"/>
                <w:sz w:val="18"/>
                <w:szCs w:val="18"/>
                <w:color w:val="auto"/>
              </w:rPr>
              <w:t>(14,988 )</w:t>
            </w:r>
          </w:p>
        </w:tc>
        <w:tc>
          <w:tcPr>
            <w:tcW w:w="340" w:type="dxa"/>
            <w:vAlign w:val="bottom"/>
          </w:tcPr>
          <w:p>
            <w:pPr>
              <w:spacing w:after="0"/>
              <w:rPr>
                <w:sz w:val="18"/>
                <w:szCs w:val="18"/>
                <w:color w:val="auto"/>
              </w:rPr>
            </w:pPr>
          </w:p>
        </w:tc>
        <w:tc>
          <w:tcPr>
            <w:tcW w:w="1380" w:type="dxa"/>
            <w:vAlign w:val="bottom"/>
            <w:gridSpan w:val="2"/>
          </w:tcPr>
          <w:p>
            <w:pPr>
              <w:jc w:val="right"/>
              <w:ind w:right="90"/>
              <w:spacing w:after="0"/>
              <w:rPr>
                <w:sz w:val="20"/>
                <w:szCs w:val="20"/>
                <w:color w:val="auto"/>
              </w:rPr>
            </w:pPr>
            <w:r>
              <w:rPr>
                <w:rFonts w:ascii="Arial" w:cs="Arial" w:eastAsia="Arial" w:hAnsi="Arial"/>
                <w:sz w:val="18"/>
                <w:szCs w:val="18"/>
                <w:color w:val="auto"/>
              </w:rPr>
              <w:t>(101,556 )</w:t>
            </w:r>
          </w:p>
        </w:tc>
      </w:tr>
      <w:tr>
        <w:trPr>
          <w:trHeight w:val="216"/>
        </w:trPr>
        <w:tc>
          <w:tcPr>
            <w:tcW w:w="7240" w:type="dxa"/>
            <w:vAlign w:val="bottom"/>
            <w:shd w:val="clear" w:color="auto" w:fill="CFF0FC"/>
          </w:tcPr>
          <w:p>
            <w:pPr>
              <w:ind w:left="200"/>
              <w:spacing w:after="0"/>
              <w:rPr>
                <w:sz w:val="20"/>
                <w:szCs w:val="20"/>
                <w:color w:val="auto"/>
              </w:rPr>
            </w:pPr>
            <w:r>
              <w:rPr>
                <w:rFonts w:ascii="Arial" w:cs="Arial" w:eastAsia="Arial" w:hAnsi="Arial"/>
                <w:sz w:val="18"/>
                <w:szCs w:val="18"/>
                <w:color w:val="auto"/>
              </w:rPr>
              <w:t>Repurchase of unvested stock options</w:t>
            </w:r>
          </w:p>
        </w:tc>
        <w:tc>
          <w:tcPr>
            <w:tcW w:w="1300" w:type="dxa"/>
            <w:vAlign w:val="bottom"/>
            <w:shd w:val="clear" w:color="auto" w:fill="CFF0FC"/>
          </w:tcPr>
          <w:p>
            <w:pPr>
              <w:spacing w:after="0"/>
              <w:rPr>
                <w:sz w:val="18"/>
                <w:szCs w:val="18"/>
                <w:color w:val="auto"/>
              </w:rPr>
            </w:pPr>
          </w:p>
        </w:tc>
        <w:tc>
          <w:tcPr>
            <w:tcW w:w="980" w:type="dxa"/>
            <w:vAlign w:val="bottom"/>
            <w:gridSpan w:val="2"/>
            <w:shd w:val="clear" w:color="auto" w:fill="CFF0FC"/>
          </w:tcPr>
          <w:p>
            <w:pPr>
              <w:jc w:val="right"/>
              <w:ind w:right="90"/>
              <w:spacing w:after="0"/>
              <w:rPr>
                <w:sz w:val="20"/>
                <w:szCs w:val="20"/>
                <w:color w:val="auto"/>
              </w:rPr>
            </w:pPr>
            <w:r>
              <w:rPr>
                <w:rFonts w:ascii="Arial" w:cs="Arial" w:eastAsia="Arial" w:hAnsi="Arial"/>
                <w:sz w:val="18"/>
                <w:szCs w:val="18"/>
                <w:color w:val="auto"/>
              </w:rPr>
              <w:t>(15 )</w:t>
            </w:r>
          </w:p>
        </w:tc>
        <w:tc>
          <w:tcPr>
            <w:tcW w:w="340" w:type="dxa"/>
            <w:vAlign w:val="bottom"/>
            <w:shd w:val="clear" w:color="auto" w:fill="CFF0FC"/>
          </w:tcPr>
          <w:p>
            <w:pPr>
              <w:spacing w:after="0"/>
              <w:rPr>
                <w:sz w:val="18"/>
                <w:szCs w:val="18"/>
                <w:color w:val="auto"/>
              </w:rPr>
            </w:pPr>
          </w:p>
        </w:tc>
        <w:tc>
          <w:tcPr>
            <w:tcW w:w="1380" w:type="dxa"/>
            <w:vAlign w:val="bottom"/>
            <w:gridSpan w:val="2"/>
            <w:shd w:val="clear" w:color="auto" w:fill="CFF0FC"/>
          </w:tcPr>
          <w:p>
            <w:pPr>
              <w:jc w:val="right"/>
              <w:ind w:right="90"/>
              <w:spacing w:after="0"/>
              <w:rPr>
                <w:sz w:val="20"/>
                <w:szCs w:val="20"/>
                <w:color w:val="auto"/>
              </w:rPr>
            </w:pPr>
            <w:r>
              <w:rPr>
                <w:rFonts w:ascii="Arial" w:cs="Arial" w:eastAsia="Arial" w:hAnsi="Arial"/>
                <w:sz w:val="18"/>
                <w:szCs w:val="18"/>
                <w:color w:val="auto"/>
              </w:rPr>
              <w:t>(1 )</w:t>
            </w:r>
          </w:p>
        </w:tc>
      </w:tr>
      <w:tr>
        <w:trPr>
          <w:trHeight w:val="209"/>
        </w:trPr>
        <w:tc>
          <w:tcPr>
            <w:tcW w:w="7240" w:type="dxa"/>
            <w:vAlign w:val="bottom"/>
            <w:tcBorders>
              <w:top w:val="single" w:sz="8" w:color="CFF0FC"/>
            </w:tcBorders>
          </w:tcPr>
          <w:p>
            <w:pPr>
              <w:ind w:left="740"/>
              <w:spacing w:after="0"/>
              <w:rPr>
                <w:sz w:val="20"/>
                <w:szCs w:val="20"/>
                <w:color w:val="auto"/>
              </w:rPr>
            </w:pPr>
            <w:r>
              <w:rPr>
                <w:rFonts w:ascii="Arial" w:cs="Arial" w:eastAsia="Arial" w:hAnsi="Arial"/>
                <w:sz w:val="18"/>
                <w:szCs w:val="18"/>
                <w:color w:val="auto"/>
              </w:rPr>
              <w:t>Net cash provided by financing activities</w:t>
            </w:r>
          </w:p>
        </w:tc>
        <w:tc>
          <w:tcPr>
            <w:tcW w:w="1300" w:type="dxa"/>
            <w:vAlign w:val="bottom"/>
            <w:tcBorders>
              <w:top w:val="single" w:sz="8" w:color="auto"/>
              <w:bottom w:val="single" w:sz="8" w:color="auto"/>
            </w:tcBorders>
          </w:tcPr>
          <w:p>
            <w:pPr>
              <w:spacing w:after="0"/>
              <w:rPr>
                <w:sz w:val="18"/>
                <w:szCs w:val="18"/>
                <w:color w:val="auto"/>
              </w:rPr>
            </w:pPr>
          </w:p>
        </w:tc>
        <w:tc>
          <w:tcPr>
            <w:tcW w:w="7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5,232</w:t>
            </w:r>
          </w:p>
        </w:tc>
        <w:tc>
          <w:tcPr>
            <w:tcW w:w="260" w:type="dxa"/>
            <w:vAlign w:val="bottom"/>
            <w:tcBorders>
              <w:top w:val="single" w:sz="8" w:color="CFF0FC"/>
            </w:tcBorders>
          </w:tcPr>
          <w:p>
            <w:pPr>
              <w:spacing w:after="0"/>
              <w:rPr>
                <w:sz w:val="18"/>
                <w:szCs w:val="18"/>
                <w:color w:val="auto"/>
              </w:rPr>
            </w:pPr>
          </w:p>
        </w:tc>
        <w:tc>
          <w:tcPr>
            <w:tcW w:w="340" w:type="dxa"/>
            <w:vAlign w:val="bottom"/>
            <w:tcBorders>
              <w:top w:val="single" w:sz="8" w:color="auto"/>
              <w:bottom w:val="single" w:sz="8" w:color="auto"/>
            </w:tcBorders>
          </w:tcPr>
          <w:p>
            <w:pPr>
              <w:spacing w:after="0"/>
              <w:rPr>
                <w:sz w:val="18"/>
                <w:szCs w:val="18"/>
                <w:color w:val="auto"/>
              </w:rPr>
            </w:pPr>
          </w:p>
        </w:tc>
        <w:tc>
          <w:tcPr>
            <w:tcW w:w="1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221,798</w:t>
            </w:r>
          </w:p>
        </w:tc>
        <w:tc>
          <w:tcPr>
            <w:tcW w:w="260" w:type="dxa"/>
            <w:vAlign w:val="bottom"/>
            <w:tcBorders>
              <w:top w:val="single" w:sz="8" w:color="CFF0FC"/>
            </w:tcBorders>
          </w:tcPr>
          <w:p>
            <w:pPr>
              <w:spacing w:after="0"/>
              <w:rPr>
                <w:sz w:val="18"/>
                <w:szCs w:val="18"/>
                <w:color w:val="auto"/>
              </w:rPr>
            </w:pPr>
          </w:p>
        </w:tc>
      </w:tr>
      <w:tr>
        <w:trPr>
          <w:trHeight w:val="209"/>
        </w:trPr>
        <w:tc>
          <w:tcPr>
            <w:tcW w:w="7240" w:type="dxa"/>
            <w:vAlign w:val="bottom"/>
            <w:shd w:val="clear" w:color="auto" w:fill="CFF0FC"/>
          </w:tcPr>
          <w:p>
            <w:pPr>
              <w:ind w:left="740"/>
              <w:spacing w:after="0"/>
              <w:rPr>
                <w:sz w:val="20"/>
                <w:szCs w:val="20"/>
                <w:color w:val="auto"/>
              </w:rPr>
            </w:pPr>
            <w:r>
              <w:rPr>
                <w:rFonts w:ascii="Arial" w:cs="Arial" w:eastAsia="Arial" w:hAnsi="Arial"/>
                <w:sz w:val="18"/>
                <w:szCs w:val="18"/>
                <w:color w:val="auto"/>
              </w:rPr>
              <w:t>Net increase in cash, cash equivalents, and restricted cash</w:t>
            </w:r>
          </w:p>
        </w:tc>
        <w:tc>
          <w:tcPr>
            <w:tcW w:w="1300" w:type="dxa"/>
            <w:vAlign w:val="bottom"/>
            <w:shd w:val="clear" w:color="auto" w:fill="CFF0FC"/>
          </w:tcPr>
          <w:p>
            <w:pPr>
              <w:spacing w:after="0"/>
              <w:rPr>
                <w:sz w:val="18"/>
                <w:szCs w:val="18"/>
                <w:color w:val="auto"/>
              </w:rPr>
            </w:pPr>
          </w:p>
        </w:tc>
        <w:tc>
          <w:tcPr>
            <w:tcW w:w="7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(60,195</w:t>
            </w:r>
          </w:p>
        </w:tc>
        <w:tc>
          <w:tcPr>
            <w:tcW w:w="260" w:type="dxa"/>
            <w:vAlign w:val="bottom"/>
            <w:shd w:val="clear" w:color="auto" w:fill="CFF0FC"/>
          </w:tcPr>
          <w:p>
            <w:pPr>
              <w:jc w:val="right"/>
              <w:ind w:right="90"/>
              <w:spacing w:after="0"/>
              <w:rPr>
                <w:sz w:val="20"/>
                <w:szCs w:val="20"/>
                <w:color w:val="auto"/>
              </w:rPr>
            </w:pPr>
            <w:r>
              <w:rPr>
                <w:rFonts w:ascii="Arial" w:cs="Arial" w:eastAsia="Arial" w:hAnsi="Arial"/>
                <w:sz w:val="18"/>
                <w:szCs w:val="18"/>
                <w:color w:val="auto"/>
                <w:w w:val="99"/>
              </w:rPr>
              <w:t>)</w:t>
            </w:r>
          </w:p>
        </w:tc>
        <w:tc>
          <w:tcPr>
            <w:tcW w:w="340" w:type="dxa"/>
            <w:vAlign w:val="bottom"/>
            <w:shd w:val="clear" w:color="auto" w:fill="CFF0FC"/>
          </w:tcPr>
          <w:p>
            <w:pPr>
              <w:spacing w:after="0"/>
              <w:rPr>
                <w:sz w:val="18"/>
                <w:szCs w:val="18"/>
                <w:color w:val="auto"/>
              </w:rPr>
            </w:pPr>
          </w:p>
        </w:tc>
        <w:tc>
          <w:tcPr>
            <w:tcW w:w="11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200,831</w:t>
            </w:r>
          </w:p>
        </w:tc>
        <w:tc>
          <w:tcPr>
            <w:tcW w:w="260" w:type="dxa"/>
            <w:vAlign w:val="bottom"/>
            <w:shd w:val="clear" w:color="auto" w:fill="CFF0FC"/>
          </w:tcPr>
          <w:p>
            <w:pPr>
              <w:spacing w:after="0"/>
              <w:rPr>
                <w:sz w:val="18"/>
                <w:szCs w:val="18"/>
                <w:color w:val="auto"/>
              </w:rPr>
            </w:pPr>
          </w:p>
        </w:tc>
      </w:tr>
      <w:tr>
        <w:trPr>
          <w:trHeight w:val="216"/>
        </w:trPr>
        <w:tc>
          <w:tcPr>
            <w:tcW w:w="7240" w:type="dxa"/>
            <w:vAlign w:val="bottom"/>
          </w:tcPr>
          <w:p>
            <w:pPr>
              <w:ind w:left="20"/>
              <w:spacing w:after="0"/>
              <w:rPr>
                <w:sz w:val="20"/>
                <w:szCs w:val="20"/>
                <w:color w:val="auto"/>
              </w:rPr>
            </w:pPr>
            <w:r>
              <w:rPr>
                <w:rFonts w:ascii="Arial" w:cs="Arial" w:eastAsia="Arial" w:hAnsi="Arial"/>
                <w:sz w:val="18"/>
                <w:szCs w:val="18"/>
                <w:color w:val="auto"/>
              </w:rPr>
              <w:t>Cash, cash equivalents, and restricted cash at beginning of period</w:t>
            </w:r>
          </w:p>
        </w:tc>
        <w:tc>
          <w:tcPr>
            <w:tcW w:w="1300" w:type="dxa"/>
            <w:vAlign w:val="bottom"/>
            <w:tcBorders>
              <w:bottom w:val="single" w:sz="8" w:color="auto"/>
            </w:tcBorders>
          </w:tcPr>
          <w:p>
            <w:pPr>
              <w:spacing w:after="0"/>
              <w:rPr>
                <w:sz w:val="18"/>
                <w:szCs w:val="18"/>
                <w:color w:val="auto"/>
              </w:rPr>
            </w:pPr>
          </w:p>
        </w:tc>
        <w:tc>
          <w:tcPr>
            <w:tcW w:w="7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308,295</w:t>
            </w:r>
          </w:p>
        </w:tc>
        <w:tc>
          <w:tcPr>
            <w:tcW w:w="260" w:type="dxa"/>
            <w:vAlign w:val="bottom"/>
          </w:tcPr>
          <w:p>
            <w:pPr>
              <w:spacing w:after="0"/>
              <w:rPr>
                <w:sz w:val="18"/>
                <w:szCs w:val="18"/>
                <w:color w:val="auto"/>
              </w:rPr>
            </w:pPr>
          </w:p>
        </w:tc>
        <w:tc>
          <w:tcPr>
            <w:tcW w:w="340" w:type="dxa"/>
            <w:vAlign w:val="bottom"/>
            <w:tcBorders>
              <w:bottom w:val="single" w:sz="8" w:color="auto"/>
            </w:tcBorders>
          </w:tcPr>
          <w:p>
            <w:pPr>
              <w:spacing w:after="0"/>
              <w:rPr>
                <w:sz w:val="18"/>
                <w:szCs w:val="18"/>
                <w:color w:val="auto"/>
              </w:rPr>
            </w:pP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118,863</w:t>
            </w:r>
          </w:p>
        </w:tc>
        <w:tc>
          <w:tcPr>
            <w:tcW w:w="260" w:type="dxa"/>
            <w:vAlign w:val="bottom"/>
          </w:tcPr>
          <w:p>
            <w:pPr>
              <w:spacing w:after="0"/>
              <w:rPr>
                <w:sz w:val="18"/>
                <w:szCs w:val="18"/>
                <w:color w:val="auto"/>
              </w:rPr>
            </w:pPr>
          </w:p>
        </w:tc>
      </w:tr>
      <w:tr>
        <w:trPr>
          <w:trHeight w:val="249"/>
        </w:trPr>
        <w:tc>
          <w:tcPr>
            <w:tcW w:w="7240" w:type="dxa"/>
            <w:vAlign w:val="bottom"/>
            <w:tcBorders>
              <w:bottom w:val="single" w:sz="8" w:color="CFF0FC"/>
            </w:tcBorders>
            <w:shd w:val="clear" w:color="auto" w:fill="CFF0FC"/>
          </w:tcPr>
          <w:p>
            <w:pPr>
              <w:ind w:left="20"/>
              <w:spacing w:after="0"/>
              <w:rPr>
                <w:sz w:val="20"/>
                <w:szCs w:val="20"/>
                <w:color w:val="auto"/>
              </w:rPr>
            </w:pPr>
            <w:r>
              <w:rPr>
                <w:rFonts w:ascii="Arial" w:cs="Arial" w:eastAsia="Arial" w:hAnsi="Arial"/>
                <w:sz w:val="18"/>
                <w:szCs w:val="18"/>
                <w:color w:val="auto"/>
              </w:rPr>
              <w:t>Cash, cash equivalents, and restricted cash at end of period</w:t>
            </w:r>
          </w:p>
        </w:tc>
        <w:tc>
          <w:tcPr>
            <w:tcW w:w="1300" w:type="dxa"/>
            <w:vAlign w:val="bottom"/>
            <w:tcBorders>
              <w:bottom w:val="single" w:sz="8" w:color="auto"/>
            </w:tcBorders>
            <w:shd w:val="clear" w:color="auto" w:fill="CFF0FC"/>
          </w:tcPr>
          <w:p>
            <w:pPr>
              <w:jc w:val="right"/>
              <w:ind w:right="1090"/>
              <w:spacing w:after="0"/>
              <w:rPr>
                <w:sz w:val="20"/>
                <w:szCs w:val="20"/>
                <w:color w:val="auto"/>
              </w:rPr>
            </w:pPr>
            <w:r>
              <w:rPr>
                <w:rFonts w:ascii="Arial" w:cs="Arial" w:eastAsia="Arial" w:hAnsi="Arial"/>
                <w:sz w:val="18"/>
                <w:szCs w:val="18"/>
                <w:color w:val="auto"/>
                <w:w w:val="99"/>
              </w:rPr>
              <w:t>$</w:t>
            </w:r>
          </w:p>
        </w:tc>
        <w:tc>
          <w:tcPr>
            <w:tcW w:w="7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248,100</w:t>
            </w:r>
          </w:p>
        </w:tc>
        <w:tc>
          <w:tcPr>
            <w:tcW w:w="260" w:type="dxa"/>
            <w:vAlign w:val="bottom"/>
            <w:tcBorders>
              <w:bottom w:val="single" w:sz="8" w:color="CFF0FC"/>
            </w:tcBorders>
            <w:shd w:val="clear" w:color="auto" w:fill="CFF0FC"/>
          </w:tcPr>
          <w:p>
            <w:pPr>
              <w:spacing w:after="0"/>
              <w:rPr>
                <w:sz w:val="21"/>
                <w:szCs w:val="21"/>
                <w:color w:val="auto"/>
              </w:rPr>
            </w:pPr>
          </w:p>
        </w:tc>
        <w:tc>
          <w:tcPr>
            <w:tcW w:w="340" w:type="dxa"/>
            <w:vAlign w:val="bottom"/>
            <w:tcBorders>
              <w:bottom w:val="single" w:sz="8" w:color="auto"/>
            </w:tcBorders>
            <w:shd w:val="clear" w:color="auto" w:fill="CFF0FC"/>
          </w:tcPr>
          <w:p>
            <w:pPr>
              <w:jc w:val="right"/>
              <w:ind w:right="130"/>
              <w:spacing w:after="0"/>
              <w:rPr>
                <w:sz w:val="20"/>
                <w:szCs w:val="20"/>
                <w:color w:val="auto"/>
              </w:rPr>
            </w:pPr>
            <w:r>
              <w:rPr>
                <w:rFonts w:ascii="Arial" w:cs="Arial" w:eastAsia="Arial" w:hAnsi="Arial"/>
                <w:sz w:val="18"/>
                <w:szCs w:val="18"/>
                <w:color w:val="auto"/>
                <w:w w:val="99"/>
              </w:rPr>
              <w:t>$</w:t>
            </w:r>
          </w:p>
        </w:tc>
        <w:tc>
          <w:tcPr>
            <w:tcW w:w="11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319,694</w:t>
            </w:r>
          </w:p>
        </w:tc>
        <w:tc>
          <w:tcPr>
            <w:tcW w:w="260" w:type="dxa"/>
            <w:vAlign w:val="bottom"/>
            <w:tcBorders>
              <w:bottom w:val="single" w:sz="8" w:color="CFF0FC"/>
            </w:tcBorders>
            <w:shd w:val="clear" w:color="auto" w:fill="CFF0FC"/>
          </w:tcPr>
          <w:p>
            <w:pPr>
              <w:spacing w:after="0"/>
              <w:rPr>
                <w:sz w:val="21"/>
                <w:szCs w:val="21"/>
                <w:color w:val="auto"/>
              </w:rPr>
            </w:pPr>
          </w:p>
        </w:tc>
      </w:tr>
      <w:tr>
        <w:trPr>
          <w:trHeight w:val="196"/>
        </w:trPr>
        <w:tc>
          <w:tcPr>
            <w:tcW w:w="7240" w:type="dxa"/>
            <w:vAlign w:val="bottom"/>
          </w:tcPr>
          <w:p>
            <w:pPr>
              <w:ind w:left="20"/>
              <w:spacing w:after="0" w:line="196" w:lineRule="exact"/>
              <w:rPr>
                <w:sz w:val="20"/>
                <w:szCs w:val="20"/>
                <w:color w:val="auto"/>
              </w:rPr>
            </w:pPr>
            <w:r>
              <w:rPr>
                <w:rFonts w:ascii="Arial" w:cs="Arial" w:eastAsia="Arial" w:hAnsi="Arial"/>
                <w:sz w:val="18"/>
                <w:szCs w:val="18"/>
                <w:color w:val="auto"/>
              </w:rPr>
              <w:t>Supplemental disclosure of cash flow information:</w:t>
            </w:r>
          </w:p>
        </w:tc>
        <w:tc>
          <w:tcPr>
            <w:tcW w:w="130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260" w:type="dxa"/>
            <w:vAlign w:val="bottom"/>
          </w:tcPr>
          <w:p>
            <w:pPr>
              <w:spacing w:after="0"/>
              <w:rPr>
                <w:sz w:val="17"/>
                <w:szCs w:val="17"/>
                <w:color w:val="auto"/>
              </w:rPr>
            </w:pPr>
          </w:p>
        </w:tc>
      </w:tr>
      <w:tr>
        <w:trPr>
          <w:trHeight w:val="216"/>
        </w:trPr>
        <w:tc>
          <w:tcPr>
            <w:tcW w:w="7240" w:type="dxa"/>
            <w:vAlign w:val="bottom"/>
            <w:shd w:val="clear" w:color="auto" w:fill="CFF0FC"/>
          </w:tcPr>
          <w:p>
            <w:pPr>
              <w:ind w:left="200"/>
              <w:spacing w:after="0"/>
              <w:rPr>
                <w:sz w:val="20"/>
                <w:szCs w:val="20"/>
                <w:color w:val="auto"/>
              </w:rPr>
            </w:pPr>
            <w:r>
              <w:rPr>
                <w:rFonts w:ascii="Arial" w:cs="Arial" w:eastAsia="Arial" w:hAnsi="Arial"/>
                <w:sz w:val="18"/>
                <w:szCs w:val="18"/>
                <w:color w:val="auto"/>
              </w:rPr>
              <w:t>Cash paid for income taxes</w:t>
            </w:r>
          </w:p>
        </w:tc>
        <w:tc>
          <w:tcPr>
            <w:tcW w:w="1300" w:type="dxa"/>
            <w:vAlign w:val="bottom"/>
            <w:shd w:val="clear" w:color="auto" w:fill="CFF0FC"/>
          </w:tcPr>
          <w:p>
            <w:pPr>
              <w:jc w:val="right"/>
              <w:ind w:right="1090"/>
              <w:spacing w:after="0"/>
              <w:rPr>
                <w:sz w:val="20"/>
                <w:szCs w:val="20"/>
                <w:color w:val="auto"/>
              </w:rPr>
            </w:pPr>
            <w:r>
              <w:rPr>
                <w:rFonts w:ascii="Arial" w:cs="Arial" w:eastAsia="Arial" w:hAnsi="Arial"/>
                <w:sz w:val="18"/>
                <w:szCs w:val="18"/>
                <w:color w:val="auto"/>
                <w:w w:val="99"/>
              </w:rPr>
              <w:t>$</w:t>
            </w:r>
          </w:p>
        </w:tc>
        <w:tc>
          <w:tcPr>
            <w:tcW w:w="7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201</w:t>
            </w:r>
          </w:p>
        </w:tc>
        <w:tc>
          <w:tcPr>
            <w:tcW w:w="260" w:type="dxa"/>
            <w:vAlign w:val="bottom"/>
            <w:shd w:val="clear" w:color="auto" w:fill="CFF0FC"/>
          </w:tcPr>
          <w:p>
            <w:pPr>
              <w:spacing w:after="0"/>
              <w:rPr>
                <w:sz w:val="18"/>
                <w:szCs w:val="18"/>
                <w:color w:val="auto"/>
              </w:rPr>
            </w:pPr>
          </w:p>
        </w:tc>
        <w:tc>
          <w:tcPr>
            <w:tcW w:w="340" w:type="dxa"/>
            <w:vAlign w:val="bottom"/>
            <w:shd w:val="clear" w:color="auto" w:fill="CFF0FC"/>
          </w:tcPr>
          <w:p>
            <w:pPr>
              <w:jc w:val="right"/>
              <w:ind w:right="130"/>
              <w:spacing w:after="0"/>
              <w:rPr>
                <w:sz w:val="20"/>
                <w:szCs w:val="20"/>
                <w:color w:val="auto"/>
              </w:rPr>
            </w:pPr>
            <w:r>
              <w:rPr>
                <w:rFonts w:ascii="Arial" w:cs="Arial" w:eastAsia="Arial" w:hAnsi="Arial"/>
                <w:sz w:val="18"/>
                <w:szCs w:val="18"/>
                <w:color w:val="auto"/>
                <w:w w:val="99"/>
              </w:rPr>
              <w:t>$</w:t>
            </w:r>
          </w:p>
        </w:tc>
        <w:tc>
          <w:tcPr>
            <w:tcW w:w="11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170</w:t>
            </w:r>
          </w:p>
        </w:tc>
        <w:tc>
          <w:tcPr>
            <w:tcW w:w="260" w:type="dxa"/>
            <w:vAlign w:val="bottom"/>
            <w:shd w:val="clear" w:color="auto" w:fill="CFF0FC"/>
          </w:tcPr>
          <w:p>
            <w:pPr>
              <w:spacing w:after="0"/>
              <w:rPr>
                <w:sz w:val="18"/>
                <w:szCs w:val="18"/>
                <w:color w:val="auto"/>
              </w:rPr>
            </w:pPr>
          </w:p>
        </w:tc>
      </w:tr>
      <w:tr>
        <w:trPr>
          <w:trHeight w:val="216"/>
        </w:trPr>
        <w:tc>
          <w:tcPr>
            <w:tcW w:w="7240" w:type="dxa"/>
            <w:vAlign w:val="bottom"/>
          </w:tcPr>
          <w:p>
            <w:pPr>
              <w:ind w:left="20"/>
              <w:spacing w:after="0"/>
              <w:rPr>
                <w:sz w:val="20"/>
                <w:szCs w:val="20"/>
                <w:color w:val="auto"/>
              </w:rPr>
            </w:pPr>
            <w:r>
              <w:rPr>
                <w:rFonts w:ascii="Arial" w:cs="Arial" w:eastAsia="Arial" w:hAnsi="Arial"/>
                <w:sz w:val="18"/>
                <w:szCs w:val="18"/>
                <w:color w:val="auto"/>
              </w:rPr>
              <w:t>Non-cash investing and financing activities:</w:t>
            </w:r>
          </w:p>
        </w:tc>
        <w:tc>
          <w:tcPr>
            <w:tcW w:w="130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260" w:type="dxa"/>
            <w:vAlign w:val="bottom"/>
          </w:tcPr>
          <w:p>
            <w:pPr>
              <w:spacing w:after="0"/>
              <w:rPr>
                <w:sz w:val="18"/>
                <w:szCs w:val="18"/>
                <w:color w:val="auto"/>
              </w:rPr>
            </w:pPr>
          </w:p>
        </w:tc>
      </w:tr>
      <w:tr>
        <w:trPr>
          <w:trHeight w:val="216"/>
        </w:trPr>
        <w:tc>
          <w:tcPr>
            <w:tcW w:w="7240" w:type="dxa"/>
            <w:vAlign w:val="bottom"/>
            <w:shd w:val="clear" w:color="auto" w:fill="CFF0FC"/>
          </w:tcPr>
          <w:p>
            <w:pPr>
              <w:ind w:left="200"/>
              <w:spacing w:after="0"/>
              <w:rPr>
                <w:sz w:val="20"/>
                <w:szCs w:val="20"/>
                <w:color w:val="auto"/>
              </w:rPr>
            </w:pPr>
            <w:r>
              <w:rPr>
                <w:rFonts w:ascii="Arial" w:cs="Arial" w:eastAsia="Arial" w:hAnsi="Arial"/>
                <w:sz w:val="18"/>
                <w:szCs w:val="18"/>
                <w:color w:val="auto"/>
              </w:rPr>
              <w:t>Vesting of early exercised options</w:t>
            </w:r>
          </w:p>
        </w:tc>
        <w:tc>
          <w:tcPr>
            <w:tcW w:w="1300" w:type="dxa"/>
            <w:vAlign w:val="bottom"/>
            <w:shd w:val="clear" w:color="auto" w:fill="CFF0FC"/>
          </w:tcPr>
          <w:p>
            <w:pPr>
              <w:jc w:val="right"/>
              <w:ind w:right="1090"/>
              <w:spacing w:after="0"/>
              <w:rPr>
                <w:sz w:val="20"/>
                <w:szCs w:val="20"/>
                <w:color w:val="auto"/>
              </w:rPr>
            </w:pPr>
            <w:r>
              <w:rPr>
                <w:rFonts w:ascii="Arial" w:cs="Arial" w:eastAsia="Arial" w:hAnsi="Arial"/>
                <w:sz w:val="18"/>
                <w:szCs w:val="18"/>
                <w:color w:val="auto"/>
                <w:w w:val="99"/>
              </w:rPr>
              <w:t>$</w:t>
            </w:r>
          </w:p>
        </w:tc>
        <w:tc>
          <w:tcPr>
            <w:tcW w:w="7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1,993</w:t>
            </w:r>
          </w:p>
        </w:tc>
        <w:tc>
          <w:tcPr>
            <w:tcW w:w="260" w:type="dxa"/>
            <w:vAlign w:val="bottom"/>
            <w:shd w:val="clear" w:color="auto" w:fill="CFF0FC"/>
          </w:tcPr>
          <w:p>
            <w:pPr>
              <w:spacing w:after="0"/>
              <w:rPr>
                <w:sz w:val="18"/>
                <w:szCs w:val="18"/>
                <w:color w:val="auto"/>
              </w:rPr>
            </w:pPr>
          </w:p>
        </w:tc>
        <w:tc>
          <w:tcPr>
            <w:tcW w:w="340" w:type="dxa"/>
            <w:vAlign w:val="bottom"/>
            <w:shd w:val="clear" w:color="auto" w:fill="CFF0FC"/>
          </w:tcPr>
          <w:p>
            <w:pPr>
              <w:jc w:val="right"/>
              <w:ind w:right="130"/>
              <w:spacing w:after="0"/>
              <w:rPr>
                <w:sz w:val="20"/>
                <w:szCs w:val="20"/>
                <w:color w:val="auto"/>
              </w:rPr>
            </w:pPr>
            <w:r>
              <w:rPr>
                <w:rFonts w:ascii="Arial" w:cs="Arial" w:eastAsia="Arial" w:hAnsi="Arial"/>
                <w:sz w:val="18"/>
                <w:szCs w:val="18"/>
                <w:color w:val="auto"/>
                <w:w w:val="99"/>
              </w:rPr>
              <w:t>$</w:t>
            </w:r>
          </w:p>
        </w:tc>
        <w:tc>
          <w:tcPr>
            <w:tcW w:w="11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1,171</w:t>
            </w:r>
          </w:p>
        </w:tc>
        <w:tc>
          <w:tcPr>
            <w:tcW w:w="260" w:type="dxa"/>
            <w:vAlign w:val="bottom"/>
            <w:shd w:val="clear" w:color="auto" w:fill="CFF0FC"/>
          </w:tcPr>
          <w:p>
            <w:pPr>
              <w:spacing w:after="0"/>
              <w:rPr>
                <w:sz w:val="18"/>
                <w:szCs w:val="18"/>
                <w:color w:val="auto"/>
              </w:rPr>
            </w:pPr>
          </w:p>
        </w:tc>
      </w:tr>
      <w:tr>
        <w:trPr>
          <w:trHeight w:val="216"/>
        </w:trPr>
        <w:tc>
          <w:tcPr>
            <w:tcW w:w="7240" w:type="dxa"/>
            <w:vAlign w:val="bottom"/>
          </w:tcPr>
          <w:p>
            <w:pPr>
              <w:ind w:left="200"/>
              <w:spacing w:after="0"/>
              <w:rPr>
                <w:sz w:val="20"/>
                <w:szCs w:val="20"/>
                <w:color w:val="auto"/>
              </w:rPr>
            </w:pPr>
            <w:r>
              <w:rPr>
                <w:rFonts w:ascii="Arial" w:cs="Arial" w:eastAsia="Arial" w:hAnsi="Arial"/>
                <w:sz w:val="18"/>
                <w:szCs w:val="18"/>
                <w:color w:val="auto"/>
              </w:rPr>
              <w:t>Purchases of property and equipment included in liabilities</w:t>
            </w:r>
          </w:p>
        </w:tc>
        <w:tc>
          <w:tcPr>
            <w:tcW w:w="1300" w:type="dxa"/>
            <w:vAlign w:val="bottom"/>
          </w:tcPr>
          <w:p>
            <w:pPr>
              <w:jc w:val="right"/>
              <w:ind w:right="1090"/>
              <w:spacing w:after="0"/>
              <w:rPr>
                <w:sz w:val="20"/>
                <w:szCs w:val="20"/>
                <w:color w:val="auto"/>
              </w:rPr>
            </w:pPr>
            <w:r>
              <w:rPr>
                <w:rFonts w:ascii="Arial" w:cs="Arial" w:eastAsia="Arial" w:hAnsi="Arial"/>
                <w:sz w:val="18"/>
                <w:szCs w:val="18"/>
                <w:color w:val="auto"/>
                <w:w w:val="99"/>
              </w:rPr>
              <w:t>$</w:t>
            </w:r>
          </w:p>
        </w:tc>
        <w:tc>
          <w:tcPr>
            <w:tcW w:w="720" w:type="dxa"/>
            <w:vAlign w:val="bottom"/>
          </w:tcPr>
          <w:p>
            <w:pPr>
              <w:jc w:val="right"/>
              <w:spacing w:after="0"/>
              <w:rPr>
                <w:sz w:val="20"/>
                <w:szCs w:val="20"/>
                <w:color w:val="auto"/>
              </w:rPr>
            </w:pPr>
            <w:r>
              <w:rPr>
                <w:rFonts w:ascii="Arial" w:cs="Arial" w:eastAsia="Arial" w:hAnsi="Arial"/>
                <w:sz w:val="18"/>
                <w:szCs w:val="18"/>
                <w:color w:val="auto"/>
              </w:rPr>
              <w:t>302</w:t>
            </w:r>
          </w:p>
        </w:tc>
        <w:tc>
          <w:tcPr>
            <w:tcW w:w="260" w:type="dxa"/>
            <w:vAlign w:val="bottom"/>
          </w:tcPr>
          <w:p>
            <w:pPr>
              <w:spacing w:after="0"/>
              <w:rPr>
                <w:sz w:val="18"/>
                <w:szCs w:val="18"/>
                <w:color w:val="auto"/>
              </w:rPr>
            </w:pPr>
          </w:p>
        </w:tc>
        <w:tc>
          <w:tcPr>
            <w:tcW w:w="340" w:type="dxa"/>
            <w:vAlign w:val="bottom"/>
          </w:tcPr>
          <w:p>
            <w:pPr>
              <w:jc w:val="right"/>
              <w:ind w:right="130"/>
              <w:spacing w:after="0"/>
              <w:rPr>
                <w:sz w:val="20"/>
                <w:szCs w:val="20"/>
                <w:color w:val="auto"/>
              </w:rPr>
            </w:pPr>
            <w:r>
              <w:rPr>
                <w:rFonts w:ascii="Arial" w:cs="Arial" w:eastAsia="Arial" w:hAnsi="Arial"/>
                <w:sz w:val="18"/>
                <w:szCs w:val="18"/>
                <w:color w:val="auto"/>
                <w:w w:val="99"/>
              </w:rPr>
              <w:t>$</w:t>
            </w:r>
          </w:p>
        </w:tc>
        <w:tc>
          <w:tcPr>
            <w:tcW w:w="1380" w:type="dxa"/>
            <w:vAlign w:val="bottom"/>
            <w:gridSpan w:val="2"/>
          </w:tcPr>
          <w:p>
            <w:pPr>
              <w:jc w:val="right"/>
              <w:ind w:right="170"/>
              <w:spacing w:after="0"/>
              <w:rPr>
                <w:sz w:val="20"/>
                <w:szCs w:val="20"/>
                <w:color w:val="auto"/>
              </w:rPr>
            </w:pPr>
            <w:r>
              <w:rPr>
                <w:rFonts w:ascii="Arial" w:cs="Arial" w:eastAsia="Arial" w:hAnsi="Arial"/>
                <w:sz w:val="18"/>
                <w:szCs w:val="18"/>
                <w:color w:val="auto"/>
              </w:rPr>
              <w:t>—</w:t>
            </w:r>
          </w:p>
        </w:tc>
      </w:tr>
      <w:tr>
        <w:trPr>
          <w:trHeight w:val="216"/>
        </w:trPr>
        <w:tc>
          <w:tcPr>
            <w:tcW w:w="7240" w:type="dxa"/>
            <w:vAlign w:val="bottom"/>
            <w:shd w:val="clear" w:color="auto" w:fill="CFF0FC"/>
          </w:tcPr>
          <w:p>
            <w:pPr>
              <w:ind w:left="200"/>
              <w:spacing w:after="0"/>
              <w:rPr>
                <w:sz w:val="20"/>
                <w:szCs w:val="20"/>
                <w:color w:val="auto"/>
              </w:rPr>
            </w:pPr>
            <w:r>
              <w:rPr>
                <w:rFonts w:ascii="Arial" w:cs="Arial" w:eastAsia="Arial" w:hAnsi="Arial"/>
                <w:sz w:val="18"/>
                <w:szCs w:val="18"/>
                <w:color w:val="auto"/>
              </w:rPr>
              <w:t>Capitalization of internal-use software costs</w:t>
            </w:r>
          </w:p>
        </w:tc>
        <w:tc>
          <w:tcPr>
            <w:tcW w:w="1300" w:type="dxa"/>
            <w:vAlign w:val="bottom"/>
            <w:shd w:val="clear" w:color="auto" w:fill="CFF0FC"/>
          </w:tcPr>
          <w:p>
            <w:pPr>
              <w:jc w:val="right"/>
              <w:ind w:right="1090"/>
              <w:spacing w:after="0"/>
              <w:rPr>
                <w:sz w:val="20"/>
                <w:szCs w:val="20"/>
                <w:color w:val="auto"/>
              </w:rPr>
            </w:pPr>
            <w:r>
              <w:rPr>
                <w:rFonts w:ascii="Arial" w:cs="Arial" w:eastAsia="Arial" w:hAnsi="Arial"/>
                <w:sz w:val="18"/>
                <w:szCs w:val="18"/>
                <w:color w:val="auto"/>
                <w:w w:val="99"/>
              </w:rPr>
              <w:t>$</w:t>
            </w:r>
          </w:p>
        </w:tc>
        <w:tc>
          <w:tcPr>
            <w:tcW w:w="7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810</w:t>
            </w:r>
          </w:p>
        </w:tc>
        <w:tc>
          <w:tcPr>
            <w:tcW w:w="260" w:type="dxa"/>
            <w:vAlign w:val="bottom"/>
            <w:shd w:val="clear" w:color="auto" w:fill="CFF0FC"/>
          </w:tcPr>
          <w:p>
            <w:pPr>
              <w:spacing w:after="0"/>
              <w:rPr>
                <w:sz w:val="18"/>
                <w:szCs w:val="18"/>
                <w:color w:val="auto"/>
              </w:rPr>
            </w:pPr>
          </w:p>
        </w:tc>
        <w:tc>
          <w:tcPr>
            <w:tcW w:w="340" w:type="dxa"/>
            <w:vAlign w:val="bottom"/>
            <w:shd w:val="clear" w:color="auto" w:fill="CFF0FC"/>
          </w:tcPr>
          <w:p>
            <w:pPr>
              <w:jc w:val="right"/>
              <w:ind w:right="130"/>
              <w:spacing w:after="0"/>
              <w:rPr>
                <w:sz w:val="20"/>
                <w:szCs w:val="20"/>
                <w:color w:val="auto"/>
              </w:rPr>
            </w:pPr>
            <w:r>
              <w:rPr>
                <w:rFonts w:ascii="Arial" w:cs="Arial" w:eastAsia="Arial" w:hAnsi="Arial"/>
                <w:sz w:val="18"/>
                <w:szCs w:val="18"/>
                <w:color w:val="auto"/>
                <w:w w:val="99"/>
              </w:rPr>
              <w:t>$</w:t>
            </w:r>
          </w:p>
        </w:tc>
        <w:tc>
          <w:tcPr>
            <w:tcW w:w="11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190</w:t>
            </w:r>
          </w:p>
        </w:tc>
        <w:tc>
          <w:tcPr>
            <w:tcW w:w="260" w:type="dxa"/>
            <w:vAlign w:val="bottom"/>
            <w:shd w:val="clear" w:color="auto" w:fill="CFF0FC"/>
          </w:tcPr>
          <w:p>
            <w:pPr>
              <w:spacing w:after="0"/>
              <w:rPr>
                <w:sz w:val="18"/>
                <w:szCs w:val="18"/>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5878830</wp:posOffset>
            </wp:positionH>
            <wp:positionV relativeFrom="paragraph">
              <wp:posOffset>-3090545</wp:posOffset>
            </wp:positionV>
            <wp:extent cx="76835" cy="145415"/>
            <wp:wrapNone/>
            <wp:docPr id="88" name="Picture 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
                    <pic:cNvPicPr>
                      <a:picLocks noChangeAspect="1" noChangeArrowheads="1"/>
                    </pic:cNvPicPr>
                  </pic:nvPicPr>
                  <pic:blipFill>
                    <a:blip r:embed="rId95">
                      <a:extLst>
                        <a:ext uri="{28A0092B-C50C-407E-A947-70E740481C1C}"/>
                      </a:extLst>
                    </a:blip>
                    <a:srcRect/>
                    <a:stretch>
                      <a:fillRect/>
                    </a:stretch>
                  </pic:blipFill>
                  <pic:spPr bwMode="auto">
                    <a:xfrm>
                      <a:off x="0" y="0"/>
                      <a:ext cx="76835" cy="145415"/>
                    </a:xfrm>
                    <a:prstGeom prst="rect">
                      <a:avLst/>
                    </a:prstGeom>
                    <a:noFill/>
                  </pic:spPr>
                </pic:pic>
              </a:graphicData>
            </a:graphic>
          </wp:anchor>
        </w:drawing>
        <w:drawing>
          <wp:anchor simplePos="0" relativeHeight="251657728" behindDoc="1" locked="0" layoutInCell="0" allowOverlap="1">
            <wp:simplePos x="0" y="0"/>
            <wp:positionH relativeFrom="column">
              <wp:posOffset>6974840</wp:posOffset>
            </wp:positionH>
            <wp:positionV relativeFrom="paragraph">
              <wp:posOffset>-3090545</wp:posOffset>
            </wp:positionV>
            <wp:extent cx="68580" cy="145415"/>
            <wp:wrapNone/>
            <wp:docPr id="89" name="Picture 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
                    <pic:cNvPicPr>
                      <a:picLocks noChangeAspect="1" noChangeArrowheads="1"/>
                    </pic:cNvPicPr>
                  </pic:nvPicPr>
                  <pic:blipFill>
                    <a:blip r:embed="rId96">
                      <a:extLst>
                        <a:ext uri="{28A0092B-C50C-407E-A947-70E740481C1C}"/>
                      </a:extLst>
                    </a:blip>
                    <a:srcRect/>
                    <a:stretch>
                      <a:fillRect/>
                    </a:stretch>
                  </pic:blipFill>
                  <pic:spPr bwMode="auto">
                    <a:xfrm>
                      <a:off x="0" y="0"/>
                      <a:ext cx="68580" cy="145415"/>
                    </a:xfrm>
                    <a:prstGeom prst="rect">
                      <a:avLst/>
                    </a:prstGeom>
                    <a:noFill/>
                  </pic:spPr>
                </pic:pic>
              </a:graphicData>
            </a:graphic>
          </wp:anchor>
        </w:drawing>
        <w:drawing>
          <wp:anchor simplePos="0" relativeHeight="251657728" behindDoc="1" locked="0" layoutInCell="0" allowOverlap="1">
            <wp:simplePos x="0" y="0"/>
            <wp:positionH relativeFrom="column">
              <wp:posOffset>5878830</wp:posOffset>
            </wp:positionH>
            <wp:positionV relativeFrom="paragraph">
              <wp:posOffset>-2251075</wp:posOffset>
            </wp:positionV>
            <wp:extent cx="76835" cy="145415"/>
            <wp:wrapNone/>
            <wp:docPr id="90" name="Picture 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0"/>
                    <pic:cNvPicPr>
                      <a:picLocks noChangeAspect="1" noChangeArrowheads="1"/>
                    </pic:cNvPicPr>
                  </pic:nvPicPr>
                  <pic:blipFill>
                    <a:blip r:embed="rId97">
                      <a:extLst>
                        <a:ext uri="{28A0092B-C50C-407E-A947-70E740481C1C}"/>
                      </a:extLst>
                    </a:blip>
                    <a:srcRect/>
                    <a:stretch>
                      <a:fillRect/>
                    </a:stretch>
                  </pic:blipFill>
                  <pic:spPr bwMode="auto">
                    <a:xfrm>
                      <a:off x="0" y="0"/>
                      <a:ext cx="76835" cy="145415"/>
                    </a:xfrm>
                    <a:prstGeom prst="rect">
                      <a:avLst/>
                    </a:prstGeom>
                    <a:noFill/>
                  </pic:spPr>
                </pic:pic>
              </a:graphicData>
            </a:graphic>
          </wp:anchor>
        </w:drawing>
        <w:drawing>
          <wp:anchor simplePos="0" relativeHeight="251657728" behindDoc="1" locked="0" layoutInCell="0" allowOverlap="1">
            <wp:simplePos x="0" y="0"/>
            <wp:positionH relativeFrom="column">
              <wp:posOffset>6974840</wp:posOffset>
            </wp:positionH>
            <wp:positionV relativeFrom="paragraph">
              <wp:posOffset>-2251075</wp:posOffset>
            </wp:positionV>
            <wp:extent cx="68580" cy="145415"/>
            <wp:wrapNone/>
            <wp:docPr id="91" name="Picture 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1"/>
                    <pic:cNvPicPr>
                      <a:picLocks noChangeAspect="1" noChangeArrowheads="1"/>
                    </pic:cNvPicPr>
                  </pic:nvPicPr>
                  <pic:blipFill>
                    <a:blip r:embed="rId98">
                      <a:extLst>
                        <a:ext uri="{28A0092B-C50C-407E-A947-70E740481C1C}"/>
                      </a:extLst>
                    </a:blip>
                    <a:srcRect/>
                    <a:stretch>
                      <a:fillRect/>
                    </a:stretch>
                  </pic:blipFill>
                  <pic:spPr bwMode="auto">
                    <a:xfrm>
                      <a:off x="0" y="0"/>
                      <a:ext cx="68580" cy="145415"/>
                    </a:xfrm>
                    <a:prstGeom prst="rect">
                      <a:avLst/>
                    </a:prstGeom>
                    <a:noFill/>
                  </pic:spPr>
                </pic:pic>
              </a:graphicData>
            </a:graphic>
          </wp:anchor>
        </w:drawing>
        <w:drawing>
          <wp:anchor simplePos="0" relativeHeight="251657728" behindDoc="1" locked="0" layoutInCell="0" allowOverlap="1">
            <wp:simplePos x="0" y="0"/>
            <wp:positionH relativeFrom="column">
              <wp:posOffset>5878830</wp:posOffset>
            </wp:positionH>
            <wp:positionV relativeFrom="paragraph">
              <wp:posOffset>-1420495</wp:posOffset>
            </wp:positionV>
            <wp:extent cx="76835" cy="154305"/>
            <wp:wrapNone/>
            <wp:docPr id="92" name="Picture 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2"/>
                    <pic:cNvPicPr>
                      <a:picLocks noChangeAspect="1" noChangeArrowheads="1"/>
                    </pic:cNvPicPr>
                  </pic:nvPicPr>
                  <pic:blipFill>
                    <a:blip r:embed="rId99">
                      <a:extLst>
                        <a:ext uri="{28A0092B-C50C-407E-A947-70E740481C1C}"/>
                      </a:extLst>
                    </a:blip>
                    <a:srcRect/>
                    <a:stretch>
                      <a:fillRect/>
                    </a:stretch>
                  </pic:blipFill>
                  <pic:spPr bwMode="auto">
                    <a:xfrm>
                      <a:off x="0" y="0"/>
                      <a:ext cx="76835" cy="154305"/>
                    </a:xfrm>
                    <a:prstGeom prst="rect">
                      <a:avLst/>
                    </a:prstGeom>
                    <a:noFill/>
                  </pic:spPr>
                </pic:pic>
              </a:graphicData>
            </a:graphic>
          </wp:anchor>
        </w:drawing>
        <w:drawing>
          <wp:anchor simplePos="0" relativeHeight="251657728" behindDoc="1" locked="0" layoutInCell="0" allowOverlap="1">
            <wp:simplePos x="0" y="0"/>
            <wp:positionH relativeFrom="column">
              <wp:posOffset>6974840</wp:posOffset>
            </wp:positionH>
            <wp:positionV relativeFrom="paragraph">
              <wp:posOffset>-1420495</wp:posOffset>
            </wp:positionV>
            <wp:extent cx="68580" cy="154305"/>
            <wp:wrapNone/>
            <wp:docPr id="93" name="Picture 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3"/>
                    <pic:cNvPicPr>
                      <a:picLocks noChangeAspect="1" noChangeArrowheads="1"/>
                    </pic:cNvPicPr>
                  </pic:nvPicPr>
                  <pic:blipFill>
                    <a:blip r:embed="rId100">
                      <a:extLst>
                        <a:ext uri="{28A0092B-C50C-407E-A947-70E740481C1C}"/>
                      </a:extLst>
                    </a:blip>
                    <a:srcRect/>
                    <a:stretch>
                      <a:fillRect/>
                    </a:stretch>
                  </pic:blipFill>
                  <pic:spPr bwMode="auto">
                    <a:xfrm>
                      <a:off x="0" y="0"/>
                      <a:ext cx="68580" cy="154305"/>
                    </a:xfrm>
                    <a:prstGeom prst="rect">
                      <a:avLst/>
                    </a:prstGeom>
                    <a:noFill/>
                  </pic:spPr>
                </pic:pic>
              </a:graphicData>
            </a:graphic>
          </wp:anchor>
        </w:drawing>
        <w:drawing>
          <wp:anchor simplePos="0" relativeHeight="251657728" behindDoc="1" locked="0" layoutInCell="0" allowOverlap="1">
            <wp:simplePos x="0" y="0"/>
            <wp:positionH relativeFrom="column">
              <wp:posOffset>5878830</wp:posOffset>
            </wp:positionH>
            <wp:positionV relativeFrom="paragraph">
              <wp:posOffset>-847090</wp:posOffset>
            </wp:positionV>
            <wp:extent cx="1164590" cy="162560"/>
            <wp:wrapNone/>
            <wp:docPr id="94" name="Picture 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4"/>
                    <pic:cNvPicPr>
                      <a:picLocks noChangeAspect="1" noChangeArrowheads="1"/>
                    </pic:cNvPicPr>
                  </pic:nvPicPr>
                  <pic:blipFill>
                    <a:blip r:embed="rId101">
                      <a:extLst>
                        <a:ext uri="{28A0092B-C50C-407E-A947-70E740481C1C}"/>
                      </a:extLst>
                    </a:blip>
                    <a:srcRect/>
                    <a:stretch>
                      <a:fillRect/>
                    </a:stretch>
                  </pic:blipFill>
                  <pic:spPr bwMode="auto">
                    <a:xfrm>
                      <a:off x="0" y="0"/>
                      <a:ext cx="1164590" cy="162560"/>
                    </a:xfrm>
                    <a:prstGeom prst="rect">
                      <a:avLst/>
                    </a:prstGeom>
                    <a:noFill/>
                  </pic:spPr>
                </pic:pic>
              </a:graphicData>
            </a:graphic>
          </wp:anchor>
        </w:drawing>
      </w:r>
    </w:p>
    <w:p>
      <w:pPr>
        <w:spacing w:after="0" w:line="168" w:lineRule="exact"/>
        <w:rPr>
          <w:sz w:val="20"/>
          <w:szCs w:val="20"/>
          <w:color w:val="auto"/>
        </w:rPr>
      </w:pPr>
    </w:p>
    <w:p>
      <w:pPr>
        <w:jc w:val="center"/>
        <w:ind w:right="40"/>
        <w:spacing w:after="0"/>
        <w:rPr>
          <w:sz w:val="20"/>
          <w:szCs w:val="20"/>
          <w:color w:val="auto"/>
        </w:rPr>
      </w:pPr>
      <w:r>
        <w:rPr>
          <w:rFonts w:ascii="Arial" w:cs="Arial" w:eastAsia="Arial" w:hAnsi="Arial"/>
          <w:sz w:val="18"/>
          <w:szCs w:val="18"/>
          <w:color w:val="auto"/>
        </w:rPr>
        <w:t>See accompanying notes to condensed consolidated financial statements.</w:t>
      </w:r>
    </w:p>
    <w:p>
      <w:pPr>
        <w:spacing w:after="0" w:line="200" w:lineRule="exact"/>
        <w:rPr>
          <w:sz w:val="20"/>
          <w:szCs w:val="20"/>
          <w:color w:val="auto"/>
        </w:rPr>
      </w:pPr>
    </w:p>
    <w:p>
      <w:pPr>
        <w:spacing w:after="0" w:line="33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61595</wp:posOffset>
            </wp:positionV>
            <wp:extent cx="7157720" cy="42545"/>
            <wp:wrapNone/>
            <wp:docPr id="95" name="Picture 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5"/>
                    <pic:cNvPicPr>
                      <a:picLocks noChangeAspect="1" noChangeArrowheads="1"/>
                    </pic:cNvPicPr>
                  </pic:nvPicPr>
                  <pic:blipFill>
                    <a:blip r:embed="rId10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23" w:right="339" w:bottom="1440" w:gutter="0" w:footer="0" w:header="0"/>
        </w:sectPr>
      </w:pPr>
    </w:p>
    <w:bookmarkStart w:id="10" w:name="page11"/>
    <w:bookmarkEnd w:id="10"/>
    <w:p>
      <w:pPr>
        <w:ind w:left="4820"/>
        <w:spacing w:after="0"/>
        <w:rPr>
          <w:sz w:val="20"/>
          <w:szCs w:val="20"/>
          <w:color w:val="auto"/>
        </w:rPr>
      </w:pPr>
      <w:r>
        <w:rPr>
          <w:rFonts w:ascii="Arial" w:cs="Arial" w:eastAsia="Arial" w:hAnsi="Arial"/>
          <w:sz w:val="18"/>
          <w:szCs w:val="18"/>
          <w:b w:val="1"/>
          <w:bCs w:val="1"/>
          <w:color w:val="auto"/>
        </w:rPr>
        <w:t>AMPLITUDE, INC.</w:t>
      </w:r>
    </w:p>
    <w:p>
      <w:pPr>
        <w:spacing w:after="0" w:line="24" w:lineRule="exact"/>
        <w:rPr>
          <w:sz w:val="20"/>
          <w:szCs w:val="20"/>
          <w:color w:val="auto"/>
        </w:rPr>
      </w:pPr>
    </w:p>
    <w:p>
      <w:pPr>
        <w:ind w:left="3480"/>
        <w:spacing w:after="0"/>
        <w:rPr>
          <w:sz w:val="20"/>
          <w:szCs w:val="20"/>
          <w:color w:val="auto"/>
        </w:rPr>
      </w:pPr>
      <w:r>
        <w:rPr>
          <w:rFonts w:ascii="Arial" w:cs="Arial" w:eastAsia="Arial" w:hAnsi="Arial"/>
          <w:sz w:val="18"/>
          <w:szCs w:val="18"/>
          <w:b w:val="1"/>
          <w:bCs w:val="1"/>
          <w:color w:val="auto"/>
        </w:rPr>
        <w:t>Notes to Condensed Consolidated Financial Statements</w:t>
      </w:r>
    </w:p>
    <w:p>
      <w:pPr>
        <w:jc w:val="center"/>
        <w:ind w:right="-19"/>
        <w:spacing w:after="0"/>
        <w:rPr>
          <w:sz w:val="20"/>
          <w:szCs w:val="20"/>
          <w:color w:val="auto"/>
        </w:rPr>
      </w:pPr>
      <w:r>
        <w:rPr>
          <w:rFonts w:ascii="Arial" w:cs="Arial" w:eastAsia="Arial" w:hAnsi="Arial"/>
          <w:sz w:val="18"/>
          <w:szCs w:val="18"/>
          <w:b w:val="1"/>
          <w:bCs w:val="1"/>
          <w:color w:val="auto"/>
        </w:rPr>
        <w:t>(unaudited)</w:t>
      </w:r>
    </w:p>
    <w:p>
      <w:pPr>
        <w:spacing w:after="0" w:line="191" w:lineRule="exact"/>
        <w:rPr>
          <w:sz w:val="20"/>
          <w:szCs w:val="20"/>
          <w:color w:val="auto"/>
        </w:rPr>
      </w:pPr>
    </w:p>
    <w:p>
      <w:pPr>
        <w:ind w:left="520" w:hanging="512"/>
        <w:spacing w:after="0"/>
        <w:tabs>
          <w:tab w:leader="none" w:pos="520" w:val="left"/>
        </w:tabs>
        <w:numPr>
          <w:ilvl w:val="0"/>
          <w:numId w:val="5"/>
        </w:numPr>
        <w:rPr>
          <w:rFonts w:ascii="Arial" w:cs="Arial" w:eastAsia="Arial" w:hAnsi="Arial"/>
          <w:sz w:val="18"/>
          <w:szCs w:val="18"/>
          <w:b w:val="1"/>
          <w:bCs w:val="1"/>
          <w:color w:val="auto"/>
        </w:rPr>
      </w:pPr>
      <w:r>
        <w:rPr>
          <w:rFonts w:ascii="Arial" w:cs="Arial" w:eastAsia="Arial" w:hAnsi="Arial"/>
          <w:sz w:val="18"/>
          <w:szCs w:val="18"/>
          <w:b w:val="1"/>
          <w:bCs w:val="1"/>
          <w:color w:val="auto"/>
        </w:rPr>
        <w:t>Summary of Business and Significant Accounting Policies</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Description of Business</w:t>
      </w:r>
    </w:p>
    <w:p>
      <w:pPr>
        <w:spacing w:after="0" w:line="103" w:lineRule="exact"/>
        <w:rPr>
          <w:sz w:val="20"/>
          <w:szCs w:val="20"/>
          <w:color w:val="auto"/>
        </w:rPr>
      </w:pPr>
    </w:p>
    <w:p>
      <w:pPr>
        <w:ind w:right="100" w:firstLine="509"/>
        <w:spacing w:after="0" w:line="263" w:lineRule="auto"/>
        <w:rPr>
          <w:sz w:val="20"/>
          <w:szCs w:val="20"/>
          <w:color w:val="auto"/>
        </w:rPr>
      </w:pPr>
      <w:r>
        <w:rPr>
          <w:rFonts w:ascii="Arial" w:cs="Arial" w:eastAsia="Arial" w:hAnsi="Arial"/>
          <w:sz w:val="17"/>
          <w:szCs w:val="17"/>
          <w:color w:val="auto"/>
        </w:rPr>
        <w:t>Amplitude, Inc. (the “Company”) was incorporated in the state of Delaware in 2011 and is headquartered in San Francisco, California. The Company provides a Digital Analytics Platform that helps companies analyze their customer behavior within digital products. The Company delivers its application over the Internet as a subscription service using a software-as-a-service (“SaaS”) model. The Company’s arrangements with customers do not provide the customer with the right to take possession of the software supporting the cloud-based application service at any time. The Company also offers customer support related to initial implementation setup, ongoing support services, and application training.</w:t>
      </w:r>
    </w:p>
    <w:p>
      <w:pPr>
        <w:spacing w:after="0" w:line="27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Segment Information</w:t>
      </w:r>
    </w:p>
    <w:p>
      <w:pPr>
        <w:spacing w:after="0" w:line="117" w:lineRule="exact"/>
        <w:rPr>
          <w:sz w:val="20"/>
          <w:szCs w:val="20"/>
          <w:color w:val="auto"/>
        </w:rPr>
      </w:pPr>
    </w:p>
    <w:p>
      <w:pPr>
        <w:ind w:right="20" w:firstLine="509"/>
        <w:spacing w:after="0" w:line="248" w:lineRule="auto"/>
        <w:rPr>
          <w:sz w:val="20"/>
          <w:szCs w:val="20"/>
          <w:color w:val="auto"/>
        </w:rPr>
      </w:pPr>
      <w:r>
        <w:rPr>
          <w:rFonts w:ascii="Arial" w:cs="Arial" w:eastAsia="Arial" w:hAnsi="Arial"/>
          <w:sz w:val="18"/>
          <w:szCs w:val="18"/>
          <w:color w:val="auto"/>
        </w:rPr>
        <w:t>The Company has a single operating and reportable segment. The Company’s chief operating decision maker is its Chief Executive Officer, who reviews financial information presented on a consolidated basis for purposes of making operating decisions, assessing financial performance, and allocating resources. Long-lived assets outside of the United States are immaterial. For information regarding the Company’s revenue by geographic area, see Note 2 below.</w:t>
      </w:r>
    </w:p>
    <w:p>
      <w:pPr>
        <w:spacing w:after="0" w:line="29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Basis of Presentation and Principles of Consolidation</w:t>
      </w:r>
    </w:p>
    <w:p>
      <w:pPr>
        <w:spacing w:after="0" w:line="103" w:lineRule="exact"/>
        <w:rPr>
          <w:sz w:val="20"/>
          <w:szCs w:val="20"/>
          <w:color w:val="auto"/>
        </w:rPr>
      </w:pPr>
    </w:p>
    <w:p>
      <w:pPr>
        <w:ind w:right="60" w:firstLine="509"/>
        <w:spacing w:after="0" w:line="248" w:lineRule="auto"/>
        <w:rPr>
          <w:sz w:val="20"/>
          <w:szCs w:val="20"/>
          <w:color w:val="auto"/>
        </w:rPr>
      </w:pPr>
      <w:r>
        <w:rPr>
          <w:rFonts w:ascii="Arial" w:cs="Arial" w:eastAsia="Arial" w:hAnsi="Arial"/>
          <w:sz w:val="18"/>
          <w:szCs w:val="18"/>
          <w:color w:val="auto"/>
        </w:rPr>
        <w:t>The condensed consolidated financial statements have been prepared in accordance with U.S. generally accepted accounting principles (“U.S. GAAP” or “GAAP”) and include the accounts of Amplitude, Inc. and its wholly owned subsidiaries. All intercompany balances and transactions have been eliminated in consolidation. The reporting currency of the Company is the United States dollar. The functional currency of the Company’s foreign subsidiaries is also the United States dollar.</w:t>
      </w:r>
    </w:p>
    <w:p>
      <w:pPr>
        <w:spacing w:after="0" w:line="196" w:lineRule="exact"/>
        <w:rPr>
          <w:sz w:val="20"/>
          <w:szCs w:val="20"/>
          <w:color w:val="auto"/>
        </w:rPr>
      </w:pPr>
    </w:p>
    <w:p>
      <w:pPr>
        <w:ind w:firstLine="509"/>
        <w:spacing w:after="0" w:line="283" w:lineRule="auto"/>
        <w:rPr>
          <w:sz w:val="20"/>
          <w:szCs w:val="20"/>
          <w:color w:val="auto"/>
        </w:rPr>
      </w:pPr>
      <w:r>
        <w:rPr>
          <w:rFonts w:ascii="Arial" w:cs="Arial" w:eastAsia="Arial" w:hAnsi="Arial"/>
          <w:sz w:val="16"/>
          <w:szCs w:val="16"/>
          <w:color w:val="auto"/>
        </w:rPr>
        <w:t>The unaudited condensed consolidated balance sheet as of December 31, 2021 included herein was derived from the audited financial statements as of that date, but does not include all disclosures, including certain notes required by U.S. GAAP on an annual reporting basis. In management's opinion, the unaudited condensed consolidated financial statements reflect all normal recurring adjustments necessary to state fairly the balance sheet, statements of operations and comprehensive loss, statements of redeemable convertible preferred stock and stockholders' equity (deficit), and statements of cash flows for the interim periods, but are not necessarily indicative of the results of operations to be anticipated for the full fiscal year or any future period.</w:t>
      </w:r>
    </w:p>
    <w:p>
      <w:pPr>
        <w:spacing w:after="0" w:line="156" w:lineRule="exact"/>
        <w:rPr>
          <w:sz w:val="20"/>
          <w:szCs w:val="20"/>
          <w:color w:val="auto"/>
        </w:rPr>
      </w:pPr>
    </w:p>
    <w:p>
      <w:pPr>
        <w:ind w:right="520" w:firstLine="509"/>
        <w:spacing w:after="0" w:line="290" w:lineRule="auto"/>
        <w:rPr>
          <w:sz w:val="20"/>
          <w:szCs w:val="20"/>
          <w:color w:val="auto"/>
        </w:rPr>
      </w:pPr>
      <w:r>
        <w:rPr>
          <w:rFonts w:ascii="Arial" w:cs="Arial" w:eastAsia="Arial" w:hAnsi="Arial"/>
          <w:sz w:val="17"/>
          <w:szCs w:val="17"/>
          <w:color w:val="auto"/>
        </w:rPr>
        <w:t>These condensed consolidated financial statements should be read in conjunction with the audited consolidated financial statements and notes included in the Company’s Annual Report on Form 10-K for the year ended December 31, 2021 (the “2021 Form 10-K”).</w:t>
      </w:r>
    </w:p>
    <w:p>
      <w:pPr>
        <w:spacing w:after="0" w:line="26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Reclassification</w:t>
      </w:r>
    </w:p>
    <w:p>
      <w:pPr>
        <w:spacing w:after="0" w:line="103" w:lineRule="exact"/>
        <w:rPr>
          <w:sz w:val="20"/>
          <w:szCs w:val="20"/>
          <w:color w:val="auto"/>
        </w:rPr>
      </w:pPr>
    </w:p>
    <w:p>
      <w:pPr>
        <w:ind w:right="560" w:firstLine="509"/>
        <w:spacing w:after="0" w:line="261" w:lineRule="auto"/>
        <w:rPr>
          <w:sz w:val="20"/>
          <w:szCs w:val="20"/>
          <w:color w:val="auto"/>
        </w:rPr>
      </w:pPr>
      <w:r>
        <w:rPr>
          <w:rFonts w:ascii="Arial" w:cs="Arial" w:eastAsia="Arial" w:hAnsi="Arial"/>
          <w:sz w:val="18"/>
          <w:szCs w:val="18"/>
          <w:color w:val="auto"/>
        </w:rPr>
        <w:t>Certain amounts in the prior period financial statements have been reclassified to conform to the presentation of the current period condensed consolidated financial statements.</w:t>
      </w:r>
    </w:p>
    <w:p>
      <w:pPr>
        <w:spacing w:after="0" w:line="27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53340</wp:posOffset>
            </wp:positionV>
            <wp:extent cx="7157720" cy="42545"/>
            <wp:wrapNone/>
            <wp:docPr id="96" name="Picture 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6"/>
                    <pic:cNvPicPr>
                      <a:picLocks noChangeAspect="1" noChangeArrowheads="1"/>
                    </pic:cNvPicPr>
                  </pic:nvPicPr>
                  <pic:blipFill>
                    <a:blip r:embed="rId10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23" w:right="339" w:bottom="1440" w:gutter="0" w:footer="0" w:header="0"/>
        </w:sectPr>
      </w:pPr>
    </w:p>
    <w:bookmarkStart w:id="11" w:name="page12"/>
    <w:bookmarkEnd w:id="11"/>
    <w:p>
      <w:pPr>
        <w:spacing w:after="0"/>
        <w:rPr>
          <w:sz w:val="20"/>
          <w:szCs w:val="20"/>
          <w:color w:val="auto"/>
        </w:rPr>
      </w:pPr>
      <w:r>
        <w:rPr>
          <w:rFonts w:ascii="Arial" w:cs="Arial" w:eastAsia="Arial" w:hAnsi="Arial"/>
          <w:sz w:val="18"/>
          <w:szCs w:val="18"/>
          <w:b w:val="1"/>
          <w:bCs w:val="1"/>
          <w:i w:val="1"/>
          <w:iCs w:val="1"/>
          <w:color w:val="auto"/>
        </w:rPr>
        <w:t>Use of Estimates</w:t>
      </w:r>
    </w:p>
    <w:p>
      <w:pPr>
        <w:spacing w:after="0" w:line="117" w:lineRule="exact"/>
        <w:rPr>
          <w:sz w:val="20"/>
          <w:szCs w:val="20"/>
          <w:color w:val="auto"/>
        </w:rPr>
      </w:pPr>
    </w:p>
    <w:p>
      <w:pPr>
        <w:ind w:right="40" w:firstLine="509"/>
        <w:spacing w:after="0" w:line="268" w:lineRule="auto"/>
        <w:rPr>
          <w:sz w:val="20"/>
          <w:szCs w:val="20"/>
          <w:color w:val="auto"/>
        </w:rPr>
      </w:pPr>
      <w:r>
        <w:rPr>
          <w:rFonts w:ascii="Arial" w:cs="Arial" w:eastAsia="Arial" w:hAnsi="Arial"/>
          <w:sz w:val="17"/>
          <w:szCs w:val="17"/>
          <w:color w:val="auto"/>
        </w:rPr>
        <w:t>The preparation of financial statements in conformity with U.S. GAAP requires management to make estimates and assumptions that affect the amounts reported in the condensed consolidated financial statements and accompanying notes. These estimates are based on information available as of the date of the financial statements and may involve subjective or significant judgment by the Company; therefore, actual results could differ from the Company’s estimates. Items subject to such estimates and assumptions include, but are not limited to the:</w:t>
      </w:r>
    </w:p>
    <w:p>
      <w:pPr>
        <w:spacing w:after="0" w:line="57" w:lineRule="exact"/>
        <w:rPr>
          <w:sz w:val="20"/>
          <w:szCs w:val="20"/>
          <w:color w:val="auto"/>
        </w:rPr>
      </w:pPr>
    </w:p>
    <w:p>
      <w:pPr>
        <w:ind w:left="1020" w:hanging="504"/>
        <w:spacing w:after="0"/>
        <w:tabs>
          <w:tab w:leader="none" w:pos="1020" w:val="left"/>
        </w:tabs>
        <w:numPr>
          <w:ilvl w:val="0"/>
          <w:numId w:val="6"/>
        </w:numPr>
        <w:rPr>
          <w:rFonts w:ascii="Arial" w:cs="Arial" w:eastAsia="Arial" w:hAnsi="Arial"/>
          <w:sz w:val="18"/>
          <w:szCs w:val="18"/>
          <w:color w:val="auto"/>
        </w:rPr>
      </w:pPr>
      <w:r>
        <w:rPr>
          <w:rFonts w:ascii="Arial" w:cs="Arial" w:eastAsia="Arial" w:hAnsi="Arial"/>
          <w:sz w:val="18"/>
          <w:szCs w:val="18"/>
          <w:color w:val="auto"/>
        </w:rPr>
        <w:t>expected period of benefit for deferred commissions;</w:t>
      </w:r>
    </w:p>
    <w:p>
      <w:pPr>
        <w:spacing w:after="0" w:line="103" w:lineRule="exact"/>
        <w:rPr>
          <w:rFonts w:ascii="Arial" w:cs="Arial" w:eastAsia="Arial" w:hAnsi="Arial"/>
          <w:sz w:val="18"/>
          <w:szCs w:val="18"/>
          <w:color w:val="auto"/>
        </w:rPr>
      </w:pPr>
    </w:p>
    <w:p>
      <w:pPr>
        <w:ind w:left="1020" w:hanging="504"/>
        <w:spacing w:after="0"/>
        <w:tabs>
          <w:tab w:leader="none" w:pos="1020" w:val="left"/>
        </w:tabs>
        <w:numPr>
          <w:ilvl w:val="0"/>
          <w:numId w:val="6"/>
        </w:numPr>
        <w:rPr>
          <w:rFonts w:ascii="Arial" w:cs="Arial" w:eastAsia="Arial" w:hAnsi="Arial"/>
          <w:sz w:val="18"/>
          <w:szCs w:val="18"/>
          <w:color w:val="auto"/>
        </w:rPr>
      </w:pPr>
      <w:r>
        <w:rPr>
          <w:rFonts w:ascii="Arial" w:cs="Arial" w:eastAsia="Arial" w:hAnsi="Arial"/>
          <w:sz w:val="18"/>
          <w:szCs w:val="18"/>
          <w:color w:val="auto"/>
        </w:rPr>
        <w:t>useful lives of long-lived assets;</w:t>
      </w:r>
    </w:p>
    <w:p>
      <w:pPr>
        <w:spacing w:after="0" w:line="116" w:lineRule="exact"/>
        <w:rPr>
          <w:rFonts w:ascii="Arial" w:cs="Arial" w:eastAsia="Arial" w:hAnsi="Arial"/>
          <w:sz w:val="18"/>
          <w:szCs w:val="18"/>
          <w:color w:val="auto"/>
        </w:rPr>
      </w:pPr>
    </w:p>
    <w:p>
      <w:pPr>
        <w:ind w:left="1020" w:right="140" w:hanging="504"/>
        <w:spacing w:after="0" w:line="261" w:lineRule="auto"/>
        <w:tabs>
          <w:tab w:leader="none" w:pos="1020" w:val="left"/>
        </w:tabs>
        <w:numPr>
          <w:ilvl w:val="0"/>
          <w:numId w:val="6"/>
        </w:numPr>
        <w:rPr>
          <w:rFonts w:ascii="Arial" w:cs="Arial" w:eastAsia="Arial" w:hAnsi="Arial"/>
          <w:sz w:val="18"/>
          <w:szCs w:val="18"/>
          <w:color w:val="auto"/>
        </w:rPr>
      </w:pPr>
      <w:r>
        <w:rPr>
          <w:rFonts w:ascii="Arial" w:cs="Arial" w:eastAsia="Arial" w:hAnsi="Arial"/>
          <w:sz w:val="18"/>
          <w:szCs w:val="18"/>
          <w:color w:val="auto"/>
        </w:rPr>
        <w:t>valuation of the Company’s common stock and stock-based awards for periods prior to the direct listing of the Company's Class A common stock on the Nasdaq Capital Market (the “Direct Listing”);</w:t>
      </w:r>
    </w:p>
    <w:p>
      <w:pPr>
        <w:spacing w:after="0" w:line="62" w:lineRule="exact"/>
        <w:rPr>
          <w:rFonts w:ascii="Arial" w:cs="Arial" w:eastAsia="Arial" w:hAnsi="Arial"/>
          <w:sz w:val="18"/>
          <w:szCs w:val="18"/>
          <w:color w:val="auto"/>
        </w:rPr>
      </w:pPr>
    </w:p>
    <w:p>
      <w:pPr>
        <w:ind w:left="1020" w:hanging="504"/>
        <w:spacing w:after="0"/>
        <w:tabs>
          <w:tab w:leader="none" w:pos="1020" w:val="left"/>
        </w:tabs>
        <w:numPr>
          <w:ilvl w:val="0"/>
          <w:numId w:val="6"/>
        </w:numPr>
        <w:rPr>
          <w:rFonts w:ascii="Arial" w:cs="Arial" w:eastAsia="Arial" w:hAnsi="Arial"/>
          <w:sz w:val="18"/>
          <w:szCs w:val="18"/>
          <w:color w:val="auto"/>
        </w:rPr>
      </w:pPr>
      <w:r>
        <w:rPr>
          <w:rFonts w:ascii="Arial" w:cs="Arial" w:eastAsia="Arial" w:hAnsi="Arial"/>
          <w:sz w:val="18"/>
          <w:szCs w:val="18"/>
          <w:color w:val="auto"/>
        </w:rPr>
        <w:t>valuation of goodwill and intangible assets;</w:t>
      </w:r>
    </w:p>
    <w:p>
      <w:pPr>
        <w:spacing w:after="0" w:line="103" w:lineRule="exact"/>
        <w:rPr>
          <w:rFonts w:ascii="Arial" w:cs="Arial" w:eastAsia="Arial" w:hAnsi="Arial"/>
          <w:sz w:val="18"/>
          <w:szCs w:val="18"/>
          <w:color w:val="auto"/>
        </w:rPr>
      </w:pPr>
    </w:p>
    <w:p>
      <w:pPr>
        <w:ind w:left="1020" w:hanging="504"/>
        <w:spacing w:after="0"/>
        <w:tabs>
          <w:tab w:leader="none" w:pos="1020" w:val="left"/>
        </w:tabs>
        <w:numPr>
          <w:ilvl w:val="0"/>
          <w:numId w:val="6"/>
        </w:numPr>
        <w:rPr>
          <w:rFonts w:ascii="Arial" w:cs="Arial" w:eastAsia="Arial" w:hAnsi="Arial"/>
          <w:sz w:val="18"/>
          <w:szCs w:val="18"/>
          <w:color w:val="auto"/>
        </w:rPr>
      </w:pPr>
      <w:r>
        <w:rPr>
          <w:rFonts w:ascii="Arial" w:cs="Arial" w:eastAsia="Arial" w:hAnsi="Arial"/>
          <w:sz w:val="18"/>
          <w:szCs w:val="18"/>
          <w:color w:val="auto"/>
        </w:rPr>
        <w:t>recognition, measurement, and valuation of deferred tax assets and income tax uncertainties; and</w:t>
      </w:r>
    </w:p>
    <w:p>
      <w:pPr>
        <w:spacing w:after="0" w:line="116" w:lineRule="exact"/>
        <w:rPr>
          <w:rFonts w:ascii="Arial" w:cs="Arial" w:eastAsia="Arial" w:hAnsi="Arial"/>
          <w:sz w:val="18"/>
          <w:szCs w:val="18"/>
          <w:color w:val="auto"/>
        </w:rPr>
      </w:pPr>
    </w:p>
    <w:p>
      <w:pPr>
        <w:ind w:left="1020" w:hanging="504"/>
        <w:spacing w:after="0"/>
        <w:tabs>
          <w:tab w:leader="none" w:pos="1020" w:val="left"/>
        </w:tabs>
        <w:numPr>
          <w:ilvl w:val="0"/>
          <w:numId w:val="6"/>
        </w:numPr>
        <w:rPr>
          <w:rFonts w:ascii="Arial" w:cs="Arial" w:eastAsia="Arial" w:hAnsi="Arial"/>
          <w:sz w:val="18"/>
          <w:szCs w:val="18"/>
          <w:color w:val="auto"/>
        </w:rPr>
      </w:pPr>
      <w:r>
        <w:rPr>
          <w:rFonts w:ascii="Arial" w:cs="Arial" w:eastAsia="Arial" w:hAnsi="Arial"/>
          <w:sz w:val="18"/>
          <w:szCs w:val="18"/>
          <w:color w:val="auto"/>
        </w:rPr>
        <w:t>incremental borrowing rate used for operating leases.</w:t>
      </w:r>
    </w:p>
    <w:p>
      <w:pPr>
        <w:spacing w:after="0" w:line="31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Risks and Uncertainties</w:t>
      </w:r>
    </w:p>
    <w:p>
      <w:pPr>
        <w:spacing w:after="0" w:line="103" w:lineRule="exact"/>
        <w:rPr>
          <w:sz w:val="20"/>
          <w:szCs w:val="20"/>
          <w:color w:val="auto"/>
        </w:rPr>
      </w:pPr>
    </w:p>
    <w:p>
      <w:pPr>
        <w:ind w:right="40" w:firstLine="509"/>
        <w:spacing w:after="0" w:line="259" w:lineRule="auto"/>
        <w:rPr>
          <w:sz w:val="20"/>
          <w:szCs w:val="20"/>
          <w:color w:val="auto"/>
        </w:rPr>
      </w:pPr>
      <w:r>
        <w:rPr>
          <w:rFonts w:ascii="Arial" w:cs="Arial" w:eastAsia="Arial" w:hAnsi="Arial"/>
          <w:sz w:val="17"/>
          <w:szCs w:val="17"/>
          <w:color w:val="auto"/>
        </w:rPr>
        <w:t>While the duration and extent of the COVID-19 pandemic depends on future developments that cannot be accurately predicted at this time, such as the extent and effectiveness of containment actions, it has already had an adverse effect on the global economy and the lasting effects of the pandemic continue to be unknown. The Company may experience customer losses, including due to bankruptcy or customers ceasing operations, which may result in delays in collections or an inability to collect accounts receivable from these customers. The extent to which COVID-19 may continue to impact the Company’s financial condition, results of operations, or liquidity continues to remain uncertain, and as of the date of issuance of these financial statements, the Company is not aware of any specific event or circumstance that would require an update to its estimates or judgments or an adjustment to the carrying value of the Company’s assets or liabilities. These estimates may change, as new events occur and additional information is obtained, which will be recognized in the consolidated financial statements as soon as they become known. Actual results could differ from those estimates, and any such differences may be material to the Company’s financial statements.</w:t>
      </w:r>
    </w:p>
    <w:p>
      <w:pPr>
        <w:spacing w:after="0" w:line="28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Concentration of Risk and Significant Customers</w:t>
      </w:r>
    </w:p>
    <w:p>
      <w:pPr>
        <w:spacing w:after="0" w:line="117" w:lineRule="exact"/>
        <w:rPr>
          <w:sz w:val="20"/>
          <w:szCs w:val="20"/>
          <w:color w:val="auto"/>
        </w:rPr>
      </w:pPr>
    </w:p>
    <w:p>
      <w:pPr>
        <w:ind w:right="20" w:firstLine="509"/>
        <w:spacing w:after="0" w:line="269" w:lineRule="auto"/>
        <w:rPr>
          <w:sz w:val="20"/>
          <w:szCs w:val="20"/>
          <w:color w:val="auto"/>
        </w:rPr>
      </w:pPr>
      <w:r>
        <w:rPr>
          <w:rFonts w:ascii="Arial" w:cs="Arial" w:eastAsia="Arial" w:hAnsi="Arial"/>
          <w:sz w:val="17"/>
          <w:szCs w:val="17"/>
          <w:color w:val="auto"/>
        </w:rPr>
        <w:t>Financial instruments that subject the Company to concentrations of credit risk consist primarily of cash and cash equivalents, restricted cash, marketable securities, and accounts receivable. Although the Company deposits its cash with high-quality, credit-rated financial institutions, the deposits, at times, may exceed federally insured limits. The Company has not experienced any losses on its deposits of cash and cash equivalents.</w:t>
      </w:r>
    </w:p>
    <w:p>
      <w:pPr>
        <w:spacing w:after="0" w:line="165" w:lineRule="exact"/>
        <w:rPr>
          <w:sz w:val="20"/>
          <w:szCs w:val="20"/>
          <w:color w:val="auto"/>
        </w:rPr>
      </w:pPr>
    </w:p>
    <w:p>
      <w:pPr>
        <w:ind w:firstLine="509"/>
        <w:spacing w:after="0" w:line="255" w:lineRule="auto"/>
        <w:rPr>
          <w:sz w:val="20"/>
          <w:szCs w:val="20"/>
          <w:color w:val="auto"/>
        </w:rPr>
      </w:pPr>
      <w:r>
        <w:rPr>
          <w:rFonts w:ascii="Arial" w:cs="Arial" w:eastAsia="Arial" w:hAnsi="Arial"/>
          <w:sz w:val="18"/>
          <w:szCs w:val="18"/>
          <w:color w:val="auto"/>
        </w:rPr>
        <w:t>No customer accounted for 10% or more of total revenue for the three and nine months ended September 30, 2022 and 2021. As of the quarter ended September 30, 2022, one customer represented 17% of accounts receivable. As of the year ended December 31, 2021, one customer represented 10% of accounts receivable.</w:t>
      </w:r>
    </w:p>
    <w:p>
      <w:pPr>
        <w:spacing w:after="0" w:line="28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Significant Accounting Policies</w:t>
      </w:r>
    </w:p>
    <w:p>
      <w:pPr>
        <w:spacing w:after="0" w:line="117" w:lineRule="exact"/>
        <w:rPr>
          <w:sz w:val="20"/>
          <w:szCs w:val="20"/>
          <w:color w:val="auto"/>
        </w:rPr>
      </w:pPr>
    </w:p>
    <w:p>
      <w:pPr>
        <w:ind w:right="40" w:firstLine="509"/>
        <w:spacing w:after="0" w:line="269" w:lineRule="auto"/>
        <w:rPr>
          <w:sz w:val="20"/>
          <w:szCs w:val="20"/>
          <w:color w:val="auto"/>
        </w:rPr>
      </w:pPr>
      <w:r>
        <w:rPr>
          <w:rFonts w:ascii="Arial" w:cs="Arial" w:eastAsia="Arial" w:hAnsi="Arial"/>
          <w:sz w:val="17"/>
          <w:szCs w:val="17"/>
          <w:color w:val="auto"/>
        </w:rPr>
        <w:t>The Company's significant accounting policies are described in the 2021 Form 10-K. There have been no significant changes to these policies that have had a material impact on the Company's condensed consolidated financial statements and related notes for the nine months ended September 30, 2022 other than for the adoption of new accounting guidance related to leases effective January 1, 2022 further described below.</w:t>
      </w:r>
    </w:p>
    <w:p>
      <w:pPr>
        <w:spacing w:after="0" w:line="27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53340</wp:posOffset>
            </wp:positionV>
            <wp:extent cx="7157720" cy="42545"/>
            <wp:wrapNone/>
            <wp:docPr id="97" name="Picture 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7"/>
                    <pic:cNvPicPr>
                      <a:picLocks noChangeAspect="1" noChangeArrowheads="1"/>
                    </pic:cNvPicPr>
                  </pic:nvPicPr>
                  <pic:blipFill>
                    <a:blip r:embed="rId10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651" w:right="359" w:bottom="1440" w:gutter="0" w:footer="0" w:header="0"/>
        </w:sectPr>
      </w:pPr>
    </w:p>
    <w:bookmarkStart w:id="12" w:name="page13"/>
    <w:bookmarkEnd w:id="12"/>
    <w:p>
      <w:pPr>
        <w:spacing w:after="0"/>
        <w:rPr>
          <w:sz w:val="20"/>
          <w:szCs w:val="20"/>
          <w:color w:val="auto"/>
        </w:rPr>
      </w:pPr>
      <w:r>
        <w:rPr>
          <w:rFonts w:ascii="Arial" w:cs="Arial" w:eastAsia="Arial" w:hAnsi="Arial"/>
          <w:sz w:val="18"/>
          <w:szCs w:val="18"/>
          <w:b w:val="1"/>
          <w:bCs w:val="1"/>
          <w:i w:val="1"/>
          <w:iCs w:val="1"/>
          <w:color w:val="auto"/>
        </w:rPr>
        <w:t>Operating Leases</w:t>
      </w:r>
    </w:p>
    <w:p>
      <w:pPr>
        <w:spacing w:after="0" w:line="117" w:lineRule="exact"/>
        <w:rPr>
          <w:sz w:val="20"/>
          <w:szCs w:val="20"/>
          <w:color w:val="auto"/>
        </w:rPr>
      </w:pPr>
    </w:p>
    <w:p>
      <w:pPr>
        <w:ind w:right="40" w:firstLine="509"/>
        <w:spacing w:after="0" w:line="260" w:lineRule="auto"/>
        <w:rPr>
          <w:sz w:val="20"/>
          <w:szCs w:val="20"/>
          <w:color w:val="auto"/>
        </w:rPr>
      </w:pPr>
      <w:r>
        <w:rPr>
          <w:rFonts w:ascii="Arial" w:cs="Arial" w:eastAsia="Arial" w:hAnsi="Arial"/>
          <w:sz w:val="17"/>
          <w:szCs w:val="17"/>
          <w:color w:val="auto"/>
        </w:rPr>
        <w:t>The Company determines if an arrangement is, or contains, a lease at inception. Leases arise from contractual obligations that convey the right to control the use of identified property, plant or equipment for a period of time in exchange for consideration. The Company determines whether an arrangement is or contains a lease at inception, based on whether there is an identified asset and whether the Company controls the use of the identified asset throughout the period of use. At lease commencement date, the Company determines lease classification between finance and operating, allocates the consideration to the lease and non-lease components and recognizes a right-of-use (“ROU”) asset and corresponding lease liability for each lease component. ROU assets represent the Company’s right to use an underlying asset for the lease term and lease liabilities represent the Company’s obligation to make lease payments based on the lease contracts.</w:t>
      </w:r>
    </w:p>
    <w:p>
      <w:pPr>
        <w:spacing w:after="0" w:line="176" w:lineRule="exact"/>
        <w:rPr>
          <w:sz w:val="20"/>
          <w:szCs w:val="20"/>
          <w:color w:val="auto"/>
        </w:rPr>
      </w:pPr>
    </w:p>
    <w:p>
      <w:pPr>
        <w:ind w:right="100" w:firstLine="509"/>
        <w:spacing w:after="0" w:line="260" w:lineRule="auto"/>
        <w:rPr>
          <w:sz w:val="20"/>
          <w:szCs w:val="20"/>
          <w:color w:val="auto"/>
        </w:rPr>
      </w:pPr>
      <w:r>
        <w:rPr>
          <w:rFonts w:ascii="Arial" w:cs="Arial" w:eastAsia="Arial" w:hAnsi="Arial"/>
          <w:sz w:val="17"/>
          <w:szCs w:val="17"/>
          <w:color w:val="auto"/>
        </w:rPr>
        <w:t>Operating lease ROU assets and liabilities were recognized at adoption date or lease commencement date, if the commencement date was after January 1, 2022, based on the present value of lease payments over the remaining lease term. The Company’s lease contracts do not provide an implicit rate, as such the Company used its incremental borrowing rate based on the information available at adoption date or lease commencement date, if the commencement date was after January 1, 2022, in determining the present value of lease payments. The operating lease ROU assets also include any lease payments made to the lessors at or before the lease commencement date, and excludes lease incentives. The lease terms may include options to extend or terminate the lease when it is reasonably certain that the Company will exercise that option.</w:t>
      </w:r>
    </w:p>
    <w:p>
      <w:pPr>
        <w:spacing w:after="0" w:line="186" w:lineRule="exact"/>
        <w:rPr>
          <w:sz w:val="20"/>
          <w:szCs w:val="20"/>
          <w:color w:val="auto"/>
        </w:rPr>
      </w:pPr>
    </w:p>
    <w:p>
      <w:pPr>
        <w:ind w:right="20" w:firstLine="509"/>
        <w:spacing w:after="0" w:line="260" w:lineRule="auto"/>
        <w:rPr>
          <w:sz w:val="20"/>
          <w:szCs w:val="20"/>
          <w:color w:val="auto"/>
        </w:rPr>
      </w:pPr>
      <w:r>
        <w:rPr>
          <w:rFonts w:ascii="Arial" w:cs="Arial" w:eastAsia="Arial" w:hAnsi="Arial"/>
          <w:sz w:val="17"/>
          <w:szCs w:val="17"/>
          <w:color w:val="auto"/>
        </w:rPr>
        <w:t>The lease liability is initially measured as the present value of the remaining lease payments over the lease term. The discount rate used to determine the present value is the Company's incremental borrowing rate unless the interest rate implicit in the lease is readily determinable. The Company estimates the incremental borrowing rate based on the information available at lease commencement date for borrowings with a similar term. The ROU asset is initially measured as the present value of the lease payments, adjusted for initial direct costs, prepaid lease payments to lessors and lease incentives. The operating lease right-of-use assets and liabilities recognized at January 1, 2022, the adoption date, were based on the present value of lease payments over the remaining lease term as of that date, using the incremental borrowing rate as of that date.</w:t>
      </w:r>
    </w:p>
    <w:p>
      <w:pPr>
        <w:spacing w:after="0" w:line="186" w:lineRule="exact"/>
        <w:rPr>
          <w:sz w:val="20"/>
          <w:szCs w:val="20"/>
          <w:color w:val="auto"/>
        </w:rPr>
      </w:pPr>
    </w:p>
    <w:p>
      <w:pPr>
        <w:ind w:firstLine="509"/>
        <w:spacing w:after="0" w:line="279" w:lineRule="auto"/>
        <w:rPr>
          <w:sz w:val="20"/>
          <w:szCs w:val="20"/>
          <w:color w:val="auto"/>
        </w:rPr>
      </w:pPr>
      <w:r>
        <w:rPr>
          <w:rFonts w:ascii="Arial" w:cs="Arial" w:eastAsia="Arial" w:hAnsi="Arial"/>
          <w:sz w:val="16"/>
          <w:szCs w:val="16"/>
          <w:color w:val="auto"/>
        </w:rPr>
        <w:t>The Company elected the practical expedients to not recognize right-of-use assets and liabilities for leases with a term of less than twelve months and to not separate non-lease components from the associated lease components for the Company's office leases and certain other asset classes. The total consideration includes fixed payments and contractual escalation provisions. The Company is responsible for maintenance, insurance, property taxes and other variable payments, which are expensed as incurred. The Company's leases include options to renew or terminate. The Company includes the option to renew or terminate in the determination of the lease term when the option is deemed to be reasonably certain that the Company will exercise that option. The Company accounts for changes in the expected lease term as a modification of the original contract.</w:t>
      </w:r>
    </w:p>
    <w:p>
      <w:pPr>
        <w:spacing w:after="0" w:line="160" w:lineRule="exact"/>
        <w:rPr>
          <w:sz w:val="20"/>
          <w:szCs w:val="20"/>
          <w:color w:val="auto"/>
        </w:rPr>
      </w:pPr>
    </w:p>
    <w:p>
      <w:pPr>
        <w:ind w:right="300" w:firstLine="509"/>
        <w:spacing w:after="0" w:line="268" w:lineRule="auto"/>
        <w:rPr>
          <w:sz w:val="20"/>
          <w:szCs w:val="20"/>
          <w:color w:val="auto"/>
        </w:rPr>
      </w:pPr>
      <w:r>
        <w:rPr>
          <w:rFonts w:ascii="Arial" w:cs="Arial" w:eastAsia="Arial" w:hAnsi="Arial"/>
          <w:sz w:val="17"/>
          <w:szCs w:val="17"/>
          <w:color w:val="auto"/>
        </w:rPr>
        <w:t>Operating leases are classified in “Operating lease right-of-use assets” and “Operating lease liabilities, noncurrent” on the Company's condensed consolidated balance sheets. The current balance of the operating lease liabilities is included within “Accrued expenses” on the Company's condensed consolidated balance sheets. Operating lease expense is recognized on a straight-line basis over the expected lease term and included in “Operating expenses” in the Company's condensed consolidated statements of operations and comprehensive loss.</w:t>
      </w:r>
    </w:p>
    <w:p>
      <w:pPr>
        <w:spacing w:after="0" w:line="273"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53340</wp:posOffset>
            </wp:positionV>
            <wp:extent cx="7157720" cy="42545"/>
            <wp:wrapNone/>
            <wp:docPr id="98" name="Picture 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8"/>
                    <pic:cNvPicPr>
                      <a:picLocks noChangeAspect="1" noChangeArrowheads="1"/>
                    </pic:cNvPicPr>
                  </pic:nvPicPr>
                  <pic:blipFill>
                    <a:blip r:embed="rId10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651" w:right="359" w:bottom="1440" w:gutter="0" w:footer="0" w:header="0"/>
        </w:sectPr>
      </w:pPr>
    </w:p>
    <w:bookmarkStart w:id="13" w:name="page14"/>
    <w:bookmarkEnd w:id="13"/>
    <w:p>
      <w:pPr>
        <w:spacing w:after="0"/>
        <w:rPr>
          <w:sz w:val="20"/>
          <w:szCs w:val="20"/>
          <w:color w:val="auto"/>
        </w:rPr>
      </w:pPr>
      <w:r>
        <w:rPr>
          <w:rFonts w:ascii="Arial" w:cs="Arial" w:eastAsia="Arial" w:hAnsi="Arial"/>
          <w:sz w:val="18"/>
          <w:szCs w:val="18"/>
          <w:b w:val="1"/>
          <w:bCs w:val="1"/>
          <w:i w:val="1"/>
          <w:iCs w:val="1"/>
          <w:color w:val="auto"/>
        </w:rPr>
        <w:t>Recently Adopted Accounting Pronouncements</w:t>
      </w:r>
    </w:p>
    <w:p>
      <w:pPr>
        <w:spacing w:after="0" w:line="117" w:lineRule="exact"/>
        <w:rPr>
          <w:sz w:val="20"/>
          <w:szCs w:val="20"/>
          <w:color w:val="auto"/>
        </w:rPr>
      </w:pPr>
    </w:p>
    <w:p>
      <w:pPr>
        <w:ind w:right="80" w:firstLine="509"/>
        <w:spacing w:after="0" w:line="289" w:lineRule="auto"/>
        <w:rPr>
          <w:sz w:val="20"/>
          <w:szCs w:val="20"/>
          <w:color w:val="auto"/>
        </w:rPr>
      </w:pPr>
      <w:r>
        <w:rPr>
          <w:rFonts w:ascii="Arial" w:cs="Arial" w:eastAsia="Arial" w:hAnsi="Arial"/>
          <w:sz w:val="16"/>
          <w:szCs w:val="16"/>
          <w:color w:val="auto"/>
        </w:rPr>
        <w:t xml:space="preserve">In February 2016, the Financial Accounting Standards Board (“FASB”) issued Accounting Standards Update (“ASU”) No. 2016-02, </w:t>
      </w:r>
      <w:r>
        <w:rPr>
          <w:rFonts w:ascii="Arial" w:cs="Arial" w:eastAsia="Arial" w:hAnsi="Arial"/>
          <w:sz w:val="16"/>
          <w:szCs w:val="16"/>
          <w:i w:val="1"/>
          <w:iCs w:val="1"/>
          <w:color w:val="auto"/>
        </w:rPr>
        <w:t>Leases (Topic</w:t>
      </w:r>
      <w:r>
        <w:rPr>
          <w:rFonts w:ascii="Arial" w:cs="Arial" w:eastAsia="Arial" w:hAnsi="Arial"/>
          <w:sz w:val="16"/>
          <w:szCs w:val="16"/>
          <w:color w:val="auto"/>
        </w:rPr>
        <w:t xml:space="preserve"> </w:t>
      </w:r>
      <w:r>
        <w:rPr>
          <w:rFonts w:ascii="Arial" w:cs="Arial" w:eastAsia="Arial" w:hAnsi="Arial"/>
          <w:sz w:val="16"/>
          <w:szCs w:val="16"/>
          <w:i w:val="1"/>
          <w:iCs w:val="1"/>
          <w:color w:val="auto"/>
        </w:rPr>
        <w:t>842)</w:t>
      </w:r>
      <w:r>
        <w:rPr>
          <w:rFonts w:ascii="Arial" w:cs="Arial" w:eastAsia="Arial" w:hAnsi="Arial"/>
          <w:sz w:val="16"/>
          <w:szCs w:val="16"/>
          <w:color w:val="auto"/>
        </w:rPr>
        <w:t>, which requires companies to recognize lease liabilities and corresponding right-of-use leased assets on the balance sheets and to disclose key</w:t>
      </w:r>
      <w:r>
        <w:rPr>
          <w:rFonts w:ascii="Arial" w:cs="Arial" w:eastAsia="Arial" w:hAnsi="Arial"/>
          <w:sz w:val="16"/>
          <w:szCs w:val="16"/>
          <w:i w:val="1"/>
          <w:iCs w:val="1"/>
          <w:color w:val="auto"/>
        </w:rPr>
        <w:t xml:space="preserve"> </w:t>
      </w:r>
      <w:r>
        <w:rPr>
          <w:rFonts w:ascii="Arial" w:cs="Arial" w:eastAsia="Arial" w:hAnsi="Arial"/>
          <w:sz w:val="16"/>
          <w:szCs w:val="16"/>
          <w:color w:val="auto"/>
        </w:rPr>
        <w:t>information about leasing arrangements. Qualitative and quantitative disclosures will be enhanced to better understand the amount, timing, and uncertainty of cash flows arising from leases. ASU No. 2016-02 is effective for annual periods beginning after December 15, 2021, with early adoption permitted.</w:t>
      </w:r>
    </w:p>
    <w:p>
      <w:pPr>
        <w:spacing w:after="0" w:line="246" w:lineRule="exact"/>
        <w:rPr>
          <w:sz w:val="20"/>
          <w:szCs w:val="20"/>
          <w:color w:val="auto"/>
        </w:rPr>
      </w:pPr>
    </w:p>
    <w:p>
      <w:pPr>
        <w:ind w:left="520"/>
        <w:spacing w:after="0"/>
        <w:rPr>
          <w:sz w:val="20"/>
          <w:szCs w:val="20"/>
          <w:color w:val="auto"/>
        </w:rPr>
      </w:pPr>
      <w:r>
        <w:rPr>
          <w:rFonts w:ascii="Arial" w:cs="Arial" w:eastAsia="Arial" w:hAnsi="Arial"/>
          <w:sz w:val="18"/>
          <w:szCs w:val="18"/>
          <w:color w:val="auto"/>
        </w:rPr>
        <w:t>Additionally, in 2018 and 2019, the FASB issued the following Topic 842–related ASUs:</w:t>
      </w:r>
    </w:p>
    <w:p>
      <w:pPr>
        <w:spacing w:after="0" w:line="117" w:lineRule="exact"/>
        <w:rPr>
          <w:sz w:val="20"/>
          <w:szCs w:val="20"/>
          <w:color w:val="auto"/>
        </w:rPr>
      </w:pPr>
    </w:p>
    <w:p>
      <w:pPr>
        <w:ind w:left="1020" w:hanging="504"/>
        <w:spacing w:after="0" w:line="261" w:lineRule="auto"/>
        <w:tabs>
          <w:tab w:leader="none" w:pos="1020" w:val="left"/>
        </w:tabs>
        <w:numPr>
          <w:ilvl w:val="0"/>
          <w:numId w:val="7"/>
        </w:numPr>
        <w:rPr>
          <w:rFonts w:ascii="Arial" w:cs="Arial" w:eastAsia="Arial" w:hAnsi="Arial"/>
          <w:sz w:val="18"/>
          <w:szCs w:val="18"/>
          <w:color w:val="auto"/>
        </w:rPr>
      </w:pPr>
      <w:r>
        <w:rPr>
          <w:rFonts w:ascii="Arial" w:cs="Arial" w:eastAsia="Arial" w:hAnsi="Arial"/>
          <w:sz w:val="18"/>
          <w:szCs w:val="18"/>
          <w:color w:val="auto"/>
        </w:rPr>
        <w:t xml:space="preserve">2018-01, </w:t>
      </w:r>
      <w:r>
        <w:rPr>
          <w:rFonts w:ascii="Arial" w:cs="Arial" w:eastAsia="Arial" w:hAnsi="Arial"/>
          <w:sz w:val="18"/>
          <w:szCs w:val="18"/>
          <w:i w:val="1"/>
          <w:iCs w:val="1"/>
          <w:color w:val="auto"/>
        </w:rPr>
        <w:t>Land Easement Practical Expedient for Transition to Topic 842</w:t>
      </w:r>
      <w:r>
        <w:rPr>
          <w:rFonts w:ascii="Arial" w:cs="Arial" w:eastAsia="Arial" w:hAnsi="Arial"/>
          <w:sz w:val="18"/>
          <w:szCs w:val="18"/>
          <w:color w:val="auto"/>
        </w:rPr>
        <w:t>, which clarifies the applicability of Topic 842 to land easements and provides an optional transition practical expedient for existing land easements;</w:t>
      </w:r>
    </w:p>
    <w:p>
      <w:pPr>
        <w:spacing w:after="0" w:line="62" w:lineRule="exact"/>
        <w:rPr>
          <w:rFonts w:ascii="Arial" w:cs="Arial" w:eastAsia="Arial" w:hAnsi="Arial"/>
          <w:sz w:val="18"/>
          <w:szCs w:val="18"/>
          <w:color w:val="auto"/>
        </w:rPr>
      </w:pPr>
    </w:p>
    <w:p>
      <w:pPr>
        <w:ind w:left="1020" w:hanging="504"/>
        <w:spacing w:after="0"/>
        <w:tabs>
          <w:tab w:leader="none" w:pos="1020" w:val="left"/>
        </w:tabs>
        <w:numPr>
          <w:ilvl w:val="0"/>
          <w:numId w:val="7"/>
        </w:numPr>
        <w:rPr>
          <w:rFonts w:ascii="Arial" w:cs="Arial" w:eastAsia="Arial" w:hAnsi="Arial"/>
          <w:sz w:val="18"/>
          <w:szCs w:val="18"/>
          <w:color w:val="auto"/>
        </w:rPr>
      </w:pPr>
      <w:r>
        <w:rPr>
          <w:rFonts w:ascii="Arial" w:cs="Arial" w:eastAsia="Arial" w:hAnsi="Arial"/>
          <w:sz w:val="18"/>
          <w:szCs w:val="18"/>
          <w:color w:val="auto"/>
        </w:rPr>
        <w:t xml:space="preserve">2018-10, </w:t>
      </w:r>
      <w:r>
        <w:rPr>
          <w:rFonts w:ascii="Arial" w:cs="Arial" w:eastAsia="Arial" w:hAnsi="Arial"/>
          <w:sz w:val="18"/>
          <w:szCs w:val="18"/>
          <w:i w:val="1"/>
          <w:iCs w:val="1"/>
          <w:color w:val="auto"/>
        </w:rPr>
        <w:t>Codification Improvements to Topic 842, Leases</w:t>
      </w:r>
      <w:r>
        <w:rPr>
          <w:rFonts w:ascii="Arial" w:cs="Arial" w:eastAsia="Arial" w:hAnsi="Arial"/>
          <w:sz w:val="18"/>
          <w:szCs w:val="18"/>
          <w:color w:val="auto"/>
        </w:rPr>
        <w:t>, which makes certain technical corrections to Topic 842;</w:t>
      </w:r>
    </w:p>
    <w:p>
      <w:pPr>
        <w:spacing w:after="0" w:line="103" w:lineRule="exact"/>
        <w:rPr>
          <w:rFonts w:ascii="Arial" w:cs="Arial" w:eastAsia="Arial" w:hAnsi="Arial"/>
          <w:sz w:val="18"/>
          <w:szCs w:val="18"/>
          <w:color w:val="auto"/>
        </w:rPr>
      </w:pPr>
    </w:p>
    <w:p>
      <w:pPr>
        <w:ind w:left="1020" w:hanging="504"/>
        <w:spacing w:after="0" w:line="255" w:lineRule="auto"/>
        <w:tabs>
          <w:tab w:leader="none" w:pos="1020" w:val="left"/>
        </w:tabs>
        <w:numPr>
          <w:ilvl w:val="0"/>
          <w:numId w:val="7"/>
        </w:numPr>
        <w:rPr>
          <w:rFonts w:ascii="Arial" w:cs="Arial" w:eastAsia="Arial" w:hAnsi="Arial"/>
          <w:sz w:val="18"/>
          <w:szCs w:val="18"/>
          <w:color w:val="auto"/>
        </w:rPr>
      </w:pPr>
      <w:r>
        <w:rPr>
          <w:rFonts w:ascii="Arial" w:cs="Arial" w:eastAsia="Arial" w:hAnsi="Arial"/>
          <w:sz w:val="18"/>
          <w:szCs w:val="18"/>
          <w:color w:val="auto"/>
        </w:rPr>
        <w:t xml:space="preserve">2018-11, </w:t>
      </w:r>
      <w:r>
        <w:rPr>
          <w:rFonts w:ascii="Arial" w:cs="Arial" w:eastAsia="Arial" w:hAnsi="Arial"/>
          <w:sz w:val="18"/>
          <w:szCs w:val="18"/>
          <w:i w:val="1"/>
          <w:iCs w:val="1"/>
          <w:color w:val="auto"/>
        </w:rPr>
        <w:t>Leases (Topic 842): Targeted Improvements</w:t>
      </w:r>
      <w:r>
        <w:rPr>
          <w:rFonts w:ascii="Arial" w:cs="Arial" w:eastAsia="Arial" w:hAnsi="Arial"/>
          <w:sz w:val="18"/>
          <w:szCs w:val="18"/>
          <w:color w:val="auto"/>
        </w:rPr>
        <w:t>, which allows companies to adopt Topic 842 without revising comparative period reporting or disclosures and provides an optional practical expedient to lessors to not separate lease and non-lease components of a contract if certain criteria are met; and</w:t>
      </w:r>
    </w:p>
    <w:p>
      <w:pPr>
        <w:spacing w:after="0" w:line="68" w:lineRule="exact"/>
        <w:rPr>
          <w:rFonts w:ascii="Arial" w:cs="Arial" w:eastAsia="Arial" w:hAnsi="Arial"/>
          <w:sz w:val="18"/>
          <w:szCs w:val="18"/>
          <w:color w:val="auto"/>
        </w:rPr>
      </w:pPr>
    </w:p>
    <w:p>
      <w:pPr>
        <w:ind w:left="1020" w:right="340" w:hanging="504"/>
        <w:spacing w:after="0" w:line="255" w:lineRule="auto"/>
        <w:tabs>
          <w:tab w:leader="none" w:pos="1020" w:val="left"/>
        </w:tabs>
        <w:numPr>
          <w:ilvl w:val="0"/>
          <w:numId w:val="7"/>
        </w:numPr>
        <w:rPr>
          <w:rFonts w:ascii="Arial" w:cs="Arial" w:eastAsia="Arial" w:hAnsi="Arial"/>
          <w:sz w:val="18"/>
          <w:szCs w:val="18"/>
          <w:color w:val="auto"/>
        </w:rPr>
      </w:pPr>
      <w:r>
        <w:rPr>
          <w:rFonts w:ascii="Arial" w:cs="Arial" w:eastAsia="Arial" w:hAnsi="Arial"/>
          <w:sz w:val="18"/>
          <w:szCs w:val="18"/>
          <w:color w:val="auto"/>
        </w:rPr>
        <w:t xml:space="preserve">2019-01, </w:t>
      </w:r>
      <w:r>
        <w:rPr>
          <w:rFonts w:ascii="Arial" w:cs="Arial" w:eastAsia="Arial" w:hAnsi="Arial"/>
          <w:sz w:val="18"/>
          <w:szCs w:val="18"/>
          <w:i w:val="1"/>
          <w:iCs w:val="1"/>
          <w:color w:val="auto"/>
        </w:rPr>
        <w:t>Leases (Topic 842): Codification Improvements</w:t>
      </w:r>
      <w:r>
        <w:rPr>
          <w:rFonts w:ascii="Arial" w:cs="Arial" w:eastAsia="Arial" w:hAnsi="Arial"/>
          <w:sz w:val="18"/>
          <w:szCs w:val="18"/>
          <w:color w:val="auto"/>
        </w:rPr>
        <w:t>, which provides guidance for certain lessors on determining the fair value of an underlying asset in a lease and on the cash flow statement presentation of lease payments received; ASU No. 2019-01 also clarifies disclosures required in interim periods after adoption of ASU No. 2016-02 in the year of adoption.</w:t>
      </w:r>
    </w:p>
    <w:p>
      <w:pPr>
        <w:spacing w:after="0" w:line="176" w:lineRule="exact"/>
        <w:rPr>
          <w:sz w:val="20"/>
          <w:szCs w:val="20"/>
          <w:color w:val="auto"/>
        </w:rPr>
      </w:pPr>
    </w:p>
    <w:p>
      <w:pPr>
        <w:ind w:firstLine="509"/>
        <w:spacing w:after="0" w:line="260" w:lineRule="auto"/>
        <w:rPr>
          <w:sz w:val="20"/>
          <w:szCs w:val="20"/>
          <w:color w:val="auto"/>
        </w:rPr>
      </w:pPr>
      <w:r>
        <w:rPr>
          <w:rFonts w:ascii="Arial" w:cs="Arial" w:eastAsia="Arial" w:hAnsi="Arial"/>
          <w:sz w:val="17"/>
          <w:szCs w:val="17"/>
          <w:color w:val="auto"/>
        </w:rPr>
        <w:t>The Company adopted the new standard as of January 1, 2022, and recognized a cumulative-effect adjustment to the opening balance of accumulated deficit as of adoption date. The Company elected the optional transition approach to not apply Topic 842 in the comparative periods presented. The Company elected the relief package of practical expedients to not reassess whether existing contracts contain leases, the lease term and classification for existing leases and whether existing initial direct costs meet the new definition. The adoption of Topic 842 resulted in the recognition of total right-of-use of $11.6 million and total lease liabilities of $13.2 million as of the date of adoption. Additionally, the Company has derecognized $1.6 million in deferred rent upon adoption of this standard. The adoption of Topic 842 did not have a material impact to the condensed consolidated statements of operations and comprehensive loss or statements of cash flows.</w:t>
      </w:r>
    </w:p>
    <w:p>
      <w:pPr>
        <w:spacing w:after="0" w:line="190" w:lineRule="exact"/>
        <w:rPr>
          <w:sz w:val="20"/>
          <w:szCs w:val="20"/>
          <w:color w:val="auto"/>
        </w:rPr>
      </w:pPr>
    </w:p>
    <w:p>
      <w:pPr>
        <w:ind w:firstLine="509"/>
        <w:spacing w:after="0" w:line="243" w:lineRule="auto"/>
        <w:rPr>
          <w:sz w:val="20"/>
          <w:szCs w:val="20"/>
          <w:color w:val="auto"/>
        </w:rPr>
      </w:pPr>
      <w:r>
        <w:rPr>
          <w:rFonts w:ascii="Arial" w:cs="Arial" w:eastAsia="Arial" w:hAnsi="Arial"/>
          <w:sz w:val="18"/>
          <w:szCs w:val="18"/>
          <w:color w:val="auto"/>
        </w:rPr>
        <w:t xml:space="preserve">In January 2017, the FASB issued ASU No. 2017-04, </w:t>
      </w:r>
      <w:r>
        <w:rPr>
          <w:rFonts w:ascii="Arial" w:cs="Arial" w:eastAsia="Arial" w:hAnsi="Arial"/>
          <w:sz w:val="18"/>
          <w:szCs w:val="18"/>
          <w:i w:val="1"/>
          <w:iCs w:val="1"/>
          <w:color w:val="auto"/>
        </w:rPr>
        <w:t>Intangibles—Goodwill and Other (Topic 350)</w:t>
      </w:r>
      <w:r>
        <w:rPr>
          <w:rFonts w:ascii="Arial" w:cs="Arial" w:eastAsia="Arial" w:hAnsi="Arial"/>
          <w:sz w:val="18"/>
          <w:szCs w:val="18"/>
          <w:color w:val="auto"/>
        </w:rPr>
        <w:t>, which eliminates Step 2 from the goodwill impairment test. Step 2 measures a goodwill impairment loss by comparing the implied fair value of a reporting unit’s goodwill with the carrying amount of that goodwill. Instead, entities will record an impairment charge based on the excess of a reporting unit’s carrying amount over its fair value (i.e., measure the charge based on today’s Step 1). This update is effective for annual and interim impairment tests performed in periods beginning after December 15, 2022. The Company early adopted the standard as of January 1, 2022. The adoption of ASC 350 did not have a material impact to the condensed consolidated financial statements.</w:t>
      </w:r>
    </w:p>
    <w:p>
      <w:pPr>
        <w:spacing w:after="0" w:line="29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Recently Issued Accounting Pronouncements</w:t>
      </w:r>
    </w:p>
    <w:p>
      <w:pPr>
        <w:spacing w:after="0" w:line="117" w:lineRule="exact"/>
        <w:rPr>
          <w:sz w:val="20"/>
          <w:szCs w:val="20"/>
          <w:color w:val="auto"/>
        </w:rPr>
      </w:pPr>
    </w:p>
    <w:p>
      <w:pPr>
        <w:ind w:right="140" w:firstLine="509"/>
        <w:spacing w:after="0" w:line="245" w:lineRule="auto"/>
        <w:rPr>
          <w:sz w:val="20"/>
          <w:szCs w:val="20"/>
          <w:color w:val="auto"/>
        </w:rPr>
      </w:pPr>
      <w:r>
        <w:rPr>
          <w:rFonts w:ascii="Arial" w:cs="Arial" w:eastAsia="Arial" w:hAnsi="Arial"/>
          <w:sz w:val="18"/>
          <w:szCs w:val="18"/>
          <w:i w:val="1"/>
          <w:iCs w:val="1"/>
          <w:color w:val="auto"/>
        </w:rPr>
        <w:t xml:space="preserve">Financial Instruments - Credit Losses: </w:t>
      </w:r>
      <w:r>
        <w:rPr>
          <w:rFonts w:ascii="Arial" w:cs="Arial" w:eastAsia="Arial" w:hAnsi="Arial"/>
          <w:sz w:val="18"/>
          <w:szCs w:val="18"/>
          <w:color w:val="auto"/>
        </w:rPr>
        <w:t>In June 2016, the FASB issued ASU No. 2016-13,</w:t>
      </w:r>
      <w:r>
        <w:rPr>
          <w:rFonts w:ascii="Arial" w:cs="Arial" w:eastAsia="Arial" w:hAnsi="Arial"/>
          <w:sz w:val="18"/>
          <w:szCs w:val="18"/>
          <w:i w:val="1"/>
          <w:iCs w:val="1"/>
          <w:color w:val="auto"/>
        </w:rPr>
        <w:t xml:space="preserve"> Financial Instruments (Topic 326). </w:t>
      </w:r>
      <w:r>
        <w:rPr>
          <w:rFonts w:ascii="Arial" w:cs="Arial" w:eastAsia="Arial" w:hAnsi="Arial"/>
          <w:sz w:val="18"/>
          <w:szCs w:val="18"/>
          <w:color w:val="auto"/>
        </w:rPr>
        <w:t>This standard revises</w:t>
      </w:r>
      <w:r>
        <w:rPr>
          <w:rFonts w:ascii="Arial" w:cs="Arial" w:eastAsia="Arial" w:hAnsi="Arial"/>
          <w:sz w:val="18"/>
          <w:szCs w:val="18"/>
          <w:i w:val="1"/>
          <w:iCs w:val="1"/>
          <w:color w:val="auto"/>
        </w:rPr>
        <w:t xml:space="preserve"> </w:t>
      </w:r>
      <w:r>
        <w:rPr>
          <w:rFonts w:ascii="Arial" w:cs="Arial" w:eastAsia="Arial" w:hAnsi="Arial"/>
          <w:sz w:val="18"/>
          <w:szCs w:val="18"/>
          <w:color w:val="auto"/>
        </w:rPr>
        <w:t>current U.S. GAAP methodology by requiring measurement and immediate recognition of expected credit losses on in-scope financial instruments, including trade receivables. ASU No. 2016-13 is effective for annual periods beginning after December 15, 2022, with early adoption permitted in fiscal years beginning after December 31, 2018. The Company is currently in the process of evaluating the impact of adoption on its consolidated financial statements.</w:t>
      </w:r>
    </w:p>
    <w:p>
      <w:pPr>
        <w:spacing w:after="0" w:line="29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61595</wp:posOffset>
            </wp:positionV>
            <wp:extent cx="7157720" cy="42545"/>
            <wp:wrapNone/>
            <wp:docPr id="99" name="Picture 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9"/>
                    <pic:cNvPicPr>
                      <a:picLocks noChangeAspect="1" noChangeArrowheads="1"/>
                    </pic:cNvPicPr>
                  </pic:nvPicPr>
                  <pic:blipFill>
                    <a:blip r:embed="rId10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651" w:right="359" w:bottom="1440" w:gutter="0" w:footer="0" w:header="0"/>
        </w:sectPr>
      </w:pPr>
    </w:p>
    <w:bookmarkStart w:id="14" w:name="page15"/>
    <w:bookmarkEnd w:id="14"/>
    <w:p>
      <w:pPr>
        <w:ind w:left="520" w:hanging="512"/>
        <w:spacing w:after="0"/>
        <w:tabs>
          <w:tab w:leader="none" w:pos="520" w:val="left"/>
        </w:tabs>
        <w:numPr>
          <w:ilvl w:val="0"/>
          <w:numId w:val="8"/>
        </w:numPr>
        <w:rPr>
          <w:rFonts w:ascii="Arial" w:cs="Arial" w:eastAsia="Arial" w:hAnsi="Arial"/>
          <w:sz w:val="18"/>
          <w:szCs w:val="18"/>
          <w:b w:val="1"/>
          <w:bCs w:val="1"/>
          <w:color w:val="auto"/>
        </w:rPr>
      </w:pPr>
      <w:r>
        <w:rPr>
          <w:rFonts w:ascii="Arial" w:cs="Arial" w:eastAsia="Arial" w:hAnsi="Arial"/>
          <w:sz w:val="18"/>
          <w:szCs w:val="18"/>
          <w:b w:val="1"/>
          <w:bCs w:val="1"/>
          <w:color w:val="auto"/>
        </w:rPr>
        <w:t>Revenue from Contracts with Customers</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Deferred Revenue and Remaining Performance Obligations</w:t>
      </w:r>
    </w:p>
    <w:p>
      <w:pPr>
        <w:spacing w:after="0" w:line="103" w:lineRule="exact"/>
        <w:rPr>
          <w:sz w:val="20"/>
          <w:szCs w:val="20"/>
          <w:color w:val="auto"/>
        </w:rPr>
      </w:pPr>
    </w:p>
    <w:p>
      <w:pPr>
        <w:ind w:right="280" w:firstLine="509"/>
        <w:spacing w:after="0" w:line="261" w:lineRule="auto"/>
        <w:rPr>
          <w:sz w:val="20"/>
          <w:szCs w:val="20"/>
          <w:color w:val="auto"/>
        </w:rPr>
      </w:pPr>
      <w:r>
        <w:rPr>
          <w:rFonts w:ascii="Arial" w:cs="Arial" w:eastAsia="Arial" w:hAnsi="Arial"/>
          <w:sz w:val="18"/>
          <w:szCs w:val="18"/>
          <w:color w:val="auto"/>
        </w:rPr>
        <w:t>The amount of revenue recognized in the nine months ended September 30, 2022 that was included in deferred revenue as of December 31, 2021 was $66.3 million.</w:t>
      </w:r>
    </w:p>
    <w:p>
      <w:pPr>
        <w:spacing w:after="0" w:line="184" w:lineRule="exact"/>
        <w:rPr>
          <w:sz w:val="20"/>
          <w:szCs w:val="20"/>
          <w:color w:val="auto"/>
        </w:rPr>
      </w:pPr>
    </w:p>
    <w:p>
      <w:pPr>
        <w:jc w:val="both"/>
        <w:ind w:right="60" w:firstLine="509"/>
        <w:spacing w:after="0" w:line="247" w:lineRule="auto"/>
        <w:rPr>
          <w:sz w:val="20"/>
          <w:szCs w:val="20"/>
          <w:color w:val="auto"/>
        </w:rPr>
      </w:pPr>
      <w:r>
        <w:rPr>
          <w:rFonts w:ascii="Arial" w:cs="Arial" w:eastAsia="Arial" w:hAnsi="Arial"/>
          <w:sz w:val="18"/>
          <w:szCs w:val="18"/>
          <w:color w:val="auto"/>
        </w:rPr>
        <w:t>As of September 30, 2022 and December 31, 2021, unrecognized transaction price related to remaining performance obligations was $248.1 million and $170.1 million, respectively. The Company’s remaining performance obligations as of September 30, 2022 and December 31, 2021 are expected to be recognized as follows (in thousands):</w:t>
      </w:r>
    </w:p>
    <w:p>
      <w:pPr>
        <w:spacing w:after="0" w:line="161"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76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420" w:type="dxa"/>
            <w:vAlign w:val="bottom"/>
          </w:tcPr>
          <w:p>
            <w:pPr>
              <w:jc w:val="center"/>
              <w:ind w:right="130"/>
              <w:spacing w:after="0"/>
              <w:rPr>
                <w:sz w:val="20"/>
                <w:szCs w:val="20"/>
                <w:color w:val="auto"/>
              </w:rPr>
            </w:pPr>
            <w:r>
              <w:rPr>
                <w:rFonts w:ascii="Arial" w:cs="Arial" w:eastAsia="Arial" w:hAnsi="Arial"/>
                <w:sz w:val="18"/>
                <w:szCs w:val="18"/>
                <w:b w:val="1"/>
                <w:bCs w:val="1"/>
                <w:color w:val="auto"/>
                <w:w w:val="88"/>
              </w:rPr>
              <w:t>As of</w:t>
            </w:r>
          </w:p>
        </w:tc>
        <w:tc>
          <w:tcPr>
            <w:tcW w:w="2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400" w:type="dxa"/>
            <w:vAlign w:val="bottom"/>
          </w:tcPr>
          <w:p>
            <w:pPr>
              <w:jc w:val="center"/>
              <w:ind w:right="150"/>
              <w:spacing w:after="0"/>
              <w:rPr>
                <w:sz w:val="20"/>
                <w:szCs w:val="20"/>
                <w:color w:val="auto"/>
              </w:rPr>
            </w:pPr>
            <w:r>
              <w:rPr>
                <w:rFonts w:ascii="Arial" w:cs="Arial" w:eastAsia="Arial" w:hAnsi="Arial"/>
                <w:sz w:val="18"/>
                <w:szCs w:val="18"/>
                <w:b w:val="1"/>
                <w:bCs w:val="1"/>
                <w:color w:val="auto"/>
                <w:w w:val="88"/>
              </w:rPr>
              <w:t>As of</w:t>
            </w:r>
          </w:p>
        </w:tc>
        <w:tc>
          <w:tcPr>
            <w:tcW w:w="100" w:type="dxa"/>
            <w:vAlign w:val="bottom"/>
          </w:tcPr>
          <w:p>
            <w:pPr>
              <w:spacing w:after="0"/>
              <w:rPr>
                <w:sz w:val="17"/>
                <w:szCs w:val="17"/>
                <w:color w:val="auto"/>
              </w:rPr>
            </w:pPr>
          </w:p>
        </w:tc>
      </w:tr>
      <w:tr>
        <w:trPr>
          <w:trHeight w:val="189"/>
        </w:trPr>
        <w:tc>
          <w:tcPr>
            <w:tcW w:w="768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420" w:type="dxa"/>
            <w:vAlign w:val="bottom"/>
          </w:tcPr>
          <w:p>
            <w:pPr>
              <w:jc w:val="center"/>
              <w:ind w:right="70"/>
              <w:spacing w:after="0" w:line="189" w:lineRule="exact"/>
              <w:rPr>
                <w:sz w:val="20"/>
                <w:szCs w:val="20"/>
                <w:color w:val="auto"/>
              </w:rPr>
            </w:pPr>
            <w:r>
              <w:rPr>
                <w:rFonts w:ascii="Arial" w:cs="Arial" w:eastAsia="Arial" w:hAnsi="Arial"/>
                <w:sz w:val="18"/>
                <w:szCs w:val="18"/>
                <w:b w:val="1"/>
                <w:bCs w:val="1"/>
                <w:color w:val="auto"/>
                <w:w w:val="89"/>
              </w:rPr>
              <w:t>September 30,</w:t>
            </w:r>
          </w:p>
        </w:tc>
        <w:tc>
          <w:tcPr>
            <w:tcW w:w="28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400" w:type="dxa"/>
            <w:vAlign w:val="bottom"/>
          </w:tcPr>
          <w:p>
            <w:pPr>
              <w:jc w:val="center"/>
              <w:ind w:right="110"/>
              <w:spacing w:after="0" w:line="189" w:lineRule="exact"/>
              <w:rPr>
                <w:sz w:val="20"/>
                <w:szCs w:val="20"/>
                <w:color w:val="auto"/>
              </w:rPr>
            </w:pPr>
            <w:r>
              <w:rPr>
                <w:rFonts w:ascii="Arial" w:cs="Arial" w:eastAsia="Arial" w:hAnsi="Arial"/>
                <w:sz w:val="18"/>
                <w:szCs w:val="18"/>
                <w:b w:val="1"/>
                <w:bCs w:val="1"/>
                <w:color w:val="auto"/>
                <w:w w:val="88"/>
              </w:rPr>
              <w:t>December 31,</w:t>
            </w:r>
          </w:p>
        </w:tc>
        <w:tc>
          <w:tcPr>
            <w:tcW w:w="100" w:type="dxa"/>
            <w:vAlign w:val="bottom"/>
          </w:tcPr>
          <w:p>
            <w:pPr>
              <w:spacing w:after="0"/>
              <w:rPr>
                <w:sz w:val="16"/>
                <w:szCs w:val="16"/>
                <w:color w:val="auto"/>
              </w:rPr>
            </w:pPr>
          </w:p>
        </w:tc>
      </w:tr>
      <w:tr>
        <w:trPr>
          <w:trHeight w:val="234"/>
        </w:trPr>
        <w:tc>
          <w:tcPr>
            <w:tcW w:w="7680" w:type="dxa"/>
            <w:vAlign w:val="bottom"/>
          </w:tcPr>
          <w:p>
            <w:pPr>
              <w:spacing w:after="0"/>
              <w:rPr>
                <w:sz w:val="20"/>
                <w:szCs w:val="20"/>
                <w:color w:val="auto"/>
              </w:rPr>
            </w:pPr>
          </w:p>
        </w:tc>
        <w:tc>
          <w:tcPr>
            <w:tcW w:w="180" w:type="dxa"/>
            <w:vAlign w:val="bottom"/>
            <w:tcBorders>
              <w:bottom w:val="single" w:sz="8" w:color="auto"/>
            </w:tcBorders>
          </w:tcPr>
          <w:p>
            <w:pPr>
              <w:spacing w:after="0"/>
              <w:rPr>
                <w:sz w:val="20"/>
                <w:szCs w:val="20"/>
                <w:color w:val="auto"/>
              </w:rPr>
            </w:pPr>
          </w:p>
        </w:tc>
        <w:tc>
          <w:tcPr>
            <w:tcW w:w="1420" w:type="dxa"/>
            <w:vAlign w:val="bottom"/>
            <w:tcBorders>
              <w:bottom w:val="single" w:sz="8" w:color="auto"/>
            </w:tcBorders>
          </w:tcPr>
          <w:p>
            <w:pPr>
              <w:jc w:val="center"/>
              <w:ind w:right="90"/>
              <w:spacing w:after="0"/>
              <w:rPr>
                <w:sz w:val="20"/>
                <w:szCs w:val="20"/>
                <w:color w:val="auto"/>
              </w:rPr>
            </w:pPr>
            <w:r>
              <w:rPr>
                <w:rFonts w:ascii="Arial" w:cs="Arial" w:eastAsia="Arial" w:hAnsi="Arial"/>
                <w:sz w:val="18"/>
                <w:szCs w:val="18"/>
                <w:b w:val="1"/>
                <w:bCs w:val="1"/>
                <w:color w:val="auto"/>
                <w:w w:val="89"/>
              </w:rPr>
              <w:t>2022</w:t>
            </w:r>
          </w:p>
        </w:tc>
        <w:tc>
          <w:tcPr>
            <w:tcW w:w="280" w:type="dxa"/>
            <w:vAlign w:val="bottom"/>
          </w:tcPr>
          <w:p>
            <w:pPr>
              <w:spacing w:after="0"/>
              <w:rPr>
                <w:sz w:val="20"/>
                <w:szCs w:val="20"/>
                <w:color w:val="auto"/>
              </w:rPr>
            </w:pPr>
          </w:p>
        </w:tc>
        <w:tc>
          <w:tcPr>
            <w:tcW w:w="180" w:type="dxa"/>
            <w:vAlign w:val="bottom"/>
            <w:tcBorders>
              <w:bottom w:val="single" w:sz="8" w:color="auto"/>
            </w:tcBorders>
          </w:tcPr>
          <w:p>
            <w:pPr>
              <w:spacing w:after="0"/>
              <w:rPr>
                <w:sz w:val="20"/>
                <w:szCs w:val="20"/>
                <w:color w:val="auto"/>
              </w:rPr>
            </w:pPr>
          </w:p>
        </w:tc>
        <w:tc>
          <w:tcPr>
            <w:tcW w:w="1400" w:type="dxa"/>
            <w:vAlign w:val="bottom"/>
            <w:tcBorders>
              <w:bottom w:val="single" w:sz="8" w:color="auto"/>
            </w:tcBorders>
          </w:tcPr>
          <w:p>
            <w:pPr>
              <w:jc w:val="center"/>
              <w:ind w:right="110"/>
              <w:spacing w:after="0"/>
              <w:rPr>
                <w:sz w:val="20"/>
                <w:szCs w:val="20"/>
                <w:color w:val="auto"/>
              </w:rPr>
            </w:pPr>
            <w:r>
              <w:rPr>
                <w:rFonts w:ascii="Arial" w:cs="Arial" w:eastAsia="Arial" w:hAnsi="Arial"/>
                <w:sz w:val="18"/>
                <w:szCs w:val="18"/>
                <w:b w:val="1"/>
                <w:bCs w:val="1"/>
                <w:color w:val="auto"/>
                <w:w w:val="89"/>
              </w:rPr>
              <w:t>2021</w:t>
            </w:r>
          </w:p>
        </w:tc>
        <w:tc>
          <w:tcPr>
            <w:tcW w:w="100" w:type="dxa"/>
            <w:vAlign w:val="bottom"/>
          </w:tcPr>
          <w:p>
            <w:pPr>
              <w:spacing w:after="0"/>
              <w:rPr>
                <w:sz w:val="20"/>
                <w:szCs w:val="20"/>
                <w:color w:val="auto"/>
              </w:rPr>
            </w:pPr>
          </w:p>
        </w:tc>
      </w:tr>
      <w:tr>
        <w:trPr>
          <w:trHeight w:val="209"/>
        </w:trPr>
        <w:tc>
          <w:tcPr>
            <w:tcW w:w="7680" w:type="dxa"/>
            <w:vAlign w:val="bottom"/>
            <w:shd w:val="clear" w:color="auto" w:fill="CFF0FC"/>
          </w:tcPr>
          <w:p>
            <w:pPr>
              <w:ind w:left="20"/>
              <w:spacing w:after="0"/>
              <w:rPr>
                <w:sz w:val="20"/>
                <w:szCs w:val="20"/>
                <w:color w:val="auto"/>
              </w:rPr>
            </w:pPr>
            <w:r>
              <w:rPr>
                <w:rFonts w:ascii="Arial" w:cs="Arial" w:eastAsia="Arial" w:hAnsi="Arial"/>
                <w:sz w:val="18"/>
                <w:szCs w:val="18"/>
                <w:color w:val="auto"/>
              </w:rPr>
              <w:t>Less than or equal to 12 months</w:t>
            </w:r>
          </w:p>
        </w:tc>
        <w:tc>
          <w:tcPr>
            <w:tcW w:w="180" w:type="dxa"/>
            <w:vAlign w:val="bottom"/>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14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183,879</w:t>
            </w:r>
          </w:p>
        </w:tc>
        <w:tc>
          <w:tcPr>
            <w:tcW w:w="280" w:type="dxa"/>
            <w:vAlign w:val="bottom"/>
            <w:shd w:val="clear" w:color="auto" w:fill="CFF0FC"/>
          </w:tcPr>
          <w:p>
            <w:pPr>
              <w:spacing w:after="0"/>
              <w:rPr>
                <w:sz w:val="18"/>
                <w:szCs w:val="18"/>
                <w:color w:val="auto"/>
              </w:rPr>
            </w:pPr>
          </w:p>
        </w:tc>
        <w:tc>
          <w:tcPr>
            <w:tcW w:w="180" w:type="dxa"/>
            <w:vAlign w:val="bottom"/>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14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137,266</w:t>
            </w:r>
          </w:p>
        </w:tc>
        <w:tc>
          <w:tcPr>
            <w:tcW w:w="100" w:type="dxa"/>
            <w:vAlign w:val="bottom"/>
            <w:shd w:val="clear" w:color="auto" w:fill="CFF0FC"/>
          </w:tcPr>
          <w:p>
            <w:pPr>
              <w:spacing w:after="0"/>
              <w:rPr>
                <w:sz w:val="18"/>
                <w:szCs w:val="18"/>
                <w:color w:val="auto"/>
              </w:rPr>
            </w:pPr>
          </w:p>
        </w:tc>
      </w:tr>
      <w:tr>
        <w:trPr>
          <w:trHeight w:val="216"/>
        </w:trPr>
        <w:tc>
          <w:tcPr>
            <w:tcW w:w="7680" w:type="dxa"/>
            <w:vAlign w:val="bottom"/>
          </w:tcPr>
          <w:p>
            <w:pPr>
              <w:ind w:left="20"/>
              <w:spacing w:after="0"/>
              <w:rPr>
                <w:sz w:val="20"/>
                <w:szCs w:val="20"/>
                <w:color w:val="auto"/>
              </w:rPr>
            </w:pPr>
            <w:r>
              <w:rPr>
                <w:rFonts w:ascii="Arial" w:cs="Arial" w:eastAsia="Arial" w:hAnsi="Arial"/>
                <w:sz w:val="18"/>
                <w:szCs w:val="18"/>
                <w:color w:val="auto"/>
              </w:rPr>
              <w:t>Greater than 12 months</w:t>
            </w:r>
          </w:p>
        </w:tc>
        <w:tc>
          <w:tcPr>
            <w:tcW w:w="180" w:type="dxa"/>
            <w:vAlign w:val="bottom"/>
            <w:tcBorders>
              <w:bottom w:val="single" w:sz="8" w:color="auto"/>
            </w:tcBorders>
          </w:tcPr>
          <w:p>
            <w:pPr>
              <w:spacing w:after="0"/>
              <w:rPr>
                <w:sz w:val="18"/>
                <w:szCs w:val="18"/>
                <w:color w:val="auto"/>
              </w:rPr>
            </w:pPr>
          </w:p>
        </w:tc>
        <w:tc>
          <w:tcPr>
            <w:tcW w:w="14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64,211</w:t>
            </w:r>
          </w:p>
        </w:tc>
        <w:tc>
          <w:tcPr>
            <w:tcW w:w="280" w:type="dxa"/>
            <w:vAlign w:val="bottom"/>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14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32,868</w:t>
            </w:r>
          </w:p>
        </w:tc>
        <w:tc>
          <w:tcPr>
            <w:tcW w:w="100" w:type="dxa"/>
            <w:vAlign w:val="bottom"/>
          </w:tcPr>
          <w:p>
            <w:pPr>
              <w:spacing w:after="0"/>
              <w:rPr>
                <w:sz w:val="18"/>
                <w:szCs w:val="18"/>
                <w:color w:val="auto"/>
              </w:rPr>
            </w:pPr>
          </w:p>
        </w:tc>
      </w:tr>
      <w:tr>
        <w:trPr>
          <w:trHeight w:val="249"/>
        </w:trPr>
        <w:tc>
          <w:tcPr>
            <w:tcW w:w="7680" w:type="dxa"/>
            <w:vAlign w:val="bottom"/>
            <w:tcBorders>
              <w:bottom w:val="single" w:sz="8" w:color="CFF0FC"/>
            </w:tcBorders>
            <w:shd w:val="clear" w:color="auto" w:fill="CFF0FC"/>
          </w:tcPr>
          <w:p>
            <w:pPr>
              <w:ind w:left="20"/>
              <w:spacing w:after="0"/>
              <w:rPr>
                <w:sz w:val="20"/>
                <w:szCs w:val="20"/>
                <w:color w:val="auto"/>
              </w:rPr>
            </w:pPr>
            <w:r>
              <w:rPr>
                <w:rFonts w:ascii="Arial" w:cs="Arial" w:eastAsia="Arial" w:hAnsi="Arial"/>
                <w:sz w:val="18"/>
                <w:szCs w:val="18"/>
                <w:color w:val="auto"/>
              </w:rPr>
              <w:t>Total remaining performance obligations</w:t>
            </w:r>
          </w:p>
        </w:tc>
        <w:tc>
          <w:tcPr>
            <w:tcW w:w="1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14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248,090</w:t>
            </w:r>
          </w:p>
        </w:tc>
        <w:tc>
          <w:tcPr>
            <w:tcW w:w="280" w:type="dxa"/>
            <w:vAlign w:val="bottom"/>
            <w:tcBorders>
              <w:bottom w:val="single" w:sz="8" w:color="CFF0FC"/>
            </w:tcBorders>
            <w:shd w:val="clear" w:color="auto" w:fill="CFF0FC"/>
          </w:tcPr>
          <w:p>
            <w:pPr>
              <w:spacing w:after="0"/>
              <w:rPr>
                <w:sz w:val="21"/>
                <w:szCs w:val="21"/>
                <w:color w:val="auto"/>
              </w:rPr>
            </w:pPr>
          </w:p>
        </w:tc>
        <w:tc>
          <w:tcPr>
            <w:tcW w:w="1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14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170,134</w:t>
            </w:r>
          </w:p>
        </w:tc>
        <w:tc>
          <w:tcPr>
            <w:tcW w:w="100" w:type="dxa"/>
            <w:vAlign w:val="bottom"/>
            <w:tcBorders>
              <w:bottom w:val="single" w:sz="8" w:color="CFF0FC"/>
            </w:tcBorders>
            <w:shd w:val="clear" w:color="auto" w:fill="CFF0FC"/>
          </w:tcPr>
          <w:p>
            <w:pPr>
              <w:spacing w:after="0"/>
              <w:rPr>
                <w:sz w:val="21"/>
                <w:szCs w:val="2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5895975</wp:posOffset>
            </wp:positionH>
            <wp:positionV relativeFrom="paragraph">
              <wp:posOffset>-24765</wp:posOffset>
            </wp:positionV>
            <wp:extent cx="68580" cy="8255"/>
            <wp:wrapNone/>
            <wp:docPr id="100" name="Picture 1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0"/>
                    <pic:cNvPicPr>
                      <a:picLocks noChangeAspect="1" noChangeArrowheads="1"/>
                    </pic:cNvPicPr>
                  </pic:nvPicPr>
                  <pic:blipFill>
                    <a:blip r:embed="rId107">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5895975</wp:posOffset>
            </wp:positionH>
            <wp:positionV relativeFrom="paragraph">
              <wp:posOffset>-7620</wp:posOffset>
            </wp:positionV>
            <wp:extent cx="68580" cy="8255"/>
            <wp:wrapNone/>
            <wp:docPr id="101" name="Picture 1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1"/>
                    <pic:cNvPicPr>
                      <a:picLocks noChangeAspect="1" noChangeArrowheads="1"/>
                    </pic:cNvPicPr>
                  </pic:nvPicPr>
                  <pic:blipFill>
                    <a:blip r:embed="rId108">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-24765</wp:posOffset>
            </wp:positionV>
            <wp:extent cx="68580" cy="8255"/>
            <wp:wrapNone/>
            <wp:docPr id="102" name="Picture 1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2"/>
                    <pic:cNvPicPr>
                      <a:picLocks noChangeAspect="1" noChangeArrowheads="1"/>
                    </pic:cNvPicPr>
                  </pic:nvPicPr>
                  <pic:blipFill>
                    <a:blip r:embed="rId109">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-7620</wp:posOffset>
            </wp:positionV>
            <wp:extent cx="68580" cy="8255"/>
            <wp:wrapNone/>
            <wp:docPr id="103" name="Picture 1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3"/>
                    <pic:cNvPicPr>
                      <a:picLocks noChangeAspect="1" noChangeArrowheads="1"/>
                    </pic:cNvPicPr>
                  </pic:nvPicPr>
                  <pic:blipFill>
                    <a:blip r:embed="rId110">
                      <a:extLst>
                        <a:ext uri="{28A0092B-C50C-407E-A947-70E740481C1C}"/>
                      </a:extLst>
                    </a:blip>
                    <a:srcRect/>
                    <a:stretch>
                      <a:fillRect/>
                    </a:stretch>
                  </pic:blipFill>
                  <pic:spPr bwMode="auto">
                    <a:xfrm>
                      <a:off x="0" y="0"/>
                      <a:ext cx="68580" cy="8255"/>
                    </a:xfrm>
                    <a:prstGeom prst="rect">
                      <a:avLst/>
                    </a:prstGeom>
                    <a:noFill/>
                  </pic:spPr>
                </pic:pic>
              </a:graphicData>
            </a:graphic>
          </wp:anchor>
        </w:drawing>
      </w:r>
    </w:p>
    <w:p>
      <w:pPr>
        <w:spacing w:after="0" w:line="27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Disaggregation of Revenue</w:t>
      </w:r>
    </w:p>
    <w:p>
      <w:pPr>
        <w:spacing w:after="0" w:line="103" w:lineRule="exact"/>
        <w:rPr>
          <w:sz w:val="20"/>
          <w:szCs w:val="20"/>
          <w:color w:val="auto"/>
        </w:rPr>
      </w:pPr>
    </w:p>
    <w:p>
      <w:pPr>
        <w:ind w:right="740" w:firstLine="509"/>
        <w:spacing w:after="0" w:line="277" w:lineRule="auto"/>
        <w:rPr>
          <w:sz w:val="20"/>
          <w:szCs w:val="20"/>
          <w:color w:val="auto"/>
        </w:rPr>
      </w:pPr>
      <w:r>
        <w:rPr>
          <w:rFonts w:ascii="Arial" w:cs="Arial" w:eastAsia="Arial" w:hAnsi="Arial"/>
          <w:sz w:val="18"/>
          <w:szCs w:val="18"/>
          <w:color w:val="auto"/>
        </w:rPr>
        <w:t>The following table shows the Company’s disaggregation of revenue by geographic areas, as determined based on the billing address of its customers (in thousands):</w:t>
      </w:r>
    </w:p>
    <w:p>
      <w:pPr>
        <w:spacing w:after="0" w:line="161"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584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2260" w:type="dxa"/>
            <w:vAlign w:val="bottom"/>
            <w:gridSpan w:val="4"/>
          </w:tcPr>
          <w:p>
            <w:pPr>
              <w:jc w:val="right"/>
              <w:ind w:right="190"/>
              <w:spacing w:after="0"/>
              <w:rPr>
                <w:sz w:val="20"/>
                <w:szCs w:val="20"/>
                <w:color w:val="auto"/>
              </w:rPr>
            </w:pPr>
            <w:r>
              <w:rPr>
                <w:rFonts w:ascii="Arial" w:cs="Arial" w:eastAsia="Arial" w:hAnsi="Arial"/>
                <w:sz w:val="18"/>
                <w:szCs w:val="18"/>
                <w:b w:val="1"/>
                <w:bCs w:val="1"/>
                <w:color w:val="auto"/>
              </w:rPr>
              <w:t>Three Months Ended</w:t>
            </w:r>
          </w:p>
        </w:tc>
        <w:tc>
          <w:tcPr>
            <w:tcW w:w="3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2220" w:type="dxa"/>
            <w:vAlign w:val="bottom"/>
            <w:gridSpan w:val="4"/>
          </w:tcPr>
          <w:p>
            <w:pPr>
              <w:jc w:val="right"/>
              <w:ind w:right="370"/>
              <w:spacing w:after="0"/>
              <w:rPr>
                <w:sz w:val="20"/>
                <w:szCs w:val="20"/>
                <w:color w:val="auto"/>
              </w:rPr>
            </w:pPr>
            <w:r>
              <w:rPr>
                <w:rFonts w:ascii="Arial" w:cs="Arial" w:eastAsia="Arial" w:hAnsi="Arial"/>
                <w:sz w:val="18"/>
                <w:szCs w:val="18"/>
                <w:b w:val="1"/>
                <w:bCs w:val="1"/>
                <w:color w:val="auto"/>
              </w:rPr>
              <w:t>Nine Months Ended</w:t>
            </w:r>
          </w:p>
        </w:tc>
        <w:tc>
          <w:tcPr>
            <w:tcW w:w="100" w:type="dxa"/>
            <w:vAlign w:val="bottom"/>
          </w:tcPr>
          <w:p>
            <w:pPr>
              <w:spacing w:after="0"/>
              <w:rPr>
                <w:sz w:val="17"/>
                <w:szCs w:val="17"/>
                <w:color w:val="auto"/>
              </w:rPr>
            </w:pPr>
          </w:p>
        </w:tc>
      </w:tr>
      <w:tr>
        <w:trPr>
          <w:trHeight w:val="216"/>
        </w:trPr>
        <w:tc>
          <w:tcPr>
            <w:tcW w:w="58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2260" w:type="dxa"/>
            <w:vAlign w:val="bottom"/>
            <w:gridSpan w:val="4"/>
          </w:tcPr>
          <w:p>
            <w:pPr>
              <w:jc w:val="right"/>
              <w:ind w:right="450"/>
              <w:spacing w:after="0"/>
              <w:rPr>
                <w:sz w:val="20"/>
                <w:szCs w:val="20"/>
                <w:color w:val="auto"/>
              </w:rPr>
            </w:pPr>
            <w:r>
              <w:rPr>
                <w:rFonts w:ascii="Arial" w:cs="Arial" w:eastAsia="Arial" w:hAnsi="Arial"/>
                <w:sz w:val="18"/>
                <w:szCs w:val="18"/>
                <w:b w:val="1"/>
                <w:bCs w:val="1"/>
                <w:color w:val="auto"/>
              </w:rPr>
              <w:t>September 30,</w:t>
            </w:r>
          </w:p>
        </w:tc>
        <w:tc>
          <w:tcPr>
            <w:tcW w:w="3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220" w:type="dxa"/>
            <w:vAlign w:val="bottom"/>
            <w:gridSpan w:val="4"/>
          </w:tcPr>
          <w:p>
            <w:pPr>
              <w:jc w:val="right"/>
              <w:ind w:right="590"/>
              <w:spacing w:after="0"/>
              <w:rPr>
                <w:sz w:val="20"/>
                <w:szCs w:val="20"/>
                <w:color w:val="auto"/>
              </w:rPr>
            </w:pPr>
            <w:r>
              <w:rPr>
                <w:rFonts w:ascii="Arial" w:cs="Arial" w:eastAsia="Arial" w:hAnsi="Arial"/>
                <w:sz w:val="18"/>
                <w:szCs w:val="18"/>
                <w:b w:val="1"/>
                <w:bCs w:val="1"/>
                <w:color w:val="auto"/>
              </w:rPr>
              <w:t>September 30,</w:t>
            </w:r>
          </w:p>
        </w:tc>
        <w:tc>
          <w:tcPr>
            <w:tcW w:w="100" w:type="dxa"/>
            <w:vAlign w:val="bottom"/>
          </w:tcPr>
          <w:p>
            <w:pPr>
              <w:spacing w:after="0"/>
              <w:rPr>
                <w:sz w:val="18"/>
                <w:szCs w:val="18"/>
                <w:color w:val="auto"/>
              </w:rPr>
            </w:pPr>
          </w:p>
        </w:tc>
      </w:tr>
      <w:tr>
        <w:trPr>
          <w:trHeight w:val="234"/>
        </w:trPr>
        <w:tc>
          <w:tcPr>
            <w:tcW w:w="5840" w:type="dxa"/>
            <w:vAlign w:val="bottom"/>
          </w:tcPr>
          <w:p>
            <w:pPr>
              <w:spacing w:after="0"/>
              <w:rPr>
                <w:sz w:val="20"/>
                <w:szCs w:val="20"/>
                <w:color w:val="auto"/>
              </w:rPr>
            </w:pPr>
          </w:p>
        </w:tc>
        <w:tc>
          <w:tcPr>
            <w:tcW w:w="260" w:type="dxa"/>
            <w:vAlign w:val="bottom"/>
            <w:tcBorders>
              <w:bottom w:val="single" w:sz="8" w:color="auto"/>
            </w:tcBorders>
          </w:tcPr>
          <w:p>
            <w:pPr>
              <w:spacing w:after="0"/>
              <w:rPr>
                <w:sz w:val="20"/>
                <w:szCs w:val="20"/>
                <w:color w:val="auto"/>
              </w:rPr>
            </w:pPr>
          </w:p>
        </w:tc>
        <w:tc>
          <w:tcPr>
            <w:tcW w:w="880" w:type="dxa"/>
            <w:vAlign w:val="bottom"/>
            <w:tcBorders>
              <w:bottom w:val="single" w:sz="8" w:color="auto"/>
            </w:tcBorders>
          </w:tcPr>
          <w:p>
            <w:pPr>
              <w:jc w:val="right"/>
              <w:ind w:right="290"/>
              <w:spacing w:after="0"/>
              <w:rPr>
                <w:sz w:val="20"/>
                <w:szCs w:val="20"/>
                <w:color w:val="auto"/>
              </w:rPr>
            </w:pPr>
            <w:r>
              <w:rPr>
                <w:rFonts w:ascii="Arial" w:cs="Arial" w:eastAsia="Arial" w:hAnsi="Arial"/>
                <w:sz w:val="18"/>
                <w:szCs w:val="18"/>
                <w:b w:val="1"/>
                <w:bCs w:val="1"/>
                <w:color w:val="auto"/>
              </w:rPr>
              <w:t>2022</w:t>
            </w:r>
          </w:p>
        </w:tc>
        <w:tc>
          <w:tcPr>
            <w:tcW w:w="260" w:type="dxa"/>
            <w:vAlign w:val="bottom"/>
          </w:tcPr>
          <w:p>
            <w:pPr>
              <w:spacing w:after="0"/>
              <w:rPr>
                <w:sz w:val="20"/>
                <w:szCs w:val="20"/>
                <w:color w:val="auto"/>
              </w:rPr>
            </w:pPr>
          </w:p>
        </w:tc>
        <w:tc>
          <w:tcPr>
            <w:tcW w:w="240" w:type="dxa"/>
            <w:vAlign w:val="bottom"/>
            <w:tcBorders>
              <w:bottom w:val="single" w:sz="8" w:color="auto"/>
            </w:tcBorders>
          </w:tcPr>
          <w:p>
            <w:pPr>
              <w:spacing w:after="0"/>
              <w:rPr>
                <w:sz w:val="20"/>
                <w:szCs w:val="20"/>
                <w:color w:val="auto"/>
              </w:rPr>
            </w:pPr>
          </w:p>
        </w:tc>
        <w:tc>
          <w:tcPr>
            <w:tcW w:w="880" w:type="dxa"/>
            <w:vAlign w:val="bottom"/>
            <w:tcBorders>
              <w:bottom w:val="single" w:sz="8" w:color="auto"/>
            </w:tcBorders>
          </w:tcPr>
          <w:p>
            <w:pPr>
              <w:jc w:val="right"/>
              <w:ind w:right="290"/>
              <w:spacing w:after="0"/>
              <w:rPr>
                <w:sz w:val="20"/>
                <w:szCs w:val="20"/>
                <w:color w:val="auto"/>
              </w:rPr>
            </w:pPr>
            <w:r>
              <w:rPr>
                <w:rFonts w:ascii="Arial" w:cs="Arial" w:eastAsia="Arial" w:hAnsi="Arial"/>
                <w:sz w:val="18"/>
                <w:szCs w:val="18"/>
                <w:b w:val="1"/>
                <w:bCs w:val="1"/>
                <w:color w:val="auto"/>
              </w:rPr>
              <w:t>2021</w:t>
            </w:r>
          </w:p>
        </w:tc>
        <w:tc>
          <w:tcPr>
            <w:tcW w:w="320" w:type="dxa"/>
            <w:vAlign w:val="bottom"/>
          </w:tcPr>
          <w:p>
            <w:pPr>
              <w:spacing w:after="0"/>
              <w:rPr>
                <w:sz w:val="20"/>
                <w:szCs w:val="20"/>
                <w:color w:val="auto"/>
              </w:rPr>
            </w:pPr>
          </w:p>
        </w:tc>
        <w:tc>
          <w:tcPr>
            <w:tcW w:w="240" w:type="dxa"/>
            <w:vAlign w:val="bottom"/>
            <w:tcBorders>
              <w:bottom w:val="single" w:sz="8" w:color="auto"/>
            </w:tcBorders>
          </w:tcPr>
          <w:p>
            <w:pPr>
              <w:spacing w:after="0"/>
              <w:rPr>
                <w:sz w:val="20"/>
                <w:szCs w:val="20"/>
                <w:color w:val="auto"/>
              </w:rPr>
            </w:pPr>
          </w:p>
        </w:tc>
        <w:tc>
          <w:tcPr>
            <w:tcW w:w="860" w:type="dxa"/>
            <w:vAlign w:val="bottom"/>
            <w:tcBorders>
              <w:bottom w:val="single" w:sz="8" w:color="auto"/>
            </w:tcBorders>
          </w:tcPr>
          <w:p>
            <w:pPr>
              <w:jc w:val="right"/>
              <w:ind w:right="270"/>
              <w:spacing w:after="0"/>
              <w:rPr>
                <w:sz w:val="20"/>
                <w:szCs w:val="20"/>
                <w:color w:val="auto"/>
              </w:rPr>
            </w:pPr>
            <w:r>
              <w:rPr>
                <w:rFonts w:ascii="Arial" w:cs="Arial" w:eastAsia="Arial" w:hAnsi="Arial"/>
                <w:sz w:val="18"/>
                <w:szCs w:val="18"/>
                <w:b w:val="1"/>
                <w:bCs w:val="1"/>
                <w:color w:val="auto"/>
              </w:rPr>
              <w:t>2022</w:t>
            </w:r>
          </w:p>
        </w:tc>
        <w:tc>
          <w:tcPr>
            <w:tcW w:w="280" w:type="dxa"/>
            <w:vAlign w:val="bottom"/>
          </w:tcPr>
          <w:p>
            <w:pPr>
              <w:spacing w:after="0"/>
              <w:rPr>
                <w:sz w:val="20"/>
                <w:szCs w:val="20"/>
                <w:color w:val="auto"/>
              </w:rPr>
            </w:pPr>
          </w:p>
        </w:tc>
        <w:tc>
          <w:tcPr>
            <w:tcW w:w="220" w:type="dxa"/>
            <w:vAlign w:val="bottom"/>
            <w:tcBorders>
              <w:bottom w:val="single" w:sz="8" w:color="auto"/>
            </w:tcBorders>
          </w:tcPr>
          <w:p>
            <w:pPr>
              <w:spacing w:after="0"/>
              <w:rPr>
                <w:sz w:val="20"/>
                <w:szCs w:val="20"/>
                <w:color w:val="auto"/>
              </w:rPr>
            </w:pPr>
          </w:p>
        </w:tc>
        <w:tc>
          <w:tcPr>
            <w:tcW w:w="860" w:type="dxa"/>
            <w:vAlign w:val="bottom"/>
            <w:tcBorders>
              <w:bottom w:val="single" w:sz="8" w:color="auto"/>
            </w:tcBorders>
          </w:tcPr>
          <w:p>
            <w:pPr>
              <w:jc w:val="right"/>
              <w:ind w:right="270"/>
              <w:spacing w:after="0"/>
              <w:rPr>
                <w:sz w:val="20"/>
                <w:szCs w:val="20"/>
                <w:color w:val="auto"/>
              </w:rPr>
            </w:pPr>
            <w:r>
              <w:rPr>
                <w:rFonts w:ascii="Arial" w:cs="Arial" w:eastAsia="Arial" w:hAnsi="Arial"/>
                <w:sz w:val="18"/>
                <w:szCs w:val="18"/>
                <w:b w:val="1"/>
                <w:bCs w:val="1"/>
                <w:color w:val="auto"/>
              </w:rPr>
              <w:t>2021</w:t>
            </w:r>
          </w:p>
        </w:tc>
        <w:tc>
          <w:tcPr>
            <w:tcW w:w="100" w:type="dxa"/>
            <w:vAlign w:val="bottom"/>
          </w:tcPr>
          <w:p>
            <w:pPr>
              <w:spacing w:after="0"/>
              <w:rPr>
                <w:sz w:val="20"/>
                <w:szCs w:val="20"/>
                <w:color w:val="auto"/>
              </w:rPr>
            </w:pPr>
          </w:p>
        </w:tc>
      </w:tr>
      <w:tr>
        <w:trPr>
          <w:trHeight w:val="209"/>
        </w:trPr>
        <w:tc>
          <w:tcPr>
            <w:tcW w:w="5840" w:type="dxa"/>
            <w:vAlign w:val="bottom"/>
            <w:shd w:val="clear" w:color="auto" w:fill="CFF0FC"/>
          </w:tcPr>
          <w:p>
            <w:pPr>
              <w:ind w:left="20"/>
              <w:spacing w:after="0"/>
              <w:rPr>
                <w:sz w:val="20"/>
                <w:szCs w:val="20"/>
                <w:color w:val="auto"/>
              </w:rPr>
            </w:pPr>
            <w:r>
              <w:rPr>
                <w:rFonts w:ascii="Arial" w:cs="Arial" w:eastAsia="Arial" w:hAnsi="Arial"/>
                <w:sz w:val="18"/>
                <w:szCs w:val="18"/>
                <w:color w:val="auto"/>
              </w:rPr>
              <w:t>United States</w:t>
            </w:r>
          </w:p>
        </w:tc>
        <w:tc>
          <w:tcPr>
            <w:tcW w:w="260" w:type="dxa"/>
            <w:vAlign w:val="bottom"/>
            <w:shd w:val="clear" w:color="auto" w:fill="CFF0FC"/>
          </w:tcPr>
          <w:p>
            <w:pPr>
              <w:jc w:val="right"/>
              <w:ind w:right="70"/>
              <w:spacing w:after="0"/>
              <w:rPr>
                <w:sz w:val="20"/>
                <w:szCs w:val="20"/>
                <w:color w:val="auto"/>
              </w:rPr>
            </w:pPr>
            <w:r>
              <w:rPr>
                <w:rFonts w:ascii="Arial" w:cs="Arial" w:eastAsia="Arial" w:hAnsi="Arial"/>
                <w:sz w:val="18"/>
                <w:szCs w:val="18"/>
                <w:color w:val="auto"/>
                <w:w w:val="79"/>
              </w:rPr>
              <w:t>$</w:t>
            </w:r>
          </w:p>
        </w:tc>
        <w:tc>
          <w:tcPr>
            <w:tcW w:w="8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37,399</w:t>
            </w:r>
          </w:p>
        </w:tc>
        <w:tc>
          <w:tcPr>
            <w:tcW w:w="260" w:type="dxa"/>
            <w:vAlign w:val="bottom"/>
            <w:shd w:val="clear" w:color="auto" w:fill="CFF0FC"/>
          </w:tcPr>
          <w:p>
            <w:pPr>
              <w:spacing w:after="0"/>
              <w:rPr>
                <w:sz w:val="18"/>
                <w:szCs w:val="18"/>
                <w:color w:val="auto"/>
              </w:rPr>
            </w:pPr>
          </w:p>
        </w:tc>
        <w:tc>
          <w:tcPr>
            <w:tcW w:w="240" w:type="dxa"/>
            <w:vAlign w:val="bottom"/>
            <w:shd w:val="clear" w:color="auto" w:fill="CFF0FC"/>
          </w:tcPr>
          <w:p>
            <w:pPr>
              <w:jc w:val="right"/>
              <w:ind w:right="50"/>
              <w:spacing w:after="0"/>
              <w:rPr>
                <w:sz w:val="20"/>
                <w:szCs w:val="20"/>
                <w:color w:val="auto"/>
              </w:rPr>
            </w:pPr>
            <w:r>
              <w:rPr>
                <w:rFonts w:ascii="Arial" w:cs="Arial" w:eastAsia="Arial" w:hAnsi="Arial"/>
                <w:sz w:val="18"/>
                <w:szCs w:val="18"/>
                <w:color w:val="auto"/>
                <w:w w:val="79"/>
              </w:rPr>
              <w:t>$</w:t>
            </w:r>
          </w:p>
        </w:tc>
        <w:tc>
          <w:tcPr>
            <w:tcW w:w="8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29,582</w:t>
            </w:r>
          </w:p>
        </w:tc>
        <w:tc>
          <w:tcPr>
            <w:tcW w:w="320" w:type="dxa"/>
            <w:vAlign w:val="bottom"/>
            <w:shd w:val="clear" w:color="auto" w:fill="CFF0FC"/>
          </w:tcPr>
          <w:p>
            <w:pPr>
              <w:spacing w:after="0"/>
              <w:rPr>
                <w:sz w:val="18"/>
                <w:szCs w:val="18"/>
                <w:color w:val="auto"/>
              </w:rPr>
            </w:pPr>
          </w:p>
        </w:tc>
        <w:tc>
          <w:tcPr>
            <w:tcW w:w="240" w:type="dxa"/>
            <w:vAlign w:val="bottom"/>
            <w:shd w:val="clear" w:color="auto" w:fill="CFF0FC"/>
          </w:tcPr>
          <w:p>
            <w:pPr>
              <w:jc w:val="right"/>
              <w:ind w:right="50"/>
              <w:spacing w:after="0"/>
              <w:rPr>
                <w:sz w:val="20"/>
                <w:szCs w:val="20"/>
                <w:color w:val="auto"/>
              </w:rPr>
            </w:pPr>
            <w:r>
              <w:rPr>
                <w:rFonts w:ascii="Arial" w:cs="Arial" w:eastAsia="Arial" w:hAnsi="Arial"/>
                <w:sz w:val="18"/>
                <w:szCs w:val="18"/>
                <w:color w:val="auto"/>
                <w:w w:val="79"/>
              </w:rPr>
              <w:t>$</w:t>
            </w:r>
          </w:p>
        </w:tc>
        <w:tc>
          <w:tcPr>
            <w:tcW w:w="8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106,394</w:t>
            </w:r>
          </w:p>
        </w:tc>
        <w:tc>
          <w:tcPr>
            <w:tcW w:w="280" w:type="dxa"/>
            <w:vAlign w:val="bottom"/>
            <w:shd w:val="clear" w:color="auto" w:fill="CFF0FC"/>
          </w:tcPr>
          <w:p>
            <w:pPr>
              <w:spacing w:after="0"/>
              <w:rPr>
                <w:sz w:val="18"/>
                <w:szCs w:val="18"/>
                <w:color w:val="auto"/>
              </w:rPr>
            </w:pPr>
          </w:p>
        </w:tc>
        <w:tc>
          <w:tcPr>
            <w:tcW w:w="220" w:type="dxa"/>
            <w:vAlign w:val="bottom"/>
            <w:shd w:val="clear" w:color="auto" w:fill="CFF0FC"/>
          </w:tcPr>
          <w:p>
            <w:pPr>
              <w:jc w:val="right"/>
              <w:ind w:right="30"/>
              <w:spacing w:after="0"/>
              <w:rPr>
                <w:sz w:val="20"/>
                <w:szCs w:val="20"/>
                <w:color w:val="auto"/>
              </w:rPr>
            </w:pPr>
            <w:r>
              <w:rPr>
                <w:rFonts w:ascii="Arial" w:cs="Arial" w:eastAsia="Arial" w:hAnsi="Arial"/>
                <w:sz w:val="18"/>
                <w:szCs w:val="18"/>
                <w:color w:val="auto"/>
                <w:w w:val="79"/>
              </w:rPr>
              <w:t>$</w:t>
            </w:r>
          </w:p>
        </w:tc>
        <w:tc>
          <w:tcPr>
            <w:tcW w:w="8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75,942</w:t>
            </w:r>
          </w:p>
        </w:tc>
        <w:tc>
          <w:tcPr>
            <w:tcW w:w="100" w:type="dxa"/>
            <w:vAlign w:val="bottom"/>
            <w:shd w:val="clear" w:color="auto" w:fill="CFF0FC"/>
          </w:tcPr>
          <w:p>
            <w:pPr>
              <w:spacing w:after="0"/>
              <w:rPr>
                <w:sz w:val="18"/>
                <w:szCs w:val="18"/>
                <w:color w:val="auto"/>
              </w:rPr>
            </w:pPr>
          </w:p>
        </w:tc>
      </w:tr>
      <w:tr>
        <w:trPr>
          <w:trHeight w:val="216"/>
        </w:trPr>
        <w:tc>
          <w:tcPr>
            <w:tcW w:w="5840" w:type="dxa"/>
            <w:vAlign w:val="bottom"/>
          </w:tcPr>
          <w:p>
            <w:pPr>
              <w:ind w:left="20"/>
              <w:spacing w:after="0"/>
              <w:rPr>
                <w:sz w:val="20"/>
                <w:szCs w:val="20"/>
                <w:color w:val="auto"/>
              </w:rPr>
            </w:pPr>
            <w:r>
              <w:rPr>
                <w:rFonts w:ascii="Arial" w:cs="Arial" w:eastAsia="Arial" w:hAnsi="Arial"/>
                <w:sz w:val="18"/>
                <w:szCs w:val="18"/>
                <w:color w:val="auto"/>
              </w:rPr>
              <w:t>International</w:t>
            </w:r>
          </w:p>
        </w:tc>
        <w:tc>
          <w:tcPr>
            <w:tcW w:w="260" w:type="dxa"/>
            <w:vAlign w:val="bottom"/>
            <w:tcBorders>
              <w:bottom w:val="single" w:sz="8" w:color="auto"/>
            </w:tcBorders>
          </w:tcPr>
          <w:p>
            <w:pPr>
              <w:spacing w:after="0"/>
              <w:rPr>
                <w:sz w:val="18"/>
                <w:szCs w:val="18"/>
                <w:color w:val="auto"/>
              </w:rPr>
            </w:pP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24,215</w:t>
            </w:r>
          </w:p>
        </w:tc>
        <w:tc>
          <w:tcPr>
            <w:tcW w:w="260" w:type="dxa"/>
            <w:vAlign w:val="bottom"/>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15,891</w:t>
            </w:r>
          </w:p>
        </w:tc>
        <w:tc>
          <w:tcPr>
            <w:tcW w:w="320" w:type="dxa"/>
            <w:vAlign w:val="bottom"/>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66,415</w:t>
            </w:r>
          </w:p>
        </w:tc>
        <w:tc>
          <w:tcPr>
            <w:tcW w:w="280" w:type="dxa"/>
            <w:vAlign w:val="bottom"/>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41,895</w:t>
            </w:r>
          </w:p>
        </w:tc>
        <w:tc>
          <w:tcPr>
            <w:tcW w:w="100" w:type="dxa"/>
            <w:vAlign w:val="bottom"/>
          </w:tcPr>
          <w:p>
            <w:pPr>
              <w:spacing w:after="0"/>
              <w:rPr>
                <w:sz w:val="18"/>
                <w:szCs w:val="18"/>
                <w:color w:val="auto"/>
              </w:rPr>
            </w:pPr>
          </w:p>
        </w:tc>
      </w:tr>
      <w:tr>
        <w:trPr>
          <w:trHeight w:val="249"/>
        </w:trPr>
        <w:tc>
          <w:tcPr>
            <w:tcW w:w="5840" w:type="dxa"/>
            <w:vAlign w:val="bottom"/>
            <w:tcBorders>
              <w:bottom w:val="single" w:sz="8" w:color="CFF0FC"/>
            </w:tcBorders>
            <w:shd w:val="clear" w:color="auto" w:fill="CFF0FC"/>
          </w:tcPr>
          <w:p>
            <w:pPr>
              <w:ind w:left="20"/>
              <w:spacing w:after="0"/>
              <w:rPr>
                <w:sz w:val="20"/>
                <w:szCs w:val="20"/>
                <w:color w:val="auto"/>
              </w:rPr>
            </w:pPr>
            <w:r>
              <w:rPr>
                <w:rFonts w:ascii="Arial" w:cs="Arial" w:eastAsia="Arial" w:hAnsi="Arial"/>
                <w:sz w:val="18"/>
                <w:szCs w:val="18"/>
                <w:color w:val="auto"/>
              </w:rPr>
              <w:t>Total revenue</w:t>
            </w:r>
          </w:p>
        </w:tc>
        <w:tc>
          <w:tcPr>
            <w:tcW w:w="260" w:type="dxa"/>
            <w:vAlign w:val="bottom"/>
            <w:tcBorders>
              <w:bottom w:val="single" w:sz="8" w:color="auto"/>
            </w:tcBorders>
            <w:shd w:val="clear" w:color="auto" w:fill="CFF0FC"/>
          </w:tcPr>
          <w:p>
            <w:pPr>
              <w:jc w:val="right"/>
              <w:ind w:right="70"/>
              <w:spacing w:after="0"/>
              <w:rPr>
                <w:sz w:val="20"/>
                <w:szCs w:val="20"/>
                <w:color w:val="auto"/>
              </w:rPr>
            </w:pPr>
            <w:r>
              <w:rPr>
                <w:rFonts w:ascii="Arial" w:cs="Arial" w:eastAsia="Arial" w:hAnsi="Arial"/>
                <w:sz w:val="18"/>
                <w:szCs w:val="18"/>
                <w:color w:val="auto"/>
                <w:w w:val="79"/>
              </w:rPr>
              <w:t>$</w:t>
            </w:r>
          </w:p>
        </w:tc>
        <w:tc>
          <w:tcPr>
            <w:tcW w:w="8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61,614</w:t>
            </w:r>
          </w:p>
        </w:tc>
        <w:tc>
          <w:tcPr>
            <w:tcW w:w="260" w:type="dxa"/>
            <w:vAlign w:val="bottom"/>
            <w:tcBorders>
              <w:bottom w:val="single" w:sz="8" w:color="CFF0FC"/>
            </w:tcBorders>
            <w:shd w:val="clear" w:color="auto" w:fill="CFF0FC"/>
          </w:tcPr>
          <w:p>
            <w:pPr>
              <w:spacing w:after="0"/>
              <w:rPr>
                <w:sz w:val="21"/>
                <w:szCs w:val="21"/>
                <w:color w:val="auto"/>
              </w:rPr>
            </w:pPr>
          </w:p>
        </w:tc>
        <w:tc>
          <w:tcPr>
            <w:tcW w:w="240" w:type="dxa"/>
            <w:vAlign w:val="bottom"/>
            <w:tcBorders>
              <w:bottom w:val="single" w:sz="8" w:color="auto"/>
            </w:tcBorders>
            <w:shd w:val="clear" w:color="auto" w:fill="CFF0FC"/>
          </w:tcPr>
          <w:p>
            <w:pPr>
              <w:jc w:val="right"/>
              <w:ind w:right="50"/>
              <w:spacing w:after="0"/>
              <w:rPr>
                <w:sz w:val="20"/>
                <w:szCs w:val="20"/>
                <w:color w:val="auto"/>
              </w:rPr>
            </w:pPr>
            <w:r>
              <w:rPr>
                <w:rFonts w:ascii="Arial" w:cs="Arial" w:eastAsia="Arial" w:hAnsi="Arial"/>
                <w:sz w:val="18"/>
                <w:szCs w:val="18"/>
                <w:color w:val="auto"/>
                <w:w w:val="79"/>
              </w:rPr>
              <w:t>$</w:t>
            </w:r>
          </w:p>
        </w:tc>
        <w:tc>
          <w:tcPr>
            <w:tcW w:w="8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45,473</w:t>
            </w:r>
          </w:p>
        </w:tc>
        <w:tc>
          <w:tcPr>
            <w:tcW w:w="320" w:type="dxa"/>
            <w:vAlign w:val="bottom"/>
            <w:tcBorders>
              <w:bottom w:val="single" w:sz="8" w:color="CFF0FC"/>
            </w:tcBorders>
            <w:shd w:val="clear" w:color="auto" w:fill="CFF0FC"/>
          </w:tcPr>
          <w:p>
            <w:pPr>
              <w:spacing w:after="0"/>
              <w:rPr>
                <w:sz w:val="21"/>
                <w:szCs w:val="21"/>
                <w:color w:val="auto"/>
              </w:rPr>
            </w:pPr>
          </w:p>
        </w:tc>
        <w:tc>
          <w:tcPr>
            <w:tcW w:w="240" w:type="dxa"/>
            <w:vAlign w:val="bottom"/>
            <w:tcBorders>
              <w:bottom w:val="single" w:sz="8" w:color="auto"/>
            </w:tcBorders>
            <w:shd w:val="clear" w:color="auto" w:fill="CFF0FC"/>
          </w:tcPr>
          <w:p>
            <w:pPr>
              <w:jc w:val="right"/>
              <w:ind w:right="50"/>
              <w:spacing w:after="0"/>
              <w:rPr>
                <w:sz w:val="20"/>
                <w:szCs w:val="20"/>
                <w:color w:val="auto"/>
              </w:rPr>
            </w:pPr>
            <w:r>
              <w:rPr>
                <w:rFonts w:ascii="Arial" w:cs="Arial" w:eastAsia="Arial" w:hAnsi="Arial"/>
                <w:sz w:val="18"/>
                <w:szCs w:val="18"/>
                <w:color w:val="auto"/>
                <w:w w:val="79"/>
              </w:rPr>
              <w:t>$</w:t>
            </w:r>
          </w:p>
        </w:tc>
        <w:tc>
          <w:tcPr>
            <w:tcW w:w="8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172,809</w:t>
            </w:r>
          </w:p>
        </w:tc>
        <w:tc>
          <w:tcPr>
            <w:tcW w:w="280" w:type="dxa"/>
            <w:vAlign w:val="bottom"/>
            <w:tcBorders>
              <w:bottom w:val="single" w:sz="8" w:color="CFF0FC"/>
            </w:tcBorders>
            <w:shd w:val="clear" w:color="auto" w:fill="CFF0FC"/>
          </w:tcPr>
          <w:p>
            <w:pPr>
              <w:spacing w:after="0"/>
              <w:rPr>
                <w:sz w:val="21"/>
                <w:szCs w:val="21"/>
                <w:color w:val="auto"/>
              </w:rPr>
            </w:pPr>
          </w:p>
        </w:tc>
        <w:tc>
          <w:tcPr>
            <w:tcW w:w="220" w:type="dxa"/>
            <w:vAlign w:val="bottom"/>
            <w:tcBorders>
              <w:bottom w:val="single" w:sz="8" w:color="auto"/>
            </w:tcBorders>
            <w:shd w:val="clear" w:color="auto" w:fill="CFF0FC"/>
          </w:tcPr>
          <w:p>
            <w:pPr>
              <w:jc w:val="right"/>
              <w:ind w:right="30"/>
              <w:spacing w:after="0"/>
              <w:rPr>
                <w:sz w:val="20"/>
                <w:szCs w:val="20"/>
                <w:color w:val="auto"/>
              </w:rPr>
            </w:pPr>
            <w:r>
              <w:rPr>
                <w:rFonts w:ascii="Arial" w:cs="Arial" w:eastAsia="Arial" w:hAnsi="Arial"/>
                <w:sz w:val="18"/>
                <w:szCs w:val="18"/>
                <w:color w:val="auto"/>
                <w:w w:val="79"/>
              </w:rPr>
              <w:t>$</w:t>
            </w:r>
          </w:p>
        </w:tc>
        <w:tc>
          <w:tcPr>
            <w:tcW w:w="8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117,837</w:t>
            </w:r>
          </w:p>
        </w:tc>
        <w:tc>
          <w:tcPr>
            <w:tcW w:w="100" w:type="dxa"/>
            <w:vAlign w:val="bottom"/>
            <w:tcBorders>
              <w:bottom w:val="single" w:sz="8" w:color="CFF0FC"/>
            </w:tcBorders>
            <w:shd w:val="clear" w:color="auto" w:fill="CFF0FC"/>
          </w:tcPr>
          <w:p>
            <w:pPr>
              <w:spacing w:after="0"/>
              <w:rPr>
                <w:sz w:val="21"/>
                <w:szCs w:val="2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4431665</wp:posOffset>
            </wp:positionH>
            <wp:positionV relativeFrom="paragraph">
              <wp:posOffset>-24765</wp:posOffset>
            </wp:positionV>
            <wp:extent cx="76835" cy="8255"/>
            <wp:wrapNone/>
            <wp:docPr id="104" name="Picture 1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4"/>
                    <pic:cNvPicPr>
                      <a:picLocks noChangeAspect="1" noChangeArrowheads="1"/>
                    </pic:cNvPicPr>
                  </pic:nvPicPr>
                  <pic:blipFill>
                    <a:blip r:embed="rId111">
                      <a:extLst>
                        <a:ext uri="{28A0092B-C50C-407E-A947-70E740481C1C}"/>
                      </a:extLst>
                    </a:blip>
                    <a:srcRect/>
                    <a:stretch>
                      <a:fillRect/>
                    </a:stretch>
                  </pic:blipFill>
                  <pic:spPr bwMode="auto">
                    <a:xfrm>
                      <a:off x="0" y="0"/>
                      <a:ext cx="76835" cy="8255"/>
                    </a:xfrm>
                    <a:prstGeom prst="rect">
                      <a:avLst/>
                    </a:prstGeom>
                    <a:noFill/>
                  </pic:spPr>
                </pic:pic>
              </a:graphicData>
            </a:graphic>
          </wp:anchor>
        </w:drawing>
        <w:drawing>
          <wp:anchor simplePos="0" relativeHeight="251657728" behindDoc="1" locked="0" layoutInCell="0" allowOverlap="1">
            <wp:simplePos x="0" y="0"/>
            <wp:positionH relativeFrom="column">
              <wp:posOffset>4431665</wp:posOffset>
            </wp:positionH>
            <wp:positionV relativeFrom="paragraph">
              <wp:posOffset>-7620</wp:posOffset>
            </wp:positionV>
            <wp:extent cx="76835" cy="8255"/>
            <wp:wrapNone/>
            <wp:docPr id="105" name="Picture 1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5"/>
                    <pic:cNvPicPr>
                      <a:picLocks noChangeAspect="1" noChangeArrowheads="1"/>
                    </pic:cNvPicPr>
                  </pic:nvPicPr>
                  <pic:blipFill>
                    <a:blip r:embed="rId112">
                      <a:extLst>
                        <a:ext uri="{28A0092B-C50C-407E-A947-70E740481C1C}"/>
                      </a:extLst>
                    </a:blip>
                    <a:srcRect/>
                    <a:stretch>
                      <a:fillRect/>
                    </a:stretch>
                  </pic:blipFill>
                  <pic:spPr bwMode="auto">
                    <a:xfrm>
                      <a:off x="0" y="0"/>
                      <a:ext cx="76835" cy="8255"/>
                    </a:xfrm>
                    <a:prstGeom prst="rect">
                      <a:avLst/>
                    </a:prstGeom>
                    <a:noFill/>
                  </pic:spPr>
                </pic:pic>
              </a:graphicData>
            </a:graphic>
          </wp:anchor>
        </w:drawing>
        <w:drawing>
          <wp:anchor simplePos="0" relativeHeight="251657728" behindDoc="1" locked="0" layoutInCell="0" allowOverlap="1">
            <wp:simplePos x="0" y="0"/>
            <wp:positionH relativeFrom="column">
              <wp:posOffset>5313680</wp:posOffset>
            </wp:positionH>
            <wp:positionV relativeFrom="paragraph">
              <wp:posOffset>-24765</wp:posOffset>
            </wp:positionV>
            <wp:extent cx="68580" cy="8255"/>
            <wp:wrapNone/>
            <wp:docPr id="106" name="Picture 1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6"/>
                    <pic:cNvPicPr>
                      <a:picLocks noChangeAspect="1" noChangeArrowheads="1"/>
                    </pic:cNvPicPr>
                  </pic:nvPicPr>
                  <pic:blipFill>
                    <a:blip r:embed="rId113">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5313680</wp:posOffset>
            </wp:positionH>
            <wp:positionV relativeFrom="paragraph">
              <wp:posOffset>-7620</wp:posOffset>
            </wp:positionV>
            <wp:extent cx="68580" cy="8255"/>
            <wp:wrapNone/>
            <wp:docPr id="107" name="Picture 1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7"/>
                    <pic:cNvPicPr>
                      <a:picLocks noChangeAspect="1" noChangeArrowheads="1"/>
                    </pic:cNvPicPr>
                  </pic:nvPicPr>
                  <pic:blipFill>
                    <a:blip r:embed="rId114">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6212840</wp:posOffset>
            </wp:positionH>
            <wp:positionV relativeFrom="paragraph">
              <wp:posOffset>-24765</wp:posOffset>
            </wp:positionV>
            <wp:extent cx="68580" cy="8255"/>
            <wp:wrapNone/>
            <wp:docPr id="108" name="Picture 1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8"/>
                    <pic:cNvPicPr>
                      <a:picLocks noChangeAspect="1" noChangeArrowheads="1"/>
                    </pic:cNvPicPr>
                  </pic:nvPicPr>
                  <pic:blipFill>
                    <a:blip r:embed="rId115">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6212840</wp:posOffset>
            </wp:positionH>
            <wp:positionV relativeFrom="paragraph">
              <wp:posOffset>-7620</wp:posOffset>
            </wp:positionV>
            <wp:extent cx="68580" cy="8255"/>
            <wp:wrapNone/>
            <wp:docPr id="109" name="Picture 1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9"/>
                    <pic:cNvPicPr>
                      <a:picLocks noChangeAspect="1" noChangeArrowheads="1"/>
                    </pic:cNvPicPr>
                  </pic:nvPicPr>
                  <pic:blipFill>
                    <a:blip r:embed="rId116">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-24765</wp:posOffset>
            </wp:positionV>
            <wp:extent cx="68580" cy="8255"/>
            <wp:wrapNone/>
            <wp:docPr id="110" name="Picture 1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0"/>
                    <pic:cNvPicPr>
                      <a:picLocks noChangeAspect="1" noChangeArrowheads="1"/>
                    </pic:cNvPicPr>
                  </pic:nvPicPr>
                  <pic:blipFill>
                    <a:blip r:embed="rId117">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-7620</wp:posOffset>
            </wp:positionV>
            <wp:extent cx="68580" cy="8255"/>
            <wp:wrapNone/>
            <wp:docPr id="111" name="Picture 1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1"/>
                    <pic:cNvPicPr>
                      <a:picLocks noChangeAspect="1" noChangeArrowheads="1"/>
                    </pic:cNvPicPr>
                  </pic:nvPicPr>
                  <pic:blipFill>
                    <a:blip r:embed="rId118">
                      <a:extLst>
                        <a:ext uri="{28A0092B-C50C-407E-A947-70E740481C1C}"/>
                      </a:extLst>
                    </a:blip>
                    <a:srcRect/>
                    <a:stretch>
                      <a:fillRect/>
                    </a:stretch>
                  </pic:blipFill>
                  <pic:spPr bwMode="auto">
                    <a:xfrm>
                      <a:off x="0" y="0"/>
                      <a:ext cx="68580" cy="8255"/>
                    </a:xfrm>
                    <a:prstGeom prst="rect">
                      <a:avLst/>
                    </a:prstGeom>
                    <a:noFill/>
                  </pic:spPr>
                </pic:pic>
              </a:graphicData>
            </a:graphic>
          </wp:anchor>
        </w:drawing>
      </w:r>
    </w:p>
    <w:p>
      <w:pPr>
        <w:spacing w:after="0" w:line="28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Deferred Commissions</w:t>
      </w:r>
    </w:p>
    <w:p>
      <w:pPr>
        <w:spacing w:after="0" w:line="117" w:lineRule="exact"/>
        <w:rPr>
          <w:sz w:val="20"/>
          <w:szCs w:val="20"/>
          <w:color w:val="auto"/>
        </w:rPr>
      </w:pPr>
    </w:p>
    <w:p>
      <w:pPr>
        <w:ind w:right="380" w:firstLine="509"/>
        <w:spacing w:after="0" w:line="247" w:lineRule="auto"/>
        <w:rPr>
          <w:sz w:val="20"/>
          <w:szCs w:val="20"/>
          <w:color w:val="auto"/>
        </w:rPr>
      </w:pPr>
      <w:r>
        <w:rPr>
          <w:rFonts w:ascii="Arial" w:cs="Arial" w:eastAsia="Arial" w:hAnsi="Arial"/>
          <w:sz w:val="18"/>
          <w:szCs w:val="18"/>
          <w:color w:val="auto"/>
        </w:rPr>
        <w:t>Commissions paid upon the initial acquisition of a contract are deferred and then amortized on a straight-line basis over a period of benefit, determined to be five years. The following table represents a roll forward of the Company’s deferred commissions for the three and nine months ended September 30, 2022 and 2021 (in thousands):</w:t>
      </w:r>
    </w:p>
    <w:p>
      <w:pPr>
        <w:spacing w:after="0" w:line="202"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4400" w:type="dxa"/>
            <w:vAlign w:val="bottom"/>
          </w:tcPr>
          <w:p>
            <w:pPr>
              <w:spacing w:after="0"/>
              <w:rPr>
                <w:sz w:val="18"/>
                <w:szCs w:val="18"/>
                <w:color w:val="auto"/>
              </w:rPr>
            </w:pPr>
          </w:p>
        </w:tc>
        <w:tc>
          <w:tcPr>
            <w:tcW w:w="14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2620" w:type="dxa"/>
            <w:vAlign w:val="bottom"/>
            <w:gridSpan w:val="5"/>
          </w:tcPr>
          <w:p>
            <w:pPr>
              <w:jc w:val="right"/>
              <w:ind w:right="780"/>
              <w:spacing w:after="0"/>
              <w:rPr>
                <w:sz w:val="20"/>
                <w:szCs w:val="20"/>
                <w:color w:val="auto"/>
              </w:rPr>
            </w:pPr>
            <w:r>
              <w:rPr>
                <w:rFonts w:ascii="Arial" w:cs="Arial" w:eastAsia="Arial" w:hAnsi="Arial"/>
                <w:sz w:val="18"/>
                <w:szCs w:val="18"/>
                <w:b w:val="1"/>
                <w:bCs w:val="1"/>
                <w:color w:val="auto"/>
              </w:rPr>
              <w:t>Three Months Ended</w:t>
            </w:r>
          </w:p>
        </w:tc>
        <w:tc>
          <w:tcPr>
            <w:tcW w:w="240" w:type="dxa"/>
            <w:vAlign w:val="bottom"/>
          </w:tcPr>
          <w:p>
            <w:pPr>
              <w:spacing w:after="0"/>
              <w:rPr>
                <w:sz w:val="18"/>
                <w:szCs w:val="18"/>
                <w:color w:val="auto"/>
              </w:rPr>
            </w:pPr>
          </w:p>
        </w:tc>
        <w:tc>
          <w:tcPr>
            <w:tcW w:w="2320" w:type="dxa"/>
            <w:vAlign w:val="bottom"/>
            <w:gridSpan w:val="5"/>
          </w:tcPr>
          <w:p>
            <w:pPr>
              <w:jc w:val="right"/>
              <w:ind w:right="560"/>
              <w:spacing w:after="0"/>
              <w:rPr>
                <w:sz w:val="20"/>
                <w:szCs w:val="20"/>
                <w:color w:val="auto"/>
              </w:rPr>
            </w:pPr>
            <w:r>
              <w:rPr>
                <w:rFonts w:ascii="Arial" w:cs="Arial" w:eastAsia="Arial" w:hAnsi="Arial"/>
                <w:sz w:val="18"/>
                <w:szCs w:val="18"/>
                <w:b w:val="1"/>
                <w:bCs w:val="1"/>
                <w:color w:val="auto"/>
              </w:rPr>
              <w:t>Nine Months Ended</w:t>
            </w:r>
          </w:p>
        </w:tc>
      </w:tr>
      <w:tr>
        <w:trPr>
          <w:trHeight w:val="216"/>
        </w:trPr>
        <w:tc>
          <w:tcPr>
            <w:tcW w:w="4400" w:type="dxa"/>
            <w:vAlign w:val="bottom"/>
          </w:tcPr>
          <w:p>
            <w:pPr>
              <w:spacing w:after="0"/>
              <w:rPr>
                <w:sz w:val="18"/>
                <w:szCs w:val="18"/>
                <w:color w:val="auto"/>
              </w:rPr>
            </w:pPr>
          </w:p>
        </w:tc>
        <w:tc>
          <w:tcPr>
            <w:tcW w:w="14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2620" w:type="dxa"/>
            <w:vAlign w:val="bottom"/>
            <w:gridSpan w:val="5"/>
          </w:tcPr>
          <w:p>
            <w:pPr>
              <w:jc w:val="right"/>
              <w:ind w:right="1040"/>
              <w:spacing w:after="0"/>
              <w:rPr>
                <w:sz w:val="20"/>
                <w:szCs w:val="20"/>
                <w:color w:val="auto"/>
              </w:rPr>
            </w:pPr>
            <w:r>
              <w:rPr>
                <w:rFonts w:ascii="Arial" w:cs="Arial" w:eastAsia="Arial" w:hAnsi="Arial"/>
                <w:sz w:val="18"/>
                <w:szCs w:val="18"/>
                <w:b w:val="1"/>
                <w:bCs w:val="1"/>
                <w:color w:val="auto"/>
              </w:rPr>
              <w:t>September 30,</w:t>
            </w:r>
          </w:p>
        </w:tc>
        <w:tc>
          <w:tcPr>
            <w:tcW w:w="240" w:type="dxa"/>
            <w:vAlign w:val="bottom"/>
          </w:tcPr>
          <w:p>
            <w:pPr>
              <w:spacing w:after="0"/>
              <w:rPr>
                <w:sz w:val="18"/>
                <w:szCs w:val="18"/>
                <w:color w:val="auto"/>
              </w:rPr>
            </w:pPr>
          </w:p>
        </w:tc>
        <w:tc>
          <w:tcPr>
            <w:tcW w:w="2320" w:type="dxa"/>
            <w:vAlign w:val="bottom"/>
            <w:gridSpan w:val="5"/>
          </w:tcPr>
          <w:p>
            <w:pPr>
              <w:jc w:val="right"/>
              <w:ind w:right="780"/>
              <w:spacing w:after="0"/>
              <w:rPr>
                <w:sz w:val="20"/>
                <w:szCs w:val="20"/>
                <w:color w:val="auto"/>
              </w:rPr>
            </w:pPr>
            <w:r>
              <w:rPr>
                <w:rFonts w:ascii="Arial" w:cs="Arial" w:eastAsia="Arial" w:hAnsi="Arial"/>
                <w:sz w:val="18"/>
                <w:szCs w:val="18"/>
                <w:b w:val="1"/>
                <w:bCs w:val="1"/>
                <w:color w:val="auto"/>
              </w:rPr>
              <w:t>September 30,</w:t>
            </w:r>
          </w:p>
        </w:tc>
      </w:tr>
      <w:tr>
        <w:trPr>
          <w:trHeight w:val="234"/>
        </w:trPr>
        <w:tc>
          <w:tcPr>
            <w:tcW w:w="4400" w:type="dxa"/>
            <w:vAlign w:val="bottom"/>
          </w:tcPr>
          <w:p>
            <w:pPr>
              <w:spacing w:after="0"/>
              <w:rPr>
                <w:sz w:val="20"/>
                <w:szCs w:val="20"/>
                <w:color w:val="auto"/>
              </w:rPr>
            </w:pPr>
          </w:p>
        </w:tc>
        <w:tc>
          <w:tcPr>
            <w:tcW w:w="1400" w:type="dxa"/>
            <w:vAlign w:val="bottom"/>
          </w:tcPr>
          <w:p>
            <w:pPr>
              <w:spacing w:after="0"/>
              <w:rPr>
                <w:sz w:val="20"/>
                <w:szCs w:val="20"/>
                <w:color w:val="auto"/>
              </w:rPr>
            </w:pPr>
          </w:p>
        </w:tc>
        <w:tc>
          <w:tcPr>
            <w:tcW w:w="260" w:type="dxa"/>
            <w:vAlign w:val="bottom"/>
            <w:tcBorders>
              <w:bottom w:val="single" w:sz="8" w:color="auto"/>
            </w:tcBorders>
          </w:tcPr>
          <w:p>
            <w:pPr>
              <w:spacing w:after="0"/>
              <w:rPr>
                <w:sz w:val="20"/>
                <w:szCs w:val="20"/>
                <w:color w:val="auto"/>
              </w:rPr>
            </w:pPr>
          </w:p>
        </w:tc>
        <w:tc>
          <w:tcPr>
            <w:tcW w:w="900" w:type="dxa"/>
            <w:vAlign w:val="bottom"/>
            <w:tcBorders>
              <w:bottom w:val="single" w:sz="8" w:color="auto"/>
            </w:tcBorders>
          </w:tcPr>
          <w:p>
            <w:pPr>
              <w:jc w:val="right"/>
              <w:ind w:right="310"/>
              <w:spacing w:after="0"/>
              <w:rPr>
                <w:sz w:val="20"/>
                <w:szCs w:val="20"/>
                <w:color w:val="auto"/>
              </w:rPr>
            </w:pPr>
            <w:r>
              <w:rPr>
                <w:rFonts w:ascii="Arial" w:cs="Arial" w:eastAsia="Arial" w:hAnsi="Arial"/>
                <w:sz w:val="18"/>
                <w:szCs w:val="18"/>
                <w:b w:val="1"/>
                <w:bCs w:val="1"/>
                <w:color w:val="auto"/>
              </w:rPr>
              <w:t>2022</w:t>
            </w:r>
          </w:p>
        </w:tc>
        <w:tc>
          <w:tcPr>
            <w:tcW w:w="240" w:type="dxa"/>
            <w:vAlign w:val="bottom"/>
          </w:tcPr>
          <w:p>
            <w:pPr>
              <w:spacing w:after="0"/>
              <w:rPr>
                <w:sz w:val="20"/>
                <w:szCs w:val="20"/>
                <w:color w:val="auto"/>
              </w:rPr>
            </w:pPr>
          </w:p>
        </w:tc>
        <w:tc>
          <w:tcPr>
            <w:tcW w:w="260" w:type="dxa"/>
            <w:vAlign w:val="bottom"/>
            <w:tcBorders>
              <w:bottom w:val="single" w:sz="8" w:color="auto"/>
            </w:tcBorders>
          </w:tcPr>
          <w:p>
            <w:pPr>
              <w:spacing w:after="0"/>
              <w:rPr>
                <w:sz w:val="20"/>
                <w:szCs w:val="20"/>
                <w:color w:val="auto"/>
              </w:rPr>
            </w:pPr>
          </w:p>
        </w:tc>
        <w:tc>
          <w:tcPr>
            <w:tcW w:w="900" w:type="dxa"/>
            <w:vAlign w:val="bottom"/>
            <w:tcBorders>
              <w:bottom w:val="single" w:sz="8" w:color="auto"/>
            </w:tcBorders>
          </w:tcPr>
          <w:p>
            <w:pPr>
              <w:jc w:val="right"/>
              <w:ind w:right="310"/>
              <w:spacing w:after="0"/>
              <w:rPr>
                <w:sz w:val="20"/>
                <w:szCs w:val="20"/>
                <w:color w:val="auto"/>
              </w:rPr>
            </w:pPr>
            <w:r>
              <w:rPr>
                <w:rFonts w:ascii="Arial" w:cs="Arial" w:eastAsia="Arial" w:hAnsi="Arial"/>
                <w:sz w:val="18"/>
                <w:szCs w:val="18"/>
                <w:b w:val="1"/>
                <w:bCs w:val="1"/>
                <w:color w:val="auto"/>
              </w:rPr>
              <w:t>2021</w:t>
            </w:r>
          </w:p>
        </w:tc>
        <w:tc>
          <w:tcPr>
            <w:tcW w:w="320" w:type="dxa"/>
            <w:vAlign w:val="bottom"/>
          </w:tcPr>
          <w:p>
            <w:pPr>
              <w:spacing w:after="0"/>
              <w:rPr>
                <w:sz w:val="20"/>
                <w:szCs w:val="20"/>
                <w:color w:val="auto"/>
              </w:rPr>
            </w:pPr>
          </w:p>
        </w:tc>
        <w:tc>
          <w:tcPr>
            <w:tcW w:w="240" w:type="dxa"/>
            <w:vAlign w:val="bottom"/>
            <w:tcBorders>
              <w:bottom w:val="single" w:sz="8" w:color="auto"/>
            </w:tcBorders>
          </w:tcPr>
          <w:p>
            <w:pPr>
              <w:spacing w:after="0"/>
              <w:rPr>
                <w:sz w:val="20"/>
                <w:szCs w:val="20"/>
                <w:color w:val="auto"/>
              </w:rPr>
            </w:pPr>
          </w:p>
        </w:tc>
        <w:tc>
          <w:tcPr>
            <w:tcW w:w="880" w:type="dxa"/>
            <w:vAlign w:val="bottom"/>
            <w:tcBorders>
              <w:bottom w:val="single" w:sz="8" w:color="auto"/>
            </w:tcBorders>
          </w:tcPr>
          <w:p>
            <w:pPr>
              <w:jc w:val="right"/>
              <w:ind w:right="290"/>
              <w:spacing w:after="0"/>
              <w:rPr>
                <w:sz w:val="20"/>
                <w:szCs w:val="20"/>
                <w:color w:val="auto"/>
              </w:rPr>
            </w:pPr>
            <w:r>
              <w:rPr>
                <w:rFonts w:ascii="Arial" w:cs="Arial" w:eastAsia="Arial" w:hAnsi="Arial"/>
                <w:sz w:val="18"/>
                <w:szCs w:val="18"/>
                <w:b w:val="1"/>
                <w:bCs w:val="1"/>
                <w:color w:val="auto"/>
              </w:rPr>
              <w:t>2022</w:t>
            </w:r>
          </w:p>
        </w:tc>
        <w:tc>
          <w:tcPr>
            <w:tcW w:w="260" w:type="dxa"/>
            <w:vAlign w:val="bottom"/>
          </w:tcPr>
          <w:p>
            <w:pPr>
              <w:spacing w:after="0"/>
              <w:rPr>
                <w:sz w:val="20"/>
                <w:szCs w:val="20"/>
                <w:color w:val="auto"/>
              </w:rPr>
            </w:pPr>
          </w:p>
        </w:tc>
        <w:tc>
          <w:tcPr>
            <w:tcW w:w="240" w:type="dxa"/>
            <w:vAlign w:val="bottom"/>
            <w:tcBorders>
              <w:bottom w:val="single" w:sz="8" w:color="auto"/>
            </w:tcBorders>
          </w:tcPr>
          <w:p>
            <w:pPr>
              <w:spacing w:after="0"/>
              <w:rPr>
                <w:sz w:val="20"/>
                <w:szCs w:val="20"/>
                <w:color w:val="auto"/>
              </w:rPr>
            </w:pPr>
          </w:p>
        </w:tc>
        <w:tc>
          <w:tcPr>
            <w:tcW w:w="840" w:type="dxa"/>
            <w:vAlign w:val="bottom"/>
            <w:tcBorders>
              <w:bottom w:val="single" w:sz="8" w:color="auto"/>
            </w:tcBorders>
          </w:tcPr>
          <w:p>
            <w:pPr>
              <w:jc w:val="right"/>
              <w:ind w:right="270"/>
              <w:spacing w:after="0"/>
              <w:rPr>
                <w:sz w:val="20"/>
                <w:szCs w:val="20"/>
                <w:color w:val="auto"/>
              </w:rPr>
            </w:pPr>
            <w:r>
              <w:rPr>
                <w:rFonts w:ascii="Arial" w:cs="Arial" w:eastAsia="Arial" w:hAnsi="Arial"/>
                <w:sz w:val="18"/>
                <w:szCs w:val="18"/>
                <w:b w:val="1"/>
                <w:bCs w:val="1"/>
                <w:color w:val="auto"/>
              </w:rPr>
              <w:t>2021</w:t>
            </w:r>
          </w:p>
        </w:tc>
        <w:tc>
          <w:tcPr>
            <w:tcW w:w="100" w:type="dxa"/>
            <w:vAlign w:val="bottom"/>
          </w:tcPr>
          <w:p>
            <w:pPr>
              <w:spacing w:after="0"/>
              <w:rPr>
                <w:sz w:val="20"/>
                <w:szCs w:val="20"/>
                <w:color w:val="auto"/>
              </w:rPr>
            </w:pPr>
          </w:p>
        </w:tc>
      </w:tr>
      <w:tr>
        <w:trPr>
          <w:trHeight w:val="209"/>
        </w:trPr>
        <w:tc>
          <w:tcPr>
            <w:tcW w:w="4400" w:type="dxa"/>
            <w:vAlign w:val="bottom"/>
            <w:shd w:val="clear" w:color="auto" w:fill="CFF0FC"/>
          </w:tcPr>
          <w:p>
            <w:pPr>
              <w:ind w:left="20"/>
              <w:spacing w:after="0"/>
              <w:rPr>
                <w:sz w:val="20"/>
                <w:szCs w:val="20"/>
                <w:color w:val="auto"/>
              </w:rPr>
            </w:pPr>
            <w:r>
              <w:rPr>
                <w:rFonts w:ascii="Arial" w:cs="Arial" w:eastAsia="Arial" w:hAnsi="Arial"/>
                <w:sz w:val="18"/>
                <w:szCs w:val="18"/>
                <w:color w:val="auto"/>
              </w:rPr>
              <w:t>Beginning balance</w:t>
            </w:r>
          </w:p>
        </w:tc>
        <w:tc>
          <w:tcPr>
            <w:tcW w:w="1400" w:type="dxa"/>
            <w:vAlign w:val="bottom"/>
            <w:shd w:val="clear" w:color="auto" w:fill="CFF0FC"/>
          </w:tcPr>
          <w:p>
            <w:pPr>
              <w:spacing w:after="0"/>
              <w:rPr>
                <w:sz w:val="18"/>
                <w:szCs w:val="18"/>
                <w:color w:val="auto"/>
              </w:rPr>
            </w:pPr>
          </w:p>
        </w:tc>
        <w:tc>
          <w:tcPr>
            <w:tcW w:w="260" w:type="dxa"/>
            <w:vAlign w:val="bottom"/>
            <w:shd w:val="clear" w:color="auto" w:fill="CFF0FC"/>
          </w:tcPr>
          <w:p>
            <w:pPr>
              <w:jc w:val="right"/>
              <w:ind w:right="70"/>
              <w:spacing w:after="0"/>
              <w:rPr>
                <w:sz w:val="20"/>
                <w:szCs w:val="20"/>
                <w:color w:val="auto"/>
              </w:rPr>
            </w:pPr>
            <w:r>
              <w:rPr>
                <w:rFonts w:ascii="Arial" w:cs="Arial" w:eastAsia="Arial" w:hAnsi="Arial"/>
                <w:sz w:val="18"/>
                <w:szCs w:val="18"/>
                <w:color w:val="auto"/>
                <w:w w:val="79"/>
              </w:rPr>
              <w:t>$</w:t>
            </w:r>
          </w:p>
        </w:tc>
        <w:tc>
          <w:tcPr>
            <w:tcW w:w="9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33,580</w:t>
            </w:r>
          </w:p>
        </w:tc>
        <w:tc>
          <w:tcPr>
            <w:tcW w:w="240" w:type="dxa"/>
            <w:vAlign w:val="bottom"/>
            <w:shd w:val="clear" w:color="auto" w:fill="CFF0FC"/>
          </w:tcPr>
          <w:p>
            <w:pPr>
              <w:spacing w:after="0"/>
              <w:rPr>
                <w:sz w:val="18"/>
                <w:szCs w:val="18"/>
                <w:color w:val="auto"/>
              </w:rPr>
            </w:pPr>
          </w:p>
        </w:tc>
        <w:tc>
          <w:tcPr>
            <w:tcW w:w="260" w:type="dxa"/>
            <w:vAlign w:val="bottom"/>
            <w:shd w:val="clear" w:color="auto" w:fill="CFF0FC"/>
          </w:tcPr>
          <w:p>
            <w:pPr>
              <w:jc w:val="right"/>
              <w:ind w:right="50"/>
              <w:spacing w:after="0"/>
              <w:rPr>
                <w:sz w:val="20"/>
                <w:szCs w:val="20"/>
                <w:color w:val="auto"/>
              </w:rPr>
            </w:pPr>
            <w:r>
              <w:rPr>
                <w:rFonts w:ascii="Arial" w:cs="Arial" w:eastAsia="Arial" w:hAnsi="Arial"/>
                <w:sz w:val="18"/>
                <w:szCs w:val="18"/>
                <w:color w:val="auto"/>
                <w:w w:val="99"/>
              </w:rPr>
              <w:t>$</w:t>
            </w:r>
          </w:p>
        </w:tc>
        <w:tc>
          <w:tcPr>
            <w:tcW w:w="9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24,957</w:t>
            </w:r>
          </w:p>
        </w:tc>
        <w:tc>
          <w:tcPr>
            <w:tcW w:w="320" w:type="dxa"/>
            <w:vAlign w:val="bottom"/>
            <w:shd w:val="clear" w:color="auto" w:fill="CFF0FC"/>
          </w:tcPr>
          <w:p>
            <w:pPr>
              <w:spacing w:after="0"/>
              <w:rPr>
                <w:sz w:val="18"/>
                <w:szCs w:val="18"/>
                <w:color w:val="auto"/>
              </w:rPr>
            </w:pPr>
          </w:p>
        </w:tc>
        <w:tc>
          <w:tcPr>
            <w:tcW w:w="240" w:type="dxa"/>
            <w:vAlign w:val="bottom"/>
            <w:shd w:val="clear" w:color="auto" w:fill="CFF0FC"/>
          </w:tcPr>
          <w:p>
            <w:pPr>
              <w:jc w:val="right"/>
              <w:ind w:right="50"/>
              <w:spacing w:after="0"/>
              <w:rPr>
                <w:sz w:val="20"/>
                <w:szCs w:val="20"/>
                <w:color w:val="auto"/>
              </w:rPr>
            </w:pPr>
            <w:r>
              <w:rPr>
                <w:rFonts w:ascii="Arial" w:cs="Arial" w:eastAsia="Arial" w:hAnsi="Arial"/>
                <w:sz w:val="18"/>
                <w:szCs w:val="18"/>
                <w:color w:val="auto"/>
                <w:w w:val="79"/>
              </w:rPr>
              <w:t>$</w:t>
            </w:r>
          </w:p>
        </w:tc>
        <w:tc>
          <w:tcPr>
            <w:tcW w:w="8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28,685</w:t>
            </w:r>
          </w:p>
        </w:tc>
        <w:tc>
          <w:tcPr>
            <w:tcW w:w="260" w:type="dxa"/>
            <w:vAlign w:val="bottom"/>
            <w:shd w:val="clear" w:color="auto" w:fill="CFF0FC"/>
          </w:tcPr>
          <w:p>
            <w:pPr>
              <w:spacing w:after="0"/>
              <w:rPr>
                <w:sz w:val="18"/>
                <w:szCs w:val="18"/>
                <w:color w:val="auto"/>
              </w:rPr>
            </w:pPr>
          </w:p>
        </w:tc>
        <w:tc>
          <w:tcPr>
            <w:tcW w:w="240" w:type="dxa"/>
            <w:vAlign w:val="bottom"/>
            <w:shd w:val="clear" w:color="auto" w:fill="CFF0FC"/>
          </w:tcPr>
          <w:p>
            <w:pPr>
              <w:jc w:val="right"/>
              <w:ind w:right="30"/>
              <w:spacing w:after="0"/>
              <w:rPr>
                <w:sz w:val="20"/>
                <w:szCs w:val="20"/>
                <w:color w:val="auto"/>
              </w:rPr>
            </w:pPr>
            <w:r>
              <w:rPr>
                <w:rFonts w:ascii="Arial" w:cs="Arial" w:eastAsia="Arial" w:hAnsi="Arial"/>
                <w:sz w:val="18"/>
                <w:szCs w:val="18"/>
                <w:color w:val="auto"/>
                <w:w w:val="99"/>
              </w:rPr>
              <w:t>$</w:t>
            </w:r>
          </w:p>
        </w:tc>
        <w:tc>
          <w:tcPr>
            <w:tcW w:w="8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19,440</w:t>
            </w:r>
          </w:p>
        </w:tc>
        <w:tc>
          <w:tcPr>
            <w:tcW w:w="100" w:type="dxa"/>
            <w:vAlign w:val="bottom"/>
            <w:shd w:val="clear" w:color="auto" w:fill="CFF0FC"/>
          </w:tcPr>
          <w:p>
            <w:pPr>
              <w:spacing w:after="0"/>
              <w:rPr>
                <w:sz w:val="18"/>
                <w:szCs w:val="18"/>
                <w:color w:val="auto"/>
              </w:rPr>
            </w:pPr>
          </w:p>
        </w:tc>
      </w:tr>
      <w:tr>
        <w:trPr>
          <w:trHeight w:val="216"/>
        </w:trPr>
        <w:tc>
          <w:tcPr>
            <w:tcW w:w="4400" w:type="dxa"/>
            <w:vAlign w:val="bottom"/>
          </w:tcPr>
          <w:p>
            <w:pPr>
              <w:ind w:left="20"/>
              <w:spacing w:after="0"/>
              <w:rPr>
                <w:sz w:val="20"/>
                <w:szCs w:val="20"/>
                <w:color w:val="auto"/>
              </w:rPr>
            </w:pPr>
            <w:r>
              <w:rPr>
                <w:rFonts w:ascii="Arial" w:cs="Arial" w:eastAsia="Arial" w:hAnsi="Arial"/>
                <w:sz w:val="18"/>
                <w:szCs w:val="18"/>
                <w:color w:val="auto"/>
              </w:rPr>
              <w:t>Additions to deferred commissions</w:t>
            </w:r>
          </w:p>
        </w:tc>
        <w:tc>
          <w:tcPr>
            <w:tcW w:w="14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5,244</w:t>
            </w:r>
          </w:p>
        </w:tc>
        <w:tc>
          <w:tcPr>
            <w:tcW w:w="2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3,002</w:t>
            </w:r>
          </w:p>
        </w:tc>
        <w:tc>
          <w:tcPr>
            <w:tcW w:w="3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14,501</w:t>
            </w:r>
          </w:p>
        </w:tc>
        <w:tc>
          <w:tcPr>
            <w:tcW w:w="2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11,506</w:t>
            </w:r>
          </w:p>
        </w:tc>
        <w:tc>
          <w:tcPr>
            <w:tcW w:w="100" w:type="dxa"/>
            <w:vAlign w:val="bottom"/>
          </w:tcPr>
          <w:p>
            <w:pPr>
              <w:spacing w:after="0"/>
              <w:rPr>
                <w:sz w:val="18"/>
                <w:szCs w:val="18"/>
                <w:color w:val="auto"/>
              </w:rPr>
            </w:pPr>
          </w:p>
        </w:tc>
      </w:tr>
      <w:tr>
        <w:trPr>
          <w:trHeight w:val="216"/>
        </w:trPr>
        <w:tc>
          <w:tcPr>
            <w:tcW w:w="4400" w:type="dxa"/>
            <w:vAlign w:val="bottom"/>
            <w:shd w:val="clear" w:color="auto" w:fill="CFF0FC"/>
          </w:tcPr>
          <w:p>
            <w:pPr>
              <w:ind w:left="20"/>
              <w:spacing w:after="0"/>
              <w:rPr>
                <w:sz w:val="20"/>
                <w:szCs w:val="20"/>
                <w:color w:val="auto"/>
              </w:rPr>
            </w:pPr>
            <w:r>
              <w:rPr>
                <w:rFonts w:ascii="Arial" w:cs="Arial" w:eastAsia="Arial" w:hAnsi="Arial"/>
                <w:sz w:val="18"/>
                <w:szCs w:val="18"/>
                <w:color w:val="auto"/>
              </w:rPr>
              <w:t>Amortization of deferred commissions</w:t>
            </w:r>
          </w:p>
        </w:tc>
        <w:tc>
          <w:tcPr>
            <w:tcW w:w="1400" w:type="dxa"/>
            <w:vAlign w:val="bottom"/>
            <w:shd w:val="clear" w:color="auto" w:fill="CFF0FC"/>
          </w:tcPr>
          <w:p>
            <w:pPr>
              <w:spacing w:after="0"/>
              <w:rPr>
                <w:sz w:val="18"/>
                <w:szCs w:val="18"/>
                <w:color w:val="auto"/>
              </w:rPr>
            </w:pPr>
          </w:p>
        </w:tc>
        <w:tc>
          <w:tcPr>
            <w:tcW w:w="260" w:type="dxa"/>
            <w:vAlign w:val="bottom"/>
            <w:shd w:val="clear" w:color="auto" w:fill="CFF0FC"/>
          </w:tcPr>
          <w:p>
            <w:pPr>
              <w:spacing w:after="0"/>
              <w:rPr>
                <w:sz w:val="18"/>
                <w:szCs w:val="18"/>
                <w:color w:val="auto"/>
              </w:rPr>
            </w:pPr>
          </w:p>
        </w:tc>
        <w:tc>
          <w:tcPr>
            <w:tcW w:w="1140" w:type="dxa"/>
            <w:vAlign w:val="bottom"/>
            <w:gridSpan w:val="2"/>
            <w:shd w:val="clear" w:color="auto" w:fill="CFF0FC"/>
          </w:tcPr>
          <w:p>
            <w:pPr>
              <w:jc w:val="right"/>
              <w:ind w:right="180"/>
              <w:spacing w:after="0"/>
              <w:rPr>
                <w:sz w:val="20"/>
                <w:szCs w:val="20"/>
                <w:color w:val="auto"/>
              </w:rPr>
            </w:pPr>
            <w:r>
              <w:rPr>
                <w:rFonts w:ascii="Arial" w:cs="Arial" w:eastAsia="Arial" w:hAnsi="Arial"/>
                <w:sz w:val="18"/>
                <w:szCs w:val="18"/>
                <w:color w:val="auto"/>
              </w:rPr>
              <w:t>(2,551 )</w:t>
            </w:r>
          </w:p>
        </w:tc>
        <w:tc>
          <w:tcPr>
            <w:tcW w:w="260" w:type="dxa"/>
            <w:vAlign w:val="bottom"/>
            <w:shd w:val="clear" w:color="auto" w:fill="CFF0FC"/>
          </w:tcPr>
          <w:p>
            <w:pPr>
              <w:spacing w:after="0"/>
              <w:rPr>
                <w:sz w:val="18"/>
                <w:szCs w:val="18"/>
                <w:color w:val="auto"/>
              </w:rPr>
            </w:pPr>
          </w:p>
        </w:tc>
        <w:tc>
          <w:tcPr>
            <w:tcW w:w="1220" w:type="dxa"/>
            <w:vAlign w:val="bottom"/>
            <w:gridSpan w:val="2"/>
            <w:shd w:val="clear" w:color="auto" w:fill="CFF0FC"/>
          </w:tcPr>
          <w:p>
            <w:pPr>
              <w:jc w:val="right"/>
              <w:ind w:right="240"/>
              <w:spacing w:after="0"/>
              <w:rPr>
                <w:sz w:val="20"/>
                <w:szCs w:val="20"/>
                <w:color w:val="auto"/>
              </w:rPr>
            </w:pPr>
            <w:r>
              <w:rPr>
                <w:rFonts w:ascii="Arial" w:cs="Arial" w:eastAsia="Arial" w:hAnsi="Arial"/>
                <w:sz w:val="18"/>
                <w:szCs w:val="18"/>
                <w:color w:val="auto"/>
              </w:rPr>
              <w:t>(1,849 )</w:t>
            </w:r>
          </w:p>
        </w:tc>
        <w:tc>
          <w:tcPr>
            <w:tcW w:w="240" w:type="dxa"/>
            <w:vAlign w:val="bottom"/>
            <w:shd w:val="clear" w:color="auto" w:fill="CFF0FC"/>
          </w:tcPr>
          <w:p>
            <w:pPr>
              <w:spacing w:after="0"/>
              <w:rPr>
                <w:sz w:val="18"/>
                <w:szCs w:val="18"/>
                <w:color w:val="auto"/>
              </w:rPr>
            </w:pPr>
          </w:p>
        </w:tc>
        <w:tc>
          <w:tcPr>
            <w:tcW w:w="1140" w:type="dxa"/>
            <w:vAlign w:val="bottom"/>
            <w:gridSpan w:val="2"/>
            <w:shd w:val="clear" w:color="auto" w:fill="CFF0FC"/>
          </w:tcPr>
          <w:p>
            <w:pPr>
              <w:jc w:val="right"/>
              <w:ind w:right="180"/>
              <w:spacing w:after="0"/>
              <w:rPr>
                <w:sz w:val="20"/>
                <w:szCs w:val="20"/>
                <w:color w:val="auto"/>
              </w:rPr>
            </w:pPr>
            <w:r>
              <w:rPr>
                <w:rFonts w:ascii="Arial" w:cs="Arial" w:eastAsia="Arial" w:hAnsi="Arial"/>
                <w:sz w:val="18"/>
                <w:szCs w:val="18"/>
                <w:color w:val="auto"/>
              </w:rPr>
              <w:t>(6,913 )</w:t>
            </w:r>
          </w:p>
        </w:tc>
        <w:tc>
          <w:tcPr>
            <w:tcW w:w="240" w:type="dxa"/>
            <w:vAlign w:val="bottom"/>
            <w:shd w:val="clear" w:color="auto" w:fill="CFF0FC"/>
          </w:tcPr>
          <w:p>
            <w:pPr>
              <w:spacing w:after="0"/>
              <w:rPr>
                <w:sz w:val="18"/>
                <w:szCs w:val="18"/>
                <w:color w:val="auto"/>
              </w:rPr>
            </w:pPr>
          </w:p>
        </w:tc>
        <w:tc>
          <w:tcPr>
            <w:tcW w:w="940" w:type="dxa"/>
            <w:vAlign w:val="bottom"/>
            <w:gridSpan w:val="2"/>
            <w:shd w:val="clear" w:color="auto" w:fill="CFF0FC"/>
          </w:tcPr>
          <w:p>
            <w:pPr>
              <w:jc w:val="right"/>
              <w:ind w:right="40"/>
              <w:spacing w:after="0"/>
              <w:rPr>
                <w:sz w:val="20"/>
                <w:szCs w:val="20"/>
                <w:color w:val="auto"/>
              </w:rPr>
            </w:pPr>
            <w:r>
              <w:rPr>
                <w:rFonts w:ascii="Arial" w:cs="Arial" w:eastAsia="Arial" w:hAnsi="Arial"/>
                <w:sz w:val="18"/>
                <w:szCs w:val="18"/>
                <w:color w:val="auto"/>
              </w:rPr>
              <w:t>(4,836 )</w:t>
            </w:r>
          </w:p>
        </w:tc>
      </w:tr>
      <w:tr>
        <w:trPr>
          <w:trHeight w:val="209"/>
        </w:trPr>
        <w:tc>
          <w:tcPr>
            <w:tcW w:w="4400" w:type="dxa"/>
            <w:vAlign w:val="bottom"/>
            <w:tcBorders>
              <w:top w:val="single" w:sz="8" w:color="CFF0FC"/>
            </w:tcBorders>
          </w:tcPr>
          <w:p>
            <w:pPr>
              <w:ind w:left="20"/>
              <w:spacing w:after="0"/>
              <w:rPr>
                <w:sz w:val="20"/>
                <w:szCs w:val="20"/>
                <w:color w:val="auto"/>
              </w:rPr>
            </w:pPr>
            <w:r>
              <w:rPr>
                <w:rFonts w:ascii="Arial" w:cs="Arial" w:eastAsia="Arial" w:hAnsi="Arial"/>
                <w:sz w:val="18"/>
                <w:szCs w:val="18"/>
                <w:color w:val="auto"/>
              </w:rPr>
              <w:t>Ending balance</w:t>
            </w:r>
          </w:p>
        </w:tc>
        <w:tc>
          <w:tcPr>
            <w:tcW w:w="1400" w:type="dxa"/>
            <w:vAlign w:val="bottom"/>
            <w:tcBorders>
              <w:top w:val="single" w:sz="8" w:color="CFF0FC"/>
            </w:tcBorders>
          </w:tcPr>
          <w:p>
            <w:pPr>
              <w:spacing w:after="0"/>
              <w:rPr>
                <w:sz w:val="18"/>
                <w:szCs w:val="18"/>
                <w:color w:val="auto"/>
              </w:rPr>
            </w:pPr>
          </w:p>
        </w:tc>
        <w:tc>
          <w:tcPr>
            <w:tcW w:w="260" w:type="dxa"/>
            <w:vAlign w:val="bottom"/>
            <w:tcBorders>
              <w:top w:val="single" w:sz="8" w:color="auto"/>
              <w:bottom w:val="single" w:sz="8" w:color="auto"/>
            </w:tcBorders>
          </w:tcPr>
          <w:p>
            <w:pPr>
              <w:spacing w:after="0"/>
              <w:rPr>
                <w:sz w:val="18"/>
                <w:szCs w:val="18"/>
                <w:color w:val="auto"/>
              </w:rPr>
            </w:pPr>
          </w:p>
        </w:tc>
        <w:tc>
          <w:tcPr>
            <w:tcW w:w="9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36,273</w:t>
            </w:r>
          </w:p>
        </w:tc>
        <w:tc>
          <w:tcPr>
            <w:tcW w:w="240" w:type="dxa"/>
            <w:vAlign w:val="bottom"/>
            <w:tcBorders>
              <w:top w:val="single" w:sz="8" w:color="CFF0FC"/>
            </w:tcBorders>
          </w:tcPr>
          <w:p>
            <w:pPr>
              <w:spacing w:after="0"/>
              <w:rPr>
                <w:sz w:val="18"/>
                <w:szCs w:val="18"/>
                <w:color w:val="auto"/>
              </w:rPr>
            </w:pPr>
          </w:p>
        </w:tc>
        <w:tc>
          <w:tcPr>
            <w:tcW w:w="260" w:type="dxa"/>
            <w:vAlign w:val="bottom"/>
            <w:tcBorders>
              <w:top w:val="single" w:sz="8" w:color="auto"/>
              <w:bottom w:val="single" w:sz="8" w:color="auto"/>
            </w:tcBorders>
          </w:tcPr>
          <w:p>
            <w:pPr>
              <w:spacing w:after="0"/>
              <w:rPr>
                <w:sz w:val="18"/>
                <w:szCs w:val="18"/>
                <w:color w:val="auto"/>
              </w:rPr>
            </w:pPr>
          </w:p>
        </w:tc>
        <w:tc>
          <w:tcPr>
            <w:tcW w:w="9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26,110</w:t>
            </w:r>
          </w:p>
        </w:tc>
        <w:tc>
          <w:tcPr>
            <w:tcW w:w="320" w:type="dxa"/>
            <w:vAlign w:val="bottom"/>
            <w:tcBorders>
              <w:top w:val="single" w:sz="8" w:color="CFF0FC"/>
            </w:tcBorders>
          </w:tcPr>
          <w:p>
            <w:pPr>
              <w:spacing w:after="0"/>
              <w:rPr>
                <w:sz w:val="18"/>
                <w:szCs w:val="18"/>
                <w:color w:val="auto"/>
              </w:rPr>
            </w:pPr>
          </w:p>
        </w:tc>
        <w:tc>
          <w:tcPr>
            <w:tcW w:w="240" w:type="dxa"/>
            <w:vAlign w:val="bottom"/>
            <w:tcBorders>
              <w:top w:val="single" w:sz="8" w:color="auto"/>
              <w:bottom w:val="single" w:sz="8" w:color="auto"/>
            </w:tcBorders>
          </w:tcPr>
          <w:p>
            <w:pPr>
              <w:spacing w:after="0"/>
              <w:rPr>
                <w:sz w:val="18"/>
                <w:szCs w:val="18"/>
                <w:color w:val="auto"/>
              </w:rPr>
            </w:pPr>
          </w:p>
        </w:tc>
        <w:tc>
          <w:tcPr>
            <w:tcW w:w="8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36,273</w:t>
            </w:r>
          </w:p>
        </w:tc>
        <w:tc>
          <w:tcPr>
            <w:tcW w:w="260" w:type="dxa"/>
            <w:vAlign w:val="bottom"/>
            <w:tcBorders>
              <w:top w:val="single" w:sz="8" w:color="CFF0FC"/>
            </w:tcBorders>
          </w:tcPr>
          <w:p>
            <w:pPr>
              <w:spacing w:after="0"/>
              <w:rPr>
                <w:sz w:val="18"/>
                <w:szCs w:val="18"/>
                <w:color w:val="auto"/>
              </w:rPr>
            </w:pPr>
          </w:p>
        </w:tc>
        <w:tc>
          <w:tcPr>
            <w:tcW w:w="240" w:type="dxa"/>
            <w:vAlign w:val="bottom"/>
            <w:tcBorders>
              <w:top w:val="single" w:sz="8" w:color="auto"/>
              <w:bottom w:val="single" w:sz="8" w:color="auto"/>
            </w:tcBorders>
          </w:tcPr>
          <w:p>
            <w:pPr>
              <w:spacing w:after="0"/>
              <w:rPr>
                <w:sz w:val="18"/>
                <w:szCs w:val="18"/>
                <w:color w:val="auto"/>
              </w:rPr>
            </w:pPr>
          </w:p>
        </w:tc>
        <w:tc>
          <w:tcPr>
            <w:tcW w:w="8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26,110</w:t>
            </w:r>
          </w:p>
        </w:tc>
        <w:tc>
          <w:tcPr>
            <w:tcW w:w="100" w:type="dxa"/>
            <w:vAlign w:val="bottom"/>
            <w:tcBorders>
              <w:top w:val="single" w:sz="8" w:color="CFF0FC"/>
            </w:tcBorders>
          </w:tcPr>
          <w:p>
            <w:pPr>
              <w:spacing w:after="0"/>
              <w:rPr>
                <w:sz w:val="18"/>
                <w:szCs w:val="18"/>
                <w:color w:val="auto"/>
              </w:rPr>
            </w:pPr>
          </w:p>
        </w:tc>
      </w:tr>
      <w:tr>
        <w:trPr>
          <w:trHeight w:val="209"/>
        </w:trPr>
        <w:tc>
          <w:tcPr>
            <w:tcW w:w="4400" w:type="dxa"/>
            <w:vAlign w:val="bottom"/>
            <w:shd w:val="clear" w:color="auto" w:fill="CFF0FC"/>
          </w:tcPr>
          <w:p>
            <w:pPr>
              <w:ind w:left="20"/>
              <w:spacing w:after="0"/>
              <w:rPr>
                <w:sz w:val="20"/>
                <w:szCs w:val="20"/>
                <w:color w:val="auto"/>
              </w:rPr>
            </w:pPr>
            <w:r>
              <w:rPr>
                <w:rFonts w:ascii="Arial" w:cs="Arial" w:eastAsia="Arial" w:hAnsi="Arial"/>
                <w:sz w:val="18"/>
                <w:szCs w:val="18"/>
                <w:color w:val="auto"/>
              </w:rPr>
              <w:t>Deferred commissions, current portion</w:t>
            </w:r>
          </w:p>
        </w:tc>
        <w:tc>
          <w:tcPr>
            <w:tcW w:w="1400" w:type="dxa"/>
            <w:vAlign w:val="bottom"/>
            <w:shd w:val="clear" w:color="auto" w:fill="CFF0FC"/>
          </w:tcPr>
          <w:p>
            <w:pPr>
              <w:spacing w:after="0"/>
              <w:rPr>
                <w:sz w:val="18"/>
                <w:szCs w:val="18"/>
                <w:color w:val="auto"/>
              </w:rPr>
            </w:pPr>
          </w:p>
        </w:tc>
        <w:tc>
          <w:tcPr>
            <w:tcW w:w="260" w:type="dxa"/>
            <w:vAlign w:val="bottom"/>
            <w:shd w:val="clear" w:color="auto" w:fill="CFF0FC"/>
          </w:tcPr>
          <w:p>
            <w:pPr>
              <w:spacing w:after="0"/>
              <w:rPr>
                <w:sz w:val="18"/>
                <w:szCs w:val="18"/>
                <w:color w:val="auto"/>
              </w:rPr>
            </w:pPr>
          </w:p>
        </w:tc>
        <w:tc>
          <w:tcPr>
            <w:tcW w:w="9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10,526</w:t>
            </w:r>
          </w:p>
        </w:tc>
        <w:tc>
          <w:tcPr>
            <w:tcW w:w="240" w:type="dxa"/>
            <w:vAlign w:val="bottom"/>
            <w:shd w:val="clear" w:color="auto" w:fill="CFF0FC"/>
          </w:tcPr>
          <w:p>
            <w:pPr>
              <w:spacing w:after="0"/>
              <w:rPr>
                <w:sz w:val="18"/>
                <w:szCs w:val="18"/>
                <w:color w:val="auto"/>
              </w:rPr>
            </w:pPr>
          </w:p>
        </w:tc>
        <w:tc>
          <w:tcPr>
            <w:tcW w:w="260" w:type="dxa"/>
            <w:vAlign w:val="bottom"/>
            <w:shd w:val="clear" w:color="auto" w:fill="CFF0FC"/>
          </w:tcPr>
          <w:p>
            <w:pPr>
              <w:spacing w:after="0"/>
              <w:rPr>
                <w:sz w:val="18"/>
                <w:szCs w:val="18"/>
                <w:color w:val="auto"/>
              </w:rPr>
            </w:pPr>
          </w:p>
        </w:tc>
        <w:tc>
          <w:tcPr>
            <w:tcW w:w="9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7,427</w:t>
            </w:r>
          </w:p>
        </w:tc>
        <w:tc>
          <w:tcPr>
            <w:tcW w:w="320" w:type="dxa"/>
            <w:vAlign w:val="bottom"/>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8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10,526</w:t>
            </w:r>
          </w:p>
        </w:tc>
        <w:tc>
          <w:tcPr>
            <w:tcW w:w="260" w:type="dxa"/>
            <w:vAlign w:val="bottom"/>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8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7,427</w:t>
            </w:r>
          </w:p>
        </w:tc>
        <w:tc>
          <w:tcPr>
            <w:tcW w:w="100" w:type="dxa"/>
            <w:vAlign w:val="bottom"/>
            <w:shd w:val="clear" w:color="auto" w:fill="CFF0FC"/>
          </w:tcPr>
          <w:p>
            <w:pPr>
              <w:spacing w:after="0"/>
              <w:rPr>
                <w:sz w:val="18"/>
                <w:szCs w:val="18"/>
                <w:color w:val="auto"/>
              </w:rPr>
            </w:pPr>
          </w:p>
        </w:tc>
      </w:tr>
      <w:tr>
        <w:trPr>
          <w:trHeight w:val="216"/>
        </w:trPr>
        <w:tc>
          <w:tcPr>
            <w:tcW w:w="4400" w:type="dxa"/>
            <w:vAlign w:val="bottom"/>
          </w:tcPr>
          <w:p>
            <w:pPr>
              <w:ind w:left="20"/>
              <w:spacing w:after="0"/>
              <w:rPr>
                <w:sz w:val="20"/>
                <w:szCs w:val="20"/>
                <w:color w:val="auto"/>
              </w:rPr>
            </w:pPr>
            <w:r>
              <w:rPr>
                <w:rFonts w:ascii="Arial" w:cs="Arial" w:eastAsia="Arial" w:hAnsi="Arial"/>
                <w:sz w:val="18"/>
                <w:szCs w:val="18"/>
                <w:color w:val="auto"/>
              </w:rPr>
              <w:t>Deferred commissions, net of current portion</w:t>
            </w:r>
          </w:p>
        </w:tc>
        <w:tc>
          <w:tcPr>
            <w:tcW w:w="1400" w:type="dxa"/>
            <w:vAlign w:val="bottom"/>
          </w:tcPr>
          <w:p>
            <w:pPr>
              <w:spacing w:after="0"/>
              <w:rPr>
                <w:sz w:val="18"/>
                <w:szCs w:val="18"/>
                <w:color w:val="auto"/>
              </w:rPr>
            </w:pPr>
          </w:p>
        </w:tc>
        <w:tc>
          <w:tcPr>
            <w:tcW w:w="260" w:type="dxa"/>
            <w:vAlign w:val="bottom"/>
            <w:tcBorders>
              <w:bottom w:val="single" w:sz="8" w:color="auto"/>
            </w:tcBorders>
          </w:tcPr>
          <w:p>
            <w:pPr>
              <w:spacing w:after="0"/>
              <w:rPr>
                <w:sz w:val="18"/>
                <w:szCs w:val="18"/>
                <w:color w:val="auto"/>
              </w:rPr>
            </w:pP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25,747</w:t>
            </w:r>
          </w:p>
        </w:tc>
        <w:tc>
          <w:tcPr>
            <w:tcW w:w="240" w:type="dxa"/>
            <w:vAlign w:val="bottom"/>
          </w:tcPr>
          <w:p>
            <w:pPr>
              <w:spacing w:after="0"/>
              <w:rPr>
                <w:sz w:val="18"/>
                <w:szCs w:val="18"/>
                <w:color w:val="auto"/>
              </w:rPr>
            </w:pPr>
          </w:p>
        </w:tc>
        <w:tc>
          <w:tcPr>
            <w:tcW w:w="260" w:type="dxa"/>
            <w:vAlign w:val="bottom"/>
            <w:tcBorders>
              <w:bottom w:val="single" w:sz="8" w:color="auto"/>
            </w:tcBorders>
          </w:tcPr>
          <w:p>
            <w:pPr>
              <w:spacing w:after="0"/>
              <w:rPr>
                <w:sz w:val="18"/>
                <w:szCs w:val="18"/>
                <w:color w:val="auto"/>
              </w:rPr>
            </w:pP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18,683</w:t>
            </w:r>
          </w:p>
        </w:tc>
        <w:tc>
          <w:tcPr>
            <w:tcW w:w="320" w:type="dxa"/>
            <w:vAlign w:val="bottom"/>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25,747</w:t>
            </w:r>
          </w:p>
        </w:tc>
        <w:tc>
          <w:tcPr>
            <w:tcW w:w="260" w:type="dxa"/>
            <w:vAlign w:val="bottom"/>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18,683</w:t>
            </w:r>
          </w:p>
        </w:tc>
        <w:tc>
          <w:tcPr>
            <w:tcW w:w="100" w:type="dxa"/>
            <w:vAlign w:val="bottom"/>
          </w:tcPr>
          <w:p>
            <w:pPr>
              <w:spacing w:after="0"/>
              <w:rPr>
                <w:sz w:val="18"/>
                <w:szCs w:val="18"/>
                <w:color w:val="auto"/>
              </w:rPr>
            </w:pPr>
          </w:p>
        </w:tc>
      </w:tr>
      <w:tr>
        <w:trPr>
          <w:trHeight w:val="249"/>
        </w:trPr>
        <w:tc>
          <w:tcPr>
            <w:tcW w:w="4400" w:type="dxa"/>
            <w:vAlign w:val="bottom"/>
            <w:tcBorders>
              <w:bottom w:val="single" w:sz="8" w:color="CFF0FC"/>
            </w:tcBorders>
            <w:shd w:val="clear" w:color="auto" w:fill="CFF0FC"/>
          </w:tcPr>
          <w:p>
            <w:pPr>
              <w:ind w:left="20"/>
              <w:spacing w:after="0"/>
              <w:rPr>
                <w:sz w:val="20"/>
                <w:szCs w:val="20"/>
                <w:color w:val="auto"/>
              </w:rPr>
            </w:pPr>
            <w:r>
              <w:rPr>
                <w:rFonts w:ascii="Arial" w:cs="Arial" w:eastAsia="Arial" w:hAnsi="Arial"/>
                <w:sz w:val="18"/>
                <w:szCs w:val="18"/>
                <w:color w:val="auto"/>
              </w:rPr>
              <w:t>Total deferred commissions</w:t>
            </w:r>
          </w:p>
        </w:tc>
        <w:tc>
          <w:tcPr>
            <w:tcW w:w="1400" w:type="dxa"/>
            <w:vAlign w:val="bottom"/>
            <w:tcBorders>
              <w:bottom w:val="single" w:sz="8" w:color="CFF0FC"/>
            </w:tcBorders>
            <w:shd w:val="clear" w:color="auto" w:fill="CFF0FC"/>
          </w:tcPr>
          <w:p>
            <w:pPr>
              <w:spacing w:after="0"/>
              <w:rPr>
                <w:sz w:val="21"/>
                <w:szCs w:val="21"/>
                <w:color w:val="auto"/>
              </w:rPr>
            </w:pPr>
          </w:p>
        </w:tc>
        <w:tc>
          <w:tcPr>
            <w:tcW w:w="260" w:type="dxa"/>
            <w:vAlign w:val="bottom"/>
            <w:tcBorders>
              <w:bottom w:val="single" w:sz="8" w:color="auto"/>
            </w:tcBorders>
            <w:shd w:val="clear" w:color="auto" w:fill="CFF0FC"/>
          </w:tcPr>
          <w:p>
            <w:pPr>
              <w:jc w:val="right"/>
              <w:ind w:right="70"/>
              <w:spacing w:after="0"/>
              <w:rPr>
                <w:sz w:val="20"/>
                <w:szCs w:val="20"/>
                <w:color w:val="auto"/>
              </w:rPr>
            </w:pPr>
            <w:r>
              <w:rPr>
                <w:rFonts w:ascii="Arial" w:cs="Arial" w:eastAsia="Arial" w:hAnsi="Arial"/>
                <w:sz w:val="18"/>
                <w:szCs w:val="18"/>
                <w:color w:val="auto"/>
                <w:w w:val="79"/>
              </w:rPr>
              <w:t>$</w:t>
            </w:r>
          </w:p>
        </w:tc>
        <w:tc>
          <w:tcPr>
            <w:tcW w:w="9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36,273</w:t>
            </w:r>
          </w:p>
        </w:tc>
        <w:tc>
          <w:tcPr>
            <w:tcW w:w="240" w:type="dxa"/>
            <w:vAlign w:val="bottom"/>
            <w:tcBorders>
              <w:bottom w:val="single" w:sz="8" w:color="CFF0FC"/>
            </w:tcBorders>
            <w:shd w:val="clear" w:color="auto" w:fill="CFF0FC"/>
          </w:tcPr>
          <w:p>
            <w:pPr>
              <w:spacing w:after="0"/>
              <w:rPr>
                <w:sz w:val="21"/>
                <w:szCs w:val="21"/>
                <w:color w:val="auto"/>
              </w:rPr>
            </w:pPr>
          </w:p>
        </w:tc>
        <w:tc>
          <w:tcPr>
            <w:tcW w:w="260" w:type="dxa"/>
            <w:vAlign w:val="bottom"/>
            <w:tcBorders>
              <w:bottom w:val="single" w:sz="8" w:color="auto"/>
            </w:tcBorders>
            <w:shd w:val="clear" w:color="auto" w:fill="CFF0FC"/>
          </w:tcPr>
          <w:p>
            <w:pPr>
              <w:jc w:val="right"/>
              <w:ind w:right="50"/>
              <w:spacing w:after="0"/>
              <w:rPr>
                <w:sz w:val="20"/>
                <w:szCs w:val="20"/>
                <w:color w:val="auto"/>
              </w:rPr>
            </w:pPr>
            <w:r>
              <w:rPr>
                <w:rFonts w:ascii="Arial" w:cs="Arial" w:eastAsia="Arial" w:hAnsi="Arial"/>
                <w:sz w:val="18"/>
                <w:szCs w:val="18"/>
                <w:color w:val="auto"/>
                <w:w w:val="99"/>
              </w:rPr>
              <w:t>$</w:t>
            </w:r>
          </w:p>
        </w:tc>
        <w:tc>
          <w:tcPr>
            <w:tcW w:w="9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26,110</w:t>
            </w:r>
          </w:p>
        </w:tc>
        <w:tc>
          <w:tcPr>
            <w:tcW w:w="320" w:type="dxa"/>
            <w:vAlign w:val="bottom"/>
            <w:tcBorders>
              <w:bottom w:val="single" w:sz="8" w:color="CFF0FC"/>
            </w:tcBorders>
            <w:shd w:val="clear" w:color="auto" w:fill="CFF0FC"/>
          </w:tcPr>
          <w:p>
            <w:pPr>
              <w:spacing w:after="0"/>
              <w:rPr>
                <w:sz w:val="21"/>
                <w:szCs w:val="21"/>
                <w:color w:val="auto"/>
              </w:rPr>
            </w:pPr>
          </w:p>
        </w:tc>
        <w:tc>
          <w:tcPr>
            <w:tcW w:w="240" w:type="dxa"/>
            <w:vAlign w:val="bottom"/>
            <w:tcBorders>
              <w:bottom w:val="single" w:sz="8" w:color="auto"/>
            </w:tcBorders>
            <w:shd w:val="clear" w:color="auto" w:fill="CFF0FC"/>
          </w:tcPr>
          <w:p>
            <w:pPr>
              <w:jc w:val="right"/>
              <w:ind w:right="50"/>
              <w:spacing w:after="0"/>
              <w:rPr>
                <w:sz w:val="20"/>
                <w:szCs w:val="20"/>
                <w:color w:val="auto"/>
              </w:rPr>
            </w:pPr>
            <w:r>
              <w:rPr>
                <w:rFonts w:ascii="Arial" w:cs="Arial" w:eastAsia="Arial" w:hAnsi="Arial"/>
                <w:sz w:val="18"/>
                <w:szCs w:val="18"/>
                <w:color w:val="auto"/>
                <w:w w:val="79"/>
              </w:rPr>
              <w:t>$</w:t>
            </w:r>
          </w:p>
        </w:tc>
        <w:tc>
          <w:tcPr>
            <w:tcW w:w="8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36,273</w:t>
            </w:r>
          </w:p>
        </w:tc>
        <w:tc>
          <w:tcPr>
            <w:tcW w:w="260" w:type="dxa"/>
            <w:vAlign w:val="bottom"/>
            <w:tcBorders>
              <w:bottom w:val="single" w:sz="8" w:color="CFF0FC"/>
            </w:tcBorders>
            <w:shd w:val="clear" w:color="auto" w:fill="CFF0FC"/>
          </w:tcPr>
          <w:p>
            <w:pPr>
              <w:spacing w:after="0"/>
              <w:rPr>
                <w:sz w:val="21"/>
                <w:szCs w:val="21"/>
                <w:color w:val="auto"/>
              </w:rPr>
            </w:pPr>
          </w:p>
        </w:tc>
        <w:tc>
          <w:tcPr>
            <w:tcW w:w="240" w:type="dxa"/>
            <w:vAlign w:val="bottom"/>
            <w:tcBorders>
              <w:bottom w:val="single" w:sz="8" w:color="auto"/>
            </w:tcBorders>
            <w:shd w:val="clear" w:color="auto" w:fill="CFF0FC"/>
          </w:tcPr>
          <w:p>
            <w:pPr>
              <w:jc w:val="right"/>
              <w:ind w:right="30"/>
              <w:spacing w:after="0"/>
              <w:rPr>
                <w:sz w:val="20"/>
                <w:szCs w:val="20"/>
                <w:color w:val="auto"/>
              </w:rPr>
            </w:pPr>
            <w:r>
              <w:rPr>
                <w:rFonts w:ascii="Arial" w:cs="Arial" w:eastAsia="Arial" w:hAnsi="Arial"/>
                <w:sz w:val="18"/>
                <w:szCs w:val="18"/>
                <w:color w:val="auto"/>
                <w:w w:val="99"/>
              </w:rPr>
              <w:t>$</w:t>
            </w:r>
          </w:p>
        </w:tc>
        <w:tc>
          <w:tcPr>
            <w:tcW w:w="8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26,110</w:t>
            </w:r>
          </w:p>
        </w:tc>
        <w:tc>
          <w:tcPr>
            <w:tcW w:w="100" w:type="dxa"/>
            <w:vAlign w:val="bottom"/>
            <w:tcBorders>
              <w:bottom w:val="single" w:sz="8" w:color="CFF0FC"/>
            </w:tcBorders>
            <w:shd w:val="clear" w:color="auto" w:fill="CFF0FC"/>
          </w:tcPr>
          <w:p>
            <w:pPr>
              <w:spacing w:after="0"/>
              <w:rPr>
                <w:sz w:val="21"/>
                <w:szCs w:val="21"/>
                <w:color w:val="auto"/>
              </w:rPr>
            </w:pPr>
          </w:p>
        </w:tc>
      </w:tr>
      <w:tr>
        <w:trPr>
          <w:trHeight w:val="506"/>
        </w:trPr>
        <w:tc>
          <w:tcPr>
            <w:tcW w:w="4400" w:type="dxa"/>
            <w:vAlign w:val="bottom"/>
          </w:tcPr>
          <w:p>
            <w:pPr>
              <w:spacing w:after="0"/>
              <w:rPr>
                <w:sz w:val="24"/>
                <w:szCs w:val="24"/>
                <w:color w:val="auto"/>
              </w:rPr>
            </w:pPr>
          </w:p>
        </w:tc>
        <w:tc>
          <w:tcPr>
            <w:tcW w:w="1400" w:type="dxa"/>
            <w:vAlign w:val="bottom"/>
          </w:tcPr>
          <w:p>
            <w:pPr>
              <w:jc w:val="right"/>
              <w:spacing w:after="0"/>
              <w:rPr>
                <w:sz w:val="20"/>
                <w:szCs w:val="20"/>
                <w:color w:val="auto"/>
              </w:rPr>
            </w:pPr>
            <w:r>
              <w:rPr>
                <w:rFonts w:ascii="Arial" w:cs="Arial" w:eastAsia="Arial" w:hAnsi="Arial"/>
                <w:sz w:val="18"/>
                <w:szCs w:val="18"/>
                <w:color w:val="auto"/>
              </w:rPr>
              <w:t>15</w:t>
            </w:r>
          </w:p>
        </w:tc>
        <w:tc>
          <w:tcPr>
            <w:tcW w:w="26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100" w:type="dxa"/>
            <w:vAlign w:val="bottom"/>
          </w:tcPr>
          <w:p>
            <w:pPr>
              <w:spacing w:after="0"/>
              <w:rPr>
                <w:sz w:val="24"/>
                <w:szCs w:val="24"/>
                <w:color w:val="auto"/>
              </w:rPr>
            </w:pPr>
          </w:p>
        </w:tc>
      </w:tr>
      <w:tr>
        <w:trPr>
          <w:trHeight w:val="115"/>
        </w:trPr>
        <w:tc>
          <w:tcPr>
            <w:tcW w:w="4400" w:type="dxa"/>
            <w:vAlign w:val="bottom"/>
            <w:tcBorders>
              <w:bottom w:val="single" w:sz="8" w:color="9A9A9A"/>
            </w:tcBorders>
          </w:tcPr>
          <w:p>
            <w:pPr>
              <w:spacing w:after="0"/>
              <w:rPr>
                <w:sz w:val="9"/>
                <w:szCs w:val="9"/>
                <w:color w:val="auto"/>
              </w:rPr>
            </w:pPr>
          </w:p>
        </w:tc>
        <w:tc>
          <w:tcPr>
            <w:tcW w:w="1400" w:type="dxa"/>
            <w:vAlign w:val="bottom"/>
            <w:tcBorders>
              <w:bottom w:val="single" w:sz="8" w:color="9A9A9A"/>
            </w:tcBorders>
          </w:tcPr>
          <w:p>
            <w:pPr>
              <w:spacing w:after="0"/>
              <w:rPr>
                <w:sz w:val="9"/>
                <w:szCs w:val="9"/>
                <w:color w:val="auto"/>
              </w:rPr>
            </w:pPr>
          </w:p>
        </w:tc>
        <w:tc>
          <w:tcPr>
            <w:tcW w:w="260" w:type="dxa"/>
            <w:vAlign w:val="bottom"/>
            <w:tcBorders>
              <w:bottom w:val="single" w:sz="8" w:color="9A9A9A"/>
            </w:tcBorders>
          </w:tcPr>
          <w:p>
            <w:pPr>
              <w:spacing w:after="0"/>
              <w:rPr>
                <w:sz w:val="9"/>
                <w:szCs w:val="9"/>
                <w:color w:val="auto"/>
              </w:rPr>
            </w:pPr>
          </w:p>
        </w:tc>
        <w:tc>
          <w:tcPr>
            <w:tcW w:w="900" w:type="dxa"/>
            <w:vAlign w:val="bottom"/>
            <w:tcBorders>
              <w:bottom w:val="single" w:sz="8" w:color="9A9A9A"/>
            </w:tcBorders>
          </w:tcPr>
          <w:p>
            <w:pPr>
              <w:spacing w:after="0"/>
              <w:rPr>
                <w:sz w:val="9"/>
                <w:szCs w:val="9"/>
                <w:color w:val="auto"/>
              </w:rPr>
            </w:pPr>
          </w:p>
        </w:tc>
        <w:tc>
          <w:tcPr>
            <w:tcW w:w="240" w:type="dxa"/>
            <w:vAlign w:val="bottom"/>
            <w:tcBorders>
              <w:bottom w:val="single" w:sz="8" w:color="9A9A9A"/>
            </w:tcBorders>
          </w:tcPr>
          <w:p>
            <w:pPr>
              <w:spacing w:after="0"/>
              <w:rPr>
                <w:sz w:val="9"/>
                <w:szCs w:val="9"/>
                <w:color w:val="auto"/>
              </w:rPr>
            </w:pPr>
          </w:p>
        </w:tc>
        <w:tc>
          <w:tcPr>
            <w:tcW w:w="260" w:type="dxa"/>
            <w:vAlign w:val="bottom"/>
            <w:tcBorders>
              <w:bottom w:val="single" w:sz="8" w:color="9A9A9A"/>
            </w:tcBorders>
          </w:tcPr>
          <w:p>
            <w:pPr>
              <w:spacing w:after="0"/>
              <w:rPr>
                <w:sz w:val="9"/>
                <w:szCs w:val="9"/>
                <w:color w:val="auto"/>
              </w:rPr>
            </w:pPr>
          </w:p>
        </w:tc>
        <w:tc>
          <w:tcPr>
            <w:tcW w:w="900" w:type="dxa"/>
            <w:vAlign w:val="bottom"/>
            <w:tcBorders>
              <w:bottom w:val="single" w:sz="8" w:color="9A9A9A"/>
            </w:tcBorders>
          </w:tcPr>
          <w:p>
            <w:pPr>
              <w:spacing w:after="0"/>
              <w:rPr>
                <w:sz w:val="9"/>
                <w:szCs w:val="9"/>
                <w:color w:val="auto"/>
              </w:rPr>
            </w:pPr>
          </w:p>
        </w:tc>
        <w:tc>
          <w:tcPr>
            <w:tcW w:w="320" w:type="dxa"/>
            <w:vAlign w:val="bottom"/>
            <w:tcBorders>
              <w:bottom w:val="single" w:sz="8" w:color="9A9A9A"/>
            </w:tcBorders>
          </w:tcPr>
          <w:p>
            <w:pPr>
              <w:spacing w:after="0"/>
              <w:rPr>
                <w:sz w:val="9"/>
                <w:szCs w:val="9"/>
                <w:color w:val="auto"/>
              </w:rPr>
            </w:pPr>
          </w:p>
        </w:tc>
        <w:tc>
          <w:tcPr>
            <w:tcW w:w="240" w:type="dxa"/>
            <w:vAlign w:val="bottom"/>
            <w:tcBorders>
              <w:bottom w:val="single" w:sz="8" w:color="9A9A9A"/>
            </w:tcBorders>
          </w:tcPr>
          <w:p>
            <w:pPr>
              <w:spacing w:after="0"/>
              <w:rPr>
                <w:sz w:val="9"/>
                <w:szCs w:val="9"/>
                <w:color w:val="auto"/>
              </w:rPr>
            </w:pPr>
          </w:p>
        </w:tc>
        <w:tc>
          <w:tcPr>
            <w:tcW w:w="880" w:type="dxa"/>
            <w:vAlign w:val="bottom"/>
            <w:tcBorders>
              <w:bottom w:val="single" w:sz="8" w:color="9A9A9A"/>
            </w:tcBorders>
          </w:tcPr>
          <w:p>
            <w:pPr>
              <w:spacing w:after="0"/>
              <w:rPr>
                <w:sz w:val="9"/>
                <w:szCs w:val="9"/>
                <w:color w:val="auto"/>
              </w:rPr>
            </w:pPr>
          </w:p>
        </w:tc>
        <w:tc>
          <w:tcPr>
            <w:tcW w:w="260" w:type="dxa"/>
            <w:vAlign w:val="bottom"/>
            <w:tcBorders>
              <w:bottom w:val="single" w:sz="8" w:color="9A9A9A"/>
            </w:tcBorders>
          </w:tcPr>
          <w:p>
            <w:pPr>
              <w:spacing w:after="0"/>
              <w:rPr>
                <w:sz w:val="9"/>
                <w:szCs w:val="9"/>
                <w:color w:val="auto"/>
              </w:rPr>
            </w:pPr>
          </w:p>
        </w:tc>
        <w:tc>
          <w:tcPr>
            <w:tcW w:w="240" w:type="dxa"/>
            <w:vAlign w:val="bottom"/>
            <w:tcBorders>
              <w:bottom w:val="single" w:sz="8" w:color="9A9A9A"/>
            </w:tcBorders>
          </w:tcPr>
          <w:p>
            <w:pPr>
              <w:spacing w:after="0"/>
              <w:rPr>
                <w:sz w:val="9"/>
                <w:szCs w:val="9"/>
                <w:color w:val="auto"/>
              </w:rPr>
            </w:pPr>
          </w:p>
        </w:tc>
        <w:tc>
          <w:tcPr>
            <w:tcW w:w="840" w:type="dxa"/>
            <w:vAlign w:val="bottom"/>
            <w:tcBorders>
              <w:bottom w:val="single" w:sz="8" w:color="9A9A9A"/>
            </w:tcBorders>
          </w:tcPr>
          <w:p>
            <w:pPr>
              <w:spacing w:after="0"/>
              <w:rPr>
                <w:sz w:val="9"/>
                <w:szCs w:val="9"/>
                <w:color w:val="auto"/>
              </w:rPr>
            </w:pPr>
          </w:p>
        </w:tc>
        <w:tc>
          <w:tcPr>
            <w:tcW w:w="100" w:type="dxa"/>
            <w:vAlign w:val="bottom"/>
            <w:tcBorders>
              <w:bottom w:val="single" w:sz="8" w:color="9A9A9A"/>
            </w:tcBorders>
          </w:tcPr>
          <w:p>
            <w:pPr>
              <w:spacing w:after="0"/>
              <w:rPr>
                <w:sz w:val="9"/>
                <w:szCs w:val="9"/>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4414520</wp:posOffset>
            </wp:positionH>
            <wp:positionV relativeFrom="paragraph">
              <wp:posOffset>-1018540</wp:posOffset>
            </wp:positionV>
            <wp:extent cx="76835" cy="154305"/>
            <wp:wrapNone/>
            <wp:docPr id="112" name="Picture 1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2"/>
                    <pic:cNvPicPr>
                      <a:picLocks noChangeAspect="1" noChangeArrowheads="1"/>
                    </pic:cNvPicPr>
                  </pic:nvPicPr>
                  <pic:blipFill>
                    <a:blip r:embed="rId119">
                      <a:extLst>
                        <a:ext uri="{28A0092B-C50C-407E-A947-70E740481C1C}"/>
                      </a:extLst>
                    </a:blip>
                    <a:srcRect/>
                    <a:stretch>
                      <a:fillRect/>
                    </a:stretch>
                  </pic:blipFill>
                  <pic:spPr bwMode="auto">
                    <a:xfrm>
                      <a:off x="0" y="0"/>
                      <a:ext cx="76835" cy="154305"/>
                    </a:xfrm>
                    <a:prstGeom prst="rect">
                      <a:avLst/>
                    </a:prstGeom>
                    <a:noFill/>
                  </pic:spPr>
                </pic:pic>
              </a:graphicData>
            </a:graphic>
          </wp:anchor>
        </w:drawing>
        <w:drawing>
          <wp:anchor simplePos="0" relativeHeight="251657728" behindDoc="1" locked="0" layoutInCell="0" allowOverlap="1">
            <wp:simplePos x="0" y="0"/>
            <wp:positionH relativeFrom="column">
              <wp:posOffset>5313680</wp:posOffset>
            </wp:positionH>
            <wp:positionV relativeFrom="paragraph">
              <wp:posOffset>-1018540</wp:posOffset>
            </wp:positionV>
            <wp:extent cx="68580" cy="154305"/>
            <wp:wrapNone/>
            <wp:docPr id="113" name="Picture 1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3"/>
                    <pic:cNvPicPr>
                      <a:picLocks noChangeAspect="1" noChangeArrowheads="1"/>
                    </pic:cNvPicPr>
                  </pic:nvPicPr>
                  <pic:blipFill>
                    <a:blip r:embed="rId120">
                      <a:extLst>
                        <a:ext uri="{28A0092B-C50C-407E-A947-70E740481C1C}"/>
                      </a:extLst>
                    </a:blip>
                    <a:srcRect/>
                    <a:stretch>
                      <a:fillRect/>
                    </a:stretch>
                  </pic:blipFill>
                  <pic:spPr bwMode="auto">
                    <a:xfrm>
                      <a:off x="0" y="0"/>
                      <a:ext cx="68580" cy="154305"/>
                    </a:xfrm>
                    <a:prstGeom prst="rect">
                      <a:avLst/>
                    </a:prstGeom>
                    <a:noFill/>
                  </pic:spPr>
                </pic:pic>
              </a:graphicData>
            </a:graphic>
          </wp:anchor>
        </w:drawing>
        <w:drawing>
          <wp:anchor simplePos="0" relativeHeight="251657728" behindDoc="1" locked="0" layoutInCell="0" allowOverlap="1">
            <wp:simplePos x="0" y="0"/>
            <wp:positionH relativeFrom="column">
              <wp:posOffset>6221095</wp:posOffset>
            </wp:positionH>
            <wp:positionV relativeFrom="paragraph">
              <wp:posOffset>-1018540</wp:posOffset>
            </wp:positionV>
            <wp:extent cx="68580" cy="154305"/>
            <wp:wrapNone/>
            <wp:docPr id="114" name="Picture 1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4"/>
                    <pic:cNvPicPr>
                      <a:picLocks noChangeAspect="1" noChangeArrowheads="1"/>
                    </pic:cNvPicPr>
                  </pic:nvPicPr>
                  <pic:blipFill>
                    <a:blip r:embed="rId121">
                      <a:extLst>
                        <a:ext uri="{28A0092B-C50C-407E-A947-70E740481C1C}"/>
                      </a:extLst>
                    </a:blip>
                    <a:srcRect/>
                    <a:stretch>
                      <a:fillRect/>
                    </a:stretch>
                  </pic:blipFill>
                  <pic:spPr bwMode="auto">
                    <a:xfrm>
                      <a:off x="0" y="0"/>
                      <a:ext cx="68580" cy="15430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-1018540</wp:posOffset>
            </wp:positionV>
            <wp:extent cx="68580" cy="154305"/>
            <wp:wrapNone/>
            <wp:docPr id="115" name="Picture 1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5"/>
                    <pic:cNvPicPr>
                      <a:picLocks noChangeAspect="1" noChangeArrowheads="1"/>
                    </pic:cNvPicPr>
                  </pic:nvPicPr>
                  <pic:blipFill>
                    <a:blip r:embed="rId122">
                      <a:extLst>
                        <a:ext uri="{28A0092B-C50C-407E-A947-70E740481C1C}"/>
                      </a:extLst>
                    </a:blip>
                    <a:srcRect/>
                    <a:stretch>
                      <a:fillRect/>
                    </a:stretch>
                  </pic:blipFill>
                  <pic:spPr bwMode="auto">
                    <a:xfrm>
                      <a:off x="0" y="0"/>
                      <a:ext cx="68580" cy="154305"/>
                    </a:xfrm>
                    <a:prstGeom prst="rect">
                      <a:avLst/>
                    </a:prstGeom>
                    <a:noFill/>
                  </pic:spPr>
                </pic:pic>
              </a:graphicData>
            </a:graphic>
          </wp:anchor>
        </w:drawing>
        <w:drawing>
          <wp:anchor simplePos="0" relativeHeight="251657728" behindDoc="1" locked="0" layoutInCell="0" allowOverlap="1">
            <wp:simplePos x="0" y="0"/>
            <wp:positionH relativeFrom="column">
              <wp:posOffset>4414520</wp:posOffset>
            </wp:positionH>
            <wp:positionV relativeFrom="paragraph">
              <wp:posOffset>-444500</wp:posOffset>
            </wp:positionV>
            <wp:extent cx="76835" cy="8255"/>
            <wp:wrapNone/>
            <wp:docPr id="116" name="Picture 1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6"/>
                    <pic:cNvPicPr>
                      <a:picLocks noChangeAspect="1" noChangeArrowheads="1"/>
                    </pic:cNvPicPr>
                  </pic:nvPicPr>
                  <pic:blipFill>
                    <a:blip r:embed="rId123">
                      <a:extLst>
                        <a:ext uri="{28A0092B-C50C-407E-A947-70E740481C1C}"/>
                      </a:extLst>
                    </a:blip>
                    <a:srcRect/>
                    <a:stretch>
                      <a:fillRect/>
                    </a:stretch>
                  </pic:blipFill>
                  <pic:spPr bwMode="auto">
                    <a:xfrm>
                      <a:off x="0" y="0"/>
                      <a:ext cx="76835" cy="8255"/>
                    </a:xfrm>
                    <a:prstGeom prst="rect">
                      <a:avLst/>
                    </a:prstGeom>
                    <a:noFill/>
                  </pic:spPr>
                </pic:pic>
              </a:graphicData>
            </a:graphic>
          </wp:anchor>
        </w:drawing>
        <w:drawing>
          <wp:anchor simplePos="0" relativeHeight="251657728" behindDoc="1" locked="0" layoutInCell="0" allowOverlap="1">
            <wp:simplePos x="0" y="0"/>
            <wp:positionH relativeFrom="column">
              <wp:posOffset>4414520</wp:posOffset>
            </wp:positionH>
            <wp:positionV relativeFrom="paragraph">
              <wp:posOffset>-427355</wp:posOffset>
            </wp:positionV>
            <wp:extent cx="76835" cy="8255"/>
            <wp:wrapNone/>
            <wp:docPr id="117" name="Picture 1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7"/>
                    <pic:cNvPicPr>
                      <a:picLocks noChangeAspect="1" noChangeArrowheads="1"/>
                    </pic:cNvPicPr>
                  </pic:nvPicPr>
                  <pic:blipFill>
                    <a:blip r:embed="rId124">
                      <a:extLst>
                        <a:ext uri="{28A0092B-C50C-407E-A947-70E740481C1C}"/>
                      </a:extLst>
                    </a:blip>
                    <a:srcRect/>
                    <a:stretch>
                      <a:fillRect/>
                    </a:stretch>
                  </pic:blipFill>
                  <pic:spPr bwMode="auto">
                    <a:xfrm>
                      <a:off x="0" y="0"/>
                      <a:ext cx="76835" cy="8255"/>
                    </a:xfrm>
                    <a:prstGeom prst="rect">
                      <a:avLst/>
                    </a:prstGeom>
                    <a:noFill/>
                  </pic:spPr>
                </pic:pic>
              </a:graphicData>
            </a:graphic>
          </wp:anchor>
        </w:drawing>
        <w:drawing>
          <wp:anchor simplePos="0" relativeHeight="251657728" behindDoc="1" locked="0" layoutInCell="0" allowOverlap="1">
            <wp:simplePos x="0" y="0"/>
            <wp:positionH relativeFrom="column">
              <wp:posOffset>5313680</wp:posOffset>
            </wp:positionH>
            <wp:positionV relativeFrom="paragraph">
              <wp:posOffset>-444500</wp:posOffset>
            </wp:positionV>
            <wp:extent cx="68580" cy="8255"/>
            <wp:wrapNone/>
            <wp:docPr id="118" name="Picture 1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8"/>
                    <pic:cNvPicPr>
                      <a:picLocks noChangeAspect="1" noChangeArrowheads="1"/>
                    </pic:cNvPicPr>
                  </pic:nvPicPr>
                  <pic:blipFill>
                    <a:blip r:embed="rId125">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5313680</wp:posOffset>
            </wp:positionH>
            <wp:positionV relativeFrom="paragraph">
              <wp:posOffset>-427355</wp:posOffset>
            </wp:positionV>
            <wp:extent cx="68580" cy="8255"/>
            <wp:wrapNone/>
            <wp:docPr id="119" name="Picture 1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9"/>
                    <pic:cNvPicPr>
                      <a:picLocks noChangeAspect="1" noChangeArrowheads="1"/>
                    </pic:cNvPicPr>
                  </pic:nvPicPr>
                  <pic:blipFill>
                    <a:blip r:embed="rId126">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6221095</wp:posOffset>
            </wp:positionH>
            <wp:positionV relativeFrom="paragraph">
              <wp:posOffset>-444500</wp:posOffset>
            </wp:positionV>
            <wp:extent cx="68580" cy="8255"/>
            <wp:wrapNone/>
            <wp:docPr id="120" name="Picture 1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0"/>
                    <pic:cNvPicPr>
                      <a:picLocks noChangeAspect="1" noChangeArrowheads="1"/>
                    </pic:cNvPicPr>
                  </pic:nvPicPr>
                  <pic:blipFill>
                    <a:blip r:embed="rId127">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6221095</wp:posOffset>
            </wp:positionH>
            <wp:positionV relativeFrom="paragraph">
              <wp:posOffset>-427355</wp:posOffset>
            </wp:positionV>
            <wp:extent cx="68580" cy="8255"/>
            <wp:wrapNone/>
            <wp:docPr id="121" name="Picture 1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1"/>
                    <pic:cNvPicPr>
                      <a:picLocks noChangeAspect="1" noChangeArrowheads="1"/>
                    </pic:cNvPicPr>
                  </pic:nvPicPr>
                  <pic:blipFill>
                    <a:blip r:embed="rId128">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-444500</wp:posOffset>
            </wp:positionV>
            <wp:extent cx="68580" cy="8255"/>
            <wp:wrapNone/>
            <wp:docPr id="122" name="Picture 1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2"/>
                    <pic:cNvPicPr>
                      <a:picLocks noChangeAspect="1" noChangeArrowheads="1"/>
                    </pic:cNvPicPr>
                  </pic:nvPicPr>
                  <pic:blipFill>
                    <a:blip r:embed="rId129">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-427355</wp:posOffset>
            </wp:positionV>
            <wp:extent cx="68580" cy="8255"/>
            <wp:wrapNone/>
            <wp:docPr id="123" name="Picture 1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3"/>
                    <pic:cNvPicPr>
                      <a:picLocks noChangeAspect="1" noChangeArrowheads="1"/>
                    </pic:cNvPicPr>
                  </pic:nvPicPr>
                  <pic:blipFill>
                    <a:blip r:embed="rId130">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7116445</wp:posOffset>
            </wp:positionH>
            <wp:positionV relativeFrom="paragraph">
              <wp:posOffset>-29210</wp:posOffset>
            </wp:positionV>
            <wp:extent cx="33655" cy="42545"/>
            <wp:wrapNone/>
            <wp:docPr id="124" name="Picture 1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4"/>
                    <pic:cNvPicPr>
                      <a:picLocks noChangeAspect="1" noChangeArrowheads="1"/>
                    </pic:cNvPicPr>
                  </pic:nvPicPr>
                  <pic:blipFill>
                    <a:blip r:embed="rId131">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3655" cy="42545"/>
            <wp:wrapNone/>
            <wp:docPr id="125" name="Picture 1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5"/>
                    <pic:cNvPicPr>
                      <a:picLocks noChangeAspect="1" noChangeArrowheads="1"/>
                    </pic:cNvPicPr>
                  </pic:nvPicPr>
                  <pic:blipFill>
                    <a:blip r:embed="rId132">
                      <a:extLst>
                        <a:ext uri="{28A0092B-C50C-407E-A947-70E740481C1C}"/>
                      </a:extLst>
                    </a:blip>
                    <a:srcRect/>
                    <a:stretch>
                      <a:fillRect/>
                    </a:stretch>
                  </pic:blipFill>
                  <pic:spPr bwMode="auto">
                    <a:xfrm>
                      <a:off x="0" y="0"/>
                      <a:ext cx="33655" cy="42545"/>
                    </a:xfrm>
                    <a:prstGeom prst="rect">
                      <a:avLst/>
                    </a:prstGeom>
                    <a:noFill/>
                  </pic:spPr>
                </pic:pic>
              </a:graphicData>
            </a:graphic>
          </wp:anchor>
        </w:drawing>
      </w:r>
    </w:p>
    <w:p>
      <w:pPr>
        <w:sectPr>
          <w:pgSz w:w="11900" w:h="16838" w:orient="portrait"/>
          <w:cols w:equalWidth="0" w:num="1">
            <w:col w:w="11240"/>
          </w:cols>
          <w:pgMar w:left="320" w:top="647" w:right="339" w:bottom="1440" w:gutter="0" w:footer="0" w:header="0"/>
        </w:sectPr>
      </w:pPr>
    </w:p>
    <w:bookmarkStart w:id="15" w:name="page16"/>
    <w:bookmarkEnd w:id="15"/>
    <w:p>
      <w:pPr>
        <w:ind w:left="520" w:hanging="512"/>
        <w:spacing w:after="0"/>
        <w:tabs>
          <w:tab w:leader="none" w:pos="520" w:val="left"/>
        </w:tabs>
        <w:numPr>
          <w:ilvl w:val="0"/>
          <w:numId w:val="9"/>
        </w:numPr>
        <w:rPr>
          <w:rFonts w:ascii="Arial" w:cs="Arial" w:eastAsia="Arial" w:hAnsi="Arial"/>
          <w:sz w:val="18"/>
          <w:szCs w:val="18"/>
          <w:b w:val="1"/>
          <w:bCs w:val="1"/>
          <w:color w:val="auto"/>
        </w:rPr>
      </w:pPr>
      <w:r>
        <w:rPr>
          <w:rFonts w:ascii="Arial" w:cs="Arial" w:eastAsia="Arial" w:hAnsi="Arial"/>
          <w:sz w:val="18"/>
          <w:szCs w:val="18"/>
          <w:b w:val="1"/>
          <w:bCs w:val="1"/>
          <w:color w:val="auto"/>
        </w:rPr>
        <w:t>Balance Sheet Components</w:t>
      </w:r>
    </w:p>
    <w:p>
      <w:pPr>
        <w:spacing w:after="0" w:line="107" w:lineRule="exact"/>
        <w:rPr>
          <w:rFonts w:ascii="Arial" w:cs="Arial" w:eastAsia="Arial" w:hAnsi="Arial"/>
          <w:sz w:val="18"/>
          <w:szCs w:val="18"/>
          <w:b w:val="1"/>
          <w:bCs w:val="1"/>
          <w:color w:val="auto"/>
        </w:rPr>
      </w:pPr>
    </w:p>
    <w:p>
      <w:pPr>
        <w:ind w:left="520"/>
        <w:spacing w:after="0"/>
        <w:rPr>
          <w:rFonts w:ascii="Arial" w:cs="Arial" w:eastAsia="Arial" w:hAnsi="Arial"/>
          <w:sz w:val="18"/>
          <w:szCs w:val="18"/>
          <w:b w:val="1"/>
          <w:bCs w:val="1"/>
          <w:color w:val="auto"/>
        </w:rPr>
      </w:pPr>
      <w:r>
        <w:rPr>
          <w:rFonts w:ascii="Arial" w:cs="Arial" w:eastAsia="Arial" w:hAnsi="Arial"/>
          <w:sz w:val="17"/>
          <w:szCs w:val="17"/>
          <w:color w:val="auto"/>
        </w:rPr>
        <w:t>The following tables show the Company’s financial statement details as of September 30, 2022 and 2021 and December 31, 2021 and 2020.</w:t>
      </w:r>
    </w:p>
    <w:p>
      <w:pPr>
        <w:spacing w:after="0" w:line="34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Cash, Cash Equivalents and Restricted Cash</w:t>
      </w:r>
    </w:p>
    <w:p>
      <w:pPr>
        <w:spacing w:after="0" w:line="103" w:lineRule="exact"/>
        <w:rPr>
          <w:sz w:val="20"/>
          <w:szCs w:val="20"/>
          <w:color w:val="auto"/>
        </w:rPr>
      </w:pPr>
    </w:p>
    <w:p>
      <w:pPr>
        <w:ind w:left="520"/>
        <w:spacing w:after="0"/>
        <w:rPr>
          <w:sz w:val="20"/>
          <w:szCs w:val="20"/>
          <w:color w:val="auto"/>
        </w:rPr>
      </w:pPr>
      <w:r>
        <w:rPr>
          <w:rFonts w:ascii="Arial" w:cs="Arial" w:eastAsia="Arial" w:hAnsi="Arial"/>
          <w:sz w:val="18"/>
          <w:szCs w:val="18"/>
          <w:color w:val="auto"/>
        </w:rPr>
        <w:t>The following table represents the Company's cash, cash equivalents, and restricted cash at each period end (in thousands):</w:t>
      </w:r>
    </w:p>
    <w:p>
      <w:pPr>
        <w:spacing w:after="0" w:line="207"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58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300" w:type="dxa"/>
            <w:vAlign w:val="bottom"/>
            <w:gridSpan w:val="4"/>
          </w:tcPr>
          <w:p>
            <w:pPr>
              <w:jc w:val="right"/>
              <w:ind w:right="410"/>
              <w:spacing w:after="0"/>
              <w:rPr>
                <w:sz w:val="20"/>
                <w:szCs w:val="20"/>
                <w:color w:val="auto"/>
              </w:rPr>
            </w:pPr>
            <w:r>
              <w:rPr>
                <w:rFonts w:ascii="Arial" w:cs="Arial" w:eastAsia="Arial" w:hAnsi="Arial"/>
                <w:sz w:val="18"/>
                <w:szCs w:val="18"/>
                <w:b w:val="1"/>
                <w:bCs w:val="1"/>
                <w:color w:val="auto"/>
              </w:rPr>
              <w:t>As of September 30,</w:t>
            </w:r>
          </w:p>
        </w:tc>
        <w:tc>
          <w:tcPr>
            <w:tcW w:w="2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300" w:type="dxa"/>
            <w:vAlign w:val="bottom"/>
            <w:gridSpan w:val="4"/>
          </w:tcPr>
          <w:p>
            <w:pPr>
              <w:jc w:val="right"/>
              <w:ind w:right="430"/>
              <w:spacing w:after="0"/>
              <w:rPr>
                <w:sz w:val="20"/>
                <w:szCs w:val="20"/>
                <w:color w:val="auto"/>
              </w:rPr>
            </w:pPr>
            <w:r>
              <w:rPr>
                <w:rFonts w:ascii="Arial" w:cs="Arial" w:eastAsia="Arial" w:hAnsi="Arial"/>
                <w:sz w:val="18"/>
                <w:szCs w:val="18"/>
                <w:b w:val="1"/>
                <w:bCs w:val="1"/>
                <w:color w:val="auto"/>
              </w:rPr>
              <w:t>As of December 31,</w:t>
            </w:r>
          </w:p>
        </w:tc>
        <w:tc>
          <w:tcPr>
            <w:tcW w:w="100" w:type="dxa"/>
            <w:vAlign w:val="bottom"/>
          </w:tcPr>
          <w:p>
            <w:pPr>
              <w:spacing w:after="0"/>
              <w:rPr>
                <w:sz w:val="18"/>
                <w:szCs w:val="18"/>
                <w:color w:val="auto"/>
              </w:rPr>
            </w:pPr>
          </w:p>
        </w:tc>
      </w:tr>
      <w:tr>
        <w:trPr>
          <w:trHeight w:val="234"/>
        </w:trPr>
        <w:tc>
          <w:tcPr>
            <w:tcW w:w="5840" w:type="dxa"/>
            <w:vAlign w:val="bottom"/>
          </w:tcPr>
          <w:p>
            <w:pPr>
              <w:spacing w:after="0"/>
              <w:rPr>
                <w:sz w:val="20"/>
                <w:szCs w:val="20"/>
                <w:color w:val="auto"/>
              </w:rPr>
            </w:pPr>
          </w:p>
        </w:tc>
        <w:tc>
          <w:tcPr>
            <w:tcW w:w="240" w:type="dxa"/>
            <w:vAlign w:val="bottom"/>
            <w:tcBorders>
              <w:bottom w:val="single" w:sz="8" w:color="auto"/>
            </w:tcBorders>
          </w:tcPr>
          <w:p>
            <w:pPr>
              <w:spacing w:after="0"/>
              <w:rPr>
                <w:sz w:val="20"/>
                <w:szCs w:val="20"/>
                <w:color w:val="auto"/>
              </w:rPr>
            </w:pPr>
          </w:p>
        </w:tc>
        <w:tc>
          <w:tcPr>
            <w:tcW w:w="880" w:type="dxa"/>
            <w:vAlign w:val="bottom"/>
            <w:tcBorders>
              <w:bottom w:val="single" w:sz="8" w:color="auto"/>
            </w:tcBorders>
          </w:tcPr>
          <w:p>
            <w:pPr>
              <w:jc w:val="right"/>
              <w:ind w:right="290"/>
              <w:spacing w:after="0"/>
              <w:rPr>
                <w:sz w:val="20"/>
                <w:szCs w:val="20"/>
                <w:color w:val="auto"/>
              </w:rPr>
            </w:pPr>
            <w:r>
              <w:rPr>
                <w:rFonts w:ascii="Arial" w:cs="Arial" w:eastAsia="Arial" w:hAnsi="Arial"/>
                <w:sz w:val="18"/>
                <w:szCs w:val="18"/>
                <w:b w:val="1"/>
                <w:bCs w:val="1"/>
                <w:color w:val="auto"/>
              </w:rPr>
              <w:t>2022</w:t>
            </w:r>
          </w:p>
        </w:tc>
        <w:tc>
          <w:tcPr>
            <w:tcW w:w="260" w:type="dxa"/>
            <w:vAlign w:val="bottom"/>
          </w:tcPr>
          <w:p>
            <w:pPr>
              <w:spacing w:after="0"/>
              <w:rPr>
                <w:sz w:val="20"/>
                <w:szCs w:val="20"/>
                <w:color w:val="auto"/>
              </w:rPr>
            </w:pPr>
          </w:p>
        </w:tc>
        <w:tc>
          <w:tcPr>
            <w:tcW w:w="260" w:type="dxa"/>
            <w:vAlign w:val="bottom"/>
            <w:tcBorders>
              <w:bottom w:val="single" w:sz="8" w:color="auto"/>
            </w:tcBorders>
          </w:tcPr>
          <w:p>
            <w:pPr>
              <w:spacing w:after="0"/>
              <w:rPr>
                <w:sz w:val="20"/>
                <w:szCs w:val="20"/>
                <w:color w:val="auto"/>
              </w:rPr>
            </w:pPr>
          </w:p>
        </w:tc>
        <w:tc>
          <w:tcPr>
            <w:tcW w:w="900" w:type="dxa"/>
            <w:vAlign w:val="bottom"/>
            <w:tcBorders>
              <w:bottom w:val="single" w:sz="8" w:color="auto"/>
            </w:tcBorders>
          </w:tcPr>
          <w:p>
            <w:pPr>
              <w:jc w:val="right"/>
              <w:ind w:right="310"/>
              <w:spacing w:after="0"/>
              <w:rPr>
                <w:sz w:val="20"/>
                <w:szCs w:val="20"/>
                <w:color w:val="auto"/>
              </w:rPr>
            </w:pPr>
            <w:r>
              <w:rPr>
                <w:rFonts w:ascii="Arial" w:cs="Arial" w:eastAsia="Arial" w:hAnsi="Arial"/>
                <w:sz w:val="18"/>
                <w:szCs w:val="18"/>
                <w:b w:val="1"/>
                <w:bCs w:val="1"/>
                <w:color w:val="auto"/>
              </w:rPr>
              <w:t>2021</w:t>
            </w:r>
          </w:p>
        </w:tc>
        <w:tc>
          <w:tcPr>
            <w:tcW w:w="240" w:type="dxa"/>
            <w:vAlign w:val="bottom"/>
          </w:tcPr>
          <w:p>
            <w:pPr>
              <w:spacing w:after="0"/>
              <w:rPr>
                <w:sz w:val="20"/>
                <w:szCs w:val="20"/>
                <w:color w:val="auto"/>
              </w:rPr>
            </w:pPr>
          </w:p>
        </w:tc>
        <w:tc>
          <w:tcPr>
            <w:tcW w:w="220" w:type="dxa"/>
            <w:vAlign w:val="bottom"/>
            <w:tcBorders>
              <w:bottom w:val="single" w:sz="8" w:color="auto"/>
            </w:tcBorders>
          </w:tcPr>
          <w:p>
            <w:pPr>
              <w:spacing w:after="0"/>
              <w:rPr>
                <w:sz w:val="20"/>
                <w:szCs w:val="20"/>
                <w:color w:val="auto"/>
              </w:rPr>
            </w:pPr>
          </w:p>
        </w:tc>
        <w:tc>
          <w:tcPr>
            <w:tcW w:w="880" w:type="dxa"/>
            <w:vAlign w:val="bottom"/>
            <w:tcBorders>
              <w:bottom w:val="single" w:sz="8" w:color="auto"/>
            </w:tcBorders>
          </w:tcPr>
          <w:p>
            <w:pPr>
              <w:jc w:val="right"/>
              <w:ind w:right="290"/>
              <w:spacing w:after="0"/>
              <w:rPr>
                <w:sz w:val="20"/>
                <w:szCs w:val="20"/>
                <w:color w:val="auto"/>
              </w:rPr>
            </w:pPr>
            <w:r>
              <w:rPr>
                <w:rFonts w:ascii="Arial" w:cs="Arial" w:eastAsia="Arial" w:hAnsi="Arial"/>
                <w:sz w:val="18"/>
                <w:szCs w:val="18"/>
                <w:b w:val="1"/>
                <w:bCs w:val="1"/>
                <w:color w:val="auto"/>
              </w:rPr>
              <w:t>2021</w:t>
            </w:r>
          </w:p>
        </w:tc>
        <w:tc>
          <w:tcPr>
            <w:tcW w:w="260" w:type="dxa"/>
            <w:vAlign w:val="bottom"/>
          </w:tcPr>
          <w:p>
            <w:pPr>
              <w:spacing w:after="0"/>
              <w:rPr>
                <w:sz w:val="20"/>
                <w:szCs w:val="20"/>
                <w:color w:val="auto"/>
              </w:rPr>
            </w:pPr>
          </w:p>
        </w:tc>
        <w:tc>
          <w:tcPr>
            <w:tcW w:w="260" w:type="dxa"/>
            <w:vAlign w:val="bottom"/>
            <w:tcBorders>
              <w:bottom w:val="single" w:sz="8" w:color="auto"/>
            </w:tcBorders>
          </w:tcPr>
          <w:p>
            <w:pPr>
              <w:spacing w:after="0"/>
              <w:rPr>
                <w:sz w:val="20"/>
                <w:szCs w:val="20"/>
                <w:color w:val="auto"/>
              </w:rPr>
            </w:pPr>
          </w:p>
        </w:tc>
        <w:tc>
          <w:tcPr>
            <w:tcW w:w="900" w:type="dxa"/>
            <w:vAlign w:val="bottom"/>
            <w:tcBorders>
              <w:bottom w:val="single" w:sz="8" w:color="auto"/>
            </w:tcBorders>
          </w:tcPr>
          <w:p>
            <w:pPr>
              <w:jc w:val="right"/>
              <w:ind w:right="310"/>
              <w:spacing w:after="0"/>
              <w:rPr>
                <w:sz w:val="20"/>
                <w:szCs w:val="20"/>
                <w:color w:val="auto"/>
              </w:rPr>
            </w:pPr>
            <w:r>
              <w:rPr>
                <w:rFonts w:ascii="Arial" w:cs="Arial" w:eastAsia="Arial" w:hAnsi="Arial"/>
                <w:sz w:val="18"/>
                <w:szCs w:val="18"/>
                <w:b w:val="1"/>
                <w:bCs w:val="1"/>
                <w:color w:val="auto"/>
              </w:rPr>
              <w:t>2020</w:t>
            </w:r>
          </w:p>
        </w:tc>
        <w:tc>
          <w:tcPr>
            <w:tcW w:w="100" w:type="dxa"/>
            <w:vAlign w:val="bottom"/>
          </w:tcPr>
          <w:p>
            <w:pPr>
              <w:spacing w:after="0"/>
              <w:rPr>
                <w:sz w:val="20"/>
                <w:szCs w:val="20"/>
                <w:color w:val="auto"/>
              </w:rPr>
            </w:pPr>
          </w:p>
        </w:tc>
      </w:tr>
      <w:tr>
        <w:trPr>
          <w:trHeight w:val="209"/>
        </w:trPr>
        <w:tc>
          <w:tcPr>
            <w:tcW w:w="5840" w:type="dxa"/>
            <w:vAlign w:val="bottom"/>
            <w:shd w:val="clear" w:color="auto" w:fill="CFF0FC"/>
          </w:tcPr>
          <w:p>
            <w:pPr>
              <w:ind w:left="20"/>
              <w:spacing w:after="0"/>
              <w:rPr>
                <w:sz w:val="20"/>
                <w:szCs w:val="20"/>
                <w:color w:val="auto"/>
              </w:rPr>
            </w:pPr>
            <w:r>
              <w:rPr>
                <w:rFonts w:ascii="Arial" w:cs="Arial" w:eastAsia="Arial" w:hAnsi="Arial"/>
                <w:sz w:val="18"/>
                <w:szCs w:val="18"/>
                <w:color w:val="auto"/>
              </w:rPr>
              <w:t>Cash and cash equivalents</w:t>
            </w:r>
          </w:p>
        </w:tc>
        <w:tc>
          <w:tcPr>
            <w:tcW w:w="240" w:type="dxa"/>
            <w:vAlign w:val="bottom"/>
            <w:shd w:val="clear" w:color="auto" w:fill="CFF0FC"/>
          </w:tcPr>
          <w:p>
            <w:pPr>
              <w:jc w:val="right"/>
              <w:ind w:right="50"/>
              <w:spacing w:after="0"/>
              <w:rPr>
                <w:sz w:val="20"/>
                <w:szCs w:val="20"/>
                <w:color w:val="auto"/>
              </w:rPr>
            </w:pPr>
            <w:r>
              <w:rPr>
                <w:rFonts w:ascii="Arial" w:cs="Arial" w:eastAsia="Arial" w:hAnsi="Arial"/>
                <w:sz w:val="18"/>
                <w:szCs w:val="18"/>
                <w:color w:val="auto"/>
                <w:w w:val="79"/>
              </w:rPr>
              <w:t>$</w:t>
            </w:r>
          </w:p>
        </w:tc>
        <w:tc>
          <w:tcPr>
            <w:tcW w:w="8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247,248</w:t>
            </w:r>
          </w:p>
        </w:tc>
        <w:tc>
          <w:tcPr>
            <w:tcW w:w="260" w:type="dxa"/>
            <w:vAlign w:val="bottom"/>
            <w:shd w:val="clear" w:color="auto" w:fill="CFF0FC"/>
          </w:tcPr>
          <w:p>
            <w:pPr>
              <w:spacing w:after="0"/>
              <w:rPr>
                <w:sz w:val="18"/>
                <w:szCs w:val="18"/>
                <w:color w:val="auto"/>
              </w:rPr>
            </w:pPr>
          </w:p>
        </w:tc>
        <w:tc>
          <w:tcPr>
            <w:tcW w:w="260" w:type="dxa"/>
            <w:vAlign w:val="bottom"/>
            <w:shd w:val="clear" w:color="auto" w:fill="CFF0FC"/>
          </w:tcPr>
          <w:p>
            <w:pPr>
              <w:jc w:val="right"/>
              <w:ind w:right="70"/>
              <w:spacing w:after="0"/>
              <w:rPr>
                <w:sz w:val="20"/>
                <w:szCs w:val="20"/>
                <w:color w:val="auto"/>
              </w:rPr>
            </w:pPr>
            <w:r>
              <w:rPr>
                <w:rFonts w:ascii="Arial" w:cs="Arial" w:eastAsia="Arial" w:hAnsi="Arial"/>
                <w:sz w:val="18"/>
                <w:szCs w:val="18"/>
                <w:color w:val="auto"/>
                <w:w w:val="79"/>
              </w:rPr>
              <w:t>$</w:t>
            </w:r>
          </w:p>
        </w:tc>
        <w:tc>
          <w:tcPr>
            <w:tcW w:w="9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317,763</w:t>
            </w:r>
          </w:p>
        </w:tc>
        <w:tc>
          <w:tcPr>
            <w:tcW w:w="240" w:type="dxa"/>
            <w:vAlign w:val="bottom"/>
            <w:shd w:val="clear" w:color="auto" w:fill="CFF0FC"/>
          </w:tcPr>
          <w:p>
            <w:pPr>
              <w:spacing w:after="0"/>
              <w:rPr>
                <w:sz w:val="18"/>
                <w:szCs w:val="18"/>
                <w:color w:val="auto"/>
              </w:rPr>
            </w:pPr>
          </w:p>
        </w:tc>
        <w:tc>
          <w:tcPr>
            <w:tcW w:w="220" w:type="dxa"/>
            <w:vAlign w:val="bottom"/>
            <w:shd w:val="clear" w:color="auto" w:fill="CFF0FC"/>
          </w:tcPr>
          <w:p>
            <w:pPr>
              <w:jc w:val="right"/>
              <w:ind w:right="30"/>
              <w:spacing w:after="0"/>
              <w:rPr>
                <w:sz w:val="20"/>
                <w:szCs w:val="20"/>
                <w:color w:val="auto"/>
              </w:rPr>
            </w:pPr>
            <w:r>
              <w:rPr>
                <w:rFonts w:ascii="Arial" w:cs="Arial" w:eastAsia="Arial" w:hAnsi="Arial"/>
                <w:sz w:val="18"/>
                <w:szCs w:val="18"/>
                <w:color w:val="auto"/>
                <w:w w:val="79"/>
              </w:rPr>
              <w:t>$</w:t>
            </w:r>
          </w:p>
        </w:tc>
        <w:tc>
          <w:tcPr>
            <w:tcW w:w="8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307,445</w:t>
            </w:r>
          </w:p>
        </w:tc>
        <w:tc>
          <w:tcPr>
            <w:tcW w:w="260" w:type="dxa"/>
            <w:vAlign w:val="bottom"/>
            <w:shd w:val="clear" w:color="auto" w:fill="CFF0FC"/>
          </w:tcPr>
          <w:p>
            <w:pPr>
              <w:spacing w:after="0"/>
              <w:rPr>
                <w:sz w:val="18"/>
                <w:szCs w:val="18"/>
                <w:color w:val="auto"/>
              </w:rPr>
            </w:pPr>
          </w:p>
        </w:tc>
        <w:tc>
          <w:tcPr>
            <w:tcW w:w="260" w:type="dxa"/>
            <w:vAlign w:val="bottom"/>
            <w:shd w:val="clear" w:color="auto" w:fill="CFF0FC"/>
          </w:tcPr>
          <w:p>
            <w:pPr>
              <w:jc w:val="right"/>
              <w:ind w:right="70"/>
              <w:spacing w:after="0"/>
              <w:rPr>
                <w:sz w:val="20"/>
                <w:szCs w:val="20"/>
                <w:color w:val="auto"/>
              </w:rPr>
            </w:pPr>
            <w:r>
              <w:rPr>
                <w:rFonts w:ascii="Arial" w:cs="Arial" w:eastAsia="Arial" w:hAnsi="Arial"/>
                <w:sz w:val="18"/>
                <w:szCs w:val="18"/>
                <w:color w:val="auto"/>
                <w:w w:val="79"/>
              </w:rPr>
              <w:t>$</w:t>
            </w:r>
          </w:p>
        </w:tc>
        <w:tc>
          <w:tcPr>
            <w:tcW w:w="9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117,783</w:t>
            </w:r>
          </w:p>
        </w:tc>
        <w:tc>
          <w:tcPr>
            <w:tcW w:w="100" w:type="dxa"/>
            <w:vAlign w:val="bottom"/>
            <w:shd w:val="clear" w:color="auto" w:fill="CFF0FC"/>
          </w:tcPr>
          <w:p>
            <w:pPr>
              <w:spacing w:after="0"/>
              <w:rPr>
                <w:sz w:val="18"/>
                <w:szCs w:val="18"/>
                <w:color w:val="auto"/>
              </w:rPr>
            </w:pPr>
          </w:p>
        </w:tc>
      </w:tr>
      <w:tr>
        <w:trPr>
          <w:trHeight w:val="216"/>
        </w:trPr>
        <w:tc>
          <w:tcPr>
            <w:tcW w:w="5840" w:type="dxa"/>
            <w:vAlign w:val="bottom"/>
          </w:tcPr>
          <w:p>
            <w:pPr>
              <w:ind w:left="20"/>
              <w:spacing w:after="0"/>
              <w:rPr>
                <w:sz w:val="20"/>
                <w:szCs w:val="20"/>
                <w:color w:val="auto"/>
              </w:rPr>
            </w:pPr>
            <w:r>
              <w:rPr>
                <w:rFonts w:ascii="Arial" w:cs="Arial" w:eastAsia="Arial" w:hAnsi="Arial"/>
                <w:sz w:val="18"/>
                <w:szCs w:val="18"/>
                <w:color w:val="auto"/>
              </w:rPr>
              <w:t>Restricted cash, current</w:t>
            </w:r>
          </w:p>
        </w:tc>
        <w:tc>
          <w:tcPr>
            <w:tcW w:w="24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w:t>
            </w:r>
          </w:p>
        </w:tc>
        <w:tc>
          <w:tcPr>
            <w:tcW w:w="2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1,081</w:t>
            </w:r>
          </w:p>
        </w:tc>
        <w:tc>
          <w:tcPr>
            <w:tcW w:w="2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w:t>
            </w:r>
          </w:p>
        </w:tc>
        <w:tc>
          <w:tcPr>
            <w:tcW w:w="2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1,080</w:t>
            </w:r>
          </w:p>
        </w:tc>
        <w:tc>
          <w:tcPr>
            <w:tcW w:w="100" w:type="dxa"/>
            <w:vAlign w:val="bottom"/>
          </w:tcPr>
          <w:p>
            <w:pPr>
              <w:spacing w:after="0"/>
              <w:rPr>
                <w:sz w:val="18"/>
                <w:szCs w:val="18"/>
                <w:color w:val="auto"/>
              </w:rPr>
            </w:pPr>
          </w:p>
        </w:tc>
      </w:tr>
      <w:tr>
        <w:trPr>
          <w:trHeight w:val="216"/>
        </w:trPr>
        <w:tc>
          <w:tcPr>
            <w:tcW w:w="5840" w:type="dxa"/>
            <w:vAlign w:val="bottom"/>
            <w:tcBorders>
              <w:bottom w:val="single" w:sz="8" w:color="CFF0FC"/>
            </w:tcBorders>
            <w:shd w:val="clear" w:color="auto" w:fill="CFF0FC"/>
          </w:tcPr>
          <w:p>
            <w:pPr>
              <w:ind w:left="20"/>
              <w:spacing w:after="0"/>
              <w:rPr>
                <w:sz w:val="20"/>
                <w:szCs w:val="20"/>
                <w:color w:val="auto"/>
              </w:rPr>
            </w:pPr>
            <w:r>
              <w:rPr>
                <w:rFonts w:ascii="Arial" w:cs="Arial" w:eastAsia="Arial" w:hAnsi="Arial"/>
                <w:sz w:val="18"/>
                <w:szCs w:val="18"/>
                <w:color w:val="auto"/>
              </w:rPr>
              <w:t>Restricted cash, noncurrent</w:t>
            </w:r>
          </w:p>
        </w:tc>
        <w:tc>
          <w:tcPr>
            <w:tcW w:w="240" w:type="dxa"/>
            <w:vAlign w:val="bottom"/>
            <w:tcBorders>
              <w:bottom w:val="single" w:sz="8" w:color="auto"/>
            </w:tcBorders>
            <w:shd w:val="clear" w:color="auto" w:fill="CFF0FC"/>
          </w:tcPr>
          <w:p>
            <w:pPr>
              <w:spacing w:after="0"/>
              <w:rPr>
                <w:sz w:val="18"/>
                <w:szCs w:val="18"/>
                <w:color w:val="auto"/>
              </w:rPr>
            </w:pPr>
          </w:p>
        </w:tc>
        <w:tc>
          <w:tcPr>
            <w:tcW w:w="8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852</w:t>
            </w:r>
          </w:p>
        </w:tc>
        <w:tc>
          <w:tcPr>
            <w:tcW w:w="260" w:type="dxa"/>
            <w:vAlign w:val="bottom"/>
            <w:tcBorders>
              <w:bottom w:val="single" w:sz="8" w:color="CFF0FC"/>
            </w:tcBorders>
            <w:shd w:val="clear" w:color="auto" w:fill="CFF0FC"/>
          </w:tcPr>
          <w:p>
            <w:pPr>
              <w:spacing w:after="0"/>
              <w:rPr>
                <w:sz w:val="18"/>
                <w:szCs w:val="18"/>
                <w:color w:val="auto"/>
              </w:rPr>
            </w:pPr>
          </w:p>
        </w:tc>
        <w:tc>
          <w:tcPr>
            <w:tcW w:w="260" w:type="dxa"/>
            <w:vAlign w:val="bottom"/>
            <w:tcBorders>
              <w:bottom w:val="single" w:sz="8" w:color="auto"/>
            </w:tcBorders>
            <w:shd w:val="clear" w:color="auto" w:fill="CFF0FC"/>
          </w:tcPr>
          <w:p>
            <w:pPr>
              <w:spacing w:after="0"/>
              <w:rPr>
                <w:sz w:val="18"/>
                <w:szCs w:val="18"/>
                <w:color w:val="auto"/>
              </w:rPr>
            </w:pPr>
          </w:p>
        </w:tc>
        <w:tc>
          <w:tcPr>
            <w:tcW w:w="9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850</w:t>
            </w:r>
          </w:p>
        </w:tc>
        <w:tc>
          <w:tcPr>
            <w:tcW w:w="240" w:type="dxa"/>
            <w:vAlign w:val="bottom"/>
            <w:tcBorders>
              <w:bottom w:val="single" w:sz="8" w:color="CFF0FC"/>
            </w:tcBorders>
            <w:shd w:val="clear" w:color="auto" w:fill="CFF0FC"/>
          </w:tcPr>
          <w:p>
            <w:pPr>
              <w:spacing w:after="0"/>
              <w:rPr>
                <w:sz w:val="18"/>
                <w:szCs w:val="18"/>
                <w:color w:val="auto"/>
              </w:rPr>
            </w:pPr>
          </w:p>
        </w:tc>
        <w:tc>
          <w:tcPr>
            <w:tcW w:w="220" w:type="dxa"/>
            <w:vAlign w:val="bottom"/>
            <w:tcBorders>
              <w:bottom w:val="single" w:sz="8" w:color="auto"/>
            </w:tcBorders>
            <w:shd w:val="clear" w:color="auto" w:fill="CFF0FC"/>
          </w:tcPr>
          <w:p>
            <w:pPr>
              <w:spacing w:after="0"/>
              <w:rPr>
                <w:sz w:val="18"/>
                <w:szCs w:val="18"/>
                <w:color w:val="auto"/>
              </w:rPr>
            </w:pPr>
          </w:p>
        </w:tc>
        <w:tc>
          <w:tcPr>
            <w:tcW w:w="8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850</w:t>
            </w:r>
          </w:p>
        </w:tc>
        <w:tc>
          <w:tcPr>
            <w:tcW w:w="260" w:type="dxa"/>
            <w:vAlign w:val="bottom"/>
            <w:tcBorders>
              <w:bottom w:val="single" w:sz="8" w:color="CFF0FC"/>
            </w:tcBorders>
            <w:shd w:val="clear" w:color="auto" w:fill="CFF0FC"/>
          </w:tcPr>
          <w:p>
            <w:pPr>
              <w:spacing w:after="0"/>
              <w:rPr>
                <w:sz w:val="18"/>
                <w:szCs w:val="18"/>
                <w:color w:val="auto"/>
              </w:rPr>
            </w:pPr>
          </w:p>
        </w:tc>
        <w:tc>
          <w:tcPr>
            <w:tcW w:w="260" w:type="dxa"/>
            <w:vAlign w:val="bottom"/>
            <w:tcBorders>
              <w:bottom w:val="single" w:sz="8" w:color="auto"/>
            </w:tcBorders>
            <w:shd w:val="clear" w:color="auto" w:fill="CFF0FC"/>
          </w:tcPr>
          <w:p>
            <w:pPr>
              <w:spacing w:after="0"/>
              <w:rPr>
                <w:sz w:val="18"/>
                <w:szCs w:val="18"/>
                <w:color w:val="auto"/>
              </w:rPr>
            </w:pPr>
          </w:p>
        </w:tc>
        <w:tc>
          <w:tcPr>
            <w:tcW w:w="9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100" w:type="dxa"/>
            <w:vAlign w:val="bottom"/>
            <w:tcBorders>
              <w:bottom w:val="single" w:sz="8" w:color="CFF0FC"/>
            </w:tcBorders>
            <w:shd w:val="clear" w:color="auto" w:fill="CFF0FC"/>
          </w:tcPr>
          <w:p>
            <w:pPr>
              <w:spacing w:after="0"/>
              <w:rPr>
                <w:sz w:val="18"/>
                <w:szCs w:val="18"/>
                <w:color w:val="auto"/>
              </w:rPr>
            </w:pPr>
          </w:p>
        </w:tc>
      </w:tr>
      <w:tr>
        <w:trPr>
          <w:trHeight w:val="209"/>
        </w:trPr>
        <w:tc>
          <w:tcPr>
            <w:tcW w:w="5840" w:type="dxa"/>
            <w:vAlign w:val="bottom"/>
          </w:tcPr>
          <w:p>
            <w:pPr>
              <w:ind w:left="20"/>
              <w:spacing w:after="0"/>
              <w:rPr>
                <w:sz w:val="20"/>
                <w:szCs w:val="20"/>
                <w:color w:val="auto"/>
              </w:rPr>
            </w:pPr>
            <w:r>
              <w:rPr>
                <w:rFonts w:ascii="Arial" w:cs="Arial" w:eastAsia="Arial" w:hAnsi="Arial"/>
                <w:sz w:val="18"/>
                <w:szCs w:val="18"/>
                <w:color w:val="auto"/>
              </w:rPr>
              <w:t>Total cash, cash equivalents, and restricted cash</w:t>
            </w:r>
          </w:p>
        </w:tc>
        <w:tc>
          <w:tcPr>
            <w:tcW w:w="240" w:type="dxa"/>
            <w:vAlign w:val="bottom"/>
          </w:tcPr>
          <w:p>
            <w:pPr>
              <w:jc w:val="right"/>
              <w:ind w:right="50"/>
              <w:spacing w:after="0"/>
              <w:rPr>
                <w:sz w:val="20"/>
                <w:szCs w:val="20"/>
                <w:color w:val="auto"/>
              </w:rPr>
            </w:pPr>
            <w:r>
              <w:rPr>
                <w:rFonts w:ascii="Arial" w:cs="Arial" w:eastAsia="Arial" w:hAnsi="Arial"/>
                <w:sz w:val="18"/>
                <w:szCs w:val="18"/>
                <w:color w:val="auto"/>
                <w:w w:val="79"/>
              </w:rPr>
              <w:t>$</w:t>
            </w:r>
          </w:p>
        </w:tc>
        <w:tc>
          <w:tcPr>
            <w:tcW w:w="880" w:type="dxa"/>
            <w:vAlign w:val="bottom"/>
          </w:tcPr>
          <w:p>
            <w:pPr>
              <w:jc w:val="right"/>
              <w:spacing w:after="0"/>
              <w:rPr>
                <w:sz w:val="20"/>
                <w:szCs w:val="20"/>
                <w:color w:val="auto"/>
              </w:rPr>
            </w:pPr>
            <w:r>
              <w:rPr>
                <w:rFonts w:ascii="Arial" w:cs="Arial" w:eastAsia="Arial" w:hAnsi="Arial"/>
                <w:sz w:val="18"/>
                <w:szCs w:val="18"/>
                <w:color w:val="auto"/>
              </w:rPr>
              <w:t>248,100</w:t>
            </w:r>
          </w:p>
        </w:tc>
        <w:tc>
          <w:tcPr>
            <w:tcW w:w="520" w:type="dxa"/>
            <w:vAlign w:val="bottom"/>
            <w:gridSpan w:val="2"/>
          </w:tcPr>
          <w:p>
            <w:pPr>
              <w:jc w:val="right"/>
              <w:ind w:right="70"/>
              <w:spacing w:after="0"/>
              <w:rPr>
                <w:sz w:val="20"/>
                <w:szCs w:val="20"/>
                <w:color w:val="auto"/>
              </w:rPr>
            </w:pPr>
            <w:r>
              <w:rPr>
                <w:rFonts w:ascii="Arial" w:cs="Arial" w:eastAsia="Arial" w:hAnsi="Arial"/>
                <w:sz w:val="18"/>
                <w:szCs w:val="18"/>
                <w:color w:val="auto"/>
              </w:rPr>
              <w:t>$</w:t>
            </w:r>
          </w:p>
        </w:tc>
        <w:tc>
          <w:tcPr>
            <w:tcW w:w="900" w:type="dxa"/>
            <w:vAlign w:val="bottom"/>
          </w:tcPr>
          <w:p>
            <w:pPr>
              <w:jc w:val="right"/>
              <w:spacing w:after="0"/>
              <w:rPr>
                <w:sz w:val="20"/>
                <w:szCs w:val="20"/>
                <w:color w:val="auto"/>
              </w:rPr>
            </w:pPr>
            <w:r>
              <w:rPr>
                <w:rFonts w:ascii="Arial" w:cs="Arial" w:eastAsia="Arial" w:hAnsi="Arial"/>
                <w:sz w:val="18"/>
                <w:szCs w:val="18"/>
                <w:color w:val="auto"/>
              </w:rPr>
              <w:t>319,694</w:t>
            </w:r>
          </w:p>
        </w:tc>
        <w:tc>
          <w:tcPr>
            <w:tcW w:w="460" w:type="dxa"/>
            <w:vAlign w:val="bottom"/>
            <w:gridSpan w:val="2"/>
          </w:tcPr>
          <w:p>
            <w:pPr>
              <w:jc w:val="right"/>
              <w:ind w:right="30"/>
              <w:spacing w:after="0"/>
              <w:rPr>
                <w:sz w:val="20"/>
                <w:szCs w:val="20"/>
                <w:color w:val="auto"/>
              </w:rPr>
            </w:pPr>
            <w:r>
              <w:rPr>
                <w:rFonts w:ascii="Arial" w:cs="Arial" w:eastAsia="Arial" w:hAnsi="Arial"/>
                <w:sz w:val="18"/>
                <w:szCs w:val="18"/>
                <w:color w:val="auto"/>
              </w:rPr>
              <w:t>$</w:t>
            </w:r>
          </w:p>
        </w:tc>
        <w:tc>
          <w:tcPr>
            <w:tcW w:w="880" w:type="dxa"/>
            <w:vAlign w:val="bottom"/>
          </w:tcPr>
          <w:p>
            <w:pPr>
              <w:jc w:val="right"/>
              <w:spacing w:after="0"/>
              <w:rPr>
                <w:sz w:val="20"/>
                <w:szCs w:val="20"/>
                <w:color w:val="auto"/>
              </w:rPr>
            </w:pPr>
            <w:r>
              <w:rPr>
                <w:rFonts w:ascii="Arial" w:cs="Arial" w:eastAsia="Arial" w:hAnsi="Arial"/>
                <w:sz w:val="18"/>
                <w:szCs w:val="18"/>
                <w:color w:val="auto"/>
              </w:rPr>
              <w:t>308,295</w:t>
            </w:r>
          </w:p>
        </w:tc>
        <w:tc>
          <w:tcPr>
            <w:tcW w:w="520" w:type="dxa"/>
            <w:vAlign w:val="bottom"/>
            <w:gridSpan w:val="2"/>
          </w:tcPr>
          <w:p>
            <w:pPr>
              <w:jc w:val="right"/>
              <w:ind w:right="70"/>
              <w:spacing w:after="0"/>
              <w:rPr>
                <w:sz w:val="20"/>
                <w:szCs w:val="20"/>
                <w:color w:val="auto"/>
              </w:rPr>
            </w:pPr>
            <w:r>
              <w:rPr>
                <w:rFonts w:ascii="Arial" w:cs="Arial" w:eastAsia="Arial" w:hAnsi="Arial"/>
                <w:sz w:val="18"/>
                <w:szCs w:val="18"/>
                <w:color w:val="auto"/>
              </w:rPr>
              <w:t>$</w:t>
            </w:r>
          </w:p>
        </w:tc>
        <w:tc>
          <w:tcPr>
            <w:tcW w:w="900" w:type="dxa"/>
            <w:vAlign w:val="bottom"/>
          </w:tcPr>
          <w:p>
            <w:pPr>
              <w:jc w:val="right"/>
              <w:spacing w:after="0"/>
              <w:rPr>
                <w:sz w:val="20"/>
                <w:szCs w:val="20"/>
                <w:color w:val="auto"/>
              </w:rPr>
            </w:pPr>
            <w:r>
              <w:rPr>
                <w:rFonts w:ascii="Arial" w:cs="Arial" w:eastAsia="Arial" w:hAnsi="Arial"/>
                <w:sz w:val="18"/>
                <w:szCs w:val="18"/>
                <w:color w:val="auto"/>
              </w:rPr>
              <w:t>118,863</w:t>
            </w:r>
          </w:p>
        </w:tc>
        <w:tc>
          <w:tcPr>
            <w:tcW w:w="100" w:type="dxa"/>
            <w:vAlign w:val="bottom"/>
          </w:tcPr>
          <w:p>
            <w:pPr>
              <w:spacing w:after="0"/>
              <w:rPr>
                <w:sz w:val="18"/>
                <w:szCs w:val="18"/>
                <w:color w:val="auto"/>
              </w:rPr>
            </w:pPr>
          </w:p>
        </w:tc>
      </w:tr>
      <w:tr>
        <w:trPr>
          <w:trHeight w:val="20"/>
        </w:trPr>
        <w:tc>
          <w:tcPr>
            <w:tcW w:w="584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4423410</wp:posOffset>
            </wp:positionH>
            <wp:positionV relativeFrom="paragraph">
              <wp:posOffset>-170815</wp:posOffset>
            </wp:positionV>
            <wp:extent cx="76835" cy="171450"/>
            <wp:wrapNone/>
            <wp:docPr id="126" name="Picture 1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6"/>
                    <pic:cNvPicPr>
                      <a:picLocks noChangeAspect="1" noChangeArrowheads="1"/>
                    </pic:cNvPicPr>
                  </pic:nvPicPr>
                  <pic:blipFill>
                    <a:blip r:embed="rId133">
                      <a:extLst>
                        <a:ext uri="{28A0092B-C50C-407E-A947-70E740481C1C}"/>
                      </a:extLst>
                    </a:blip>
                    <a:srcRect/>
                    <a:stretch>
                      <a:fillRect/>
                    </a:stretch>
                  </pic:blipFill>
                  <pic:spPr bwMode="auto">
                    <a:xfrm>
                      <a:off x="0" y="0"/>
                      <a:ext cx="76835" cy="171450"/>
                    </a:xfrm>
                    <a:prstGeom prst="rect">
                      <a:avLst/>
                    </a:prstGeom>
                    <a:noFill/>
                  </pic:spPr>
                </pic:pic>
              </a:graphicData>
            </a:graphic>
          </wp:anchor>
        </w:drawing>
        <w:drawing>
          <wp:anchor simplePos="0" relativeHeight="251657728" behindDoc="1" locked="0" layoutInCell="0" allowOverlap="1">
            <wp:simplePos x="0" y="0"/>
            <wp:positionH relativeFrom="column">
              <wp:posOffset>5321935</wp:posOffset>
            </wp:positionH>
            <wp:positionV relativeFrom="paragraph">
              <wp:posOffset>-170815</wp:posOffset>
            </wp:positionV>
            <wp:extent cx="68580" cy="171450"/>
            <wp:wrapNone/>
            <wp:docPr id="127" name="Picture 1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7"/>
                    <pic:cNvPicPr>
                      <a:picLocks noChangeAspect="1" noChangeArrowheads="1"/>
                    </pic:cNvPicPr>
                  </pic:nvPicPr>
                  <pic:blipFill>
                    <a:blip r:embed="rId134">
                      <a:extLst>
                        <a:ext uri="{28A0092B-C50C-407E-A947-70E740481C1C}"/>
                      </a:extLst>
                    </a:blip>
                    <a:srcRect/>
                    <a:stretch>
                      <a:fillRect/>
                    </a:stretch>
                  </pic:blipFill>
                  <pic:spPr bwMode="auto">
                    <a:xfrm>
                      <a:off x="0" y="0"/>
                      <a:ext cx="68580" cy="171450"/>
                    </a:xfrm>
                    <a:prstGeom prst="rect">
                      <a:avLst/>
                    </a:prstGeom>
                    <a:noFill/>
                  </pic:spPr>
                </pic:pic>
              </a:graphicData>
            </a:graphic>
          </wp:anchor>
        </w:drawing>
        <w:drawing>
          <wp:anchor simplePos="0" relativeHeight="251657728" behindDoc="1" locked="0" layoutInCell="0" allowOverlap="1">
            <wp:simplePos x="0" y="0"/>
            <wp:positionH relativeFrom="column">
              <wp:posOffset>6169660</wp:posOffset>
            </wp:positionH>
            <wp:positionV relativeFrom="paragraph">
              <wp:posOffset>-170815</wp:posOffset>
            </wp:positionV>
            <wp:extent cx="68580" cy="171450"/>
            <wp:wrapNone/>
            <wp:docPr id="128" name="Picture 1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8"/>
                    <pic:cNvPicPr>
                      <a:picLocks noChangeAspect="1" noChangeArrowheads="1"/>
                    </pic:cNvPicPr>
                  </pic:nvPicPr>
                  <pic:blipFill>
                    <a:blip r:embed="rId135">
                      <a:extLst>
                        <a:ext uri="{28A0092B-C50C-407E-A947-70E740481C1C}"/>
                      </a:extLst>
                    </a:blip>
                    <a:srcRect/>
                    <a:stretch>
                      <a:fillRect/>
                    </a:stretch>
                  </pic:blipFill>
                  <pic:spPr bwMode="auto">
                    <a:xfrm>
                      <a:off x="0" y="0"/>
                      <a:ext cx="68580" cy="171450"/>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-170815</wp:posOffset>
            </wp:positionV>
            <wp:extent cx="68580" cy="171450"/>
            <wp:wrapNone/>
            <wp:docPr id="129" name="Picture 1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9"/>
                    <pic:cNvPicPr>
                      <a:picLocks noChangeAspect="1" noChangeArrowheads="1"/>
                    </pic:cNvPicPr>
                  </pic:nvPicPr>
                  <pic:blipFill>
                    <a:blip r:embed="rId136">
                      <a:extLst>
                        <a:ext uri="{28A0092B-C50C-407E-A947-70E740481C1C}"/>
                      </a:extLst>
                    </a:blip>
                    <a:srcRect/>
                    <a:stretch>
                      <a:fillRect/>
                    </a:stretch>
                  </pic:blipFill>
                  <pic:spPr bwMode="auto">
                    <a:xfrm>
                      <a:off x="0" y="0"/>
                      <a:ext cx="68580" cy="171450"/>
                    </a:xfrm>
                    <a:prstGeom prst="rect">
                      <a:avLst/>
                    </a:prstGeom>
                    <a:noFill/>
                  </pic:spPr>
                </pic:pic>
              </a:graphicData>
            </a:graphic>
          </wp:anchor>
        </w:drawing>
      </w:r>
    </w:p>
    <w:p>
      <w:pPr>
        <w:sectPr>
          <w:pgSz w:w="11900" w:h="16838" w:orient="portrait"/>
          <w:cols w:equalWidth="0" w:num="1">
            <w:col w:w="11240"/>
          </w:cols>
          <w:pgMar w:left="320" w:top="472" w:right="339" w:bottom="1440" w:gutter="0" w:footer="0" w:header="0"/>
        </w:sectPr>
      </w:pPr>
    </w:p>
    <w:p>
      <w:pPr>
        <w:spacing w:after="0" w:line="30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Prepaid Expenses and Other Current Assets</w:t>
      </w:r>
    </w:p>
    <w:p>
      <w:pPr>
        <w:spacing w:after="0" w:line="103" w:lineRule="exact"/>
        <w:rPr>
          <w:sz w:val="20"/>
          <w:szCs w:val="20"/>
          <w:color w:val="auto"/>
        </w:rPr>
      </w:pPr>
    </w:p>
    <w:p>
      <w:pPr>
        <w:ind w:left="520"/>
        <w:spacing w:after="0"/>
        <w:rPr>
          <w:sz w:val="20"/>
          <w:szCs w:val="20"/>
          <w:color w:val="auto"/>
        </w:rPr>
      </w:pPr>
      <w:r>
        <w:rPr>
          <w:rFonts w:ascii="Arial" w:cs="Arial" w:eastAsia="Arial" w:hAnsi="Arial"/>
          <w:sz w:val="16"/>
          <w:szCs w:val="16"/>
          <w:color w:val="auto"/>
        </w:rPr>
        <w:t>Prepaid expenses and other current assets consisted of the following (in thousands):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3" w:lineRule="exact"/>
        <w:rPr>
          <w:sz w:val="20"/>
          <w:szCs w:val="20"/>
          <w:color w:val="auto"/>
        </w:rPr>
      </w:pPr>
    </w:p>
    <w:p>
      <w:pPr>
        <w:ind w:left="20"/>
        <w:spacing w:after="0"/>
        <w:rPr>
          <w:sz w:val="20"/>
          <w:szCs w:val="20"/>
          <w:color w:val="auto"/>
        </w:rPr>
      </w:pPr>
      <w:r>
        <w:rPr>
          <w:rFonts w:ascii="Arial" w:cs="Arial" w:eastAsia="Arial" w:hAnsi="Arial"/>
          <w:sz w:val="18"/>
          <w:szCs w:val="18"/>
          <w:color w:val="auto"/>
        </w:rPr>
        <w:t>Prepaid hosting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-121920</wp:posOffset>
            </wp:positionV>
            <wp:extent cx="7132320" cy="137160"/>
            <wp:wrapNone/>
            <wp:docPr id="130" name="Picture 1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0"/>
                    <pic:cNvPicPr>
                      <a:picLocks noChangeAspect="1" noChangeArrowheads="1"/>
                    </pic:cNvPicPr>
                  </pic:nvPicPr>
                  <pic:blipFill>
                    <a:blip r:embed="rId137">
                      <a:extLst>
                        <a:ext uri="{28A0092B-C50C-407E-A947-70E740481C1C}"/>
                      </a:extLst>
                    </a:blip>
                    <a:srcRect/>
                    <a:stretch>
                      <a:fillRect/>
                    </a:stretch>
                  </pic:blipFill>
                  <pic:spPr bwMode="auto">
                    <a:xfrm>
                      <a:off x="0" y="0"/>
                      <a:ext cx="7132320" cy="137160"/>
                    </a:xfrm>
                    <a:prstGeom prst="rect">
                      <a:avLst/>
                    </a:prstGeom>
                    <a:noFill/>
                  </pic:spPr>
                </pic:pic>
              </a:graphicData>
            </a:graphic>
          </wp:anchor>
        </w:drawing>
      </w:r>
    </w:p>
    <w:p>
      <w:pPr>
        <w:spacing w:after="0" w:line="3" w:lineRule="exact"/>
        <w:rPr>
          <w:sz w:val="20"/>
          <w:szCs w:val="20"/>
          <w:color w:val="auto"/>
        </w:rPr>
      </w:pPr>
    </w:p>
    <w:p>
      <w:pPr>
        <w:ind w:left="20"/>
        <w:spacing w:after="0"/>
        <w:rPr>
          <w:sz w:val="20"/>
          <w:szCs w:val="20"/>
          <w:color w:val="auto"/>
        </w:rPr>
      </w:pPr>
      <w:r>
        <w:rPr>
          <w:rFonts w:ascii="Arial" w:cs="Arial" w:eastAsia="Arial" w:hAnsi="Arial"/>
          <w:sz w:val="18"/>
          <w:szCs w:val="18"/>
          <w:color w:val="auto"/>
        </w:rPr>
        <w:t>Other prepaid expenses and other assets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13970</wp:posOffset>
            </wp:positionV>
            <wp:extent cx="7132320" cy="162560"/>
            <wp:wrapNone/>
            <wp:docPr id="131" name="Picture 1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1"/>
                    <pic:cNvPicPr>
                      <a:picLocks noChangeAspect="1" noChangeArrowheads="1"/>
                    </pic:cNvPicPr>
                  </pic:nvPicPr>
                  <pic:blipFill>
                    <a:blip r:embed="rId138">
                      <a:extLst>
                        <a:ext uri="{28A0092B-C50C-407E-A947-70E740481C1C}"/>
                      </a:extLst>
                    </a:blip>
                    <a:srcRect/>
                    <a:stretch>
                      <a:fillRect/>
                    </a:stretch>
                  </pic:blipFill>
                  <pic:spPr bwMode="auto">
                    <a:xfrm>
                      <a:off x="0" y="0"/>
                      <a:ext cx="7132320" cy="162560"/>
                    </a:xfrm>
                    <a:prstGeom prst="rect">
                      <a:avLst/>
                    </a:prstGeom>
                    <a:noFill/>
                  </pic:spPr>
                </pic:pic>
              </a:graphicData>
            </a:graphic>
          </wp:anchor>
        </w:drawing>
      </w:r>
    </w:p>
    <w:p>
      <w:pPr>
        <w:spacing w:after="0" w:line="28" w:lineRule="exact"/>
        <w:rPr>
          <w:sz w:val="20"/>
          <w:szCs w:val="20"/>
          <w:color w:val="auto"/>
        </w:rPr>
      </w:pPr>
    </w:p>
    <w:p>
      <w:pPr>
        <w:ind w:left="200"/>
        <w:spacing w:after="0"/>
        <w:rPr>
          <w:sz w:val="20"/>
          <w:szCs w:val="20"/>
          <w:color w:val="auto"/>
        </w:rPr>
      </w:pPr>
      <w:r>
        <w:rPr>
          <w:rFonts w:ascii="Arial" w:cs="Arial" w:eastAsia="Arial" w:hAnsi="Arial"/>
          <w:sz w:val="18"/>
          <w:szCs w:val="18"/>
          <w:color w:val="auto"/>
        </w:rPr>
        <w:t>Total prepaid expense and other current assets</w:t>
      </w:r>
    </w:p>
    <w:p>
      <w:pPr>
        <w:spacing w:after="0" w:line="33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Accrued Expenses</w:t>
      </w:r>
    </w:p>
    <w:p>
      <w:pPr>
        <w:spacing w:after="0" w:line="117" w:lineRule="exact"/>
        <w:rPr>
          <w:sz w:val="20"/>
          <w:szCs w:val="20"/>
          <w:color w:val="auto"/>
        </w:rPr>
      </w:pPr>
    </w:p>
    <w:p>
      <w:pPr>
        <w:ind w:left="520"/>
        <w:spacing w:after="0"/>
        <w:rPr>
          <w:sz w:val="20"/>
          <w:szCs w:val="20"/>
          <w:color w:val="auto"/>
        </w:rPr>
      </w:pPr>
      <w:r>
        <w:rPr>
          <w:rFonts w:ascii="Arial" w:cs="Arial" w:eastAsia="Arial" w:hAnsi="Arial"/>
          <w:sz w:val="18"/>
          <w:szCs w:val="18"/>
          <w:color w:val="auto"/>
        </w:rPr>
        <w:t>Accrued expenses consisted of the following (in thousands):</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400" w:lineRule="exact"/>
        <w:rPr>
          <w:sz w:val="20"/>
          <w:szCs w:val="20"/>
          <w:color w:val="auto"/>
        </w:rPr>
      </w:pPr>
    </w:p>
    <w:p>
      <w:pPr>
        <w:ind w:left="567"/>
        <w:spacing w:after="0"/>
        <w:rPr>
          <w:sz w:val="20"/>
          <w:szCs w:val="20"/>
          <w:color w:val="auto"/>
        </w:rPr>
      </w:pPr>
      <w:r>
        <w:rPr>
          <w:rFonts w:ascii="Arial" w:cs="Arial" w:eastAsia="Arial" w:hAnsi="Arial"/>
          <w:sz w:val="18"/>
          <w:szCs w:val="18"/>
          <w:b w:val="1"/>
          <w:bCs w:val="1"/>
          <w:color w:val="auto"/>
        </w:rPr>
        <w:t>As of</w:t>
      </w:r>
    </w:p>
    <w:p>
      <w:pPr>
        <w:ind w:left="247"/>
        <w:spacing w:after="0" w:line="220" w:lineRule="auto"/>
        <w:rPr>
          <w:sz w:val="20"/>
          <w:szCs w:val="20"/>
          <w:color w:val="auto"/>
        </w:rPr>
      </w:pPr>
      <w:r>
        <w:rPr>
          <w:rFonts w:ascii="Arial" w:cs="Arial" w:eastAsia="Arial" w:hAnsi="Arial"/>
          <w:sz w:val="18"/>
          <w:szCs w:val="18"/>
          <w:b w:val="1"/>
          <w:bCs w:val="1"/>
          <w:color w:val="auto"/>
        </w:rPr>
        <w:t>September 30,</w:t>
      </w:r>
    </w:p>
    <w:p>
      <w:pPr>
        <w:spacing w:after="0" w:line="1" w:lineRule="exact"/>
        <w:rPr>
          <w:sz w:val="20"/>
          <w:szCs w:val="20"/>
          <w:color w:val="auto"/>
        </w:rPr>
      </w:pPr>
    </w:p>
    <w:p>
      <w:pPr>
        <w:ind w:left="607"/>
        <w:spacing w:after="0"/>
        <w:rPr>
          <w:sz w:val="20"/>
          <w:szCs w:val="20"/>
          <w:color w:val="auto"/>
        </w:rPr>
      </w:pPr>
      <w:r>
        <w:rPr>
          <w:rFonts w:ascii="Arial" w:cs="Arial" w:eastAsia="Arial" w:hAnsi="Arial"/>
          <w:sz w:val="18"/>
          <w:szCs w:val="18"/>
          <w:b w:val="1"/>
          <w:bCs w:val="1"/>
          <w:color w:val="auto"/>
        </w:rPr>
        <w:t>2022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4445</wp:posOffset>
            </wp:positionV>
            <wp:extent cx="1027430" cy="8255"/>
            <wp:wrapNone/>
            <wp:docPr id="132" name="Picture 1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2"/>
                    <pic:cNvPicPr>
                      <a:picLocks noChangeAspect="1" noChangeArrowheads="1"/>
                    </pic:cNvPicPr>
                  </pic:nvPicPr>
                  <pic:blipFill>
                    <a:blip r:embed="rId139">
                      <a:extLst>
                        <a:ext uri="{28A0092B-C50C-407E-A947-70E740481C1C}"/>
                      </a:extLst>
                    </a:blip>
                    <a:srcRect/>
                    <a:stretch>
                      <a:fillRect/>
                    </a:stretch>
                  </pic:blipFill>
                  <pic:spPr bwMode="auto">
                    <a:xfrm>
                      <a:off x="0" y="0"/>
                      <a:ext cx="1027430" cy="8255"/>
                    </a:xfrm>
                    <a:prstGeom prst="rect">
                      <a:avLst/>
                    </a:prstGeom>
                    <a:noFill/>
                  </pic:spPr>
                </pic:pic>
              </a:graphicData>
            </a:graphic>
          </wp:anchor>
        </w:drawing>
      </w:r>
    </w:p>
    <w:p>
      <w:pPr>
        <w:spacing w:after="0" w:line="202" w:lineRule="exact"/>
        <w:rPr>
          <w:sz w:val="20"/>
          <w:szCs w:val="20"/>
          <w:color w:val="auto"/>
        </w:rPr>
      </w:pPr>
    </w:p>
    <w:p>
      <w:pPr>
        <w:ind w:left="1107" w:hanging="1107"/>
        <w:spacing w:after="0"/>
        <w:tabs>
          <w:tab w:leader="none" w:pos="1107" w:val="left"/>
        </w:tabs>
        <w:numPr>
          <w:ilvl w:val="0"/>
          <w:numId w:val="10"/>
        </w:numPr>
        <w:rPr>
          <w:rFonts w:ascii="Arial" w:cs="Arial" w:eastAsia="Arial" w:hAnsi="Arial"/>
          <w:sz w:val="15"/>
          <w:szCs w:val="15"/>
          <w:color w:val="auto"/>
        </w:rPr>
      </w:pPr>
      <w:r>
        <w:rPr>
          <w:rFonts w:ascii="Arial" w:cs="Arial" w:eastAsia="Arial" w:hAnsi="Arial"/>
          <w:sz w:val="15"/>
          <w:szCs w:val="15"/>
          <w:color w:val="auto"/>
        </w:rPr>
        <w:t>10,559</w:t>
      </w:r>
    </w:p>
    <w:p>
      <w:pPr>
        <w:spacing w:after="0" w:line="57" w:lineRule="exact"/>
        <w:rPr>
          <w:rFonts w:ascii="Arial" w:cs="Arial" w:eastAsia="Arial" w:hAnsi="Arial"/>
          <w:sz w:val="15"/>
          <w:szCs w:val="15"/>
          <w:color w:val="auto"/>
        </w:rPr>
      </w:pPr>
    </w:p>
    <w:p>
      <w:pPr>
        <w:ind w:left="1187"/>
        <w:spacing w:after="0"/>
        <w:rPr>
          <w:rFonts w:ascii="Arial" w:cs="Arial" w:eastAsia="Arial" w:hAnsi="Arial"/>
          <w:sz w:val="15"/>
          <w:szCs w:val="15"/>
          <w:color w:val="auto"/>
        </w:rPr>
      </w:pPr>
      <w:r>
        <w:rPr>
          <w:rFonts w:ascii="Arial" w:cs="Arial" w:eastAsia="Arial" w:hAnsi="Arial"/>
          <w:sz w:val="15"/>
          <w:szCs w:val="15"/>
          <w:color w:val="auto"/>
        </w:rPr>
        <w:t>9,350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27305</wp:posOffset>
            </wp:positionV>
            <wp:extent cx="1027430" cy="8255"/>
            <wp:wrapNone/>
            <wp:docPr id="133" name="Picture 1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3"/>
                    <pic:cNvPicPr>
                      <a:picLocks noChangeAspect="1" noChangeArrowheads="1"/>
                    </pic:cNvPicPr>
                  </pic:nvPicPr>
                  <pic:blipFill>
                    <a:blip r:embed="rId140">
                      <a:extLst>
                        <a:ext uri="{28A0092B-C50C-407E-A947-70E740481C1C}"/>
                      </a:extLst>
                    </a:blip>
                    <a:srcRect/>
                    <a:stretch>
                      <a:fillRect/>
                    </a:stretch>
                  </pic:blipFill>
                  <pic:spPr bwMode="auto">
                    <a:xfrm>
                      <a:off x="0" y="0"/>
                      <a:ext cx="1027430" cy="8255"/>
                    </a:xfrm>
                    <a:prstGeom prst="rect">
                      <a:avLst/>
                    </a:prstGeom>
                    <a:noFill/>
                  </pic:spPr>
                </pic:pic>
              </a:graphicData>
            </a:graphic>
          </wp:anchor>
        </w:drawing>
      </w:r>
    </w:p>
    <w:p>
      <w:pPr>
        <w:spacing w:after="0" w:line="23" w:lineRule="exact"/>
        <w:rPr>
          <w:sz w:val="20"/>
          <w:szCs w:val="20"/>
          <w:color w:val="auto"/>
        </w:rPr>
      </w:pPr>
    </w:p>
    <w:p>
      <w:pPr>
        <w:ind w:left="1107" w:hanging="1107"/>
        <w:spacing w:after="0"/>
        <w:tabs>
          <w:tab w:leader="none" w:pos="1107" w:val="left"/>
        </w:tabs>
        <w:numPr>
          <w:ilvl w:val="0"/>
          <w:numId w:val="11"/>
        </w:numPr>
        <w:rPr>
          <w:rFonts w:ascii="Arial" w:cs="Arial" w:eastAsia="Arial" w:hAnsi="Arial"/>
          <w:sz w:val="15"/>
          <w:szCs w:val="15"/>
          <w:color w:val="auto"/>
        </w:rPr>
      </w:pPr>
      <w:r>
        <w:rPr>
          <w:rFonts w:ascii="Arial" w:cs="Arial" w:eastAsia="Arial" w:hAnsi="Arial"/>
          <w:sz w:val="15"/>
          <w:szCs w:val="15"/>
          <w:color w:val="auto"/>
        </w:rPr>
        <w:t>19,909</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400" w:lineRule="exact"/>
        <w:rPr>
          <w:sz w:val="20"/>
          <w:szCs w:val="20"/>
          <w:color w:val="auto"/>
        </w:rPr>
      </w:pPr>
    </w:p>
    <w:p>
      <w:pPr>
        <w:ind w:left="585"/>
        <w:spacing w:after="0"/>
        <w:rPr>
          <w:sz w:val="20"/>
          <w:szCs w:val="20"/>
          <w:color w:val="auto"/>
        </w:rPr>
      </w:pPr>
      <w:r>
        <w:rPr>
          <w:rFonts w:ascii="Arial" w:cs="Arial" w:eastAsia="Arial" w:hAnsi="Arial"/>
          <w:sz w:val="18"/>
          <w:szCs w:val="18"/>
          <w:b w:val="1"/>
          <w:bCs w:val="1"/>
          <w:color w:val="auto"/>
        </w:rPr>
        <w:t>As of</w:t>
      </w:r>
    </w:p>
    <w:p>
      <w:pPr>
        <w:ind w:left="245"/>
        <w:spacing w:after="0" w:line="220" w:lineRule="auto"/>
        <w:rPr>
          <w:sz w:val="20"/>
          <w:szCs w:val="20"/>
          <w:color w:val="auto"/>
        </w:rPr>
      </w:pPr>
      <w:r>
        <w:rPr>
          <w:rFonts w:ascii="Arial" w:cs="Arial" w:eastAsia="Arial" w:hAnsi="Arial"/>
          <w:sz w:val="18"/>
          <w:szCs w:val="18"/>
          <w:b w:val="1"/>
          <w:bCs w:val="1"/>
          <w:color w:val="auto"/>
        </w:rPr>
        <w:t>December 31,</w:t>
      </w:r>
    </w:p>
    <w:p>
      <w:pPr>
        <w:spacing w:after="0" w:line="1" w:lineRule="exact"/>
        <w:rPr>
          <w:sz w:val="20"/>
          <w:szCs w:val="20"/>
          <w:color w:val="auto"/>
        </w:rPr>
      </w:pPr>
    </w:p>
    <w:p>
      <w:pPr>
        <w:ind w:left="605"/>
        <w:spacing w:after="0"/>
        <w:rPr>
          <w:sz w:val="20"/>
          <w:szCs w:val="20"/>
          <w:color w:val="auto"/>
        </w:rPr>
      </w:pPr>
      <w:r>
        <w:rPr>
          <w:rFonts w:ascii="Arial" w:cs="Arial" w:eastAsia="Arial" w:hAnsi="Arial"/>
          <w:sz w:val="18"/>
          <w:szCs w:val="18"/>
          <w:b w:val="1"/>
          <w:bCs w:val="1"/>
          <w:color w:val="auto"/>
        </w:rPr>
        <w:t>2021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4445</wp:posOffset>
            </wp:positionV>
            <wp:extent cx="1010285" cy="8255"/>
            <wp:wrapNone/>
            <wp:docPr id="134" name="Picture 1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4"/>
                    <pic:cNvPicPr>
                      <a:picLocks noChangeAspect="1" noChangeArrowheads="1"/>
                    </pic:cNvPicPr>
                  </pic:nvPicPr>
                  <pic:blipFill>
                    <a:blip r:embed="rId141">
                      <a:extLst>
                        <a:ext uri="{28A0092B-C50C-407E-A947-70E740481C1C}"/>
                      </a:extLst>
                    </a:blip>
                    <a:srcRect/>
                    <a:stretch>
                      <a:fillRect/>
                    </a:stretch>
                  </pic:blipFill>
                  <pic:spPr bwMode="auto">
                    <a:xfrm>
                      <a:off x="0" y="0"/>
                      <a:ext cx="1010285" cy="8255"/>
                    </a:xfrm>
                    <a:prstGeom prst="rect">
                      <a:avLst/>
                    </a:prstGeom>
                    <a:noFill/>
                  </pic:spPr>
                </pic:pic>
              </a:graphicData>
            </a:graphic>
          </wp:anchor>
        </w:drawing>
      </w:r>
    </w:p>
    <w:p>
      <w:pPr>
        <w:spacing w:after="0" w:line="202" w:lineRule="exact"/>
        <w:rPr>
          <w:sz w:val="20"/>
          <w:szCs w:val="20"/>
          <w:color w:val="auto"/>
        </w:rPr>
      </w:pPr>
    </w:p>
    <w:p>
      <w:pPr>
        <w:ind w:left="1165" w:hanging="1165"/>
        <w:spacing w:after="0"/>
        <w:tabs>
          <w:tab w:leader="none" w:pos="1165" w:val="left"/>
        </w:tabs>
        <w:numPr>
          <w:ilvl w:val="0"/>
          <w:numId w:val="12"/>
        </w:numPr>
        <w:rPr>
          <w:rFonts w:ascii="Arial" w:cs="Arial" w:eastAsia="Arial" w:hAnsi="Arial"/>
          <w:sz w:val="15"/>
          <w:szCs w:val="15"/>
          <w:color w:val="auto"/>
        </w:rPr>
      </w:pPr>
      <w:r>
        <w:rPr>
          <w:rFonts w:ascii="Arial" w:cs="Arial" w:eastAsia="Arial" w:hAnsi="Arial"/>
          <w:sz w:val="15"/>
          <w:szCs w:val="15"/>
          <w:color w:val="auto"/>
        </w:rPr>
        <w:t>9,216</w:t>
      </w:r>
    </w:p>
    <w:p>
      <w:pPr>
        <w:spacing w:after="0" w:line="57" w:lineRule="exact"/>
        <w:rPr>
          <w:rFonts w:ascii="Arial" w:cs="Arial" w:eastAsia="Arial" w:hAnsi="Arial"/>
          <w:sz w:val="15"/>
          <w:szCs w:val="15"/>
          <w:color w:val="auto"/>
        </w:rPr>
      </w:pPr>
    </w:p>
    <w:p>
      <w:pPr>
        <w:ind w:left="1165"/>
        <w:spacing w:after="0"/>
        <w:rPr>
          <w:rFonts w:ascii="Arial" w:cs="Arial" w:eastAsia="Arial" w:hAnsi="Arial"/>
          <w:sz w:val="15"/>
          <w:szCs w:val="15"/>
          <w:color w:val="auto"/>
        </w:rPr>
      </w:pPr>
      <w:r>
        <w:rPr>
          <w:rFonts w:ascii="Arial" w:cs="Arial" w:eastAsia="Arial" w:hAnsi="Arial"/>
          <w:sz w:val="15"/>
          <w:szCs w:val="15"/>
          <w:color w:val="auto"/>
        </w:rPr>
        <w:t>9,900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27305</wp:posOffset>
            </wp:positionV>
            <wp:extent cx="1010285" cy="8255"/>
            <wp:wrapNone/>
            <wp:docPr id="135" name="Picture 1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5"/>
                    <pic:cNvPicPr>
                      <a:picLocks noChangeAspect="1" noChangeArrowheads="1"/>
                    </pic:cNvPicPr>
                  </pic:nvPicPr>
                  <pic:blipFill>
                    <a:blip r:embed="rId142">
                      <a:extLst>
                        <a:ext uri="{28A0092B-C50C-407E-A947-70E740481C1C}"/>
                      </a:extLst>
                    </a:blip>
                    <a:srcRect/>
                    <a:stretch>
                      <a:fillRect/>
                    </a:stretch>
                  </pic:blipFill>
                  <pic:spPr bwMode="auto">
                    <a:xfrm>
                      <a:off x="0" y="0"/>
                      <a:ext cx="1010285" cy="8255"/>
                    </a:xfrm>
                    <a:prstGeom prst="rect">
                      <a:avLst/>
                    </a:prstGeom>
                    <a:noFill/>
                  </pic:spPr>
                </pic:pic>
              </a:graphicData>
            </a:graphic>
          </wp:anchor>
        </w:drawing>
      </w:r>
    </w:p>
    <w:p>
      <w:pPr>
        <w:spacing w:after="0" w:line="23" w:lineRule="exact"/>
        <w:rPr>
          <w:sz w:val="20"/>
          <w:szCs w:val="20"/>
          <w:color w:val="auto"/>
        </w:rPr>
      </w:pPr>
    </w:p>
    <w:p>
      <w:pPr>
        <w:ind w:left="1085" w:hanging="1085"/>
        <w:spacing w:after="0"/>
        <w:tabs>
          <w:tab w:leader="none" w:pos="1085" w:val="left"/>
        </w:tabs>
        <w:numPr>
          <w:ilvl w:val="0"/>
          <w:numId w:val="13"/>
        </w:numPr>
        <w:rPr>
          <w:rFonts w:ascii="Arial" w:cs="Arial" w:eastAsia="Arial" w:hAnsi="Arial"/>
          <w:sz w:val="15"/>
          <w:szCs w:val="15"/>
          <w:color w:val="auto"/>
        </w:rPr>
      </w:pPr>
      <w:r>
        <w:rPr>
          <w:rFonts w:ascii="Arial" w:cs="Arial" w:eastAsia="Arial" w:hAnsi="Arial"/>
          <w:sz w:val="15"/>
          <w:szCs w:val="15"/>
          <w:color w:val="auto"/>
        </w:rPr>
        <w:t>19,116</w:t>
      </w:r>
    </w:p>
    <w:p>
      <w:pPr>
        <w:spacing w:after="0" w:line="1112" w:lineRule="exact"/>
        <w:rPr>
          <w:sz w:val="20"/>
          <w:szCs w:val="20"/>
          <w:color w:val="auto"/>
        </w:rPr>
      </w:pPr>
    </w:p>
    <w:p>
      <w:pPr>
        <w:sectPr>
          <w:pgSz w:w="11900" w:h="16838" w:orient="portrait"/>
          <w:cols w:equalWidth="0" w:num="3">
            <w:col w:w="6933" w:space="720"/>
            <w:col w:w="1587" w:space="315"/>
            <w:col w:w="1685"/>
          </w:cols>
          <w:pgMar w:left="320" w:top="472" w:right="339" w:bottom="1440" w:gutter="0" w:footer="0" w:header="0"/>
          <w:type w:val="continuous"/>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5" w:lineRule="exact"/>
        <w:rPr>
          <w:sz w:val="20"/>
          <w:szCs w:val="20"/>
          <w:color w:val="auto"/>
        </w:rPr>
      </w:pPr>
    </w:p>
    <w:p>
      <w:pPr>
        <w:ind w:left="20"/>
        <w:spacing w:after="0"/>
        <w:rPr>
          <w:sz w:val="20"/>
          <w:szCs w:val="20"/>
          <w:color w:val="auto"/>
        </w:rPr>
      </w:pPr>
      <w:r>
        <w:rPr>
          <w:rFonts w:ascii="Arial" w:cs="Arial" w:eastAsia="Arial" w:hAnsi="Arial"/>
          <w:sz w:val="18"/>
          <w:szCs w:val="18"/>
          <w:color w:val="auto"/>
        </w:rPr>
        <w:t>Accrued commission</w:t>
      </w:r>
    </w:p>
    <w:p>
      <w:pPr>
        <w:spacing w:after="0" w:line="23" w:lineRule="exact"/>
        <w:rPr>
          <w:sz w:val="20"/>
          <w:szCs w:val="20"/>
          <w:color w:val="auto"/>
        </w:rPr>
      </w:pPr>
    </w:p>
    <w:p>
      <w:pPr>
        <w:ind w:left="20"/>
        <w:spacing w:after="0"/>
        <w:rPr>
          <w:sz w:val="20"/>
          <w:szCs w:val="20"/>
          <w:color w:val="auto"/>
        </w:rPr>
      </w:pPr>
      <w:r>
        <w:rPr>
          <w:rFonts w:ascii="Arial" w:cs="Arial" w:eastAsia="Arial" w:hAnsi="Arial"/>
          <w:sz w:val="18"/>
          <w:szCs w:val="18"/>
          <w:color w:val="auto"/>
        </w:rPr>
        <w:t>Accrued payroll and employee related taxes</w:t>
      </w:r>
    </w:p>
    <w:p>
      <w:pPr>
        <w:spacing w:after="0" w:line="9" w:lineRule="exact"/>
        <w:rPr>
          <w:sz w:val="20"/>
          <w:szCs w:val="20"/>
          <w:color w:val="auto"/>
        </w:rPr>
      </w:pPr>
    </w:p>
    <w:p>
      <w:pPr>
        <w:ind w:left="20"/>
        <w:spacing w:after="0"/>
        <w:rPr>
          <w:sz w:val="20"/>
          <w:szCs w:val="20"/>
          <w:color w:val="auto"/>
        </w:rPr>
      </w:pPr>
      <w:r>
        <w:rPr>
          <w:rFonts w:ascii="Arial" w:cs="Arial" w:eastAsia="Arial" w:hAnsi="Arial"/>
          <w:sz w:val="18"/>
          <w:szCs w:val="18"/>
          <w:color w:val="auto"/>
        </w:rPr>
        <w:t>Accrued sales tax</w:t>
      </w:r>
    </w:p>
    <w:p>
      <w:pPr>
        <w:spacing w:after="0" w:line="9" w:lineRule="exact"/>
        <w:rPr>
          <w:sz w:val="20"/>
          <w:szCs w:val="20"/>
          <w:color w:val="auto"/>
        </w:rPr>
      </w:pPr>
    </w:p>
    <w:p>
      <w:pPr>
        <w:ind w:left="20"/>
        <w:spacing w:after="0"/>
        <w:rPr>
          <w:sz w:val="20"/>
          <w:szCs w:val="20"/>
          <w:color w:val="auto"/>
        </w:rPr>
      </w:pPr>
      <w:r>
        <w:rPr>
          <w:rFonts w:ascii="Arial" w:cs="Arial" w:eastAsia="Arial" w:hAnsi="Arial"/>
          <w:sz w:val="18"/>
          <w:szCs w:val="18"/>
          <w:color w:val="auto"/>
        </w:rPr>
        <w:t>Liability from early exercised stock options</w:t>
      </w:r>
    </w:p>
    <w:p>
      <w:pPr>
        <w:spacing w:after="0" w:line="9" w:lineRule="exact"/>
        <w:rPr>
          <w:sz w:val="20"/>
          <w:szCs w:val="20"/>
          <w:color w:val="auto"/>
        </w:rPr>
      </w:pPr>
    </w:p>
    <w:p>
      <w:pPr>
        <w:ind w:left="20"/>
        <w:spacing w:after="0"/>
        <w:rPr>
          <w:sz w:val="20"/>
          <w:szCs w:val="20"/>
          <w:color w:val="auto"/>
        </w:rPr>
      </w:pPr>
      <w:r>
        <w:rPr>
          <w:rFonts w:ascii="Arial" w:cs="Arial" w:eastAsia="Arial" w:hAnsi="Arial"/>
          <w:sz w:val="16"/>
          <w:szCs w:val="16"/>
          <w:color w:val="auto"/>
        </w:rPr>
        <w:t>2021 Employee Stock Purchase Plan withholding</w:t>
      </w:r>
    </w:p>
    <w:p>
      <w:pPr>
        <w:spacing w:after="0" w:line="32" w:lineRule="exact"/>
        <w:rPr>
          <w:sz w:val="20"/>
          <w:szCs w:val="20"/>
          <w:color w:val="auto"/>
        </w:rPr>
      </w:pPr>
    </w:p>
    <w:p>
      <w:pPr>
        <w:ind w:left="20"/>
        <w:spacing w:after="0"/>
        <w:rPr>
          <w:sz w:val="20"/>
          <w:szCs w:val="20"/>
          <w:color w:val="auto"/>
        </w:rPr>
      </w:pPr>
      <w:r>
        <w:rPr>
          <w:rFonts w:ascii="Arial" w:cs="Arial" w:eastAsia="Arial" w:hAnsi="Arial"/>
          <w:sz w:val="18"/>
          <w:szCs w:val="18"/>
          <w:color w:val="auto"/>
        </w:rPr>
        <w:t>Operating lease liabilities, current</w:t>
      </w:r>
    </w:p>
    <w:p>
      <w:pPr>
        <w:spacing w:after="0" w:line="9" w:lineRule="exact"/>
        <w:rPr>
          <w:sz w:val="20"/>
          <w:szCs w:val="20"/>
          <w:color w:val="auto"/>
        </w:rPr>
      </w:pPr>
    </w:p>
    <w:p>
      <w:pPr>
        <w:ind w:left="20"/>
        <w:spacing w:after="0"/>
        <w:rPr>
          <w:sz w:val="20"/>
          <w:szCs w:val="20"/>
          <w:color w:val="auto"/>
        </w:rPr>
      </w:pPr>
      <w:r>
        <w:rPr>
          <w:rFonts w:ascii="Arial" w:cs="Arial" w:eastAsia="Arial" w:hAnsi="Arial"/>
          <w:sz w:val="18"/>
          <w:szCs w:val="18"/>
          <w:color w:val="auto"/>
        </w:rPr>
        <w:t>Other accrued liabilities</w:t>
      </w:r>
    </w:p>
    <w:p>
      <w:pPr>
        <w:spacing w:after="0" w:line="48" w:lineRule="exact"/>
        <w:rPr>
          <w:sz w:val="20"/>
          <w:szCs w:val="20"/>
          <w:color w:val="auto"/>
        </w:rPr>
      </w:pPr>
    </w:p>
    <w:p>
      <w:pPr>
        <w:ind w:left="200"/>
        <w:spacing w:after="0"/>
        <w:rPr>
          <w:sz w:val="20"/>
          <w:szCs w:val="20"/>
          <w:color w:val="auto"/>
        </w:rPr>
      </w:pPr>
      <w:r>
        <w:rPr>
          <w:rFonts w:ascii="Arial" w:cs="Arial" w:eastAsia="Arial" w:hAnsi="Arial"/>
          <w:sz w:val="18"/>
          <w:szCs w:val="18"/>
          <w:color w:val="auto"/>
        </w:rPr>
        <w:t>Total accrued expenses</w:t>
      </w:r>
    </w:p>
    <w:p>
      <w:pPr>
        <w:spacing w:after="0" w:line="20" w:lineRule="exact"/>
        <w:rPr>
          <w:sz w:val="20"/>
          <w:szCs w:val="20"/>
          <w:color w:val="auto"/>
        </w:rPr>
      </w:pPr>
      <w:r>
        <w:rPr>
          <w:sz w:val="20"/>
          <w:szCs w:val="20"/>
          <w:color w:val="auto"/>
        </w:rPr>
        <w:br w:type="column"/>
      </w: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07"/>
        </w:trPr>
        <w:tc>
          <w:tcPr>
            <w:tcW w:w="180" w:type="dxa"/>
            <w:vAlign w:val="bottom"/>
          </w:tcPr>
          <w:p>
            <w:pPr>
              <w:spacing w:after="0"/>
              <w:rPr>
                <w:sz w:val="18"/>
                <w:szCs w:val="18"/>
                <w:color w:val="auto"/>
              </w:rPr>
            </w:pPr>
          </w:p>
        </w:tc>
        <w:tc>
          <w:tcPr>
            <w:tcW w:w="1440" w:type="dxa"/>
            <w:vAlign w:val="bottom"/>
          </w:tcPr>
          <w:p>
            <w:pPr>
              <w:jc w:val="center"/>
              <w:ind w:right="150"/>
              <w:spacing w:after="0"/>
              <w:rPr>
                <w:sz w:val="20"/>
                <w:szCs w:val="20"/>
                <w:color w:val="auto"/>
              </w:rPr>
            </w:pPr>
            <w:r>
              <w:rPr>
                <w:rFonts w:ascii="Arial" w:cs="Arial" w:eastAsia="Arial" w:hAnsi="Arial"/>
                <w:sz w:val="18"/>
                <w:szCs w:val="18"/>
                <w:b w:val="1"/>
                <w:bCs w:val="1"/>
                <w:color w:val="auto"/>
                <w:w w:val="88"/>
              </w:rPr>
              <w:t>As of</w:t>
            </w:r>
          </w:p>
        </w:tc>
        <w:tc>
          <w:tcPr>
            <w:tcW w:w="2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420" w:type="dxa"/>
            <w:vAlign w:val="bottom"/>
          </w:tcPr>
          <w:p>
            <w:pPr>
              <w:jc w:val="center"/>
              <w:ind w:right="90"/>
              <w:spacing w:after="0"/>
              <w:rPr>
                <w:sz w:val="20"/>
                <w:szCs w:val="20"/>
                <w:color w:val="auto"/>
              </w:rPr>
            </w:pPr>
            <w:r>
              <w:rPr>
                <w:rFonts w:ascii="Arial" w:cs="Arial" w:eastAsia="Arial" w:hAnsi="Arial"/>
                <w:sz w:val="18"/>
                <w:szCs w:val="18"/>
                <w:b w:val="1"/>
                <w:bCs w:val="1"/>
                <w:color w:val="auto"/>
                <w:w w:val="88"/>
              </w:rPr>
              <w:t>As of</w:t>
            </w:r>
          </w:p>
        </w:tc>
      </w:tr>
      <w:tr>
        <w:trPr>
          <w:trHeight w:val="189"/>
        </w:trPr>
        <w:tc>
          <w:tcPr>
            <w:tcW w:w="180" w:type="dxa"/>
            <w:vAlign w:val="bottom"/>
          </w:tcPr>
          <w:p>
            <w:pPr>
              <w:spacing w:after="0"/>
              <w:rPr>
                <w:sz w:val="16"/>
                <w:szCs w:val="16"/>
                <w:color w:val="auto"/>
              </w:rPr>
            </w:pPr>
          </w:p>
        </w:tc>
        <w:tc>
          <w:tcPr>
            <w:tcW w:w="1440" w:type="dxa"/>
            <w:vAlign w:val="bottom"/>
          </w:tcPr>
          <w:p>
            <w:pPr>
              <w:jc w:val="center"/>
              <w:ind w:right="90"/>
              <w:spacing w:after="0" w:line="189" w:lineRule="exact"/>
              <w:rPr>
                <w:sz w:val="20"/>
                <w:szCs w:val="20"/>
                <w:color w:val="auto"/>
              </w:rPr>
            </w:pPr>
            <w:r>
              <w:rPr>
                <w:rFonts w:ascii="Arial" w:cs="Arial" w:eastAsia="Arial" w:hAnsi="Arial"/>
                <w:sz w:val="18"/>
                <w:szCs w:val="18"/>
                <w:b w:val="1"/>
                <w:bCs w:val="1"/>
                <w:color w:val="auto"/>
                <w:w w:val="89"/>
              </w:rPr>
              <w:t>September 30,</w:t>
            </w:r>
          </w:p>
        </w:tc>
        <w:tc>
          <w:tcPr>
            <w:tcW w:w="28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420" w:type="dxa"/>
            <w:vAlign w:val="bottom"/>
          </w:tcPr>
          <w:p>
            <w:pPr>
              <w:jc w:val="center"/>
              <w:ind w:right="130"/>
              <w:spacing w:after="0" w:line="189" w:lineRule="exact"/>
              <w:rPr>
                <w:sz w:val="20"/>
                <w:szCs w:val="20"/>
                <w:color w:val="auto"/>
              </w:rPr>
            </w:pPr>
            <w:r>
              <w:rPr>
                <w:rFonts w:ascii="Arial" w:cs="Arial" w:eastAsia="Arial" w:hAnsi="Arial"/>
                <w:sz w:val="18"/>
                <w:szCs w:val="18"/>
                <w:b w:val="1"/>
                <w:bCs w:val="1"/>
                <w:color w:val="auto"/>
                <w:w w:val="88"/>
              </w:rPr>
              <w:t>December 31,</w:t>
            </w:r>
          </w:p>
        </w:tc>
      </w:tr>
      <w:tr>
        <w:trPr>
          <w:trHeight w:val="234"/>
        </w:trPr>
        <w:tc>
          <w:tcPr>
            <w:tcW w:w="180" w:type="dxa"/>
            <w:vAlign w:val="bottom"/>
            <w:tcBorders>
              <w:bottom w:val="single" w:sz="8" w:color="auto"/>
            </w:tcBorders>
          </w:tcPr>
          <w:p>
            <w:pPr>
              <w:spacing w:after="0"/>
              <w:rPr>
                <w:sz w:val="20"/>
                <w:szCs w:val="20"/>
                <w:color w:val="auto"/>
              </w:rPr>
            </w:pPr>
          </w:p>
        </w:tc>
        <w:tc>
          <w:tcPr>
            <w:tcW w:w="1440" w:type="dxa"/>
            <w:vAlign w:val="bottom"/>
            <w:tcBorders>
              <w:bottom w:val="single" w:sz="8" w:color="auto"/>
            </w:tcBorders>
          </w:tcPr>
          <w:p>
            <w:pPr>
              <w:jc w:val="center"/>
              <w:ind w:right="110"/>
              <w:spacing w:after="0"/>
              <w:rPr>
                <w:sz w:val="20"/>
                <w:szCs w:val="20"/>
                <w:color w:val="auto"/>
              </w:rPr>
            </w:pPr>
            <w:r>
              <w:rPr>
                <w:rFonts w:ascii="Arial" w:cs="Arial" w:eastAsia="Arial" w:hAnsi="Arial"/>
                <w:sz w:val="18"/>
                <w:szCs w:val="18"/>
                <w:b w:val="1"/>
                <w:bCs w:val="1"/>
                <w:color w:val="auto"/>
                <w:w w:val="89"/>
              </w:rPr>
              <w:t>2022</w:t>
            </w:r>
          </w:p>
        </w:tc>
        <w:tc>
          <w:tcPr>
            <w:tcW w:w="280" w:type="dxa"/>
            <w:vAlign w:val="bottom"/>
          </w:tcPr>
          <w:p>
            <w:pPr>
              <w:spacing w:after="0"/>
              <w:rPr>
                <w:sz w:val="20"/>
                <w:szCs w:val="20"/>
                <w:color w:val="auto"/>
              </w:rPr>
            </w:pPr>
          </w:p>
        </w:tc>
        <w:tc>
          <w:tcPr>
            <w:tcW w:w="180" w:type="dxa"/>
            <w:vAlign w:val="bottom"/>
            <w:tcBorders>
              <w:bottom w:val="single" w:sz="8" w:color="auto"/>
            </w:tcBorders>
          </w:tcPr>
          <w:p>
            <w:pPr>
              <w:spacing w:after="0"/>
              <w:rPr>
                <w:sz w:val="20"/>
                <w:szCs w:val="20"/>
                <w:color w:val="auto"/>
              </w:rPr>
            </w:pPr>
          </w:p>
        </w:tc>
        <w:tc>
          <w:tcPr>
            <w:tcW w:w="1420" w:type="dxa"/>
            <w:vAlign w:val="bottom"/>
            <w:tcBorders>
              <w:bottom w:val="single" w:sz="8" w:color="auto"/>
            </w:tcBorders>
          </w:tcPr>
          <w:p>
            <w:pPr>
              <w:jc w:val="center"/>
              <w:ind w:right="90"/>
              <w:spacing w:after="0"/>
              <w:rPr>
                <w:sz w:val="20"/>
                <w:szCs w:val="20"/>
                <w:color w:val="auto"/>
              </w:rPr>
            </w:pPr>
            <w:r>
              <w:rPr>
                <w:rFonts w:ascii="Arial" w:cs="Arial" w:eastAsia="Arial" w:hAnsi="Arial"/>
                <w:sz w:val="18"/>
                <w:szCs w:val="18"/>
                <w:b w:val="1"/>
                <w:bCs w:val="1"/>
                <w:color w:val="auto"/>
                <w:w w:val="89"/>
              </w:rPr>
              <w:t>2021</w:t>
            </w:r>
          </w:p>
        </w:tc>
      </w:tr>
      <w:tr>
        <w:trPr>
          <w:trHeight w:val="411"/>
        </w:trPr>
        <w:tc>
          <w:tcPr>
            <w:tcW w:w="18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440" w:type="dxa"/>
            <w:vAlign w:val="bottom"/>
          </w:tcPr>
          <w:p>
            <w:pPr>
              <w:jc w:val="right"/>
              <w:spacing w:after="0"/>
              <w:rPr>
                <w:sz w:val="20"/>
                <w:szCs w:val="20"/>
                <w:color w:val="auto"/>
              </w:rPr>
            </w:pPr>
            <w:r>
              <w:rPr>
                <w:rFonts w:ascii="Arial" w:cs="Arial" w:eastAsia="Arial" w:hAnsi="Arial"/>
                <w:sz w:val="18"/>
                <w:szCs w:val="18"/>
                <w:color w:val="auto"/>
              </w:rPr>
              <w:t>5,556</w:t>
            </w:r>
          </w:p>
        </w:tc>
        <w:tc>
          <w:tcPr>
            <w:tcW w:w="46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420" w:type="dxa"/>
            <w:vAlign w:val="bottom"/>
          </w:tcPr>
          <w:p>
            <w:pPr>
              <w:jc w:val="right"/>
              <w:spacing w:after="0"/>
              <w:rPr>
                <w:sz w:val="20"/>
                <w:szCs w:val="20"/>
                <w:color w:val="auto"/>
              </w:rPr>
            </w:pPr>
            <w:r>
              <w:rPr>
                <w:rFonts w:ascii="Arial" w:cs="Arial" w:eastAsia="Arial" w:hAnsi="Arial"/>
                <w:sz w:val="18"/>
                <w:szCs w:val="18"/>
                <w:color w:val="auto"/>
              </w:rPr>
              <w:t>4,708</w:t>
            </w:r>
          </w:p>
        </w:tc>
      </w:tr>
      <w:tr>
        <w:trPr>
          <w:trHeight w:val="216"/>
        </w:trPr>
        <w:tc>
          <w:tcPr>
            <w:tcW w:w="180" w:type="dxa"/>
            <w:vAlign w:val="bottom"/>
          </w:tcPr>
          <w:p>
            <w:pPr>
              <w:spacing w:after="0"/>
              <w:rPr>
                <w:sz w:val="18"/>
                <w:szCs w:val="18"/>
                <w:color w:val="auto"/>
              </w:rPr>
            </w:pPr>
          </w:p>
        </w:tc>
        <w:tc>
          <w:tcPr>
            <w:tcW w:w="1440" w:type="dxa"/>
            <w:vAlign w:val="bottom"/>
          </w:tcPr>
          <w:p>
            <w:pPr>
              <w:jc w:val="right"/>
              <w:spacing w:after="0"/>
              <w:rPr>
                <w:sz w:val="20"/>
                <w:szCs w:val="20"/>
                <w:color w:val="auto"/>
              </w:rPr>
            </w:pPr>
            <w:r>
              <w:rPr>
                <w:rFonts w:ascii="Arial" w:cs="Arial" w:eastAsia="Arial" w:hAnsi="Arial"/>
                <w:sz w:val="18"/>
                <w:szCs w:val="18"/>
                <w:color w:val="auto"/>
              </w:rPr>
              <w:t>2,056</w:t>
            </w:r>
          </w:p>
        </w:tc>
        <w:tc>
          <w:tcPr>
            <w:tcW w:w="2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420" w:type="dxa"/>
            <w:vAlign w:val="bottom"/>
          </w:tcPr>
          <w:p>
            <w:pPr>
              <w:jc w:val="right"/>
              <w:spacing w:after="0"/>
              <w:rPr>
                <w:sz w:val="20"/>
                <w:szCs w:val="20"/>
                <w:color w:val="auto"/>
              </w:rPr>
            </w:pPr>
            <w:r>
              <w:rPr>
                <w:rFonts w:ascii="Arial" w:cs="Arial" w:eastAsia="Arial" w:hAnsi="Arial"/>
                <w:sz w:val="18"/>
                <w:szCs w:val="18"/>
                <w:color w:val="auto"/>
              </w:rPr>
              <w:t>2,689</w:t>
            </w:r>
          </w:p>
        </w:tc>
      </w:tr>
      <w:tr>
        <w:trPr>
          <w:trHeight w:val="216"/>
        </w:trPr>
        <w:tc>
          <w:tcPr>
            <w:tcW w:w="180" w:type="dxa"/>
            <w:vAlign w:val="bottom"/>
          </w:tcPr>
          <w:p>
            <w:pPr>
              <w:spacing w:after="0"/>
              <w:rPr>
                <w:sz w:val="18"/>
                <w:szCs w:val="18"/>
                <w:color w:val="auto"/>
              </w:rPr>
            </w:pPr>
          </w:p>
        </w:tc>
        <w:tc>
          <w:tcPr>
            <w:tcW w:w="1440" w:type="dxa"/>
            <w:vAlign w:val="bottom"/>
          </w:tcPr>
          <w:p>
            <w:pPr>
              <w:jc w:val="right"/>
              <w:spacing w:after="0"/>
              <w:rPr>
                <w:sz w:val="20"/>
                <w:szCs w:val="20"/>
                <w:color w:val="auto"/>
              </w:rPr>
            </w:pPr>
            <w:r>
              <w:rPr>
                <w:rFonts w:ascii="Arial" w:cs="Arial" w:eastAsia="Arial" w:hAnsi="Arial"/>
                <w:sz w:val="18"/>
                <w:szCs w:val="18"/>
                <w:color w:val="auto"/>
              </w:rPr>
              <w:t>570</w:t>
            </w:r>
          </w:p>
        </w:tc>
        <w:tc>
          <w:tcPr>
            <w:tcW w:w="2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420" w:type="dxa"/>
            <w:vAlign w:val="bottom"/>
          </w:tcPr>
          <w:p>
            <w:pPr>
              <w:jc w:val="right"/>
              <w:spacing w:after="0"/>
              <w:rPr>
                <w:sz w:val="20"/>
                <w:szCs w:val="20"/>
                <w:color w:val="auto"/>
              </w:rPr>
            </w:pPr>
            <w:r>
              <w:rPr>
                <w:rFonts w:ascii="Arial" w:cs="Arial" w:eastAsia="Arial" w:hAnsi="Arial"/>
                <w:sz w:val="18"/>
                <w:szCs w:val="18"/>
                <w:color w:val="auto"/>
              </w:rPr>
              <w:t>932</w:t>
            </w:r>
          </w:p>
        </w:tc>
      </w:tr>
      <w:tr>
        <w:trPr>
          <w:trHeight w:val="216"/>
        </w:trPr>
        <w:tc>
          <w:tcPr>
            <w:tcW w:w="180" w:type="dxa"/>
            <w:vAlign w:val="bottom"/>
          </w:tcPr>
          <w:p>
            <w:pPr>
              <w:spacing w:after="0"/>
              <w:rPr>
                <w:sz w:val="18"/>
                <w:szCs w:val="18"/>
                <w:color w:val="auto"/>
              </w:rPr>
            </w:pPr>
          </w:p>
        </w:tc>
        <w:tc>
          <w:tcPr>
            <w:tcW w:w="1440" w:type="dxa"/>
            <w:vAlign w:val="bottom"/>
          </w:tcPr>
          <w:p>
            <w:pPr>
              <w:jc w:val="right"/>
              <w:spacing w:after="0"/>
              <w:rPr>
                <w:sz w:val="20"/>
                <w:szCs w:val="20"/>
                <w:color w:val="auto"/>
              </w:rPr>
            </w:pPr>
            <w:r>
              <w:rPr>
                <w:rFonts w:ascii="Arial" w:cs="Arial" w:eastAsia="Arial" w:hAnsi="Arial"/>
                <w:sz w:val="18"/>
                <w:szCs w:val="18"/>
                <w:color w:val="auto"/>
              </w:rPr>
              <w:t>1,713</w:t>
            </w:r>
          </w:p>
        </w:tc>
        <w:tc>
          <w:tcPr>
            <w:tcW w:w="2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420" w:type="dxa"/>
            <w:vAlign w:val="bottom"/>
          </w:tcPr>
          <w:p>
            <w:pPr>
              <w:jc w:val="right"/>
              <w:spacing w:after="0"/>
              <w:rPr>
                <w:sz w:val="20"/>
                <w:szCs w:val="20"/>
                <w:color w:val="auto"/>
              </w:rPr>
            </w:pPr>
            <w:r>
              <w:rPr>
                <w:rFonts w:ascii="Arial" w:cs="Arial" w:eastAsia="Arial" w:hAnsi="Arial"/>
                <w:sz w:val="18"/>
                <w:szCs w:val="18"/>
                <w:color w:val="auto"/>
              </w:rPr>
              <w:t>3,708</w:t>
            </w:r>
          </w:p>
        </w:tc>
      </w:tr>
      <w:tr>
        <w:trPr>
          <w:trHeight w:val="216"/>
        </w:trPr>
        <w:tc>
          <w:tcPr>
            <w:tcW w:w="180" w:type="dxa"/>
            <w:vAlign w:val="bottom"/>
          </w:tcPr>
          <w:p>
            <w:pPr>
              <w:spacing w:after="0"/>
              <w:rPr>
                <w:sz w:val="18"/>
                <w:szCs w:val="18"/>
                <w:color w:val="auto"/>
              </w:rPr>
            </w:pPr>
          </w:p>
        </w:tc>
        <w:tc>
          <w:tcPr>
            <w:tcW w:w="1440" w:type="dxa"/>
            <w:vAlign w:val="bottom"/>
          </w:tcPr>
          <w:p>
            <w:pPr>
              <w:jc w:val="right"/>
              <w:spacing w:after="0"/>
              <w:rPr>
                <w:sz w:val="20"/>
                <w:szCs w:val="20"/>
                <w:color w:val="auto"/>
              </w:rPr>
            </w:pPr>
            <w:r>
              <w:rPr>
                <w:rFonts w:ascii="Arial" w:cs="Arial" w:eastAsia="Arial" w:hAnsi="Arial"/>
                <w:sz w:val="18"/>
                <w:szCs w:val="18"/>
                <w:color w:val="auto"/>
              </w:rPr>
              <w:t>2,460</w:t>
            </w:r>
          </w:p>
        </w:tc>
        <w:tc>
          <w:tcPr>
            <w:tcW w:w="2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420" w:type="dxa"/>
            <w:vAlign w:val="bottom"/>
          </w:tcPr>
          <w:p>
            <w:pPr>
              <w:jc w:val="right"/>
              <w:spacing w:after="0"/>
              <w:rPr>
                <w:sz w:val="20"/>
                <w:szCs w:val="20"/>
                <w:color w:val="auto"/>
              </w:rPr>
            </w:pPr>
            <w:r>
              <w:rPr>
                <w:rFonts w:ascii="Arial" w:cs="Arial" w:eastAsia="Arial" w:hAnsi="Arial"/>
                <w:sz w:val="18"/>
                <w:szCs w:val="18"/>
                <w:color w:val="auto"/>
              </w:rPr>
              <w:t>981</w:t>
            </w:r>
          </w:p>
        </w:tc>
      </w:tr>
      <w:tr>
        <w:trPr>
          <w:trHeight w:val="216"/>
        </w:trPr>
        <w:tc>
          <w:tcPr>
            <w:tcW w:w="180" w:type="dxa"/>
            <w:vAlign w:val="bottom"/>
          </w:tcPr>
          <w:p>
            <w:pPr>
              <w:spacing w:after="0"/>
              <w:rPr>
                <w:sz w:val="18"/>
                <w:szCs w:val="18"/>
                <w:color w:val="auto"/>
              </w:rPr>
            </w:pPr>
          </w:p>
        </w:tc>
        <w:tc>
          <w:tcPr>
            <w:tcW w:w="1440" w:type="dxa"/>
            <w:vAlign w:val="bottom"/>
          </w:tcPr>
          <w:p>
            <w:pPr>
              <w:jc w:val="right"/>
              <w:spacing w:after="0"/>
              <w:rPr>
                <w:sz w:val="20"/>
                <w:szCs w:val="20"/>
                <w:color w:val="auto"/>
              </w:rPr>
            </w:pPr>
            <w:r>
              <w:rPr>
                <w:rFonts w:ascii="Arial" w:cs="Arial" w:eastAsia="Arial" w:hAnsi="Arial"/>
                <w:sz w:val="18"/>
                <w:szCs w:val="18"/>
                <w:color w:val="auto"/>
              </w:rPr>
              <w:t>3,787</w:t>
            </w:r>
          </w:p>
        </w:tc>
        <w:tc>
          <w:tcPr>
            <w:tcW w:w="2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420" w:type="dxa"/>
            <w:vAlign w:val="bottom"/>
          </w:tcPr>
          <w:p>
            <w:pPr>
              <w:jc w:val="right"/>
              <w:spacing w:after="0"/>
              <w:rPr>
                <w:sz w:val="20"/>
                <w:szCs w:val="20"/>
                <w:color w:val="auto"/>
              </w:rPr>
            </w:pPr>
            <w:r>
              <w:rPr>
                <w:rFonts w:ascii="Arial" w:cs="Arial" w:eastAsia="Arial" w:hAnsi="Arial"/>
                <w:sz w:val="18"/>
                <w:szCs w:val="18"/>
                <w:color w:val="auto"/>
              </w:rPr>
              <w:t>—</w:t>
            </w:r>
          </w:p>
        </w:tc>
      </w:tr>
      <w:tr>
        <w:trPr>
          <w:trHeight w:val="230"/>
        </w:trPr>
        <w:tc>
          <w:tcPr>
            <w:tcW w:w="180" w:type="dxa"/>
            <w:vAlign w:val="bottom"/>
            <w:tcBorders>
              <w:bottom w:val="single" w:sz="8" w:color="auto"/>
            </w:tcBorders>
          </w:tcPr>
          <w:p>
            <w:pPr>
              <w:spacing w:after="0"/>
              <w:rPr>
                <w:sz w:val="20"/>
                <w:szCs w:val="20"/>
                <w:color w:val="auto"/>
              </w:rPr>
            </w:pPr>
          </w:p>
        </w:tc>
        <w:tc>
          <w:tcPr>
            <w:tcW w:w="14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9,429</w:t>
            </w:r>
          </w:p>
        </w:tc>
        <w:tc>
          <w:tcPr>
            <w:tcW w:w="280" w:type="dxa"/>
            <w:vAlign w:val="bottom"/>
          </w:tcPr>
          <w:p>
            <w:pPr>
              <w:spacing w:after="0"/>
              <w:rPr>
                <w:sz w:val="20"/>
                <w:szCs w:val="20"/>
                <w:color w:val="auto"/>
              </w:rPr>
            </w:pPr>
          </w:p>
        </w:tc>
        <w:tc>
          <w:tcPr>
            <w:tcW w:w="180" w:type="dxa"/>
            <w:vAlign w:val="bottom"/>
            <w:tcBorders>
              <w:bottom w:val="single" w:sz="8" w:color="auto"/>
            </w:tcBorders>
          </w:tcPr>
          <w:p>
            <w:pPr>
              <w:spacing w:after="0"/>
              <w:rPr>
                <w:sz w:val="20"/>
                <w:szCs w:val="20"/>
                <w:color w:val="auto"/>
              </w:rPr>
            </w:pPr>
          </w:p>
        </w:tc>
        <w:tc>
          <w:tcPr>
            <w:tcW w:w="14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4,918</w:t>
            </w:r>
          </w:p>
        </w:tc>
      </w:tr>
      <w:tr>
        <w:trPr>
          <w:trHeight w:val="209"/>
        </w:trPr>
        <w:tc>
          <w:tcPr>
            <w:tcW w:w="1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14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25,571</w:t>
            </w:r>
          </w:p>
        </w:tc>
        <w:tc>
          <w:tcPr>
            <w:tcW w:w="280" w:type="dxa"/>
            <w:vAlign w:val="bottom"/>
          </w:tcPr>
          <w:p>
            <w:pPr>
              <w:spacing w:after="0"/>
              <w:rPr>
                <w:sz w:val="18"/>
                <w:szCs w:val="18"/>
                <w:color w:val="auto"/>
              </w:rPr>
            </w:pPr>
          </w:p>
        </w:tc>
        <w:tc>
          <w:tcPr>
            <w:tcW w:w="1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14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17,936</w:t>
            </w:r>
          </w:p>
        </w:tc>
      </w:tr>
      <w:tr>
        <w:trPr>
          <w:trHeight w:val="20"/>
        </w:trPr>
        <w:tc>
          <w:tcPr>
            <w:tcW w:w="180" w:type="dxa"/>
            <w:vAlign w:val="bottom"/>
            <w:tcBorders>
              <w:bottom w:val="single" w:sz="8" w:color="auto"/>
            </w:tcBorders>
          </w:tcPr>
          <w:p>
            <w:pPr>
              <w:spacing w:after="0" w:line="20" w:lineRule="exact"/>
              <w:rPr>
                <w:sz w:val="1"/>
                <w:szCs w:val="1"/>
                <w:color w:val="auto"/>
              </w:rPr>
            </w:pPr>
          </w:p>
        </w:tc>
        <w:tc>
          <w:tcPr>
            <w:tcW w:w="144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420" w:type="dxa"/>
            <w:vAlign w:val="bottom"/>
            <w:tcBorders>
              <w:bottom w:val="single" w:sz="8" w:color="auto"/>
            </w:tcBorders>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-4845685</wp:posOffset>
            </wp:positionH>
            <wp:positionV relativeFrom="paragraph">
              <wp:posOffset>-1129665</wp:posOffset>
            </wp:positionV>
            <wp:extent cx="7132320" cy="137160"/>
            <wp:wrapNone/>
            <wp:docPr id="136" name="Picture 1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6"/>
                    <pic:cNvPicPr>
                      <a:picLocks noChangeAspect="1" noChangeArrowheads="1"/>
                    </pic:cNvPicPr>
                  </pic:nvPicPr>
                  <pic:blipFill>
                    <a:blip r:embed="rId143">
                      <a:extLst>
                        <a:ext uri="{28A0092B-C50C-407E-A947-70E740481C1C}"/>
                      </a:extLst>
                    </a:blip>
                    <a:srcRect/>
                    <a:stretch>
                      <a:fillRect/>
                    </a:stretch>
                  </pic:blipFill>
                  <pic:spPr bwMode="auto">
                    <a:xfrm>
                      <a:off x="0" y="0"/>
                      <a:ext cx="7132320" cy="137160"/>
                    </a:xfrm>
                    <a:prstGeom prst="rect">
                      <a:avLst/>
                    </a:prstGeom>
                    <a:noFill/>
                  </pic:spPr>
                </pic:pic>
              </a:graphicData>
            </a:graphic>
          </wp:anchor>
        </w:drawing>
        <w:drawing>
          <wp:anchor simplePos="0" relativeHeight="251657728" behindDoc="1" locked="0" layoutInCell="0" allowOverlap="1">
            <wp:simplePos x="0" y="0"/>
            <wp:positionH relativeFrom="column">
              <wp:posOffset>-4845685</wp:posOffset>
            </wp:positionH>
            <wp:positionV relativeFrom="paragraph">
              <wp:posOffset>-855345</wp:posOffset>
            </wp:positionV>
            <wp:extent cx="7132320" cy="137160"/>
            <wp:wrapNone/>
            <wp:docPr id="137" name="Picture 1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7"/>
                    <pic:cNvPicPr>
                      <a:picLocks noChangeAspect="1" noChangeArrowheads="1"/>
                    </pic:cNvPicPr>
                  </pic:nvPicPr>
                  <pic:blipFill>
                    <a:blip r:embed="rId144">
                      <a:extLst>
                        <a:ext uri="{28A0092B-C50C-407E-A947-70E740481C1C}"/>
                      </a:extLst>
                    </a:blip>
                    <a:srcRect/>
                    <a:stretch>
                      <a:fillRect/>
                    </a:stretch>
                  </pic:blipFill>
                  <pic:spPr bwMode="auto">
                    <a:xfrm>
                      <a:off x="0" y="0"/>
                      <a:ext cx="7132320" cy="137160"/>
                    </a:xfrm>
                    <a:prstGeom prst="rect">
                      <a:avLst/>
                    </a:prstGeom>
                    <a:noFill/>
                  </pic:spPr>
                </pic:pic>
              </a:graphicData>
            </a:graphic>
          </wp:anchor>
        </w:drawing>
        <w:drawing>
          <wp:anchor simplePos="0" relativeHeight="251657728" behindDoc="1" locked="0" layoutInCell="0" allowOverlap="1">
            <wp:simplePos x="0" y="0"/>
            <wp:positionH relativeFrom="column">
              <wp:posOffset>-4845685</wp:posOffset>
            </wp:positionH>
            <wp:positionV relativeFrom="paragraph">
              <wp:posOffset>-581660</wp:posOffset>
            </wp:positionV>
            <wp:extent cx="7132320" cy="137160"/>
            <wp:wrapNone/>
            <wp:docPr id="138" name="Picture 1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8"/>
                    <pic:cNvPicPr>
                      <a:picLocks noChangeAspect="1" noChangeArrowheads="1"/>
                    </pic:cNvPicPr>
                  </pic:nvPicPr>
                  <pic:blipFill>
                    <a:blip r:embed="rId145">
                      <a:extLst>
                        <a:ext uri="{28A0092B-C50C-407E-A947-70E740481C1C}"/>
                      </a:extLst>
                    </a:blip>
                    <a:srcRect/>
                    <a:stretch>
                      <a:fillRect/>
                    </a:stretch>
                  </pic:blipFill>
                  <pic:spPr bwMode="auto">
                    <a:xfrm>
                      <a:off x="0" y="0"/>
                      <a:ext cx="7132320" cy="137160"/>
                    </a:xfrm>
                    <a:prstGeom prst="rect">
                      <a:avLst/>
                    </a:prstGeom>
                    <a:noFill/>
                  </pic:spPr>
                </pic:pic>
              </a:graphicData>
            </a:graphic>
          </wp:anchor>
        </w:drawing>
        <w:drawing>
          <wp:anchor simplePos="0" relativeHeight="251657728" behindDoc="1" locked="0" layoutInCell="0" allowOverlap="1">
            <wp:simplePos x="0" y="0"/>
            <wp:positionH relativeFrom="column">
              <wp:posOffset>-4845685</wp:posOffset>
            </wp:positionH>
            <wp:positionV relativeFrom="paragraph">
              <wp:posOffset>-307340</wp:posOffset>
            </wp:positionV>
            <wp:extent cx="7132320" cy="307975"/>
            <wp:wrapNone/>
            <wp:docPr id="139" name="Picture 1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9"/>
                    <pic:cNvPicPr>
                      <a:picLocks noChangeAspect="1" noChangeArrowheads="1"/>
                    </pic:cNvPicPr>
                  </pic:nvPicPr>
                  <pic:blipFill>
                    <a:blip r:embed="rId146">
                      <a:extLst>
                        <a:ext uri="{28A0092B-C50C-407E-A947-70E740481C1C}"/>
                      </a:extLst>
                    </a:blip>
                    <a:srcRect/>
                    <a:stretch>
                      <a:fillRect/>
                    </a:stretch>
                  </pic:blipFill>
                  <pic:spPr bwMode="auto">
                    <a:xfrm>
                      <a:off x="0" y="0"/>
                      <a:ext cx="7132320" cy="307975"/>
                    </a:xfrm>
                    <a:prstGeom prst="rect">
                      <a:avLst/>
                    </a:prstGeom>
                    <a:noFill/>
                  </pic:spPr>
                </pic:pic>
              </a:graphicData>
            </a:graphic>
          </wp:anchor>
        </w:drawing>
      </w:r>
    </w:p>
    <w:p>
      <w:pPr>
        <w:spacing w:after="0" w:line="200" w:lineRule="exact"/>
        <w:rPr>
          <w:sz w:val="20"/>
          <w:szCs w:val="20"/>
          <w:color w:val="auto"/>
        </w:rPr>
      </w:pPr>
    </w:p>
    <w:p>
      <w:pPr>
        <w:sectPr>
          <w:pgSz w:w="11900" w:h="16838" w:orient="portrait"/>
          <w:cols w:equalWidth="0" w:num="2">
            <w:col w:w="6920" w:space="720"/>
            <w:col w:w="3600"/>
          </w:cols>
          <w:pgMar w:left="320" w:top="472" w:right="339" w:bottom="1440" w:gutter="0" w:footer="0" w:header="0"/>
          <w:type w:val="continuous"/>
        </w:sectPr>
      </w:pPr>
    </w:p>
    <w:p>
      <w:pPr>
        <w:spacing w:after="0" w:line="109"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76200</wp:posOffset>
            </wp:positionV>
            <wp:extent cx="7157720" cy="42545"/>
            <wp:wrapNone/>
            <wp:docPr id="140" name="Picture 1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0"/>
                    <pic:cNvPicPr>
                      <a:picLocks noChangeAspect="1" noChangeArrowheads="1"/>
                    </pic:cNvPicPr>
                  </pic:nvPicPr>
                  <pic:blipFill>
                    <a:blip r:embed="rId14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472" w:right="339" w:bottom="1440" w:gutter="0" w:footer="0" w:header="0"/>
          <w:type w:val="continuous"/>
        </w:sectPr>
      </w:pPr>
    </w:p>
    <w:bookmarkStart w:id="16" w:name="page17"/>
    <w:bookmarkEnd w:id="16"/>
    <w:p>
      <w:pPr>
        <w:ind w:left="520" w:hanging="512"/>
        <w:spacing w:after="0"/>
        <w:tabs>
          <w:tab w:leader="none" w:pos="520" w:val="left"/>
        </w:tabs>
        <w:numPr>
          <w:ilvl w:val="0"/>
          <w:numId w:val="14"/>
        </w:numPr>
        <w:rPr>
          <w:rFonts w:ascii="Arial" w:cs="Arial" w:eastAsia="Arial" w:hAnsi="Arial"/>
          <w:sz w:val="18"/>
          <w:szCs w:val="18"/>
          <w:b w:val="1"/>
          <w:bCs w:val="1"/>
          <w:color w:val="auto"/>
        </w:rPr>
      </w:pPr>
      <w:r>
        <w:rPr>
          <w:rFonts w:ascii="Arial" w:cs="Arial" w:eastAsia="Arial" w:hAnsi="Arial"/>
          <w:sz w:val="18"/>
          <w:szCs w:val="18"/>
          <w:b w:val="1"/>
          <w:bCs w:val="1"/>
          <w:color w:val="auto"/>
        </w:rPr>
        <w:t>Fair Value Measurements</w:t>
      </w:r>
    </w:p>
    <w:p>
      <w:pPr>
        <w:spacing w:after="0" w:line="309" w:lineRule="exact"/>
        <w:rPr>
          <w:sz w:val="20"/>
          <w:szCs w:val="20"/>
          <w:color w:val="auto"/>
        </w:rPr>
      </w:pPr>
    </w:p>
    <w:p>
      <w:pPr>
        <w:ind w:right="220" w:firstLine="509"/>
        <w:spacing w:after="0" w:line="277" w:lineRule="auto"/>
        <w:rPr>
          <w:sz w:val="20"/>
          <w:szCs w:val="20"/>
          <w:color w:val="auto"/>
        </w:rPr>
      </w:pPr>
      <w:r>
        <w:rPr>
          <w:rFonts w:ascii="Arial" w:cs="Arial" w:eastAsia="Arial" w:hAnsi="Arial"/>
          <w:sz w:val="18"/>
          <w:szCs w:val="18"/>
          <w:color w:val="auto"/>
        </w:rPr>
        <w:t>The following table summarizes, for financial assets measured at fair value, the respective fair value and classification by level of input within the fair value hierarchy (in thousands):</w:t>
      </w:r>
    </w:p>
    <w:p>
      <w:pPr>
        <w:spacing w:after="0" w:line="138"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49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3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3000" w:type="dxa"/>
            <w:vAlign w:val="bottom"/>
            <w:gridSpan w:val="6"/>
          </w:tcPr>
          <w:p>
            <w:pPr>
              <w:ind w:left="440"/>
              <w:spacing w:after="0"/>
              <w:rPr>
                <w:sz w:val="20"/>
                <w:szCs w:val="20"/>
                <w:color w:val="auto"/>
              </w:rPr>
            </w:pPr>
            <w:r>
              <w:rPr>
                <w:rFonts w:ascii="Arial" w:cs="Arial" w:eastAsia="Arial" w:hAnsi="Arial"/>
                <w:sz w:val="18"/>
                <w:szCs w:val="18"/>
                <w:b w:val="1"/>
                <w:bCs w:val="1"/>
                <w:color w:val="auto"/>
              </w:rPr>
              <w:t>As of September 30, 2022</w:t>
            </w:r>
          </w:p>
        </w:tc>
        <w:tc>
          <w:tcPr>
            <w:tcW w:w="14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133"/>
        </w:trPr>
        <w:tc>
          <w:tcPr>
            <w:tcW w:w="49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360" w:type="dxa"/>
            <w:vAlign w:val="bottom"/>
            <w:tcBorders>
              <w:top w:val="single" w:sz="8" w:color="auto"/>
            </w:tcBorders>
            <w:vMerge w:val="restart"/>
          </w:tcPr>
          <w:p>
            <w:pPr>
              <w:jc w:val="right"/>
              <w:ind w:right="115"/>
              <w:spacing w:after="0"/>
              <w:rPr>
                <w:sz w:val="20"/>
                <w:szCs w:val="20"/>
                <w:color w:val="auto"/>
              </w:rPr>
            </w:pPr>
            <w:r>
              <w:rPr>
                <w:rFonts w:ascii="Arial" w:cs="Arial" w:eastAsia="Arial" w:hAnsi="Arial"/>
                <w:sz w:val="14"/>
                <w:szCs w:val="14"/>
                <w:b w:val="1"/>
                <w:bCs w:val="1"/>
                <w:color w:val="auto"/>
              </w:rPr>
              <w:t>Amortized Cost</w:t>
            </w:r>
          </w:p>
        </w:tc>
        <w:tc>
          <w:tcPr>
            <w:tcW w:w="1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320" w:type="dxa"/>
            <w:vAlign w:val="bottom"/>
            <w:tcBorders>
              <w:top w:val="single" w:sz="8" w:color="auto"/>
            </w:tcBorders>
          </w:tcPr>
          <w:p>
            <w:pPr>
              <w:jc w:val="center"/>
              <w:spacing w:after="0" w:line="133" w:lineRule="exact"/>
              <w:rPr>
                <w:sz w:val="20"/>
                <w:szCs w:val="20"/>
                <w:color w:val="auto"/>
              </w:rPr>
            </w:pPr>
            <w:r>
              <w:rPr>
                <w:rFonts w:ascii="Arial" w:cs="Arial" w:eastAsia="Arial" w:hAnsi="Arial"/>
                <w:sz w:val="14"/>
                <w:szCs w:val="14"/>
                <w:b w:val="1"/>
                <w:bCs w:val="1"/>
                <w:color w:val="auto"/>
                <w:w w:val="92"/>
              </w:rPr>
              <w:t>Gross Unrealized</w:t>
            </w:r>
          </w:p>
        </w:tc>
        <w:tc>
          <w:tcPr>
            <w:tcW w:w="1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240" w:type="dxa"/>
            <w:vAlign w:val="bottom"/>
            <w:tcBorders>
              <w:top w:val="single" w:sz="8" w:color="auto"/>
            </w:tcBorders>
          </w:tcPr>
          <w:p>
            <w:pPr>
              <w:jc w:val="right"/>
              <w:ind w:right="17"/>
              <w:spacing w:after="0" w:line="133" w:lineRule="exact"/>
              <w:rPr>
                <w:sz w:val="20"/>
                <w:szCs w:val="20"/>
                <w:color w:val="auto"/>
              </w:rPr>
            </w:pPr>
            <w:r>
              <w:rPr>
                <w:rFonts w:ascii="Arial" w:cs="Arial" w:eastAsia="Arial" w:hAnsi="Arial"/>
                <w:sz w:val="14"/>
                <w:szCs w:val="14"/>
                <w:b w:val="1"/>
                <w:bCs w:val="1"/>
                <w:color w:val="auto"/>
                <w:w w:val="97"/>
              </w:rPr>
              <w:t>Gross Unrealized</w:t>
            </w:r>
          </w:p>
        </w:tc>
        <w:tc>
          <w:tcPr>
            <w:tcW w:w="1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460" w:type="dxa"/>
            <w:vAlign w:val="bottom"/>
            <w:tcBorders>
              <w:top w:val="single" w:sz="8" w:color="auto"/>
            </w:tcBorders>
            <w:vMerge w:val="restart"/>
          </w:tcPr>
          <w:p>
            <w:pPr>
              <w:jc w:val="right"/>
              <w:spacing w:after="0"/>
              <w:rPr>
                <w:sz w:val="20"/>
                <w:szCs w:val="20"/>
                <w:color w:val="auto"/>
              </w:rPr>
            </w:pPr>
            <w:r>
              <w:rPr>
                <w:rFonts w:ascii="Arial" w:cs="Arial" w:eastAsia="Arial" w:hAnsi="Arial"/>
                <w:sz w:val="14"/>
                <w:szCs w:val="14"/>
                <w:b w:val="1"/>
                <w:bCs w:val="1"/>
                <w:color w:val="auto"/>
                <w:w w:val="98"/>
              </w:rPr>
              <w:t>Estimated Fair Value</w:t>
            </w: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85"/>
        </w:trPr>
        <w:tc>
          <w:tcPr>
            <w:tcW w:w="49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360" w:type="dxa"/>
            <w:vAlign w:val="bottom"/>
            <w:vMerge w:val="continue"/>
          </w:tcPr>
          <w:p>
            <w:pPr>
              <w:spacing w:after="0"/>
              <w:rPr>
                <w:sz w:val="16"/>
                <w:szCs w:val="16"/>
                <w:color w:val="auto"/>
              </w:rPr>
            </w:pPr>
          </w:p>
        </w:tc>
        <w:tc>
          <w:tcPr>
            <w:tcW w:w="1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320" w:type="dxa"/>
            <w:vAlign w:val="bottom"/>
          </w:tcPr>
          <w:p>
            <w:pPr>
              <w:jc w:val="center"/>
              <w:spacing w:after="0"/>
              <w:rPr>
                <w:sz w:val="20"/>
                <w:szCs w:val="20"/>
                <w:color w:val="auto"/>
              </w:rPr>
            </w:pPr>
            <w:r>
              <w:rPr>
                <w:rFonts w:ascii="Arial" w:cs="Arial" w:eastAsia="Arial" w:hAnsi="Arial"/>
                <w:sz w:val="14"/>
                <w:szCs w:val="14"/>
                <w:b w:val="1"/>
                <w:bCs w:val="1"/>
                <w:color w:val="auto"/>
                <w:w w:val="92"/>
              </w:rPr>
              <w:t>Gains</w:t>
            </w: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460" w:type="dxa"/>
            <w:vAlign w:val="bottom"/>
            <w:gridSpan w:val="3"/>
          </w:tcPr>
          <w:p>
            <w:pPr>
              <w:jc w:val="right"/>
              <w:ind w:right="550"/>
              <w:spacing w:after="0"/>
              <w:rPr>
                <w:sz w:val="20"/>
                <w:szCs w:val="20"/>
                <w:color w:val="auto"/>
              </w:rPr>
            </w:pPr>
            <w:r>
              <w:rPr>
                <w:rFonts w:ascii="Arial" w:cs="Arial" w:eastAsia="Arial" w:hAnsi="Arial"/>
                <w:sz w:val="14"/>
                <w:szCs w:val="14"/>
                <w:b w:val="1"/>
                <w:bCs w:val="1"/>
                <w:color w:val="auto"/>
              </w:rPr>
              <w:t>Losses</w:t>
            </w:r>
          </w:p>
        </w:tc>
        <w:tc>
          <w:tcPr>
            <w:tcW w:w="1460" w:type="dxa"/>
            <w:vAlign w:val="bottom"/>
            <w:vMerge w:val="continue"/>
          </w:tcPr>
          <w:p>
            <w:pPr>
              <w:spacing w:after="0"/>
              <w:rPr>
                <w:sz w:val="16"/>
                <w:szCs w:val="16"/>
                <w:color w:val="auto"/>
              </w:rPr>
            </w:pP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9"/>
        </w:trPr>
        <w:tc>
          <w:tcPr>
            <w:tcW w:w="4920" w:type="dxa"/>
            <w:vAlign w:val="bottom"/>
            <w:shd w:val="clear" w:color="auto" w:fill="CFF0FC"/>
          </w:tcPr>
          <w:p>
            <w:pPr>
              <w:ind w:left="20"/>
              <w:spacing w:after="0"/>
              <w:rPr>
                <w:sz w:val="20"/>
                <w:szCs w:val="20"/>
                <w:color w:val="auto"/>
              </w:rPr>
            </w:pPr>
            <w:r>
              <w:rPr>
                <w:rFonts w:ascii="Arial" w:cs="Arial" w:eastAsia="Arial" w:hAnsi="Arial"/>
                <w:sz w:val="18"/>
                <w:szCs w:val="18"/>
                <w:b w:val="1"/>
                <w:bCs w:val="1"/>
                <w:color w:val="auto"/>
              </w:rPr>
              <w:t>Level 1:</w:t>
            </w:r>
          </w:p>
        </w:tc>
        <w:tc>
          <w:tcPr>
            <w:tcW w:w="140" w:type="dxa"/>
            <w:vAlign w:val="bottom"/>
            <w:shd w:val="clear" w:color="auto" w:fill="CFF0FC"/>
          </w:tcPr>
          <w:p>
            <w:pPr>
              <w:spacing w:after="0"/>
              <w:rPr>
                <w:sz w:val="18"/>
                <w:szCs w:val="18"/>
                <w:color w:val="auto"/>
              </w:rPr>
            </w:pPr>
          </w:p>
        </w:tc>
        <w:tc>
          <w:tcPr>
            <w:tcW w:w="1360" w:type="dxa"/>
            <w:vAlign w:val="bottom"/>
            <w:tcBorders>
              <w:top w:val="single" w:sz="8" w:color="auto"/>
            </w:tcBorders>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1320" w:type="dxa"/>
            <w:vAlign w:val="bottom"/>
            <w:tcBorders>
              <w:top w:val="single" w:sz="8" w:color="auto"/>
            </w:tcBorders>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1240" w:type="dxa"/>
            <w:vAlign w:val="bottom"/>
            <w:tcBorders>
              <w:top w:val="single" w:sz="8" w:color="auto"/>
            </w:tcBorders>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1460" w:type="dxa"/>
            <w:vAlign w:val="bottom"/>
            <w:tcBorders>
              <w:top w:val="single" w:sz="8" w:color="auto"/>
            </w:tcBorders>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920" w:type="dxa"/>
            <w:vAlign w:val="bottom"/>
          </w:tcPr>
          <w:p>
            <w:pPr>
              <w:ind w:left="20"/>
              <w:spacing w:after="0" w:line="216" w:lineRule="exact"/>
              <w:rPr>
                <w:sz w:val="20"/>
                <w:szCs w:val="20"/>
                <w:color w:val="auto"/>
              </w:rPr>
            </w:pPr>
            <w:r>
              <w:rPr>
                <w:rFonts w:ascii="Arial" w:cs="Arial" w:eastAsia="Arial" w:hAnsi="Arial"/>
                <w:sz w:val="18"/>
                <w:szCs w:val="18"/>
                <w:b w:val="1"/>
                <w:bCs w:val="1"/>
                <w:color w:val="auto"/>
              </w:rPr>
              <w:t>Cash equivalents</w:t>
            </w:r>
            <w:r>
              <w:rPr>
                <w:rFonts w:ascii="Arial" w:cs="Arial" w:eastAsia="Arial" w:hAnsi="Arial"/>
                <w:sz w:val="24"/>
                <w:szCs w:val="24"/>
                <w:b w:val="1"/>
                <w:bCs w:val="1"/>
                <w:color w:val="auto"/>
                <w:vertAlign w:val="superscript"/>
              </w:rPr>
              <w:t>(1)</w:t>
            </w:r>
          </w:p>
        </w:tc>
        <w:tc>
          <w:tcPr>
            <w:tcW w:w="140" w:type="dxa"/>
            <w:vAlign w:val="bottom"/>
          </w:tcPr>
          <w:p>
            <w:pPr>
              <w:spacing w:after="0"/>
              <w:rPr>
                <w:sz w:val="18"/>
                <w:szCs w:val="18"/>
                <w:color w:val="auto"/>
              </w:rPr>
            </w:pPr>
          </w:p>
        </w:tc>
        <w:tc>
          <w:tcPr>
            <w:tcW w:w="13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3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920" w:type="dxa"/>
            <w:vAlign w:val="bottom"/>
            <w:shd w:val="clear" w:color="auto" w:fill="CFF0FC"/>
          </w:tcPr>
          <w:p>
            <w:pPr>
              <w:ind w:left="240"/>
              <w:spacing w:after="0"/>
              <w:rPr>
                <w:sz w:val="20"/>
                <w:szCs w:val="20"/>
                <w:color w:val="auto"/>
              </w:rPr>
            </w:pPr>
            <w:r>
              <w:rPr>
                <w:rFonts w:ascii="Arial" w:cs="Arial" w:eastAsia="Arial" w:hAnsi="Arial"/>
                <w:sz w:val="18"/>
                <w:szCs w:val="18"/>
                <w:color w:val="auto"/>
              </w:rPr>
              <w:t>Money market funds</w:t>
            </w:r>
          </w:p>
        </w:tc>
        <w:tc>
          <w:tcPr>
            <w:tcW w:w="1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13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190,857</w:t>
            </w:r>
          </w:p>
        </w:tc>
        <w:tc>
          <w:tcPr>
            <w:tcW w:w="260" w:type="dxa"/>
            <w:vAlign w:val="bottom"/>
            <w:gridSpan w:val="2"/>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1320" w:type="dxa"/>
            <w:vAlign w:val="bottom"/>
            <w:shd w:val="clear" w:color="auto" w:fill="CFF0FC"/>
          </w:tcPr>
          <w:p>
            <w:pPr>
              <w:ind w:left="1120"/>
              <w:spacing w:after="0"/>
              <w:rPr>
                <w:sz w:val="20"/>
                <w:szCs w:val="20"/>
                <w:color w:val="auto"/>
              </w:rPr>
            </w:pPr>
            <w:r>
              <w:rPr>
                <w:rFonts w:ascii="Arial" w:cs="Arial" w:eastAsia="Arial" w:hAnsi="Arial"/>
                <w:sz w:val="18"/>
                <w:szCs w:val="18"/>
                <w:color w:val="auto"/>
                <w:w w:val="99"/>
              </w:rPr>
              <w:t>—</w:t>
            </w:r>
          </w:p>
        </w:tc>
        <w:tc>
          <w:tcPr>
            <w:tcW w:w="220" w:type="dxa"/>
            <w:vAlign w:val="bottom"/>
            <w:gridSpan w:val="2"/>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1460" w:type="dxa"/>
            <w:vAlign w:val="bottom"/>
            <w:gridSpan w:val="3"/>
            <w:shd w:val="clear" w:color="auto" w:fill="CFF0FC"/>
          </w:tcPr>
          <w:p>
            <w:pPr>
              <w:jc w:val="right"/>
              <w:spacing w:after="0"/>
              <w:rPr>
                <w:sz w:val="20"/>
                <w:szCs w:val="20"/>
                <w:color w:val="auto"/>
              </w:rPr>
            </w:pPr>
            <w:r>
              <w:rPr>
                <w:rFonts w:ascii="Arial" w:cs="Arial" w:eastAsia="Arial" w:hAnsi="Arial"/>
                <w:sz w:val="18"/>
                <w:szCs w:val="18"/>
                <w:color w:val="auto"/>
              </w:rPr>
              <w:t>—  $</w:t>
            </w:r>
          </w:p>
        </w:tc>
        <w:tc>
          <w:tcPr>
            <w:tcW w:w="14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190,857</w:t>
            </w:r>
          </w:p>
        </w:tc>
        <w:tc>
          <w:tcPr>
            <w:tcW w:w="10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920" w:type="dxa"/>
            <w:vAlign w:val="bottom"/>
          </w:tcPr>
          <w:p>
            <w:pPr>
              <w:ind w:left="20"/>
              <w:spacing w:after="0"/>
              <w:rPr>
                <w:sz w:val="20"/>
                <w:szCs w:val="20"/>
                <w:color w:val="auto"/>
              </w:rPr>
            </w:pPr>
            <w:r>
              <w:rPr>
                <w:rFonts w:ascii="Arial" w:cs="Arial" w:eastAsia="Arial" w:hAnsi="Arial"/>
                <w:sz w:val="18"/>
                <w:szCs w:val="18"/>
                <w:b w:val="1"/>
                <w:bCs w:val="1"/>
                <w:color w:val="auto"/>
              </w:rPr>
              <w:t>Level 2:</w:t>
            </w:r>
          </w:p>
        </w:tc>
        <w:tc>
          <w:tcPr>
            <w:tcW w:w="140" w:type="dxa"/>
            <w:vAlign w:val="bottom"/>
          </w:tcPr>
          <w:p>
            <w:pPr>
              <w:spacing w:after="0"/>
              <w:rPr>
                <w:sz w:val="18"/>
                <w:szCs w:val="18"/>
                <w:color w:val="auto"/>
              </w:rPr>
            </w:pPr>
          </w:p>
        </w:tc>
        <w:tc>
          <w:tcPr>
            <w:tcW w:w="13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3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920" w:type="dxa"/>
            <w:vAlign w:val="bottom"/>
            <w:shd w:val="clear" w:color="auto" w:fill="CFF0FC"/>
          </w:tcPr>
          <w:p>
            <w:pPr>
              <w:ind w:left="20"/>
              <w:spacing w:after="0"/>
              <w:rPr>
                <w:sz w:val="20"/>
                <w:szCs w:val="20"/>
                <w:color w:val="auto"/>
              </w:rPr>
            </w:pPr>
            <w:r>
              <w:rPr>
                <w:rFonts w:ascii="Arial" w:cs="Arial" w:eastAsia="Arial" w:hAnsi="Arial"/>
                <w:sz w:val="18"/>
                <w:szCs w:val="18"/>
                <w:b w:val="1"/>
                <w:bCs w:val="1"/>
                <w:color w:val="auto"/>
              </w:rPr>
              <w:t>Available-for-sale securities</w:t>
            </w:r>
          </w:p>
        </w:tc>
        <w:tc>
          <w:tcPr>
            <w:tcW w:w="140" w:type="dxa"/>
            <w:vAlign w:val="bottom"/>
            <w:shd w:val="clear" w:color="auto" w:fill="CFF0FC"/>
          </w:tcPr>
          <w:p>
            <w:pPr>
              <w:spacing w:after="0"/>
              <w:rPr>
                <w:sz w:val="18"/>
                <w:szCs w:val="18"/>
                <w:color w:val="auto"/>
              </w:rPr>
            </w:pPr>
          </w:p>
        </w:tc>
        <w:tc>
          <w:tcPr>
            <w:tcW w:w="136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132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124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146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920" w:type="dxa"/>
            <w:vAlign w:val="bottom"/>
          </w:tcPr>
          <w:p>
            <w:pPr>
              <w:ind w:left="240"/>
              <w:spacing w:after="0"/>
              <w:rPr>
                <w:sz w:val="20"/>
                <w:szCs w:val="20"/>
                <w:color w:val="auto"/>
              </w:rPr>
            </w:pPr>
            <w:r>
              <w:rPr>
                <w:rFonts w:ascii="Arial" w:cs="Arial" w:eastAsia="Arial" w:hAnsi="Arial"/>
                <w:sz w:val="18"/>
                <w:szCs w:val="18"/>
                <w:color w:val="auto"/>
              </w:rPr>
              <w:t>U.S. governmental securities</w:t>
            </w:r>
          </w:p>
        </w:tc>
        <w:tc>
          <w:tcPr>
            <w:tcW w:w="140" w:type="dxa"/>
            <w:vAlign w:val="bottom"/>
          </w:tcPr>
          <w:p>
            <w:pPr>
              <w:spacing w:after="0"/>
              <w:rPr>
                <w:sz w:val="18"/>
                <w:szCs w:val="18"/>
                <w:color w:val="auto"/>
              </w:rPr>
            </w:pPr>
          </w:p>
        </w:tc>
        <w:tc>
          <w:tcPr>
            <w:tcW w:w="1360" w:type="dxa"/>
            <w:vAlign w:val="bottom"/>
          </w:tcPr>
          <w:p>
            <w:pPr>
              <w:jc w:val="right"/>
              <w:spacing w:after="0"/>
              <w:rPr>
                <w:sz w:val="20"/>
                <w:szCs w:val="20"/>
                <w:color w:val="auto"/>
              </w:rPr>
            </w:pPr>
            <w:r>
              <w:rPr>
                <w:rFonts w:ascii="Arial" w:cs="Arial" w:eastAsia="Arial" w:hAnsi="Arial"/>
                <w:sz w:val="18"/>
                <w:szCs w:val="18"/>
                <w:color w:val="auto"/>
              </w:rPr>
              <w:t>59,928</w:t>
            </w: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320" w:type="dxa"/>
            <w:vAlign w:val="bottom"/>
          </w:tcPr>
          <w:p>
            <w:pPr>
              <w:ind w:left="1120"/>
              <w:spacing w:after="0"/>
              <w:rPr>
                <w:sz w:val="20"/>
                <w:szCs w:val="20"/>
                <w:color w:val="auto"/>
              </w:rPr>
            </w:pPr>
            <w:r>
              <w:rPr>
                <w:rFonts w:ascii="Arial" w:cs="Arial" w:eastAsia="Arial" w:hAnsi="Arial"/>
                <w:sz w:val="18"/>
                <w:szCs w:val="18"/>
                <w:color w:val="auto"/>
                <w:w w:val="99"/>
              </w:rPr>
              <w:t>—</w:t>
            </w: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340" w:type="dxa"/>
            <w:vAlign w:val="bottom"/>
            <w:gridSpan w:val="2"/>
          </w:tcPr>
          <w:p>
            <w:pPr>
              <w:jc w:val="right"/>
              <w:spacing w:after="0"/>
              <w:rPr>
                <w:sz w:val="20"/>
                <w:szCs w:val="20"/>
                <w:color w:val="auto"/>
              </w:rPr>
            </w:pPr>
            <w:r>
              <w:rPr>
                <w:rFonts w:ascii="Arial" w:cs="Arial" w:eastAsia="Arial" w:hAnsi="Arial"/>
                <w:sz w:val="18"/>
                <w:szCs w:val="18"/>
                <w:color w:val="auto"/>
              </w:rPr>
              <w:t>(580 )</w:t>
            </w:r>
          </w:p>
        </w:tc>
        <w:tc>
          <w:tcPr>
            <w:tcW w:w="120" w:type="dxa"/>
            <w:vAlign w:val="bottom"/>
          </w:tcPr>
          <w:p>
            <w:pPr>
              <w:spacing w:after="0"/>
              <w:rPr>
                <w:sz w:val="18"/>
                <w:szCs w:val="18"/>
                <w:color w:val="auto"/>
              </w:rPr>
            </w:pPr>
          </w:p>
        </w:tc>
        <w:tc>
          <w:tcPr>
            <w:tcW w:w="1460" w:type="dxa"/>
            <w:vAlign w:val="bottom"/>
          </w:tcPr>
          <w:p>
            <w:pPr>
              <w:jc w:val="right"/>
              <w:spacing w:after="0"/>
              <w:rPr>
                <w:sz w:val="20"/>
                <w:szCs w:val="20"/>
                <w:color w:val="auto"/>
              </w:rPr>
            </w:pPr>
            <w:r>
              <w:rPr>
                <w:rFonts w:ascii="Arial" w:cs="Arial" w:eastAsia="Arial" w:hAnsi="Arial"/>
                <w:sz w:val="18"/>
                <w:szCs w:val="18"/>
                <w:color w:val="auto"/>
              </w:rPr>
              <w:t>59,348</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49"/>
        </w:trPr>
        <w:tc>
          <w:tcPr>
            <w:tcW w:w="4920" w:type="dxa"/>
            <w:vAlign w:val="bottom"/>
            <w:tcBorders>
              <w:bottom w:val="single" w:sz="8" w:color="CFF0FC"/>
            </w:tcBorders>
            <w:shd w:val="clear" w:color="auto" w:fill="CFF0FC"/>
          </w:tcPr>
          <w:p>
            <w:pPr>
              <w:ind w:left="20"/>
              <w:spacing w:after="0"/>
              <w:rPr>
                <w:sz w:val="20"/>
                <w:szCs w:val="20"/>
                <w:color w:val="auto"/>
              </w:rPr>
            </w:pPr>
            <w:r>
              <w:rPr>
                <w:rFonts w:ascii="Arial" w:cs="Arial" w:eastAsia="Arial" w:hAnsi="Arial"/>
                <w:sz w:val="18"/>
                <w:szCs w:val="18"/>
                <w:color w:val="auto"/>
              </w:rPr>
              <w:t>Total</w:t>
            </w:r>
          </w:p>
        </w:tc>
        <w:tc>
          <w:tcPr>
            <w:tcW w:w="14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99"/>
              </w:rPr>
              <w:t>$</w:t>
            </w:r>
          </w:p>
        </w:tc>
        <w:tc>
          <w:tcPr>
            <w:tcW w:w="136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250,785</w:t>
            </w:r>
          </w:p>
        </w:tc>
        <w:tc>
          <w:tcPr>
            <w:tcW w:w="120" w:type="dxa"/>
            <w:vAlign w:val="bottom"/>
            <w:tcBorders>
              <w:bottom w:val="single" w:sz="8" w:color="CFF0FC"/>
            </w:tcBorders>
            <w:shd w:val="clear" w:color="auto" w:fill="CFF0FC"/>
          </w:tcPr>
          <w:p>
            <w:pPr>
              <w:spacing w:after="0"/>
              <w:rPr>
                <w:sz w:val="21"/>
                <w:szCs w:val="21"/>
                <w:color w:val="auto"/>
              </w:rPr>
            </w:pPr>
          </w:p>
        </w:tc>
        <w:tc>
          <w:tcPr>
            <w:tcW w:w="14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1320" w:type="dxa"/>
            <w:vAlign w:val="bottom"/>
            <w:tcBorders>
              <w:top w:val="single" w:sz="8" w:color="auto"/>
              <w:bottom w:val="single" w:sz="8" w:color="auto"/>
            </w:tcBorders>
            <w:shd w:val="clear" w:color="auto" w:fill="CFF0FC"/>
          </w:tcPr>
          <w:p>
            <w:pPr>
              <w:ind w:left="1120"/>
              <w:spacing w:after="0"/>
              <w:rPr>
                <w:sz w:val="20"/>
                <w:szCs w:val="20"/>
                <w:color w:val="auto"/>
              </w:rPr>
            </w:pPr>
            <w:r>
              <w:rPr>
                <w:rFonts w:ascii="Arial" w:cs="Arial" w:eastAsia="Arial" w:hAnsi="Arial"/>
                <w:sz w:val="18"/>
                <w:szCs w:val="18"/>
                <w:color w:val="auto"/>
                <w:w w:val="99"/>
              </w:rPr>
              <w:t>—</w:t>
            </w:r>
          </w:p>
        </w:tc>
        <w:tc>
          <w:tcPr>
            <w:tcW w:w="100" w:type="dxa"/>
            <w:vAlign w:val="bottom"/>
            <w:tcBorders>
              <w:bottom w:val="single" w:sz="8" w:color="CFF0FC"/>
            </w:tcBorders>
            <w:shd w:val="clear" w:color="auto" w:fill="CFF0FC"/>
          </w:tcPr>
          <w:p>
            <w:pPr>
              <w:spacing w:after="0"/>
              <w:rPr>
                <w:sz w:val="21"/>
                <w:szCs w:val="21"/>
                <w:color w:val="auto"/>
              </w:rPr>
            </w:pPr>
          </w:p>
        </w:tc>
        <w:tc>
          <w:tcPr>
            <w:tcW w:w="12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124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(580</w:t>
            </w:r>
          </w:p>
        </w:tc>
        <w:tc>
          <w:tcPr>
            <w:tcW w:w="100" w:type="dxa"/>
            <w:vAlign w:val="bottom"/>
            <w:tcBorders>
              <w:bottom w:val="single" w:sz="8" w:color="CFF0FC"/>
            </w:tcBorders>
            <w:shd w:val="clear" w:color="auto" w:fill="CFF0FC"/>
          </w:tcPr>
          <w:p>
            <w:pPr>
              <w:jc w:val="right"/>
              <w:spacing w:after="0"/>
              <w:rPr>
                <w:sz w:val="20"/>
                <w:szCs w:val="20"/>
                <w:color w:val="auto"/>
              </w:rPr>
            </w:pPr>
            <w:r>
              <w:rPr>
                <w:rFonts w:ascii="Arial" w:cs="Arial" w:eastAsia="Arial" w:hAnsi="Arial"/>
                <w:sz w:val="18"/>
                <w:szCs w:val="18"/>
                <w:color w:val="auto"/>
                <w:w w:val="99"/>
              </w:rPr>
              <w:t>)</w:t>
            </w:r>
          </w:p>
        </w:tc>
        <w:tc>
          <w:tcPr>
            <w:tcW w:w="12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99"/>
              </w:rPr>
              <w:t>$</w:t>
            </w:r>
          </w:p>
        </w:tc>
        <w:tc>
          <w:tcPr>
            <w:tcW w:w="146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250,205</w:t>
            </w:r>
          </w:p>
        </w:tc>
        <w:tc>
          <w:tcPr>
            <w:tcW w:w="100" w:type="dxa"/>
            <w:vAlign w:val="bottom"/>
            <w:tcBorders>
              <w:bottom w:val="single" w:sz="8" w:color="CFF0FC"/>
            </w:tcBorders>
            <w:shd w:val="clear" w:color="auto" w:fill="CFF0FC"/>
          </w:tcPr>
          <w:p>
            <w:pPr>
              <w:spacing w:after="0"/>
              <w:rPr>
                <w:sz w:val="21"/>
                <w:szCs w:val="21"/>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4059555</wp:posOffset>
            </wp:positionH>
            <wp:positionV relativeFrom="paragraph">
              <wp:posOffset>-1228090</wp:posOffset>
            </wp:positionV>
            <wp:extent cx="3090545" cy="248285"/>
            <wp:wrapNone/>
            <wp:docPr id="141" name="Picture 1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1"/>
                    <pic:cNvPicPr>
                      <a:picLocks noChangeAspect="1" noChangeArrowheads="1"/>
                    </pic:cNvPicPr>
                  </pic:nvPicPr>
                  <pic:blipFill>
                    <a:blip r:embed="rId148">
                      <a:extLst>
                        <a:ext uri="{28A0092B-C50C-407E-A947-70E740481C1C}"/>
                      </a:extLst>
                    </a:blip>
                    <a:srcRect/>
                    <a:stretch>
                      <a:fillRect/>
                    </a:stretch>
                  </pic:blipFill>
                  <pic:spPr bwMode="auto">
                    <a:xfrm>
                      <a:off x="0" y="0"/>
                      <a:ext cx="3090545" cy="248285"/>
                    </a:xfrm>
                    <a:prstGeom prst="rect">
                      <a:avLst/>
                    </a:prstGeom>
                    <a:noFill/>
                  </pic:spPr>
                </pic:pic>
              </a:graphicData>
            </a:graphic>
          </wp:anchor>
        </w:drawing>
        <w:drawing>
          <wp:anchor simplePos="0" relativeHeight="251657728" behindDoc="1" locked="0" layoutInCell="0" allowOverlap="1">
            <wp:simplePos x="0" y="0"/>
            <wp:positionH relativeFrom="column">
              <wp:posOffset>4072255</wp:posOffset>
            </wp:positionH>
            <wp:positionV relativeFrom="paragraph">
              <wp:posOffset>-24765</wp:posOffset>
            </wp:positionV>
            <wp:extent cx="76835" cy="8255"/>
            <wp:wrapNone/>
            <wp:docPr id="142" name="Picture 1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2"/>
                    <pic:cNvPicPr>
                      <a:picLocks noChangeAspect="1" noChangeArrowheads="1"/>
                    </pic:cNvPicPr>
                  </pic:nvPicPr>
                  <pic:blipFill>
                    <a:blip r:embed="rId149">
                      <a:extLst>
                        <a:ext uri="{28A0092B-C50C-407E-A947-70E740481C1C}"/>
                      </a:extLst>
                    </a:blip>
                    <a:srcRect/>
                    <a:stretch>
                      <a:fillRect/>
                    </a:stretch>
                  </pic:blipFill>
                  <pic:spPr bwMode="auto">
                    <a:xfrm>
                      <a:off x="0" y="0"/>
                      <a:ext cx="76835" cy="8255"/>
                    </a:xfrm>
                    <a:prstGeom prst="rect">
                      <a:avLst/>
                    </a:prstGeom>
                    <a:noFill/>
                  </pic:spPr>
                </pic:pic>
              </a:graphicData>
            </a:graphic>
          </wp:anchor>
        </w:drawing>
        <w:drawing>
          <wp:anchor simplePos="0" relativeHeight="251657728" behindDoc="1" locked="0" layoutInCell="0" allowOverlap="1">
            <wp:simplePos x="0" y="0"/>
            <wp:positionH relativeFrom="column">
              <wp:posOffset>4072255</wp:posOffset>
            </wp:positionH>
            <wp:positionV relativeFrom="paragraph">
              <wp:posOffset>-7620</wp:posOffset>
            </wp:positionV>
            <wp:extent cx="76835" cy="8255"/>
            <wp:wrapNone/>
            <wp:docPr id="143" name="Picture 1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3"/>
                    <pic:cNvPicPr>
                      <a:picLocks noChangeAspect="1" noChangeArrowheads="1"/>
                    </pic:cNvPicPr>
                  </pic:nvPicPr>
                  <pic:blipFill>
                    <a:blip r:embed="rId150">
                      <a:extLst>
                        <a:ext uri="{28A0092B-C50C-407E-A947-70E740481C1C}"/>
                      </a:extLst>
                    </a:blip>
                    <a:srcRect/>
                    <a:stretch>
                      <a:fillRect/>
                    </a:stretch>
                  </pic:blipFill>
                  <pic:spPr bwMode="auto">
                    <a:xfrm>
                      <a:off x="0" y="0"/>
                      <a:ext cx="76835" cy="8255"/>
                    </a:xfrm>
                    <a:prstGeom prst="rect">
                      <a:avLst/>
                    </a:prstGeom>
                    <a:noFill/>
                  </pic:spPr>
                </pic:pic>
              </a:graphicData>
            </a:graphic>
          </wp:anchor>
        </w:drawing>
        <w:drawing>
          <wp:anchor simplePos="0" relativeHeight="251657728" behindDoc="1" locked="0" layoutInCell="0" allowOverlap="1">
            <wp:simplePos x="0" y="0"/>
            <wp:positionH relativeFrom="column">
              <wp:posOffset>5073650</wp:posOffset>
            </wp:positionH>
            <wp:positionV relativeFrom="paragraph">
              <wp:posOffset>-24765</wp:posOffset>
            </wp:positionV>
            <wp:extent cx="68580" cy="8255"/>
            <wp:wrapNone/>
            <wp:docPr id="144" name="Picture 1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4"/>
                    <pic:cNvPicPr>
                      <a:picLocks noChangeAspect="1" noChangeArrowheads="1"/>
                    </pic:cNvPicPr>
                  </pic:nvPicPr>
                  <pic:blipFill>
                    <a:blip r:embed="rId151">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5073650</wp:posOffset>
            </wp:positionH>
            <wp:positionV relativeFrom="paragraph">
              <wp:posOffset>-7620</wp:posOffset>
            </wp:positionV>
            <wp:extent cx="68580" cy="8255"/>
            <wp:wrapNone/>
            <wp:docPr id="145" name="Picture 1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5"/>
                    <pic:cNvPicPr>
                      <a:picLocks noChangeAspect="1" noChangeArrowheads="1"/>
                    </pic:cNvPicPr>
                  </pic:nvPicPr>
                  <pic:blipFill>
                    <a:blip r:embed="rId152">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6007100</wp:posOffset>
            </wp:positionH>
            <wp:positionV relativeFrom="paragraph">
              <wp:posOffset>-24765</wp:posOffset>
            </wp:positionV>
            <wp:extent cx="68580" cy="8255"/>
            <wp:wrapNone/>
            <wp:docPr id="146" name="Picture 1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6"/>
                    <pic:cNvPicPr>
                      <a:picLocks noChangeAspect="1" noChangeArrowheads="1"/>
                    </pic:cNvPicPr>
                  </pic:nvPicPr>
                  <pic:blipFill>
                    <a:blip r:embed="rId153">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6007100</wp:posOffset>
            </wp:positionH>
            <wp:positionV relativeFrom="paragraph">
              <wp:posOffset>-7620</wp:posOffset>
            </wp:positionV>
            <wp:extent cx="68580" cy="8255"/>
            <wp:wrapNone/>
            <wp:docPr id="147" name="Picture 1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7"/>
                    <pic:cNvPicPr>
                      <a:picLocks noChangeAspect="1" noChangeArrowheads="1"/>
                    </pic:cNvPicPr>
                  </pic:nvPicPr>
                  <pic:blipFill>
                    <a:blip r:embed="rId154">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-24765</wp:posOffset>
            </wp:positionV>
            <wp:extent cx="68580" cy="8255"/>
            <wp:wrapNone/>
            <wp:docPr id="148" name="Picture 1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8"/>
                    <pic:cNvPicPr>
                      <a:picLocks noChangeAspect="1" noChangeArrowheads="1"/>
                    </pic:cNvPicPr>
                  </pic:nvPicPr>
                  <pic:blipFill>
                    <a:blip r:embed="rId155">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-7620</wp:posOffset>
            </wp:positionV>
            <wp:extent cx="68580" cy="8255"/>
            <wp:wrapNone/>
            <wp:docPr id="149" name="Picture 1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9"/>
                    <pic:cNvPicPr>
                      <a:picLocks noChangeAspect="1" noChangeArrowheads="1"/>
                    </pic:cNvPicPr>
                  </pic:nvPicPr>
                  <pic:blipFill>
                    <a:blip r:embed="rId156">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85725</wp:posOffset>
            </wp:positionV>
            <wp:extent cx="855980" cy="8255"/>
            <wp:wrapNone/>
            <wp:docPr id="150" name="Picture 1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0"/>
                    <pic:cNvPicPr>
                      <a:picLocks noChangeAspect="1" noChangeArrowheads="1"/>
                    </pic:cNvPicPr>
                  </pic:nvPicPr>
                  <pic:blipFill>
                    <a:blip r:embed="rId157">
                      <a:extLst>
                        <a:ext uri="{28A0092B-C50C-407E-A947-70E740481C1C}"/>
                      </a:extLst>
                    </a:blip>
                    <a:srcRect/>
                    <a:stretch>
                      <a:fillRect/>
                    </a:stretch>
                  </pic:blipFill>
                  <pic:spPr bwMode="auto">
                    <a:xfrm>
                      <a:off x="0" y="0"/>
                      <a:ext cx="855980" cy="8255"/>
                    </a:xfrm>
                    <a:prstGeom prst="rect">
                      <a:avLst/>
                    </a:prstGeom>
                    <a:noFill/>
                  </pic:spPr>
                </pic:pic>
              </a:graphicData>
            </a:graphic>
          </wp:anchor>
        </w:drawing>
      </w:r>
    </w:p>
    <w:p>
      <w:pPr>
        <w:spacing w:after="0" w:line="164" w:lineRule="exact"/>
        <w:rPr>
          <w:sz w:val="20"/>
          <w:szCs w:val="20"/>
          <w:color w:val="auto"/>
        </w:rPr>
      </w:pPr>
    </w:p>
    <w:p>
      <w:pPr>
        <w:ind w:left="380" w:hanging="372"/>
        <w:spacing w:after="0"/>
        <w:tabs>
          <w:tab w:leader="none" w:pos="380" w:val="left"/>
        </w:tabs>
        <w:numPr>
          <w:ilvl w:val="0"/>
          <w:numId w:val="15"/>
        </w:numPr>
        <w:rPr>
          <w:rFonts w:ascii="Arial" w:cs="Arial" w:eastAsia="Arial" w:hAnsi="Arial"/>
          <w:sz w:val="14"/>
          <w:szCs w:val="14"/>
          <w:color w:val="auto"/>
        </w:rPr>
      </w:pPr>
      <w:r>
        <w:rPr>
          <w:rFonts w:ascii="Arial" w:cs="Arial" w:eastAsia="Arial" w:hAnsi="Arial"/>
          <w:sz w:val="14"/>
          <w:szCs w:val="14"/>
          <w:color w:val="auto"/>
        </w:rPr>
        <w:t>Included in “Cash and cash equivalents” in the Company's consolidated balance sheet as of September 30, 2022, in addition to cash of $56.3 million.</w:t>
      </w:r>
    </w:p>
    <w:p>
      <w:pPr>
        <w:spacing w:after="0" w:line="221" w:lineRule="exact"/>
        <w:rPr>
          <w:sz w:val="20"/>
          <w:szCs w:val="20"/>
          <w:color w:val="auto"/>
        </w:rPr>
      </w:pPr>
    </w:p>
    <w:p>
      <w:pPr>
        <w:ind w:right="200" w:firstLine="509"/>
        <w:spacing w:after="0" w:line="261" w:lineRule="auto"/>
        <w:rPr>
          <w:sz w:val="20"/>
          <w:szCs w:val="20"/>
          <w:color w:val="auto"/>
        </w:rPr>
      </w:pPr>
      <w:r>
        <w:rPr>
          <w:rFonts w:ascii="Arial" w:cs="Arial" w:eastAsia="Arial" w:hAnsi="Arial"/>
          <w:sz w:val="18"/>
          <w:szCs w:val="18"/>
          <w:color w:val="auto"/>
        </w:rPr>
        <w:t>The Company uses quoted prices in active markets for identical assets to determine the fair value of our Level 1 investments. The fair value of our Level 2 investments is determined using pricing based on quoted market prices or alternative market observable inputs.</w:t>
      </w:r>
    </w:p>
    <w:p>
      <w:pPr>
        <w:spacing w:after="0" w:line="170" w:lineRule="exact"/>
        <w:rPr>
          <w:sz w:val="20"/>
          <w:szCs w:val="20"/>
          <w:color w:val="auto"/>
        </w:rPr>
      </w:pPr>
    </w:p>
    <w:p>
      <w:pPr>
        <w:ind w:left="520"/>
        <w:spacing w:after="0"/>
        <w:rPr>
          <w:sz w:val="20"/>
          <w:szCs w:val="20"/>
          <w:color w:val="auto"/>
        </w:rPr>
      </w:pPr>
      <w:r>
        <w:rPr>
          <w:rFonts w:ascii="Arial" w:cs="Arial" w:eastAsia="Arial" w:hAnsi="Arial"/>
          <w:sz w:val="17"/>
          <w:szCs w:val="17"/>
          <w:color w:val="auto"/>
        </w:rPr>
        <w:t>The fair value of our available-for-sale securities as of September 30, 2022, by remaining contractual maturities, was as follows (in thousands):</w:t>
      </w:r>
    </w:p>
    <w:p>
      <w:pPr>
        <w:spacing w:after="0" w:line="200"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93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700" w:type="dxa"/>
            <w:vAlign w:val="bottom"/>
          </w:tcPr>
          <w:p>
            <w:pPr>
              <w:jc w:val="right"/>
              <w:ind w:right="70"/>
              <w:spacing w:after="0"/>
              <w:rPr>
                <w:sz w:val="20"/>
                <w:szCs w:val="20"/>
                <w:color w:val="auto"/>
              </w:rPr>
            </w:pPr>
            <w:r>
              <w:rPr>
                <w:rFonts w:ascii="Arial" w:cs="Arial" w:eastAsia="Arial" w:hAnsi="Arial"/>
                <w:sz w:val="18"/>
                <w:szCs w:val="18"/>
                <w:b w:val="1"/>
                <w:bCs w:val="1"/>
                <w:color w:val="auto"/>
                <w:w w:val="87"/>
              </w:rPr>
              <w:t>As of September 30,</w:t>
            </w:r>
          </w:p>
        </w:tc>
        <w:tc>
          <w:tcPr>
            <w:tcW w:w="100" w:type="dxa"/>
            <w:vAlign w:val="bottom"/>
          </w:tcPr>
          <w:p>
            <w:pPr>
              <w:spacing w:after="0"/>
              <w:rPr>
                <w:sz w:val="17"/>
                <w:szCs w:val="17"/>
                <w:color w:val="auto"/>
              </w:rPr>
            </w:pPr>
          </w:p>
        </w:tc>
      </w:tr>
      <w:tr>
        <w:trPr>
          <w:trHeight w:val="234"/>
        </w:trPr>
        <w:tc>
          <w:tcPr>
            <w:tcW w:w="9340" w:type="dxa"/>
            <w:vAlign w:val="bottom"/>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1700" w:type="dxa"/>
            <w:vAlign w:val="bottom"/>
            <w:tcBorders>
              <w:bottom w:val="single" w:sz="8" w:color="auto"/>
            </w:tcBorders>
          </w:tcPr>
          <w:p>
            <w:pPr>
              <w:jc w:val="right"/>
              <w:ind w:right="630"/>
              <w:spacing w:after="0"/>
              <w:rPr>
                <w:sz w:val="20"/>
                <w:szCs w:val="20"/>
                <w:color w:val="auto"/>
              </w:rPr>
            </w:pPr>
            <w:r>
              <w:rPr>
                <w:rFonts w:ascii="Arial" w:cs="Arial" w:eastAsia="Arial" w:hAnsi="Arial"/>
                <w:sz w:val="18"/>
                <w:szCs w:val="18"/>
                <w:b w:val="1"/>
                <w:bCs w:val="1"/>
                <w:color w:val="auto"/>
              </w:rPr>
              <w:t>2022</w:t>
            </w:r>
          </w:p>
        </w:tc>
        <w:tc>
          <w:tcPr>
            <w:tcW w:w="100" w:type="dxa"/>
            <w:vAlign w:val="bottom"/>
          </w:tcPr>
          <w:p>
            <w:pPr>
              <w:spacing w:after="0"/>
              <w:rPr>
                <w:sz w:val="20"/>
                <w:szCs w:val="20"/>
                <w:color w:val="auto"/>
              </w:rPr>
            </w:pPr>
          </w:p>
        </w:tc>
      </w:tr>
      <w:tr>
        <w:trPr>
          <w:trHeight w:val="209"/>
        </w:trPr>
        <w:tc>
          <w:tcPr>
            <w:tcW w:w="9340" w:type="dxa"/>
            <w:vAlign w:val="bottom"/>
            <w:shd w:val="clear" w:color="auto" w:fill="CFF0FC"/>
          </w:tcPr>
          <w:p>
            <w:pPr>
              <w:ind w:left="20"/>
              <w:spacing w:after="0"/>
              <w:rPr>
                <w:sz w:val="20"/>
                <w:szCs w:val="20"/>
                <w:color w:val="auto"/>
              </w:rPr>
            </w:pPr>
            <w:r>
              <w:rPr>
                <w:rFonts w:ascii="Arial" w:cs="Arial" w:eastAsia="Arial" w:hAnsi="Arial"/>
                <w:sz w:val="18"/>
                <w:szCs w:val="18"/>
                <w:color w:val="auto"/>
              </w:rPr>
              <w:t>Due in one year or less</w:t>
            </w:r>
          </w:p>
        </w:tc>
        <w:tc>
          <w:tcPr>
            <w:tcW w:w="100" w:type="dxa"/>
            <w:vAlign w:val="bottom"/>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17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100" w:type="dxa"/>
            <w:vAlign w:val="bottom"/>
            <w:shd w:val="clear" w:color="auto" w:fill="CFF0FC"/>
          </w:tcPr>
          <w:p>
            <w:pPr>
              <w:spacing w:after="0"/>
              <w:rPr>
                <w:sz w:val="18"/>
                <w:szCs w:val="18"/>
                <w:color w:val="auto"/>
              </w:rPr>
            </w:pPr>
          </w:p>
        </w:tc>
      </w:tr>
      <w:tr>
        <w:trPr>
          <w:trHeight w:val="216"/>
        </w:trPr>
        <w:tc>
          <w:tcPr>
            <w:tcW w:w="9340" w:type="dxa"/>
            <w:vAlign w:val="bottom"/>
          </w:tcPr>
          <w:p>
            <w:pPr>
              <w:ind w:left="20"/>
              <w:spacing w:after="0"/>
              <w:rPr>
                <w:sz w:val="20"/>
                <w:szCs w:val="20"/>
                <w:color w:val="auto"/>
              </w:rPr>
            </w:pPr>
            <w:r>
              <w:rPr>
                <w:rFonts w:ascii="Arial" w:cs="Arial" w:eastAsia="Arial" w:hAnsi="Arial"/>
                <w:sz w:val="18"/>
                <w:szCs w:val="18"/>
                <w:color w:val="auto"/>
              </w:rPr>
              <w:t>Due in greater than one year</w:t>
            </w:r>
          </w:p>
        </w:tc>
        <w:tc>
          <w:tcPr>
            <w:tcW w:w="100" w:type="dxa"/>
            <w:vAlign w:val="bottom"/>
            <w:tcBorders>
              <w:bottom w:val="single" w:sz="8" w:color="auto"/>
            </w:tcBorders>
          </w:tcPr>
          <w:p>
            <w:pPr>
              <w:spacing w:after="0"/>
              <w:rPr>
                <w:sz w:val="18"/>
                <w:szCs w:val="18"/>
                <w:color w:val="auto"/>
              </w:rPr>
            </w:pPr>
          </w:p>
        </w:tc>
        <w:tc>
          <w:tcPr>
            <w:tcW w:w="17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59,348</w:t>
            </w:r>
          </w:p>
        </w:tc>
        <w:tc>
          <w:tcPr>
            <w:tcW w:w="100" w:type="dxa"/>
            <w:vAlign w:val="bottom"/>
          </w:tcPr>
          <w:p>
            <w:pPr>
              <w:spacing w:after="0"/>
              <w:rPr>
                <w:sz w:val="18"/>
                <w:szCs w:val="18"/>
                <w:color w:val="auto"/>
              </w:rPr>
            </w:pPr>
          </w:p>
        </w:tc>
      </w:tr>
      <w:tr>
        <w:trPr>
          <w:trHeight w:val="249"/>
        </w:trPr>
        <w:tc>
          <w:tcPr>
            <w:tcW w:w="9340" w:type="dxa"/>
            <w:vAlign w:val="bottom"/>
            <w:tcBorders>
              <w:bottom w:val="single" w:sz="8" w:color="CFF0FC"/>
            </w:tcBorders>
            <w:shd w:val="clear" w:color="auto" w:fill="CFF0FC"/>
          </w:tcPr>
          <w:p>
            <w:pPr>
              <w:ind w:left="20"/>
              <w:spacing w:after="0"/>
              <w:rPr>
                <w:sz w:val="20"/>
                <w:szCs w:val="20"/>
                <w:color w:val="auto"/>
              </w:rPr>
            </w:pPr>
            <w:r>
              <w:rPr>
                <w:rFonts w:ascii="Arial" w:cs="Arial" w:eastAsia="Arial" w:hAnsi="Arial"/>
                <w:sz w:val="18"/>
                <w:szCs w:val="18"/>
                <w:color w:val="auto"/>
              </w:rPr>
              <w:t>Total</w:t>
            </w:r>
          </w:p>
        </w:tc>
        <w:tc>
          <w:tcPr>
            <w:tcW w:w="1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17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59,348</w:t>
            </w:r>
          </w:p>
        </w:tc>
        <w:tc>
          <w:tcPr>
            <w:tcW w:w="100" w:type="dxa"/>
            <w:vAlign w:val="bottom"/>
            <w:tcBorders>
              <w:bottom w:val="single" w:sz="8" w:color="CFF0FC"/>
            </w:tcBorders>
            <w:shd w:val="clear" w:color="auto" w:fill="CFF0FC"/>
          </w:tcPr>
          <w:p>
            <w:pPr>
              <w:spacing w:after="0"/>
              <w:rPr>
                <w:sz w:val="21"/>
                <w:szCs w:val="2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7068820</wp:posOffset>
            </wp:positionH>
            <wp:positionV relativeFrom="paragraph">
              <wp:posOffset>-24765</wp:posOffset>
            </wp:positionV>
            <wp:extent cx="68580" cy="8255"/>
            <wp:wrapNone/>
            <wp:docPr id="151" name="Picture 1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1"/>
                    <pic:cNvPicPr>
                      <a:picLocks noChangeAspect="1" noChangeArrowheads="1"/>
                    </pic:cNvPicPr>
                  </pic:nvPicPr>
                  <pic:blipFill>
                    <a:blip r:embed="rId158">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-7620</wp:posOffset>
            </wp:positionV>
            <wp:extent cx="68580" cy="8255"/>
            <wp:wrapNone/>
            <wp:docPr id="152" name="Picture 1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2"/>
                    <pic:cNvPicPr>
                      <a:picLocks noChangeAspect="1" noChangeArrowheads="1"/>
                    </pic:cNvPicPr>
                  </pic:nvPicPr>
                  <pic:blipFill>
                    <a:blip r:embed="rId159">
                      <a:extLst>
                        <a:ext uri="{28A0092B-C50C-407E-A947-70E740481C1C}"/>
                      </a:extLst>
                    </a:blip>
                    <a:srcRect/>
                    <a:stretch>
                      <a:fillRect/>
                    </a:stretch>
                  </pic:blipFill>
                  <pic:spPr bwMode="auto">
                    <a:xfrm>
                      <a:off x="0" y="0"/>
                      <a:ext cx="68580" cy="8255"/>
                    </a:xfrm>
                    <a:prstGeom prst="rect">
                      <a:avLst/>
                    </a:prstGeom>
                    <a:noFill/>
                  </pic:spPr>
                </pic:pic>
              </a:graphicData>
            </a:graphic>
          </wp:anchor>
        </w:drawing>
      </w:r>
    </w:p>
    <w:p>
      <w:pPr>
        <w:spacing w:after="0" w:line="208" w:lineRule="exact"/>
        <w:rPr>
          <w:sz w:val="20"/>
          <w:szCs w:val="20"/>
          <w:color w:val="auto"/>
        </w:rPr>
      </w:pPr>
    </w:p>
    <w:p>
      <w:pPr>
        <w:ind w:left="520"/>
        <w:spacing w:after="0"/>
        <w:rPr>
          <w:sz w:val="20"/>
          <w:szCs w:val="20"/>
          <w:color w:val="auto"/>
        </w:rPr>
      </w:pPr>
      <w:r>
        <w:rPr>
          <w:rFonts w:ascii="Arial" w:cs="Arial" w:eastAsia="Arial" w:hAnsi="Arial"/>
          <w:sz w:val="18"/>
          <w:szCs w:val="18"/>
          <w:color w:val="auto"/>
        </w:rPr>
        <w:t>The Company held no marketable securities as of December 31, 2021.</w:t>
      </w:r>
    </w:p>
    <w:p>
      <w:pPr>
        <w:spacing w:after="0" w:line="200" w:lineRule="exact"/>
        <w:rPr>
          <w:sz w:val="20"/>
          <w:szCs w:val="20"/>
          <w:color w:val="auto"/>
        </w:rPr>
      </w:pPr>
    </w:p>
    <w:p>
      <w:pPr>
        <w:spacing w:after="0" w:line="32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61595</wp:posOffset>
            </wp:positionV>
            <wp:extent cx="7157720" cy="42545"/>
            <wp:wrapNone/>
            <wp:docPr id="153" name="Picture 1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3"/>
                    <pic:cNvPicPr>
                      <a:picLocks noChangeAspect="1" noChangeArrowheads="1"/>
                    </pic:cNvPicPr>
                  </pic:nvPicPr>
                  <pic:blipFill>
                    <a:blip r:embed="rId16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688" w:right="339" w:bottom="1440" w:gutter="0" w:footer="0" w:header="0"/>
        </w:sectPr>
      </w:pPr>
    </w:p>
    <w:bookmarkStart w:id="17" w:name="page18"/>
    <w:bookmarkEnd w:id="17"/>
    <w:p>
      <w:pPr>
        <w:ind w:left="520" w:hanging="512"/>
        <w:spacing w:after="0"/>
        <w:tabs>
          <w:tab w:leader="none" w:pos="520" w:val="left"/>
        </w:tabs>
        <w:numPr>
          <w:ilvl w:val="0"/>
          <w:numId w:val="16"/>
        </w:numPr>
        <w:rPr>
          <w:rFonts w:ascii="Arial" w:cs="Arial" w:eastAsia="Arial" w:hAnsi="Arial"/>
          <w:sz w:val="18"/>
          <w:szCs w:val="18"/>
          <w:b w:val="1"/>
          <w:bCs w:val="1"/>
          <w:color w:val="auto"/>
        </w:rPr>
      </w:pPr>
      <w:r>
        <w:rPr>
          <w:rFonts w:ascii="Arial" w:cs="Arial" w:eastAsia="Arial" w:hAnsi="Arial"/>
          <w:sz w:val="18"/>
          <w:szCs w:val="18"/>
          <w:b w:val="1"/>
          <w:bCs w:val="1"/>
          <w:color w:val="auto"/>
        </w:rPr>
        <w:t>Intangible Assets</w:t>
      </w:r>
    </w:p>
    <w:p>
      <w:pPr>
        <w:spacing w:after="0" w:line="10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Intangible Assets Other Than Goodwill</w:t>
      </w:r>
    </w:p>
    <w:p>
      <w:pPr>
        <w:spacing w:after="0" w:line="117" w:lineRule="exact"/>
        <w:rPr>
          <w:sz w:val="20"/>
          <w:szCs w:val="20"/>
          <w:color w:val="auto"/>
        </w:rPr>
      </w:pPr>
    </w:p>
    <w:p>
      <w:pPr>
        <w:ind w:left="520"/>
        <w:spacing w:after="0"/>
        <w:rPr>
          <w:sz w:val="20"/>
          <w:szCs w:val="20"/>
          <w:color w:val="auto"/>
        </w:rPr>
      </w:pPr>
      <w:r>
        <w:rPr>
          <w:rFonts w:ascii="Arial" w:cs="Arial" w:eastAsia="Arial" w:hAnsi="Arial"/>
          <w:sz w:val="18"/>
          <w:szCs w:val="18"/>
          <w:color w:val="auto"/>
        </w:rPr>
        <w:t>Intangible assets, net consisted of the following (in thousands):</w:t>
      </w:r>
    </w:p>
    <w:p>
      <w:pPr>
        <w:spacing w:after="0" w:line="234"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2600" w:type="dxa"/>
            <w:vAlign w:val="bottom"/>
          </w:tcPr>
          <w:p>
            <w:pPr>
              <w:spacing w:after="0"/>
              <w:rPr>
                <w:sz w:val="20"/>
                <w:szCs w:val="20"/>
                <w:color w:val="auto"/>
              </w:rPr>
            </w:pPr>
          </w:p>
        </w:tc>
        <w:tc>
          <w:tcPr>
            <w:tcW w:w="1000" w:type="dxa"/>
            <w:vAlign w:val="bottom"/>
          </w:tcPr>
          <w:p>
            <w:pPr>
              <w:spacing w:after="0"/>
              <w:rPr>
                <w:sz w:val="20"/>
                <w:szCs w:val="20"/>
                <w:color w:val="auto"/>
              </w:rPr>
            </w:pPr>
          </w:p>
        </w:tc>
        <w:tc>
          <w:tcPr>
            <w:tcW w:w="3760" w:type="dxa"/>
            <w:vAlign w:val="bottom"/>
            <w:gridSpan w:val="6"/>
          </w:tcPr>
          <w:p>
            <w:pPr>
              <w:jc w:val="center"/>
              <w:spacing w:after="0"/>
              <w:rPr>
                <w:sz w:val="20"/>
                <w:szCs w:val="20"/>
                <w:color w:val="auto"/>
              </w:rPr>
            </w:pPr>
            <w:r>
              <w:rPr>
                <w:rFonts w:ascii="Arial" w:cs="Arial" w:eastAsia="Arial" w:hAnsi="Arial"/>
                <w:sz w:val="18"/>
                <w:szCs w:val="18"/>
                <w:b w:val="1"/>
                <w:bCs w:val="1"/>
                <w:color w:val="auto"/>
                <w:w w:val="88"/>
              </w:rPr>
              <w:t>As of September 30, 2022</w:t>
            </w:r>
          </w:p>
        </w:tc>
        <w:tc>
          <w:tcPr>
            <w:tcW w:w="2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3460" w:type="dxa"/>
            <w:vAlign w:val="bottom"/>
            <w:gridSpan w:val="6"/>
          </w:tcPr>
          <w:p>
            <w:pPr>
              <w:jc w:val="right"/>
              <w:ind w:right="697"/>
              <w:spacing w:after="0"/>
              <w:rPr>
                <w:sz w:val="20"/>
                <w:szCs w:val="20"/>
                <w:color w:val="auto"/>
              </w:rPr>
            </w:pPr>
            <w:r>
              <w:rPr>
                <w:rFonts w:ascii="Arial" w:cs="Arial" w:eastAsia="Arial" w:hAnsi="Arial"/>
                <w:sz w:val="18"/>
                <w:szCs w:val="18"/>
                <w:b w:val="1"/>
                <w:bCs w:val="1"/>
                <w:color w:val="auto"/>
              </w:rPr>
              <w:t>As of December 31, 2021</w:t>
            </w:r>
          </w:p>
        </w:tc>
        <w:tc>
          <w:tcPr>
            <w:tcW w:w="100" w:type="dxa"/>
            <w:vAlign w:val="bottom"/>
          </w:tcPr>
          <w:p>
            <w:pPr>
              <w:spacing w:after="0"/>
              <w:rPr>
                <w:sz w:val="20"/>
                <w:szCs w:val="20"/>
                <w:color w:val="auto"/>
              </w:rPr>
            </w:pPr>
          </w:p>
        </w:tc>
      </w:tr>
      <w:tr>
        <w:trPr>
          <w:trHeight w:val="133"/>
        </w:trPr>
        <w:tc>
          <w:tcPr>
            <w:tcW w:w="2600" w:type="dxa"/>
            <w:vAlign w:val="bottom"/>
          </w:tcPr>
          <w:p>
            <w:pPr>
              <w:spacing w:after="0"/>
              <w:rPr>
                <w:sz w:val="11"/>
                <w:szCs w:val="11"/>
                <w:color w:val="auto"/>
              </w:rPr>
            </w:pPr>
          </w:p>
        </w:tc>
        <w:tc>
          <w:tcPr>
            <w:tcW w:w="1000" w:type="dxa"/>
            <w:vAlign w:val="bottom"/>
          </w:tcPr>
          <w:p>
            <w:pPr>
              <w:spacing w:after="0"/>
              <w:rPr>
                <w:sz w:val="11"/>
                <w:szCs w:val="11"/>
                <w:color w:val="auto"/>
              </w:rPr>
            </w:pPr>
          </w:p>
        </w:tc>
        <w:tc>
          <w:tcPr>
            <w:tcW w:w="1080" w:type="dxa"/>
            <w:vAlign w:val="bottom"/>
            <w:tcBorders>
              <w:top w:val="single" w:sz="8" w:color="auto"/>
            </w:tcBorders>
          </w:tcPr>
          <w:p>
            <w:pPr>
              <w:spacing w:after="0"/>
              <w:rPr>
                <w:sz w:val="11"/>
                <w:szCs w:val="11"/>
                <w:color w:val="auto"/>
              </w:rPr>
            </w:pPr>
          </w:p>
        </w:tc>
        <w:tc>
          <w:tcPr>
            <w:tcW w:w="1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120" w:type="dxa"/>
            <w:vAlign w:val="bottom"/>
            <w:tcBorders>
              <w:top w:val="single" w:sz="8" w:color="auto"/>
            </w:tcBorders>
          </w:tcPr>
          <w:p>
            <w:pPr>
              <w:spacing w:after="0"/>
              <w:rPr>
                <w:sz w:val="11"/>
                <w:szCs w:val="11"/>
                <w:color w:val="auto"/>
              </w:rPr>
            </w:pPr>
          </w:p>
        </w:tc>
        <w:tc>
          <w:tcPr>
            <w:tcW w:w="260" w:type="dxa"/>
            <w:vAlign w:val="bottom"/>
          </w:tcPr>
          <w:p>
            <w:pPr>
              <w:spacing w:after="0"/>
              <w:rPr>
                <w:sz w:val="11"/>
                <w:szCs w:val="11"/>
                <w:color w:val="auto"/>
              </w:rPr>
            </w:pPr>
          </w:p>
        </w:tc>
        <w:tc>
          <w:tcPr>
            <w:tcW w:w="1060" w:type="dxa"/>
            <w:vAlign w:val="bottom"/>
            <w:tcBorders>
              <w:top w:val="single" w:sz="8" w:color="auto"/>
            </w:tcBorders>
          </w:tcPr>
          <w:p>
            <w:pPr>
              <w:spacing w:after="0"/>
              <w:rPr>
                <w:sz w:val="11"/>
                <w:szCs w:val="11"/>
                <w:color w:val="auto"/>
              </w:rPr>
            </w:pPr>
          </w:p>
        </w:tc>
        <w:tc>
          <w:tcPr>
            <w:tcW w:w="2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840" w:type="dxa"/>
            <w:vAlign w:val="bottom"/>
            <w:tcBorders>
              <w:top w:val="single" w:sz="8" w:color="auto"/>
            </w:tcBorders>
          </w:tcPr>
          <w:p>
            <w:pPr>
              <w:jc w:val="center"/>
              <w:spacing w:after="0" w:line="133" w:lineRule="exact"/>
              <w:rPr>
                <w:sz w:val="20"/>
                <w:szCs w:val="20"/>
                <w:color w:val="auto"/>
              </w:rPr>
            </w:pPr>
            <w:r>
              <w:rPr>
                <w:rFonts w:ascii="Arial" w:cs="Arial" w:eastAsia="Arial" w:hAnsi="Arial"/>
                <w:sz w:val="14"/>
                <w:szCs w:val="14"/>
                <w:b w:val="1"/>
                <w:bCs w:val="1"/>
                <w:color w:val="auto"/>
                <w:w w:val="88"/>
              </w:rPr>
              <w:t>Gross</w:t>
            </w:r>
          </w:p>
        </w:tc>
        <w:tc>
          <w:tcPr>
            <w:tcW w:w="220" w:type="dxa"/>
            <w:vAlign w:val="bottom"/>
          </w:tcPr>
          <w:p>
            <w:pPr>
              <w:spacing w:after="0"/>
              <w:rPr>
                <w:sz w:val="11"/>
                <w:szCs w:val="11"/>
                <w:color w:val="auto"/>
              </w:rPr>
            </w:pPr>
          </w:p>
        </w:tc>
        <w:tc>
          <w:tcPr>
            <w:tcW w:w="940" w:type="dxa"/>
            <w:vAlign w:val="bottom"/>
            <w:tcBorders>
              <w:top w:val="single" w:sz="8" w:color="auto"/>
            </w:tcBorders>
          </w:tcPr>
          <w:p>
            <w:pPr>
              <w:spacing w:after="0"/>
              <w:rPr>
                <w:sz w:val="11"/>
                <w:szCs w:val="11"/>
                <w:color w:val="auto"/>
              </w:rPr>
            </w:pPr>
          </w:p>
        </w:tc>
        <w:tc>
          <w:tcPr>
            <w:tcW w:w="1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240" w:type="dxa"/>
            <w:vAlign w:val="bottom"/>
            <w:tcBorders>
              <w:top w:val="single" w:sz="8" w:color="auto"/>
            </w:tcBorders>
          </w:tcPr>
          <w:p>
            <w:pPr>
              <w:spacing w:after="0"/>
              <w:rPr>
                <w:sz w:val="11"/>
                <w:szCs w:val="11"/>
                <w:color w:val="auto"/>
              </w:rPr>
            </w:pPr>
          </w:p>
        </w:tc>
        <w:tc>
          <w:tcPr>
            <w:tcW w:w="100" w:type="dxa"/>
            <w:vAlign w:val="bottom"/>
          </w:tcPr>
          <w:p>
            <w:pPr>
              <w:spacing w:after="0"/>
              <w:rPr>
                <w:sz w:val="11"/>
                <w:szCs w:val="11"/>
                <w:color w:val="auto"/>
              </w:rPr>
            </w:pPr>
          </w:p>
        </w:tc>
      </w:tr>
      <w:tr>
        <w:trPr>
          <w:trHeight w:val="162"/>
        </w:trPr>
        <w:tc>
          <w:tcPr>
            <w:tcW w:w="260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1080" w:type="dxa"/>
            <w:vAlign w:val="bottom"/>
          </w:tcPr>
          <w:p>
            <w:pPr>
              <w:jc w:val="right"/>
              <w:spacing w:after="0"/>
              <w:rPr>
                <w:sz w:val="20"/>
                <w:szCs w:val="20"/>
                <w:color w:val="auto"/>
              </w:rPr>
            </w:pPr>
            <w:r>
              <w:rPr>
                <w:rFonts w:ascii="Arial" w:cs="Arial" w:eastAsia="Arial" w:hAnsi="Arial"/>
                <w:sz w:val="14"/>
                <w:szCs w:val="14"/>
                <w:b w:val="1"/>
                <w:bCs w:val="1"/>
                <w:color w:val="auto"/>
                <w:w w:val="96"/>
              </w:rPr>
              <w:t>Gross Carrying</w:t>
            </w:r>
          </w:p>
        </w:tc>
        <w:tc>
          <w:tcPr>
            <w:tcW w:w="1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380" w:type="dxa"/>
            <w:vAlign w:val="bottom"/>
            <w:gridSpan w:val="2"/>
          </w:tcPr>
          <w:p>
            <w:pPr>
              <w:jc w:val="center"/>
              <w:ind w:right="210"/>
              <w:spacing w:after="0"/>
              <w:rPr>
                <w:sz w:val="20"/>
                <w:szCs w:val="20"/>
                <w:color w:val="auto"/>
              </w:rPr>
            </w:pPr>
            <w:r>
              <w:rPr>
                <w:rFonts w:ascii="Arial" w:cs="Arial" w:eastAsia="Arial" w:hAnsi="Arial"/>
                <w:sz w:val="14"/>
                <w:szCs w:val="14"/>
                <w:b w:val="1"/>
                <w:bCs w:val="1"/>
                <w:color w:val="auto"/>
                <w:w w:val="93"/>
              </w:rPr>
              <w:t>Accumulated</w:t>
            </w:r>
          </w:p>
        </w:tc>
        <w:tc>
          <w:tcPr>
            <w:tcW w:w="1060" w:type="dxa"/>
            <w:vAlign w:val="bottom"/>
          </w:tcPr>
          <w:p>
            <w:pPr>
              <w:jc w:val="right"/>
              <w:ind w:right="57"/>
              <w:spacing w:after="0"/>
              <w:rPr>
                <w:sz w:val="20"/>
                <w:szCs w:val="20"/>
                <w:color w:val="auto"/>
              </w:rPr>
            </w:pPr>
            <w:r>
              <w:rPr>
                <w:rFonts w:ascii="Arial" w:cs="Arial" w:eastAsia="Arial" w:hAnsi="Arial"/>
                <w:sz w:val="14"/>
                <w:szCs w:val="14"/>
                <w:b w:val="1"/>
                <w:bCs w:val="1"/>
                <w:color w:val="auto"/>
              </w:rPr>
              <w:t>Net Carrying</w:t>
            </w:r>
          </w:p>
        </w:tc>
        <w:tc>
          <w:tcPr>
            <w:tcW w:w="2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40" w:type="dxa"/>
            <w:vAlign w:val="bottom"/>
          </w:tcPr>
          <w:p>
            <w:pPr>
              <w:jc w:val="center"/>
              <w:spacing w:after="0"/>
              <w:rPr>
                <w:sz w:val="20"/>
                <w:szCs w:val="20"/>
                <w:color w:val="auto"/>
              </w:rPr>
            </w:pPr>
            <w:r>
              <w:rPr>
                <w:rFonts w:ascii="Arial" w:cs="Arial" w:eastAsia="Arial" w:hAnsi="Arial"/>
                <w:sz w:val="14"/>
                <w:szCs w:val="14"/>
                <w:b w:val="1"/>
                <w:bCs w:val="1"/>
                <w:color w:val="auto"/>
                <w:w w:val="97"/>
              </w:rPr>
              <w:t>Carrying</w:t>
            </w:r>
          </w:p>
        </w:tc>
        <w:tc>
          <w:tcPr>
            <w:tcW w:w="220" w:type="dxa"/>
            <w:vAlign w:val="bottom"/>
          </w:tcPr>
          <w:p>
            <w:pPr>
              <w:spacing w:after="0"/>
              <w:rPr>
                <w:sz w:val="14"/>
                <w:szCs w:val="14"/>
                <w:color w:val="auto"/>
              </w:rPr>
            </w:pPr>
          </w:p>
        </w:tc>
        <w:tc>
          <w:tcPr>
            <w:tcW w:w="1160" w:type="dxa"/>
            <w:vAlign w:val="bottom"/>
            <w:gridSpan w:val="3"/>
          </w:tcPr>
          <w:p>
            <w:pPr>
              <w:jc w:val="right"/>
              <w:ind w:right="300"/>
              <w:spacing w:after="0"/>
              <w:rPr>
                <w:sz w:val="20"/>
                <w:szCs w:val="20"/>
                <w:color w:val="auto"/>
              </w:rPr>
            </w:pPr>
            <w:r>
              <w:rPr>
                <w:rFonts w:ascii="Arial" w:cs="Arial" w:eastAsia="Arial" w:hAnsi="Arial"/>
                <w:sz w:val="14"/>
                <w:szCs w:val="14"/>
                <w:b w:val="1"/>
                <w:bCs w:val="1"/>
                <w:color w:val="auto"/>
                <w:w w:val="95"/>
              </w:rPr>
              <w:t>Accumulated</w:t>
            </w:r>
          </w:p>
        </w:tc>
        <w:tc>
          <w:tcPr>
            <w:tcW w:w="1240" w:type="dxa"/>
            <w:vAlign w:val="bottom"/>
          </w:tcPr>
          <w:p>
            <w:pPr>
              <w:jc w:val="right"/>
              <w:ind w:right="157"/>
              <w:spacing w:after="0"/>
              <w:rPr>
                <w:sz w:val="20"/>
                <w:szCs w:val="20"/>
                <w:color w:val="auto"/>
              </w:rPr>
            </w:pPr>
            <w:r>
              <w:rPr>
                <w:rFonts w:ascii="Arial" w:cs="Arial" w:eastAsia="Arial" w:hAnsi="Arial"/>
                <w:sz w:val="14"/>
                <w:szCs w:val="14"/>
                <w:b w:val="1"/>
                <w:bCs w:val="1"/>
                <w:color w:val="auto"/>
              </w:rPr>
              <w:t>Net Carrying</w:t>
            </w:r>
          </w:p>
        </w:tc>
        <w:tc>
          <w:tcPr>
            <w:tcW w:w="100" w:type="dxa"/>
            <w:vAlign w:val="bottom"/>
          </w:tcPr>
          <w:p>
            <w:pPr>
              <w:spacing w:after="0"/>
              <w:rPr>
                <w:sz w:val="14"/>
                <w:szCs w:val="14"/>
                <w:color w:val="auto"/>
              </w:rPr>
            </w:pPr>
          </w:p>
        </w:tc>
      </w:tr>
      <w:tr>
        <w:trPr>
          <w:trHeight w:val="185"/>
        </w:trPr>
        <w:tc>
          <w:tcPr>
            <w:tcW w:w="2600" w:type="dxa"/>
            <w:vAlign w:val="bottom"/>
          </w:tcPr>
          <w:p>
            <w:pPr>
              <w:spacing w:after="0"/>
              <w:rPr>
                <w:sz w:val="16"/>
                <w:szCs w:val="16"/>
                <w:color w:val="auto"/>
              </w:rPr>
            </w:pPr>
          </w:p>
        </w:tc>
        <w:tc>
          <w:tcPr>
            <w:tcW w:w="1000" w:type="dxa"/>
            <w:vAlign w:val="bottom"/>
          </w:tcPr>
          <w:p>
            <w:pPr>
              <w:spacing w:after="0"/>
              <w:rPr>
                <w:sz w:val="16"/>
                <w:szCs w:val="16"/>
                <w:color w:val="auto"/>
              </w:rPr>
            </w:pPr>
          </w:p>
        </w:tc>
        <w:tc>
          <w:tcPr>
            <w:tcW w:w="1080" w:type="dxa"/>
            <w:vAlign w:val="bottom"/>
            <w:tcBorders>
              <w:bottom w:val="single" w:sz="8" w:color="auto"/>
            </w:tcBorders>
          </w:tcPr>
          <w:p>
            <w:pPr>
              <w:jc w:val="right"/>
              <w:ind w:right="196"/>
              <w:spacing w:after="0"/>
              <w:rPr>
                <w:sz w:val="20"/>
                <w:szCs w:val="20"/>
                <w:color w:val="auto"/>
              </w:rPr>
            </w:pPr>
            <w:r>
              <w:rPr>
                <w:rFonts w:ascii="Arial" w:cs="Arial" w:eastAsia="Arial" w:hAnsi="Arial"/>
                <w:sz w:val="14"/>
                <w:szCs w:val="14"/>
                <w:b w:val="1"/>
                <w:bCs w:val="1"/>
                <w:color w:val="auto"/>
              </w:rPr>
              <w:t>Amount</w:t>
            </w:r>
          </w:p>
        </w:tc>
        <w:tc>
          <w:tcPr>
            <w:tcW w:w="1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12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5"/>
              </w:rPr>
              <w:t>Amortization</w:t>
            </w:r>
          </w:p>
        </w:tc>
        <w:tc>
          <w:tcPr>
            <w:tcW w:w="260" w:type="dxa"/>
            <w:vAlign w:val="bottom"/>
          </w:tcPr>
          <w:p>
            <w:pPr>
              <w:spacing w:after="0"/>
              <w:rPr>
                <w:sz w:val="16"/>
                <w:szCs w:val="16"/>
                <w:color w:val="auto"/>
              </w:rPr>
            </w:pPr>
          </w:p>
        </w:tc>
        <w:tc>
          <w:tcPr>
            <w:tcW w:w="1060" w:type="dxa"/>
            <w:vAlign w:val="bottom"/>
            <w:tcBorders>
              <w:bottom w:val="single" w:sz="8" w:color="auto"/>
            </w:tcBorders>
          </w:tcPr>
          <w:p>
            <w:pPr>
              <w:jc w:val="right"/>
              <w:ind w:right="197"/>
              <w:spacing w:after="0"/>
              <w:rPr>
                <w:sz w:val="20"/>
                <w:szCs w:val="20"/>
                <w:color w:val="auto"/>
              </w:rPr>
            </w:pPr>
            <w:r>
              <w:rPr>
                <w:rFonts w:ascii="Arial" w:cs="Arial" w:eastAsia="Arial" w:hAnsi="Arial"/>
                <w:sz w:val="14"/>
                <w:szCs w:val="14"/>
                <w:b w:val="1"/>
                <w:bCs w:val="1"/>
                <w:color w:val="auto"/>
              </w:rPr>
              <w:t>Amount</w:t>
            </w:r>
          </w:p>
        </w:tc>
        <w:tc>
          <w:tcPr>
            <w:tcW w:w="220" w:type="dxa"/>
            <w:vAlign w:val="bottom"/>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84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4"/>
              </w:rPr>
              <w:t>Amount</w:t>
            </w:r>
          </w:p>
        </w:tc>
        <w:tc>
          <w:tcPr>
            <w:tcW w:w="220" w:type="dxa"/>
            <w:vAlign w:val="bottom"/>
          </w:tcPr>
          <w:p>
            <w:pPr>
              <w:spacing w:after="0"/>
              <w:rPr>
                <w:sz w:val="16"/>
                <w:szCs w:val="16"/>
                <w:color w:val="auto"/>
              </w:rPr>
            </w:pP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Amortization</w:t>
            </w:r>
          </w:p>
        </w:tc>
        <w:tc>
          <w:tcPr>
            <w:tcW w:w="220" w:type="dxa"/>
            <w:vAlign w:val="bottom"/>
            <w:gridSpan w:val="2"/>
          </w:tcPr>
          <w:p>
            <w:pPr>
              <w:spacing w:after="0"/>
              <w:rPr>
                <w:sz w:val="16"/>
                <w:szCs w:val="16"/>
                <w:color w:val="auto"/>
              </w:rPr>
            </w:pPr>
          </w:p>
        </w:tc>
        <w:tc>
          <w:tcPr>
            <w:tcW w:w="1240" w:type="dxa"/>
            <w:vAlign w:val="bottom"/>
            <w:tcBorders>
              <w:bottom w:val="single" w:sz="8" w:color="auto"/>
            </w:tcBorders>
          </w:tcPr>
          <w:p>
            <w:pPr>
              <w:jc w:val="right"/>
              <w:ind w:right="297"/>
              <w:spacing w:after="0"/>
              <w:rPr>
                <w:sz w:val="20"/>
                <w:szCs w:val="20"/>
                <w:color w:val="auto"/>
              </w:rPr>
            </w:pPr>
            <w:r>
              <w:rPr>
                <w:rFonts w:ascii="Arial" w:cs="Arial" w:eastAsia="Arial" w:hAnsi="Arial"/>
                <w:sz w:val="14"/>
                <w:szCs w:val="14"/>
                <w:b w:val="1"/>
                <w:bCs w:val="1"/>
                <w:color w:val="auto"/>
              </w:rPr>
              <w:t>Amount</w:t>
            </w:r>
          </w:p>
        </w:tc>
        <w:tc>
          <w:tcPr>
            <w:tcW w:w="100" w:type="dxa"/>
            <w:vAlign w:val="bottom"/>
          </w:tcPr>
          <w:p>
            <w:pPr>
              <w:spacing w:after="0"/>
              <w:rPr>
                <w:sz w:val="16"/>
                <w:szCs w:val="16"/>
                <w:color w:val="auto"/>
              </w:rPr>
            </w:pPr>
          </w:p>
        </w:tc>
      </w:tr>
      <w:tr>
        <w:trPr>
          <w:trHeight w:val="209"/>
        </w:trPr>
        <w:tc>
          <w:tcPr>
            <w:tcW w:w="260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380" w:type="dxa"/>
            <w:vAlign w:val="bottom"/>
            <w:gridSpan w:val="2"/>
          </w:tcPr>
          <w:p>
            <w:pPr>
              <w:spacing w:after="0"/>
              <w:rPr>
                <w:sz w:val="18"/>
                <w:szCs w:val="18"/>
                <w:color w:val="auto"/>
              </w:rPr>
            </w:pPr>
          </w:p>
        </w:tc>
        <w:tc>
          <w:tcPr>
            <w:tcW w:w="1060" w:type="dxa"/>
            <w:vAlign w:val="bottom"/>
          </w:tcPr>
          <w:p>
            <w:pPr>
              <w:spacing w:after="0"/>
              <w:rPr>
                <w:sz w:val="18"/>
                <w:szCs w:val="18"/>
                <w:color w:val="auto"/>
              </w:rPr>
            </w:pPr>
          </w:p>
        </w:tc>
        <w:tc>
          <w:tcPr>
            <w:tcW w:w="320" w:type="dxa"/>
            <w:vAlign w:val="bottom"/>
            <w:gridSpan w:val="2"/>
          </w:tcPr>
          <w:p>
            <w:pPr>
              <w:spacing w:after="0"/>
              <w:rPr>
                <w:sz w:val="18"/>
                <w:szCs w:val="18"/>
                <w:color w:val="auto"/>
              </w:rPr>
            </w:pPr>
          </w:p>
        </w:tc>
        <w:tc>
          <w:tcPr>
            <w:tcW w:w="8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40" w:type="dxa"/>
            <w:vAlign w:val="bottom"/>
            <w:gridSpan w:val="2"/>
          </w:tcPr>
          <w:p>
            <w:pPr>
              <w:spacing w:after="0"/>
              <w:rPr>
                <w:sz w:val="18"/>
                <w:szCs w:val="18"/>
                <w:color w:val="auto"/>
              </w:rPr>
            </w:pPr>
          </w:p>
        </w:tc>
        <w:tc>
          <w:tcPr>
            <w:tcW w:w="12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2600" w:type="dxa"/>
            <w:vAlign w:val="bottom"/>
            <w:shd w:val="clear" w:color="auto" w:fill="CFF0FC"/>
          </w:tcPr>
          <w:p>
            <w:pPr>
              <w:ind w:left="20"/>
              <w:spacing w:after="0"/>
              <w:rPr>
                <w:sz w:val="20"/>
                <w:szCs w:val="20"/>
                <w:color w:val="auto"/>
              </w:rPr>
            </w:pPr>
            <w:r>
              <w:rPr>
                <w:rFonts w:ascii="Arial" w:cs="Arial" w:eastAsia="Arial" w:hAnsi="Arial"/>
                <w:sz w:val="18"/>
                <w:szCs w:val="18"/>
                <w:color w:val="auto"/>
              </w:rPr>
              <w:t>Developed technology</w:t>
            </w:r>
          </w:p>
        </w:tc>
        <w:tc>
          <w:tcPr>
            <w:tcW w:w="10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10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5,550</w:t>
            </w:r>
          </w:p>
        </w:tc>
        <w:tc>
          <w:tcPr>
            <w:tcW w:w="240" w:type="dxa"/>
            <w:vAlign w:val="bottom"/>
            <w:gridSpan w:val="2"/>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1380" w:type="dxa"/>
            <w:vAlign w:val="bottom"/>
            <w:gridSpan w:val="2"/>
            <w:shd w:val="clear" w:color="auto" w:fill="CFF0FC"/>
          </w:tcPr>
          <w:p>
            <w:pPr>
              <w:jc w:val="right"/>
              <w:spacing w:after="0"/>
              <w:rPr>
                <w:sz w:val="20"/>
                <w:szCs w:val="20"/>
                <w:color w:val="auto"/>
              </w:rPr>
            </w:pPr>
            <w:r>
              <w:rPr>
                <w:rFonts w:ascii="Arial" w:cs="Arial" w:eastAsia="Arial" w:hAnsi="Arial"/>
                <w:sz w:val="18"/>
                <w:szCs w:val="18"/>
                <w:color w:val="auto"/>
              </w:rPr>
              <w:t>(3,687 ) $</w:t>
            </w:r>
          </w:p>
        </w:tc>
        <w:tc>
          <w:tcPr>
            <w:tcW w:w="10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1,863</w:t>
            </w:r>
          </w:p>
        </w:tc>
        <w:tc>
          <w:tcPr>
            <w:tcW w:w="320" w:type="dxa"/>
            <w:vAlign w:val="bottom"/>
            <w:gridSpan w:val="2"/>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8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5,550</w:t>
            </w:r>
          </w:p>
        </w:tc>
        <w:tc>
          <w:tcPr>
            <w:tcW w:w="2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1160" w:type="dxa"/>
            <w:vAlign w:val="bottom"/>
            <w:gridSpan w:val="3"/>
            <w:shd w:val="clear" w:color="auto" w:fill="CFF0FC"/>
          </w:tcPr>
          <w:p>
            <w:pPr>
              <w:jc w:val="right"/>
              <w:ind w:right="20"/>
              <w:spacing w:after="0"/>
              <w:rPr>
                <w:sz w:val="20"/>
                <w:szCs w:val="20"/>
                <w:color w:val="auto"/>
              </w:rPr>
            </w:pPr>
            <w:r>
              <w:rPr>
                <w:rFonts w:ascii="Arial" w:cs="Arial" w:eastAsia="Arial" w:hAnsi="Arial"/>
                <w:sz w:val="18"/>
                <w:szCs w:val="18"/>
                <w:color w:val="auto"/>
              </w:rPr>
              <w:t>(2,303 ) $</w:t>
            </w:r>
          </w:p>
        </w:tc>
        <w:tc>
          <w:tcPr>
            <w:tcW w:w="12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3,247</w:t>
            </w:r>
          </w:p>
        </w:tc>
        <w:tc>
          <w:tcPr>
            <w:tcW w:w="100" w:type="dxa"/>
            <w:vAlign w:val="bottom"/>
            <w:shd w:val="clear" w:color="auto" w:fill="CFF0FC"/>
          </w:tcPr>
          <w:p>
            <w:pPr>
              <w:spacing w:after="0"/>
              <w:rPr>
                <w:sz w:val="18"/>
                <w:szCs w:val="18"/>
                <w:color w:val="auto"/>
              </w:rPr>
            </w:pPr>
          </w:p>
        </w:tc>
      </w:tr>
      <w:tr>
        <w:trPr>
          <w:trHeight w:val="216"/>
        </w:trPr>
        <w:tc>
          <w:tcPr>
            <w:tcW w:w="2600" w:type="dxa"/>
            <w:vAlign w:val="bottom"/>
          </w:tcPr>
          <w:p>
            <w:pPr>
              <w:ind w:left="20"/>
              <w:spacing w:after="0"/>
              <w:rPr>
                <w:sz w:val="20"/>
                <w:szCs w:val="20"/>
                <w:color w:val="auto"/>
              </w:rPr>
            </w:pPr>
            <w:r>
              <w:rPr>
                <w:rFonts w:ascii="Arial" w:cs="Arial" w:eastAsia="Arial" w:hAnsi="Arial"/>
                <w:sz w:val="18"/>
                <w:szCs w:val="18"/>
                <w:color w:val="auto"/>
              </w:rPr>
              <w:t>Customer related</w:t>
            </w:r>
          </w:p>
        </w:tc>
        <w:tc>
          <w:tcPr>
            <w:tcW w:w="1000" w:type="dxa"/>
            <w:vAlign w:val="bottom"/>
          </w:tcPr>
          <w:p>
            <w:pPr>
              <w:spacing w:after="0"/>
              <w:rPr>
                <w:sz w:val="18"/>
                <w:szCs w:val="18"/>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958</w:t>
            </w: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380" w:type="dxa"/>
            <w:vAlign w:val="bottom"/>
            <w:gridSpan w:val="2"/>
          </w:tcPr>
          <w:p>
            <w:pPr>
              <w:jc w:val="right"/>
              <w:ind w:right="110"/>
              <w:spacing w:after="0"/>
              <w:rPr>
                <w:sz w:val="20"/>
                <w:szCs w:val="20"/>
                <w:color w:val="auto"/>
              </w:rPr>
            </w:pPr>
            <w:r>
              <w:rPr>
                <w:rFonts w:ascii="Arial" w:cs="Arial" w:eastAsia="Arial" w:hAnsi="Arial"/>
                <w:sz w:val="18"/>
                <w:szCs w:val="18"/>
                <w:color w:val="auto"/>
              </w:rPr>
              <w:t>(226 )</w:t>
            </w:r>
          </w:p>
        </w:tc>
        <w:tc>
          <w:tcPr>
            <w:tcW w:w="1060" w:type="dxa"/>
            <w:vAlign w:val="bottom"/>
          </w:tcPr>
          <w:p>
            <w:pPr>
              <w:jc w:val="right"/>
              <w:spacing w:after="0"/>
              <w:rPr>
                <w:sz w:val="20"/>
                <w:szCs w:val="20"/>
                <w:color w:val="auto"/>
              </w:rPr>
            </w:pPr>
            <w:r>
              <w:rPr>
                <w:rFonts w:ascii="Arial" w:cs="Arial" w:eastAsia="Arial" w:hAnsi="Arial"/>
                <w:sz w:val="18"/>
                <w:szCs w:val="18"/>
                <w:color w:val="auto"/>
              </w:rPr>
              <w:t>732</w:t>
            </w: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400</w:t>
            </w:r>
          </w:p>
        </w:tc>
        <w:tc>
          <w:tcPr>
            <w:tcW w:w="220" w:type="dxa"/>
            <w:vAlign w:val="bottom"/>
          </w:tcPr>
          <w:p>
            <w:pPr>
              <w:spacing w:after="0"/>
              <w:rPr>
                <w:sz w:val="18"/>
                <w:szCs w:val="18"/>
                <w:color w:val="auto"/>
              </w:rPr>
            </w:pPr>
          </w:p>
        </w:tc>
        <w:tc>
          <w:tcPr>
            <w:tcW w:w="1040" w:type="dxa"/>
            <w:vAlign w:val="bottom"/>
            <w:gridSpan w:val="2"/>
          </w:tcPr>
          <w:p>
            <w:pPr>
              <w:jc w:val="right"/>
              <w:spacing w:after="0"/>
              <w:rPr>
                <w:sz w:val="20"/>
                <w:szCs w:val="20"/>
                <w:color w:val="auto"/>
              </w:rPr>
            </w:pPr>
            <w:r>
              <w:rPr>
                <w:rFonts w:ascii="Arial" w:cs="Arial" w:eastAsia="Arial" w:hAnsi="Arial"/>
                <w:sz w:val="18"/>
                <w:szCs w:val="18"/>
                <w:color w:val="auto"/>
              </w:rPr>
              <w:t>(93 )</w:t>
            </w:r>
          </w:p>
        </w:tc>
        <w:tc>
          <w:tcPr>
            <w:tcW w:w="120" w:type="dxa"/>
            <w:vAlign w:val="bottom"/>
          </w:tcPr>
          <w:p>
            <w:pPr>
              <w:spacing w:after="0"/>
              <w:rPr>
                <w:sz w:val="18"/>
                <w:szCs w:val="18"/>
                <w:color w:val="auto"/>
              </w:rPr>
            </w:pPr>
          </w:p>
        </w:tc>
        <w:tc>
          <w:tcPr>
            <w:tcW w:w="1240" w:type="dxa"/>
            <w:vAlign w:val="bottom"/>
          </w:tcPr>
          <w:p>
            <w:pPr>
              <w:jc w:val="right"/>
              <w:spacing w:after="0"/>
              <w:rPr>
                <w:sz w:val="20"/>
                <w:szCs w:val="20"/>
                <w:color w:val="auto"/>
              </w:rPr>
            </w:pPr>
            <w:r>
              <w:rPr>
                <w:rFonts w:ascii="Arial" w:cs="Arial" w:eastAsia="Arial" w:hAnsi="Arial"/>
                <w:sz w:val="18"/>
                <w:szCs w:val="18"/>
                <w:color w:val="auto"/>
              </w:rPr>
              <w:t>307</w:t>
            </w:r>
          </w:p>
        </w:tc>
        <w:tc>
          <w:tcPr>
            <w:tcW w:w="100" w:type="dxa"/>
            <w:vAlign w:val="bottom"/>
          </w:tcPr>
          <w:p>
            <w:pPr>
              <w:spacing w:after="0"/>
              <w:rPr>
                <w:sz w:val="18"/>
                <w:szCs w:val="18"/>
                <w:color w:val="auto"/>
              </w:rPr>
            </w:pPr>
          </w:p>
        </w:tc>
      </w:tr>
      <w:tr>
        <w:trPr>
          <w:trHeight w:val="229"/>
        </w:trPr>
        <w:tc>
          <w:tcPr>
            <w:tcW w:w="2600" w:type="dxa"/>
            <w:vAlign w:val="bottom"/>
            <w:shd w:val="clear" w:color="auto" w:fill="CFF0FC"/>
          </w:tcPr>
          <w:p>
            <w:pPr>
              <w:ind w:left="200"/>
              <w:spacing w:after="0"/>
              <w:rPr>
                <w:sz w:val="20"/>
                <w:szCs w:val="20"/>
                <w:color w:val="auto"/>
              </w:rPr>
            </w:pPr>
            <w:r>
              <w:rPr>
                <w:rFonts w:ascii="Arial" w:cs="Arial" w:eastAsia="Arial" w:hAnsi="Arial"/>
                <w:sz w:val="18"/>
                <w:szCs w:val="18"/>
                <w:color w:val="auto"/>
              </w:rPr>
              <w:t>Intangible assets, net</w:t>
            </w:r>
          </w:p>
        </w:tc>
        <w:tc>
          <w:tcPr>
            <w:tcW w:w="10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108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6,508</w:t>
            </w:r>
          </w:p>
        </w:tc>
        <w:tc>
          <w:tcPr>
            <w:tcW w:w="120" w:type="dxa"/>
            <w:vAlign w:val="bottom"/>
            <w:shd w:val="clear" w:color="auto" w:fill="CFF0FC"/>
          </w:tcPr>
          <w:p>
            <w:pPr>
              <w:spacing w:after="0"/>
              <w:rPr>
                <w:sz w:val="19"/>
                <w:szCs w:val="19"/>
                <w:color w:val="auto"/>
              </w:rPr>
            </w:pPr>
          </w:p>
        </w:tc>
        <w:tc>
          <w:tcPr>
            <w:tcW w:w="12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99"/>
              </w:rPr>
              <w:t>$</w:t>
            </w:r>
          </w:p>
        </w:tc>
        <w:tc>
          <w:tcPr>
            <w:tcW w:w="112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(3,913</w:t>
            </w:r>
          </w:p>
        </w:tc>
        <w:tc>
          <w:tcPr>
            <w:tcW w:w="260" w:type="dxa"/>
            <w:vAlign w:val="bottom"/>
            <w:shd w:val="clear" w:color="auto" w:fill="CFF0FC"/>
          </w:tcPr>
          <w:p>
            <w:pPr>
              <w:jc w:val="right"/>
              <w:spacing w:after="0" w:line="209" w:lineRule="exact"/>
              <w:rPr>
                <w:sz w:val="20"/>
                <w:szCs w:val="20"/>
                <w:color w:val="auto"/>
              </w:rPr>
            </w:pPr>
            <w:r>
              <w:rPr>
                <w:rFonts w:ascii="Arial" w:cs="Arial" w:eastAsia="Arial" w:hAnsi="Arial"/>
                <w:sz w:val="14"/>
                <w:szCs w:val="14"/>
                <w:color w:val="auto"/>
              </w:rPr>
              <w:t xml:space="preserve">) </w:t>
            </w:r>
            <w:r>
              <w:rPr>
                <w:rFonts w:ascii="Arial" w:cs="Arial" w:eastAsia="Arial" w:hAnsi="Arial"/>
                <w:sz w:val="24"/>
                <w:szCs w:val="24"/>
                <w:color w:val="auto"/>
                <w:vertAlign w:val="subscript"/>
              </w:rPr>
              <w:t>$</w:t>
            </w:r>
          </w:p>
        </w:tc>
        <w:tc>
          <w:tcPr>
            <w:tcW w:w="106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2,595</w:t>
            </w:r>
          </w:p>
        </w:tc>
        <w:tc>
          <w:tcPr>
            <w:tcW w:w="220" w:type="dxa"/>
            <w:vAlign w:val="bottom"/>
            <w:shd w:val="clear" w:color="auto" w:fill="CFF0FC"/>
          </w:tcPr>
          <w:p>
            <w:pPr>
              <w:spacing w:after="0"/>
              <w:rPr>
                <w:sz w:val="19"/>
                <w:szCs w:val="19"/>
                <w:color w:val="auto"/>
              </w:rPr>
            </w:pPr>
          </w:p>
        </w:tc>
        <w:tc>
          <w:tcPr>
            <w:tcW w:w="100" w:type="dxa"/>
            <w:vAlign w:val="bottom"/>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84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5,950</w:t>
            </w:r>
          </w:p>
        </w:tc>
        <w:tc>
          <w:tcPr>
            <w:tcW w:w="2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94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(2,396</w:t>
            </w:r>
          </w:p>
        </w:tc>
        <w:tc>
          <w:tcPr>
            <w:tcW w:w="220" w:type="dxa"/>
            <w:vAlign w:val="bottom"/>
            <w:gridSpan w:val="2"/>
            <w:shd w:val="clear" w:color="auto" w:fill="CFF0FC"/>
          </w:tcPr>
          <w:p>
            <w:pPr>
              <w:jc w:val="right"/>
              <w:ind w:right="20"/>
              <w:spacing w:after="0"/>
              <w:rPr>
                <w:sz w:val="20"/>
                <w:szCs w:val="20"/>
                <w:color w:val="auto"/>
              </w:rPr>
            </w:pPr>
            <w:r>
              <w:rPr>
                <w:rFonts w:ascii="Arial" w:cs="Arial" w:eastAsia="Arial" w:hAnsi="Arial"/>
                <w:sz w:val="18"/>
                <w:szCs w:val="18"/>
                <w:color w:val="auto"/>
                <w:w w:val="85"/>
              </w:rPr>
              <w:t>) $</w:t>
            </w:r>
          </w:p>
        </w:tc>
        <w:tc>
          <w:tcPr>
            <w:tcW w:w="124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3,554</w:t>
            </w:r>
          </w:p>
        </w:tc>
        <w:tc>
          <w:tcPr>
            <w:tcW w:w="100" w:type="dxa"/>
            <w:vAlign w:val="bottom"/>
            <w:shd w:val="clear" w:color="auto" w:fill="CFF0FC"/>
          </w:tcPr>
          <w:p>
            <w:pPr>
              <w:spacing w:after="0"/>
              <w:rPr>
                <w:sz w:val="19"/>
                <w:szCs w:val="19"/>
                <w:color w:val="auto"/>
              </w:rPr>
            </w:pPr>
          </w:p>
        </w:tc>
      </w:tr>
      <w:tr>
        <w:trPr>
          <w:trHeight w:val="20"/>
        </w:trPr>
        <w:tc>
          <w:tcPr>
            <w:tcW w:w="2600" w:type="dxa"/>
            <w:vAlign w:val="bottom"/>
            <w:tcBorders>
              <w:top w:val="single" w:sz="8" w:color="CFF0FC"/>
            </w:tcBorders>
            <w:shd w:val="clear" w:color="auto" w:fill="CFF0FC"/>
          </w:tcPr>
          <w:p>
            <w:pPr>
              <w:spacing w:after="0" w:line="20" w:lineRule="exact"/>
              <w:rPr>
                <w:sz w:val="1"/>
                <w:szCs w:val="1"/>
                <w:color w:val="auto"/>
              </w:rPr>
            </w:pPr>
          </w:p>
        </w:tc>
        <w:tc>
          <w:tcPr>
            <w:tcW w:w="1000" w:type="dxa"/>
            <w:vAlign w:val="bottom"/>
            <w:tcBorders>
              <w:top w:val="single" w:sz="8" w:color="CFF0FC"/>
            </w:tcBorders>
            <w:shd w:val="clear" w:color="auto" w:fill="CFF0FC"/>
          </w:tcPr>
          <w:p>
            <w:pPr>
              <w:spacing w:after="0" w:line="20" w:lineRule="exact"/>
              <w:rPr>
                <w:sz w:val="1"/>
                <w:szCs w:val="1"/>
                <w:color w:val="auto"/>
              </w:rPr>
            </w:pPr>
          </w:p>
        </w:tc>
        <w:tc>
          <w:tcPr>
            <w:tcW w:w="1080" w:type="dxa"/>
            <w:vAlign w:val="bottom"/>
            <w:tcBorders>
              <w:top w:val="single" w:sz="8" w:color="auto"/>
            </w:tcBorders>
            <w:shd w:val="clear" w:color="auto" w:fill="000000"/>
          </w:tcPr>
          <w:p>
            <w:pPr>
              <w:spacing w:after="0" w:line="20" w:lineRule="exact"/>
              <w:rPr>
                <w:sz w:val="1"/>
                <w:szCs w:val="1"/>
                <w:color w:val="auto"/>
              </w:rPr>
            </w:pPr>
          </w:p>
        </w:tc>
        <w:tc>
          <w:tcPr>
            <w:tcW w:w="120" w:type="dxa"/>
            <w:vAlign w:val="bottom"/>
            <w:tcBorders>
              <w:top w:val="single" w:sz="8" w:color="CFF0FC"/>
            </w:tcBorders>
            <w:shd w:val="clear" w:color="auto" w:fill="CFF0FC"/>
          </w:tcPr>
          <w:p>
            <w:pPr>
              <w:spacing w:after="0" w:line="20" w:lineRule="exact"/>
              <w:rPr>
                <w:sz w:val="1"/>
                <w:szCs w:val="1"/>
                <w:color w:val="auto"/>
              </w:rPr>
            </w:pPr>
          </w:p>
        </w:tc>
        <w:tc>
          <w:tcPr>
            <w:tcW w:w="120" w:type="dxa"/>
            <w:vAlign w:val="bottom"/>
            <w:tcBorders>
              <w:top w:val="single" w:sz="8" w:color="auto"/>
            </w:tcBorders>
            <w:shd w:val="clear" w:color="auto" w:fill="000000"/>
          </w:tcPr>
          <w:p>
            <w:pPr>
              <w:spacing w:after="0" w:line="20" w:lineRule="exact"/>
              <w:rPr>
                <w:sz w:val="1"/>
                <w:szCs w:val="1"/>
                <w:color w:val="auto"/>
              </w:rPr>
            </w:pPr>
          </w:p>
        </w:tc>
        <w:tc>
          <w:tcPr>
            <w:tcW w:w="1120" w:type="dxa"/>
            <w:vAlign w:val="bottom"/>
            <w:tcBorders>
              <w:top w:val="single" w:sz="8" w:color="auto"/>
            </w:tcBorders>
            <w:shd w:val="clear" w:color="auto" w:fill="000000"/>
          </w:tcPr>
          <w:p>
            <w:pPr>
              <w:spacing w:after="0" w:line="20" w:lineRule="exact"/>
              <w:rPr>
                <w:sz w:val="1"/>
                <w:szCs w:val="1"/>
                <w:color w:val="auto"/>
              </w:rPr>
            </w:pPr>
          </w:p>
        </w:tc>
        <w:tc>
          <w:tcPr>
            <w:tcW w:w="260" w:type="dxa"/>
            <w:vAlign w:val="bottom"/>
            <w:tcBorders>
              <w:top w:val="single" w:sz="8" w:color="CFF0FC"/>
            </w:tcBorders>
            <w:shd w:val="clear" w:color="auto" w:fill="CFF0FC"/>
          </w:tcPr>
          <w:p>
            <w:pPr>
              <w:spacing w:after="0" w:line="20" w:lineRule="exact"/>
              <w:rPr>
                <w:sz w:val="1"/>
                <w:szCs w:val="1"/>
                <w:color w:val="auto"/>
              </w:rPr>
            </w:pPr>
          </w:p>
        </w:tc>
        <w:tc>
          <w:tcPr>
            <w:tcW w:w="1060" w:type="dxa"/>
            <w:vAlign w:val="bottom"/>
            <w:tcBorders>
              <w:top w:val="single" w:sz="8" w:color="auto"/>
            </w:tcBorders>
            <w:shd w:val="clear" w:color="auto" w:fill="000000"/>
          </w:tcPr>
          <w:p>
            <w:pPr>
              <w:spacing w:after="0" w:line="20" w:lineRule="exact"/>
              <w:rPr>
                <w:sz w:val="1"/>
                <w:szCs w:val="1"/>
                <w:color w:val="auto"/>
              </w:rPr>
            </w:pPr>
          </w:p>
        </w:tc>
        <w:tc>
          <w:tcPr>
            <w:tcW w:w="220" w:type="dxa"/>
            <w:vAlign w:val="bottom"/>
            <w:tcBorders>
              <w:top w:val="single" w:sz="8" w:color="CFF0FC"/>
            </w:tcBorders>
            <w:shd w:val="clear" w:color="auto" w:fill="CFF0FC"/>
          </w:tcPr>
          <w:p>
            <w:pPr>
              <w:spacing w:after="0" w:line="20" w:lineRule="exact"/>
              <w:rPr>
                <w:sz w:val="1"/>
                <w:szCs w:val="1"/>
                <w:color w:val="auto"/>
              </w:rPr>
            </w:pPr>
          </w:p>
        </w:tc>
        <w:tc>
          <w:tcPr>
            <w:tcW w:w="100" w:type="dxa"/>
            <w:vAlign w:val="bottom"/>
            <w:tcBorders>
              <w:top w:val="single" w:sz="8" w:color="auto"/>
            </w:tcBorders>
            <w:shd w:val="clear" w:color="auto" w:fill="000000"/>
          </w:tcPr>
          <w:p>
            <w:pPr>
              <w:spacing w:after="0" w:line="20" w:lineRule="exact"/>
              <w:rPr>
                <w:sz w:val="1"/>
                <w:szCs w:val="1"/>
                <w:color w:val="auto"/>
              </w:rPr>
            </w:pPr>
          </w:p>
        </w:tc>
        <w:tc>
          <w:tcPr>
            <w:tcW w:w="840" w:type="dxa"/>
            <w:vAlign w:val="bottom"/>
            <w:tcBorders>
              <w:top w:val="single" w:sz="8" w:color="auto"/>
            </w:tcBorders>
            <w:shd w:val="clear" w:color="auto" w:fill="000000"/>
          </w:tcPr>
          <w:p>
            <w:pPr>
              <w:spacing w:after="0" w:line="20" w:lineRule="exact"/>
              <w:rPr>
                <w:sz w:val="1"/>
                <w:szCs w:val="1"/>
                <w:color w:val="auto"/>
              </w:rPr>
            </w:pPr>
          </w:p>
        </w:tc>
        <w:tc>
          <w:tcPr>
            <w:tcW w:w="220" w:type="dxa"/>
            <w:vAlign w:val="bottom"/>
            <w:tcBorders>
              <w:top w:val="single" w:sz="8" w:color="CFF0FC"/>
            </w:tcBorders>
            <w:shd w:val="clear" w:color="auto" w:fill="CFF0FC"/>
          </w:tcPr>
          <w:p>
            <w:pPr>
              <w:spacing w:after="0" w:line="20" w:lineRule="exact"/>
              <w:rPr>
                <w:sz w:val="1"/>
                <w:szCs w:val="1"/>
                <w:color w:val="auto"/>
              </w:rPr>
            </w:pPr>
          </w:p>
        </w:tc>
        <w:tc>
          <w:tcPr>
            <w:tcW w:w="940" w:type="dxa"/>
            <w:vAlign w:val="bottom"/>
            <w:tcBorders>
              <w:top w:val="single" w:sz="8" w:color="auto"/>
            </w:tcBorders>
            <w:shd w:val="clear" w:color="auto" w:fill="000000"/>
          </w:tcPr>
          <w:p>
            <w:pPr>
              <w:spacing w:after="0" w:line="20" w:lineRule="exact"/>
              <w:rPr>
                <w:sz w:val="1"/>
                <w:szCs w:val="1"/>
                <w:color w:val="auto"/>
              </w:rPr>
            </w:pPr>
          </w:p>
        </w:tc>
        <w:tc>
          <w:tcPr>
            <w:tcW w:w="100" w:type="dxa"/>
            <w:vAlign w:val="bottom"/>
            <w:tcBorders>
              <w:top w:val="single" w:sz="8" w:color="CFF0FC"/>
            </w:tcBorders>
            <w:shd w:val="clear" w:color="auto" w:fill="CFF0FC"/>
          </w:tcPr>
          <w:p>
            <w:pPr>
              <w:spacing w:after="0" w:line="20" w:lineRule="exact"/>
              <w:rPr>
                <w:sz w:val="1"/>
                <w:szCs w:val="1"/>
                <w:color w:val="auto"/>
              </w:rPr>
            </w:pPr>
          </w:p>
        </w:tc>
        <w:tc>
          <w:tcPr>
            <w:tcW w:w="120" w:type="dxa"/>
            <w:vAlign w:val="bottom"/>
            <w:tcBorders>
              <w:top w:val="single" w:sz="8" w:color="auto"/>
            </w:tcBorders>
            <w:shd w:val="clear" w:color="auto" w:fill="000000"/>
          </w:tcPr>
          <w:p>
            <w:pPr>
              <w:spacing w:after="0" w:line="20" w:lineRule="exact"/>
              <w:rPr>
                <w:sz w:val="1"/>
                <w:szCs w:val="1"/>
                <w:color w:val="auto"/>
              </w:rPr>
            </w:pPr>
          </w:p>
        </w:tc>
        <w:tc>
          <w:tcPr>
            <w:tcW w:w="1240" w:type="dxa"/>
            <w:vAlign w:val="bottom"/>
            <w:tcBorders>
              <w:top w:val="single" w:sz="8" w:color="auto"/>
            </w:tcBorders>
            <w:shd w:val="clear" w:color="auto" w:fill="000000"/>
          </w:tcPr>
          <w:p>
            <w:pPr>
              <w:spacing w:after="0" w:line="20" w:lineRule="exact"/>
              <w:rPr>
                <w:sz w:val="1"/>
                <w:szCs w:val="1"/>
                <w:color w:val="auto"/>
              </w:rPr>
            </w:pPr>
          </w:p>
        </w:tc>
        <w:tc>
          <w:tcPr>
            <w:tcW w:w="100" w:type="dxa"/>
            <w:vAlign w:val="bottom"/>
            <w:tcBorders>
              <w:top w:val="single" w:sz="8" w:color="CFF0FC"/>
            </w:tcBorders>
            <w:shd w:val="clear" w:color="auto" w:fill="CFF0FC"/>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2282825</wp:posOffset>
            </wp:positionH>
            <wp:positionV relativeFrom="paragraph">
              <wp:posOffset>-919480</wp:posOffset>
            </wp:positionV>
            <wp:extent cx="4867275" cy="474980"/>
            <wp:wrapNone/>
            <wp:docPr id="154" name="Picture 1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4"/>
                    <pic:cNvPicPr>
                      <a:picLocks noChangeAspect="1" noChangeArrowheads="1"/>
                    </pic:cNvPicPr>
                  </pic:nvPicPr>
                  <pic:blipFill>
                    <a:blip r:embed="rId161">
                      <a:extLst>
                        <a:ext uri="{28A0092B-C50C-407E-A947-70E740481C1C}"/>
                      </a:extLst>
                    </a:blip>
                    <a:srcRect/>
                    <a:stretch>
                      <a:fillRect/>
                    </a:stretch>
                  </pic:blipFill>
                  <pic:spPr bwMode="auto">
                    <a:xfrm>
                      <a:off x="0" y="0"/>
                      <a:ext cx="4867275" cy="474980"/>
                    </a:xfrm>
                    <a:prstGeom prst="rect">
                      <a:avLst/>
                    </a:prstGeom>
                    <a:noFill/>
                  </pic:spPr>
                </pic:pic>
              </a:graphicData>
            </a:graphic>
          </wp:anchor>
        </w:drawing>
        <w:drawing>
          <wp:anchor simplePos="0" relativeHeight="251657728" behindDoc="1" locked="0" layoutInCell="0" allowOverlap="1">
            <wp:simplePos x="0" y="0"/>
            <wp:positionH relativeFrom="column">
              <wp:posOffset>2976245</wp:posOffset>
            </wp:positionH>
            <wp:positionV relativeFrom="paragraph">
              <wp:posOffset>-24765</wp:posOffset>
            </wp:positionV>
            <wp:extent cx="76835" cy="8255"/>
            <wp:wrapNone/>
            <wp:docPr id="155" name="Picture 1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5"/>
                    <pic:cNvPicPr>
                      <a:picLocks noChangeAspect="1" noChangeArrowheads="1"/>
                    </pic:cNvPicPr>
                  </pic:nvPicPr>
                  <pic:blipFill>
                    <a:blip r:embed="rId162">
                      <a:extLst>
                        <a:ext uri="{28A0092B-C50C-407E-A947-70E740481C1C}"/>
                      </a:extLst>
                    </a:blip>
                    <a:srcRect/>
                    <a:stretch>
                      <a:fillRect/>
                    </a:stretch>
                  </pic:blipFill>
                  <pic:spPr bwMode="auto">
                    <a:xfrm>
                      <a:off x="0" y="0"/>
                      <a:ext cx="76835" cy="8255"/>
                    </a:xfrm>
                    <a:prstGeom prst="rect">
                      <a:avLst/>
                    </a:prstGeom>
                    <a:noFill/>
                  </pic:spPr>
                </pic:pic>
              </a:graphicData>
            </a:graphic>
          </wp:anchor>
        </w:drawing>
        <w:drawing>
          <wp:anchor simplePos="0" relativeHeight="251657728" behindDoc="1" locked="0" layoutInCell="0" allowOverlap="1">
            <wp:simplePos x="0" y="0"/>
            <wp:positionH relativeFrom="column">
              <wp:posOffset>2976245</wp:posOffset>
            </wp:positionH>
            <wp:positionV relativeFrom="paragraph">
              <wp:posOffset>-7620</wp:posOffset>
            </wp:positionV>
            <wp:extent cx="76835" cy="8255"/>
            <wp:wrapNone/>
            <wp:docPr id="156" name="Picture 1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6"/>
                    <pic:cNvPicPr>
                      <a:picLocks noChangeAspect="1" noChangeArrowheads="1"/>
                    </pic:cNvPicPr>
                  </pic:nvPicPr>
                  <pic:blipFill>
                    <a:blip r:embed="rId163">
                      <a:extLst>
                        <a:ext uri="{28A0092B-C50C-407E-A947-70E740481C1C}"/>
                      </a:extLst>
                    </a:blip>
                    <a:srcRect/>
                    <a:stretch>
                      <a:fillRect/>
                    </a:stretch>
                  </pic:blipFill>
                  <pic:spPr bwMode="auto">
                    <a:xfrm>
                      <a:off x="0" y="0"/>
                      <a:ext cx="76835" cy="8255"/>
                    </a:xfrm>
                    <a:prstGeom prst="rect">
                      <a:avLst/>
                    </a:prstGeom>
                    <a:noFill/>
                  </pic:spPr>
                </pic:pic>
              </a:graphicData>
            </a:graphic>
          </wp:anchor>
        </w:drawing>
        <w:drawing>
          <wp:anchor simplePos="0" relativeHeight="251657728" behindDoc="1" locked="0" layoutInCell="0" allowOverlap="1">
            <wp:simplePos x="0" y="0"/>
            <wp:positionH relativeFrom="column">
              <wp:posOffset>3841115</wp:posOffset>
            </wp:positionH>
            <wp:positionV relativeFrom="paragraph">
              <wp:posOffset>-24765</wp:posOffset>
            </wp:positionV>
            <wp:extent cx="76835" cy="8255"/>
            <wp:wrapNone/>
            <wp:docPr id="157" name="Picture 1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7"/>
                    <pic:cNvPicPr>
                      <a:picLocks noChangeAspect="1" noChangeArrowheads="1"/>
                    </pic:cNvPicPr>
                  </pic:nvPicPr>
                  <pic:blipFill>
                    <a:blip r:embed="rId164">
                      <a:extLst>
                        <a:ext uri="{28A0092B-C50C-407E-A947-70E740481C1C}"/>
                      </a:extLst>
                    </a:blip>
                    <a:srcRect/>
                    <a:stretch>
                      <a:fillRect/>
                    </a:stretch>
                  </pic:blipFill>
                  <pic:spPr bwMode="auto">
                    <a:xfrm>
                      <a:off x="0" y="0"/>
                      <a:ext cx="76835" cy="8255"/>
                    </a:xfrm>
                    <a:prstGeom prst="rect">
                      <a:avLst/>
                    </a:prstGeom>
                    <a:noFill/>
                  </pic:spPr>
                </pic:pic>
              </a:graphicData>
            </a:graphic>
          </wp:anchor>
        </w:drawing>
        <w:drawing>
          <wp:anchor simplePos="0" relativeHeight="251657728" behindDoc="1" locked="0" layoutInCell="0" allowOverlap="1">
            <wp:simplePos x="0" y="0"/>
            <wp:positionH relativeFrom="column">
              <wp:posOffset>3841115</wp:posOffset>
            </wp:positionH>
            <wp:positionV relativeFrom="paragraph">
              <wp:posOffset>-7620</wp:posOffset>
            </wp:positionV>
            <wp:extent cx="76835" cy="8255"/>
            <wp:wrapNone/>
            <wp:docPr id="158" name="Picture 1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8"/>
                    <pic:cNvPicPr>
                      <a:picLocks noChangeAspect="1" noChangeArrowheads="1"/>
                    </pic:cNvPicPr>
                  </pic:nvPicPr>
                  <pic:blipFill>
                    <a:blip r:embed="rId165">
                      <a:extLst>
                        <a:ext uri="{28A0092B-C50C-407E-A947-70E740481C1C}"/>
                      </a:extLst>
                    </a:blip>
                    <a:srcRect/>
                    <a:stretch>
                      <a:fillRect/>
                    </a:stretch>
                  </pic:blipFill>
                  <pic:spPr bwMode="auto">
                    <a:xfrm>
                      <a:off x="0" y="0"/>
                      <a:ext cx="76835" cy="8255"/>
                    </a:xfrm>
                    <a:prstGeom prst="rect">
                      <a:avLst/>
                    </a:prstGeom>
                    <a:noFill/>
                  </pic:spPr>
                </pic:pic>
              </a:graphicData>
            </a:graphic>
          </wp:anchor>
        </w:drawing>
        <w:drawing>
          <wp:anchor simplePos="0" relativeHeight="251657728" behindDoc="1" locked="0" layoutInCell="0" allowOverlap="1">
            <wp:simplePos x="0" y="0"/>
            <wp:positionH relativeFrom="column">
              <wp:posOffset>4671695</wp:posOffset>
            </wp:positionH>
            <wp:positionV relativeFrom="paragraph">
              <wp:posOffset>-24765</wp:posOffset>
            </wp:positionV>
            <wp:extent cx="68580" cy="8255"/>
            <wp:wrapNone/>
            <wp:docPr id="159" name="Picture 1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9"/>
                    <pic:cNvPicPr>
                      <a:picLocks noChangeAspect="1" noChangeArrowheads="1"/>
                    </pic:cNvPicPr>
                  </pic:nvPicPr>
                  <pic:blipFill>
                    <a:blip r:embed="rId166">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4671695</wp:posOffset>
            </wp:positionH>
            <wp:positionV relativeFrom="paragraph">
              <wp:posOffset>-7620</wp:posOffset>
            </wp:positionV>
            <wp:extent cx="68580" cy="8255"/>
            <wp:wrapNone/>
            <wp:docPr id="160" name="Picture 1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0"/>
                    <pic:cNvPicPr>
                      <a:picLocks noChangeAspect="1" noChangeArrowheads="1"/>
                    </pic:cNvPicPr>
                  </pic:nvPicPr>
                  <pic:blipFill>
                    <a:blip r:embed="rId167">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5407660</wp:posOffset>
            </wp:positionH>
            <wp:positionV relativeFrom="paragraph">
              <wp:posOffset>-24765</wp:posOffset>
            </wp:positionV>
            <wp:extent cx="68580" cy="8255"/>
            <wp:wrapNone/>
            <wp:docPr id="161" name="Picture 1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1"/>
                    <pic:cNvPicPr>
                      <a:picLocks noChangeAspect="1" noChangeArrowheads="1"/>
                    </pic:cNvPicPr>
                  </pic:nvPicPr>
                  <pic:blipFill>
                    <a:blip r:embed="rId168">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5407660</wp:posOffset>
            </wp:positionH>
            <wp:positionV relativeFrom="paragraph">
              <wp:posOffset>-7620</wp:posOffset>
            </wp:positionV>
            <wp:extent cx="68580" cy="8255"/>
            <wp:wrapNone/>
            <wp:docPr id="162" name="Picture 1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2"/>
                    <pic:cNvPicPr>
                      <a:picLocks noChangeAspect="1" noChangeArrowheads="1"/>
                    </pic:cNvPicPr>
                  </pic:nvPicPr>
                  <pic:blipFill>
                    <a:blip r:embed="rId169">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6144260</wp:posOffset>
            </wp:positionH>
            <wp:positionV relativeFrom="paragraph">
              <wp:posOffset>-24765</wp:posOffset>
            </wp:positionV>
            <wp:extent cx="68580" cy="8255"/>
            <wp:wrapNone/>
            <wp:docPr id="163" name="Picture 1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3"/>
                    <pic:cNvPicPr>
                      <a:picLocks noChangeAspect="1" noChangeArrowheads="1"/>
                    </pic:cNvPicPr>
                  </pic:nvPicPr>
                  <pic:blipFill>
                    <a:blip r:embed="rId170">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6144260</wp:posOffset>
            </wp:positionH>
            <wp:positionV relativeFrom="paragraph">
              <wp:posOffset>-7620</wp:posOffset>
            </wp:positionV>
            <wp:extent cx="68580" cy="8255"/>
            <wp:wrapNone/>
            <wp:docPr id="164" name="Picture 1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4"/>
                    <pic:cNvPicPr>
                      <a:picLocks noChangeAspect="1" noChangeArrowheads="1"/>
                    </pic:cNvPicPr>
                  </pic:nvPicPr>
                  <pic:blipFill>
                    <a:blip r:embed="rId171">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-24765</wp:posOffset>
            </wp:positionV>
            <wp:extent cx="68580" cy="8255"/>
            <wp:wrapNone/>
            <wp:docPr id="165" name="Picture 1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5"/>
                    <pic:cNvPicPr>
                      <a:picLocks noChangeAspect="1" noChangeArrowheads="1"/>
                    </pic:cNvPicPr>
                  </pic:nvPicPr>
                  <pic:blipFill>
                    <a:blip r:embed="rId172">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-7620</wp:posOffset>
            </wp:positionV>
            <wp:extent cx="68580" cy="8255"/>
            <wp:wrapNone/>
            <wp:docPr id="166" name="Picture 1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6"/>
                    <pic:cNvPicPr>
                      <a:picLocks noChangeAspect="1" noChangeArrowheads="1"/>
                    </pic:cNvPicPr>
                  </pic:nvPicPr>
                  <pic:blipFill>
                    <a:blip r:embed="rId173">
                      <a:extLst>
                        <a:ext uri="{28A0092B-C50C-407E-A947-70E740481C1C}"/>
                      </a:extLst>
                    </a:blip>
                    <a:srcRect/>
                    <a:stretch>
                      <a:fillRect/>
                    </a:stretch>
                  </pic:blipFill>
                  <pic:spPr bwMode="auto">
                    <a:xfrm>
                      <a:off x="0" y="0"/>
                      <a:ext cx="68580" cy="8255"/>
                    </a:xfrm>
                    <a:prstGeom prst="rect">
                      <a:avLst/>
                    </a:prstGeom>
                    <a:noFill/>
                  </pic:spPr>
                </pic:pic>
              </a:graphicData>
            </a:graphic>
          </wp:anchor>
        </w:drawing>
      </w:r>
    </w:p>
    <w:p>
      <w:pPr>
        <w:spacing w:after="0" w:line="181" w:lineRule="exact"/>
        <w:rPr>
          <w:sz w:val="20"/>
          <w:szCs w:val="20"/>
          <w:color w:val="auto"/>
        </w:rPr>
      </w:pPr>
    </w:p>
    <w:p>
      <w:pPr>
        <w:jc w:val="both"/>
        <w:ind w:right="140" w:firstLine="509"/>
        <w:spacing w:after="0" w:line="277" w:lineRule="auto"/>
        <w:rPr>
          <w:sz w:val="20"/>
          <w:szCs w:val="20"/>
          <w:color w:val="auto"/>
        </w:rPr>
      </w:pPr>
      <w:r>
        <w:rPr>
          <w:rFonts w:ascii="Arial" w:cs="Arial" w:eastAsia="Arial" w:hAnsi="Arial"/>
          <w:sz w:val="18"/>
          <w:szCs w:val="18"/>
          <w:color w:val="auto"/>
        </w:rPr>
        <w:t>Amortization expense of intangible assets was $0.5 million and $1.5 million for the three and nine months ended September 30, 2022, respectively, and $0.5 million and $1.1 million for the three and nine months ended September 30, 2021, respectively.</w:t>
      </w:r>
    </w:p>
    <w:p>
      <w:pPr>
        <w:spacing w:after="0" w:line="156"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9180" w:type="dxa"/>
            <w:vAlign w:val="bottom"/>
          </w:tcPr>
          <w:p>
            <w:pPr>
              <w:ind w:left="520"/>
              <w:spacing w:after="0"/>
              <w:rPr>
                <w:sz w:val="20"/>
                <w:szCs w:val="20"/>
                <w:color w:val="auto"/>
              </w:rPr>
            </w:pPr>
            <w:r>
              <w:rPr>
                <w:rFonts w:ascii="Arial" w:cs="Arial" w:eastAsia="Arial" w:hAnsi="Arial"/>
                <w:sz w:val="18"/>
                <w:szCs w:val="18"/>
                <w:color w:val="auto"/>
              </w:rPr>
              <w:t>As of September 30, 2022, future amortization expense is expected to be as follows (in thousands):</w:t>
            </w:r>
          </w:p>
        </w:tc>
        <w:tc>
          <w:tcPr>
            <w:tcW w:w="380" w:type="dxa"/>
            <w:vAlign w:val="bottom"/>
          </w:tcPr>
          <w:p>
            <w:pPr>
              <w:spacing w:after="0"/>
              <w:rPr>
                <w:sz w:val="20"/>
                <w:szCs w:val="20"/>
                <w:color w:val="auto"/>
              </w:rPr>
            </w:pPr>
          </w:p>
        </w:tc>
        <w:tc>
          <w:tcPr>
            <w:tcW w:w="1580" w:type="dxa"/>
            <w:vAlign w:val="bottom"/>
          </w:tcPr>
          <w:p>
            <w:pPr>
              <w:spacing w:after="0"/>
              <w:rPr>
                <w:sz w:val="20"/>
                <w:szCs w:val="20"/>
                <w:color w:val="auto"/>
              </w:rPr>
            </w:pPr>
          </w:p>
        </w:tc>
        <w:tc>
          <w:tcPr>
            <w:tcW w:w="100" w:type="dxa"/>
            <w:vAlign w:val="bottom"/>
          </w:tcPr>
          <w:p>
            <w:pPr>
              <w:spacing w:after="0"/>
              <w:rPr>
                <w:sz w:val="20"/>
                <w:szCs w:val="20"/>
                <w:color w:val="auto"/>
              </w:rPr>
            </w:pPr>
          </w:p>
        </w:tc>
      </w:tr>
      <w:tr>
        <w:trPr>
          <w:trHeight w:val="458"/>
        </w:trPr>
        <w:tc>
          <w:tcPr>
            <w:tcW w:w="9180" w:type="dxa"/>
            <w:vAlign w:val="bottom"/>
          </w:tcPr>
          <w:p>
            <w:pPr>
              <w:spacing w:after="0"/>
              <w:rPr>
                <w:sz w:val="24"/>
                <w:szCs w:val="24"/>
                <w:color w:val="auto"/>
              </w:rPr>
            </w:pPr>
          </w:p>
        </w:tc>
        <w:tc>
          <w:tcPr>
            <w:tcW w:w="380" w:type="dxa"/>
            <w:vAlign w:val="bottom"/>
            <w:tcBorders>
              <w:bottom w:val="single" w:sz="8" w:color="auto"/>
            </w:tcBorders>
          </w:tcPr>
          <w:p>
            <w:pPr>
              <w:spacing w:after="0"/>
              <w:rPr>
                <w:sz w:val="24"/>
                <w:szCs w:val="24"/>
                <w:color w:val="auto"/>
              </w:rPr>
            </w:pPr>
          </w:p>
        </w:tc>
        <w:tc>
          <w:tcPr>
            <w:tcW w:w="1580" w:type="dxa"/>
            <w:vAlign w:val="bottom"/>
            <w:tcBorders>
              <w:bottom w:val="single" w:sz="8" w:color="auto"/>
            </w:tcBorders>
          </w:tcPr>
          <w:p>
            <w:pPr>
              <w:jc w:val="right"/>
              <w:ind w:right="590"/>
              <w:spacing w:after="0"/>
              <w:rPr>
                <w:sz w:val="20"/>
                <w:szCs w:val="20"/>
                <w:color w:val="auto"/>
              </w:rPr>
            </w:pPr>
            <w:r>
              <w:rPr>
                <w:rFonts w:ascii="Arial" w:cs="Arial" w:eastAsia="Arial" w:hAnsi="Arial"/>
                <w:sz w:val="18"/>
                <w:szCs w:val="18"/>
                <w:b w:val="1"/>
                <w:bCs w:val="1"/>
                <w:color w:val="auto"/>
              </w:rPr>
              <w:t>Amount</w:t>
            </w:r>
          </w:p>
        </w:tc>
        <w:tc>
          <w:tcPr>
            <w:tcW w:w="100" w:type="dxa"/>
            <w:vAlign w:val="bottom"/>
          </w:tcPr>
          <w:p>
            <w:pPr>
              <w:spacing w:after="0"/>
              <w:rPr>
                <w:sz w:val="24"/>
                <w:szCs w:val="24"/>
                <w:color w:val="auto"/>
              </w:rPr>
            </w:pPr>
          </w:p>
        </w:tc>
      </w:tr>
      <w:tr>
        <w:trPr>
          <w:trHeight w:val="209"/>
        </w:trPr>
        <w:tc>
          <w:tcPr>
            <w:tcW w:w="9180" w:type="dxa"/>
            <w:vAlign w:val="bottom"/>
            <w:shd w:val="clear" w:color="auto" w:fill="CFF0FC"/>
          </w:tcPr>
          <w:p>
            <w:pPr>
              <w:ind w:left="20"/>
              <w:spacing w:after="0"/>
              <w:rPr>
                <w:sz w:val="20"/>
                <w:szCs w:val="20"/>
                <w:color w:val="auto"/>
              </w:rPr>
            </w:pPr>
            <w:r>
              <w:rPr>
                <w:rFonts w:ascii="Arial" w:cs="Arial" w:eastAsia="Arial" w:hAnsi="Arial"/>
                <w:sz w:val="18"/>
                <w:szCs w:val="18"/>
                <w:color w:val="auto"/>
              </w:rPr>
              <w:t>Remainder of 2022</w:t>
            </w:r>
          </w:p>
        </w:tc>
        <w:tc>
          <w:tcPr>
            <w:tcW w:w="380" w:type="dxa"/>
            <w:vAlign w:val="bottom"/>
            <w:shd w:val="clear" w:color="auto" w:fill="CFF0FC"/>
          </w:tcPr>
          <w:p>
            <w:pPr>
              <w:jc w:val="right"/>
              <w:ind w:right="190"/>
              <w:spacing w:after="0"/>
              <w:rPr>
                <w:sz w:val="20"/>
                <w:szCs w:val="20"/>
                <w:color w:val="auto"/>
              </w:rPr>
            </w:pPr>
            <w:r>
              <w:rPr>
                <w:rFonts w:ascii="Arial" w:cs="Arial" w:eastAsia="Arial" w:hAnsi="Arial"/>
                <w:sz w:val="18"/>
                <w:szCs w:val="18"/>
                <w:color w:val="auto"/>
                <w:w w:val="79"/>
              </w:rPr>
              <w:t>$</w:t>
            </w:r>
          </w:p>
        </w:tc>
        <w:tc>
          <w:tcPr>
            <w:tcW w:w="15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547</w:t>
            </w:r>
          </w:p>
        </w:tc>
        <w:tc>
          <w:tcPr>
            <w:tcW w:w="100" w:type="dxa"/>
            <w:vAlign w:val="bottom"/>
            <w:shd w:val="clear" w:color="auto" w:fill="CFF0FC"/>
          </w:tcPr>
          <w:p>
            <w:pPr>
              <w:spacing w:after="0"/>
              <w:rPr>
                <w:sz w:val="18"/>
                <w:szCs w:val="18"/>
                <w:color w:val="auto"/>
              </w:rPr>
            </w:pPr>
          </w:p>
        </w:tc>
      </w:tr>
      <w:tr>
        <w:trPr>
          <w:trHeight w:val="216"/>
        </w:trPr>
        <w:tc>
          <w:tcPr>
            <w:tcW w:w="9180" w:type="dxa"/>
            <w:vAlign w:val="bottom"/>
          </w:tcPr>
          <w:p>
            <w:pPr>
              <w:ind w:left="20"/>
              <w:spacing w:after="0"/>
              <w:rPr>
                <w:sz w:val="20"/>
                <w:szCs w:val="20"/>
                <w:color w:val="auto"/>
              </w:rPr>
            </w:pPr>
            <w:r>
              <w:rPr>
                <w:rFonts w:ascii="Arial" w:cs="Arial" w:eastAsia="Arial" w:hAnsi="Arial"/>
                <w:sz w:val="18"/>
                <w:szCs w:val="18"/>
                <w:color w:val="auto"/>
              </w:rPr>
              <w:t>2023</w:t>
            </w:r>
          </w:p>
        </w:tc>
        <w:tc>
          <w:tcPr>
            <w:tcW w:w="380" w:type="dxa"/>
            <w:vAlign w:val="bottom"/>
          </w:tcPr>
          <w:p>
            <w:pPr>
              <w:spacing w:after="0"/>
              <w:rPr>
                <w:sz w:val="18"/>
                <w:szCs w:val="18"/>
                <w:color w:val="auto"/>
              </w:rPr>
            </w:pPr>
          </w:p>
        </w:tc>
        <w:tc>
          <w:tcPr>
            <w:tcW w:w="1580" w:type="dxa"/>
            <w:vAlign w:val="bottom"/>
          </w:tcPr>
          <w:p>
            <w:pPr>
              <w:jc w:val="right"/>
              <w:spacing w:after="0"/>
              <w:rPr>
                <w:sz w:val="20"/>
                <w:szCs w:val="20"/>
                <w:color w:val="auto"/>
              </w:rPr>
            </w:pPr>
            <w:r>
              <w:rPr>
                <w:rFonts w:ascii="Arial" w:cs="Arial" w:eastAsia="Arial" w:hAnsi="Arial"/>
                <w:sz w:val="18"/>
                <w:szCs w:val="18"/>
                <w:color w:val="auto"/>
              </w:rPr>
              <w:t>1,424</w:t>
            </w:r>
          </w:p>
        </w:tc>
        <w:tc>
          <w:tcPr>
            <w:tcW w:w="100" w:type="dxa"/>
            <w:vAlign w:val="bottom"/>
          </w:tcPr>
          <w:p>
            <w:pPr>
              <w:spacing w:after="0"/>
              <w:rPr>
                <w:sz w:val="18"/>
                <w:szCs w:val="18"/>
                <w:color w:val="auto"/>
              </w:rPr>
            </w:pPr>
          </w:p>
        </w:tc>
      </w:tr>
      <w:tr>
        <w:trPr>
          <w:trHeight w:val="216"/>
        </w:trPr>
        <w:tc>
          <w:tcPr>
            <w:tcW w:w="9180" w:type="dxa"/>
            <w:vAlign w:val="bottom"/>
            <w:shd w:val="clear" w:color="auto" w:fill="CFF0FC"/>
          </w:tcPr>
          <w:p>
            <w:pPr>
              <w:ind w:left="20"/>
              <w:spacing w:after="0"/>
              <w:rPr>
                <w:sz w:val="20"/>
                <w:szCs w:val="20"/>
                <w:color w:val="auto"/>
              </w:rPr>
            </w:pPr>
            <w:r>
              <w:rPr>
                <w:rFonts w:ascii="Arial" w:cs="Arial" w:eastAsia="Arial" w:hAnsi="Arial"/>
                <w:sz w:val="18"/>
                <w:szCs w:val="18"/>
                <w:color w:val="auto"/>
              </w:rPr>
              <w:t>2024</w:t>
            </w:r>
          </w:p>
        </w:tc>
        <w:tc>
          <w:tcPr>
            <w:tcW w:w="380" w:type="dxa"/>
            <w:vAlign w:val="bottom"/>
            <w:shd w:val="clear" w:color="auto" w:fill="CFF0FC"/>
          </w:tcPr>
          <w:p>
            <w:pPr>
              <w:spacing w:after="0"/>
              <w:rPr>
                <w:sz w:val="18"/>
                <w:szCs w:val="18"/>
                <w:color w:val="auto"/>
              </w:rPr>
            </w:pPr>
          </w:p>
        </w:tc>
        <w:tc>
          <w:tcPr>
            <w:tcW w:w="15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519</w:t>
            </w:r>
          </w:p>
        </w:tc>
        <w:tc>
          <w:tcPr>
            <w:tcW w:w="100" w:type="dxa"/>
            <w:vAlign w:val="bottom"/>
            <w:shd w:val="clear" w:color="auto" w:fill="CFF0FC"/>
          </w:tcPr>
          <w:p>
            <w:pPr>
              <w:spacing w:after="0"/>
              <w:rPr>
                <w:sz w:val="18"/>
                <w:szCs w:val="18"/>
                <w:color w:val="auto"/>
              </w:rPr>
            </w:pPr>
          </w:p>
        </w:tc>
      </w:tr>
      <w:tr>
        <w:trPr>
          <w:trHeight w:val="216"/>
        </w:trPr>
        <w:tc>
          <w:tcPr>
            <w:tcW w:w="9180" w:type="dxa"/>
            <w:vAlign w:val="bottom"/>
          </w:tcPr>
          <w:p>
            <w:pPr>
              <w:ind w:left="20"/>
              <w:spacing w:after="0"/>
              <w:rPr>
                <w:sz w:val="20"/>
                <w:szCs w:val="20"/>
                <w:color w:val="auto"/>
              </w:rPr>
            </w:pPr>
            <w:r>
              <w:rPr>
                <w:rFonts w:ascii="Arial" w:cs="Arial" w:eastAsia="Arial" w:hAnsi="Arial"/>
                <w:sz w:val="18"/>
                <w:szCs w:val="18"/>
                <w:color w:val="auto"/>
              </w:rPr>
              <w:t>2025</w:t>
            </w:r>
          </w:p>
        </w:tc>
        <w:tc>
          <w:tcPr>
            <w:tcW w:w="380" w:type="dxa"/>
            <w:vAlign w:val="bottom"/>
          </w:tcPr>
          <w:p>
            <w:pPr>
              <w:spacing w:after="0"/>
              <w:rPr>
                <w:sz w:val="18"/>
                <w:szCs w:val="18"/>
                <w:color w:val="auto"/>
              </w:rPr>
            </w:pPr>
          </w:p>
        </w:tc>
        <w:tc>
          <w:tcPr>
            <w:tcW w:w="1580" w:type="dxa"/>
            <w:vAlign w:val="bottom"/>
          </w:tcPr>
          <w:p>
            <w:pPr>
              <w:jc w:val="right"/>
              <w:spacing w:after="0"/>
              <w:rPr>
                <w:sz w:val="20"/>
                <w:szCs w:val="20"/>
                <w:color w:val="auto"/>
              </w:rPr>
            </w:pPr>
            <w:r>
              <w:rPr>
                <w:rFonts w:ascii="Arial" w:cs="Arial" w:eastAsia="Arial" w:hAnsi="Arial"/>
                <w:sz w:val="18"/>
                <w:szCs w:val="18"/>
                <w:color w:val="auto"/>
              </w:rPr>
              <w:t>105</w:t>
            </w:r>
          </w:p>
        </w:tc>
        <w:tc>
          <w:tcPr>
            <w:tcW w:w="100" w:type="dxa"/>
            <w:vAlign w:val="bottom"/>
          </w:tcPr>
          <w:p>
            <w:pPr>
              <w:spacing w:after="0"/>
              <w:rPr>
                <w:sz w:val="18"/>
                <w:szCs w:val="18"/>
                <w:color w:val="auto"/>
              </w:rPr>
            </w:pPr>
          </w:p>
        </w:tc>
      </w:tr>
      <w:tr>
        <w:trPr>
          <w:trHeight w:val="216"/>
        </w:trPr>
        <w:tc>
          <w:tcPr>
            <w:tcW w:w="9180" w:type="dxa"/>
            <w:vAlign w:val="bottom"/>
            <w:tcBorders>
              <w:bottom w:val="single" w:sz="8" w:color="CFF0FC"/>
            </w:tcBorders>
            <w:shd w:val="clear" w:color="auto" w:fill="CFF0FC"/>
          </w:tcPr>
          <w:p>
            <w:pPr>
              <w:ind w:left="20"/>
              <w:spacing w:after="0"/>
              <w:rPr>
                <w:sz w:val="20"/>
                <w:szCs w:val="20"/>
                <w:color w:val="auto"/>
              </w:rPr>
            </w:pPr>
            <w:r>
              <w:rPr>
                <w:rFonts w:ascii="Arial" w:cs="Arial" w:eastAsia="Arial" w:hAnsi="Arial"/>
                <w:sz w:val="18"/>
                <w:szCs w:val="18"/>
                <w:color w:val="auto"/>
              </w:rPr>
              <w:t>2026</w:t>
            </w:r>
          </w:p>
        </w:tc>
        <w:tc>
          <w:tcPr>
            <w:tcW w:w="380" w:type="dxa"/>
            <w:vAlign w:val="bottom"/>
            <w:tcBorders>
              <w:bottom w:val="single" w:sz="8" w:color="auto"/>
            </w:tcBorders>
            <w:shd w:val="clear" w:color="auto" w:fill="CFF0FC"/>
          </w:tcPr>
          <w:p>
            <w:pPr>
              <w:spacing w:after="0"/>
              <w:rPr>
                <w:sz w:val="18"/>
                <w:szCs w:val="18"/>
                <w:color w:val="auto"/>
              </w:rPr>
            </w:pPr>
          </w:p>
        </w:tc>
        <w:tc>
          <w:tcPr>
            <w:tcW w:w="15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100" w:type="dxa"/>
            <w:vAlign w:val="bottom"/>
            <w:tcBorders>
              <w:bottom w:val="single" w:sz="8" w:color="CFF0FC"/>
            </w:tcBorders>
            <w:shd w:val="clear" w:color="auto" w:fill="CFF0FC"/>
          </w:tcPr>
          <w:p>
            <w:pPr>
              <w:spacing w:after="0"/>
              <w:rPr>
                <w:sz w:val="18"/>
                <w:szCs w:val="18"/>
                <w:color w:val="auto"/>
              </w:rPr>
            </w:pPr>
          </w:p>
        </w:tc>
      </w:tr>
      <w:tr>
        <w:trPr>
          <w:trHeight w:val="209"/>
        </w:trPr>
        <w:tc>
          <w:tcPr>
            <w:tcW w:w="9180" w:type="dxa"/>
            <w:vAlign w:val="bottom"/>
          </w:tcPr>
          <w:p>
            <w:pPr>
              <w:ind w:left="200"/>
              <w:spacing w:after="0"/>
              <w:rPr>
                <w:sz w:val="20"/>
                <w:szCs w:val="20"/>
                <w:color w:val="auto"/>
              </w:rPr>
            </w:pPr>
            <w:r>
              <w:rPr>
                <w:rFonts w:ascii="Arial" w:cs="Arial" w:eastAsia="Arial" w:hAnsi="Arial"/>
                <w:sz w:val="18"/>
                <w:szCs w:val="18"/>
                <w:color w:val="auto"/>
              </w:rPr>
              <w:t>Total</w:t>
            </w:r>
          </w:p>
        </w:tc>
        <w:tc>
          <w:tcPr>
            <w:tcW w:w="380" w:type="dxa"/>
            <w:vAlign w:val="bottom"/>
            <w:tcBorders>
              <w:bottom w:val="single" w:sz="8" w:color="auto"/>
            </w:tcBorders>
          </w:tcPr>
          <w:p>
            <w:pPr>
              <w:jc w:val="right"/>
              <w:ind w:right="190"/>
              <w:spacing w:after="0"/>
              <w:rPr>
                <w:sz w:val="20"/>
                <w:szCs w:val="20"/>
                <w:color w:val="auto"/>
              </w:rPr>
            </w:pPr>
            <w:r>
              <w:rPr>
                <w:rFonts w:ascii="Arial" w:cs="Arial" w:eastAsia="Arial" w:hAnsi="Arial"/>
                <w:sz w:val="18"/>
                <w:szCs w:val="18"/>
                <w:color w:val="auto"/>
                <w:w w:val="79"/>
              </w:rPr>
              <w:t>$</w:t>
            </w:r>
          </w:p>
        </w:tc>
        <w:tc>
          <w:tcPr>
            <w:tcW w:w="15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2,595</w:t>
            </w:r>
          </w:p>
        </w:tc>
        <w:tc>
          <w:tcPr>
            <w:tcW w:w="100" w:type="dxa"/>
            <w:vAlign w:val="bottom"/>
          </w:tcPr>
          <w:p>
            <w:pPr>
              <w:spacing w:after="0"/>
              <w:rPr>
                <w:sz w:val="18"/>
                <w:szCs w:val="18"/>
                <w:color w:val="auto"/>
              </w:rPr>
            </w:pPr>
          </w:p>
        </w:tc>
      </w:tr>
      <w:tr>
        <w:trPr>
          <w:trHeight w:val="20"/>
        </w:trPr>
        <w:tc>
          <w:tcPr>
            <w:tcW w:w="9180" w:type="dxa"/>
            <w:vAlign w:val="bottom"/>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5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7068820</wp:posOffset>
            </wp:positionH>
            <wp:positionV relativeFrom="paragraph">
              <wp:posOffset>-170815</wp:posOffset>
            </wp:positionV>
            <wp:extent cx="68580" cy="171450"/>
            <wp:wrapNone/>
            <wp:docPr id="167" name="Picture 1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7"/>
                    <pic:cNvPicPr>
                      <a:picLocks noChangeAspect="1" noChangeArrowheads="1"/>
                    </pic:cNvPicPr>
                  </pic:nvPicPr>
                  <pic:blipFill>
                    <a:blip r:embed="rId174">
                      <a:extLst>
                        <a:ext uri="{28A0092B-C50C-407E-A947-70E740481C1C}"/>
                      </a:extLst>
                    </a:blip>
                    <a:srcRect/>
                    <a:stretch>
                      <a:fillRect/>
                    </a:stretch>
                  </pic:blipFill>
                  <pic:spPr bwMode="auto">
                    <a:xfrm>
                      <a:off x="0" y="0"/>
                      <a:ext cx="68580" cy="171450"/>
                    </a:xfrm>
                    <a:prstGeom prst="rect">
                      <a:avLst/>
                    </a:prstGeom>
                    <a:noFill/>
                  </pic:spPr>
                </pic:pic>
              </a:graphicData>
            </a:graphic>
          </wp:anchor>
        </w:drawing>
      </w:r>
    </w:p>
    <w:p>
      <w:pPr>
        <w:spacing w:after="0" w:line="312" w:lineRule="exact"/>
        <w:rPr>
          <w:sz w:val="20"/>
          <w:szCs w:val="20"/>
          <w:color w:val="auto"/>
        </w:rPr>
      </w:pPr>
    </w:p>
    <w:p>
      <w:pPr>
        <w:ind w:right="6300" w:firstLine="8"/>
        <w:spacing w:after="0" w:line="361" w:lineRule="auto"/>
        <w:tabs>
          <w:tab w:leader="none" w:pos="510" w:val="left"/>
        </w:tabs>
        <w:numPr>
          <w:ilvl w:val="0"/>
          <w:numId w:val="17"/>
        </w:numPr>
        <w:rPr>
          <w:rFonts w:ascii="Arial" w:cs="Arial" w:eastAsia="Arial" w:hAnsi="Arial"/>
          <w:sz w:val="18"/>
          <w:szCs w:val="18"/>
          <w:b w:val="1"/>
          <w:bCs w:val="1"/>
          <w:color w:val="auto"/>
        </w:rPr>
      </w:pPr>
      <w:r>
        <w:rPr>
          <w:rFonts w:ascii="Arial" w:cs="Arial" w:eastAsia="Arial" w:hAnsi="Arial"/>
          <w:sz w:val="18"/>
          <w:szCs w:val="18"/>
          <w:b w:val="1"/>
          <w:bCs w:val="1"/>
          <w:color w:val="auto"/>
        </w:rPr>
        <w:t xml:space="preserve">Stockholders’ Equity (Deficit) and Equity Incentive Plans </w:t>
      </w:r>
      <w:r>
        <w:rPr>
          <w:rFonts w:ascii="Arial" w:cs="Arial" w:eastAsia="Arial" w:hAnsi="Arial"/>
          <w:sz w:val="18"/>
          <w:szCs w:val="18"/>
          <w:b w:val="1"/>
          <w:bCs w:val="1"/>
          <w:i w:val="1"/>
          <w:iCs w:val="1"/>
          <w:color w:val="auto"/>
        </w:rPr>
        <w:t>Preferred stock</w:t>
      </w:r>
    </w:p>
    <w:p>
      <w:pPr>
        <w:spacing w:after="0" w:line="2" w:lineRule="exact"/>
        <w:rPr>
          <w:sz w:val="20"/>
          <w:szCs w:val="20"/>
          <w:color w:val="auto"/>
        </w:rPr>
      </w:pPr>
    </w:p>
    <w:p>
      <w:pPr>
        <w:ind w:right="200" w:firstLine="509"/>
        <w:spacing w:after="0" w:line="277" w:lineRule="auto"/>
        <w:rPr>
          <w:sz w:val="20"/>
          <w:szCs w:val="20"/>
          <w:color w:val="auto"/>
        </w:rPr>
      </w:pPr>
      <w:r>
        <w:rPr>
          <w:rFonts w:ascii="Arial" w:cs="Arial" w:eastAsia="Arial" w:hAnsi="Arial"/>
          <w:sz w:val="17"/>
          <w:szCs w:val="17"/>
          <w:color w:val="auto"/>
        </w:rPr>
        <w:t>In connection with the Direct Listing, on September 21, 2021, an amended and restated certificate of incorporation of the Company was filed with the Secretary of State of the State of Delaware, which authorized the issuance of 20 million shares of undesignated preferred stock with a par value of $0.00001 per share and rights and preferences, including voting rights, designated from time to time by the board of directors.</w:t>
      </w:r>
    </w:p>
    <w:p>
      <w:pPr>
        <w:spacing w:after="0" w:line="26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Common Stock</w:t>
      </w:r>
    </w:p>
    <w:p>
      <w:pPr>
        <w:spacing w:after="0" w:line="103" w:lineRule="exact"/>
        <w:rPr>
          <w:sz w:val="20"/>
          <w:szCs w:val="20"/>
          <w:color w:val="auto"/>
        </w:rPr>
      </w:pPr>
    </w:p>
    <w:p>
      <w:pPr>
        <w:ind w:left="520"/>
        <w:spacing w:after="0"/>
        <w:rPr>
          <w:sz w:val="20"/>
          <w:szCs w:val="20"/>
          <w:color w:val="auto"/>
        </w:rPr>
      </w:pPr>
      <w:r>
        <w:rPr>
          <w:rFonts w:ascii="Arial" w:cs="Arial" w:eastAsia="Arial" w:hAnsi="Arial"/>
          <w:sz w:val="17"/>
          <w:szCs w:val="17"/>
          <w:color w:val="auto"/>
        </w:rPr>
        <w:t>The Company has two classes of common stock: Class A common stock and Class B common stock. The Company's amended and restated</w:t>
      </w:r>
    </w:p>
    <w:p>
      <w:pPr>
        <w:spacing w:after="0" w:line="35" w:lineRule="exact"/>
        <w:rPr>
          <w:sz w:val="20"/>
          <w:szCs w:val="20"/>
          <w:color w:val="auto"/>
        </w:rPr>
      </w:pPr>
    </w:p>
    <w:p>
      <w:pPr>
        <w:spacing w:after="0" w:line="278" w:lineRule="auto"/>
        <w:rPr>
          <w:sz w:val="20"/>
          <w:szCs w:val="20"/>
          <w:color w:val="auto"/>
        </w:rPr>
      </w:pPr>
      <w:r>
        <w:rPr>
          <w:rFonts w:ascii="Arial" w:cs="Arial" w:eastAsia="Arial" w:hAnsi="Arial"/>
          <w:sz w:val="16"/>
          <w:szCs w:val="16"/>
          <w:color w:val="auto"/>
        </w:rPr>
        <w:t>certificate of incorporation authorizes the issuance of 600 million shares of Class A common stock and 600 million shares of Class B common stock. The shares of Class A common stock and Class B common stock are identical, except with respect to voting, conversion, and transfer rights. Each share of Class A common stock is entitled to one vote. Each share of Class B common stock is entitled to five votes. Class A and Class B common stock each have a par value of $0.00001 per share, and are referred to as common stock throughout the notes to the condensed consolidated financial statements, unless otherwise noted. Holders of common stock are entitled to receive any dividends whenever funds are legally available and if declared by the board of directors.</w:t>
      </w:r>
    </w:p>
    <w:p>
      <w:pPr>
        <w:spacing w:after="0" w:line="161" w:lineRule="exact"/>
        <w:rPr>
          <w:sz w:val="20"/>
          <w:szCs w:val="20"/>
          <w:color w:val="auto"/>
        </w:rPr>
      </w:pPr>
    </w:p>
    <w:p>
      <w:pPr>
        <w:ind w:firstLine="509"/>
        <w:spacing w:after="0" w:line="276" w:lineRule="auto"/>
        <w:rPr>
          <w:sz w:val="20"/>
          <w:szCs w:val="20"/>
          <w:color w:val="auto"/>
        </w:rPr>
      </w:pPr>
      <w:r>
        <w:rPr>
          <w:rFonts w:ascii="Arial" w:cs="Arial" w:eastAsia="Arial" w:hAnsi="Arial"/>
          <w:sz w:val="16"/>
          <w:szCs w:val="16"/>
          <w:color w:val="auto"/>
        </w:rPr>
        <w:t>Shares of Class B common stock may be converted to Class A common stock at any time at the option of the stockholder. Shares of Class B common stock will also automatically convert into one share of Class A common stock upon any transfer, except for certain permitted transfers described in the Company's amended and restated certificate of incorporation. In addition, each share of Class B common stock held by the Company's three cofounders (or any of such founder’s affiliates) will convert automatically into one share of Class A common stock on the earlier of: (i) the death or incapacity of such founder or (ii) the date that is six months following the date on which such founder is no longer an employee or director of the Company (unless such founder has rejoined the Company during such six-month period). Each outstanding share of the Company's Class B common stock will also convert automatically into one share of Class A common stock on the date that is six months following the date on which no founder is an employee or director of the Company (unless a founder has rejoined the Company during such six-month period). In addition, any transfer by a founder (or such founder’s affiliates) to one or more of the other founders (or such founders’ affiliates) will not result in the automatic conversion of such shares of Class B common stock to Class A common stock. Once converted into Class A common stock, the Class B common stock may not be reissued.</w:t>
      </w:r>
    </w:p>
    <w:p>
      <w:pPr>
        <w:spacing w:after="0" w:line="5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168" name="Picture 1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8"/>
                    <pic:cNvPicPr>
                      <a:picLocks noChangeAspect="1" noChangeArrowheads="1"/>
                    </pic:cNvPicPr>
                  </pic:nvPicPr>
                  <pic:blipFill>
                    <a:blip r:embed="rId17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472" w:right="339" w:bottom="1440" w:gutter="0" w:footer="0" w:header="0"/>
        </w:sectPr>
      </w:pPr>
    </w:p>
    <w:bookmarkStart w:id="18" w:name="page19"/>
    <w:bookmarkEnd w:id="18"/>
    <w:p>
      <w:pPr>
        <w:ind w:left="520"/>
        <w:spacing w:after="0"/>
        <w:rPr>
          <w:sz w:val="20"/>
          <w:szCs w:val="20"/>
          <w:color w:val="auto"/>
        </w:rPr>
      </w:pPr>
      <w:r>
        <w:rPr>
          <w:rFonts w:ascii="Arial" w:cs="Arial" w:eastAsia="Arial" w:hAnsi="Arial"/>
          <w:sz w:val="16"/>
          <w:szCs w:val="16"/>
          <w:color w:val="auto"/>
        </w:rPr>
        <w:t>The Company has reserved shares of its common stock as follows: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7" w:lineRule="exact"/>
        <w:rPr>
          <w:sz w:val="20"/>
          <w:szCs w:val="20"/>
          <w:color w:val="auto"/>
        </w:rPr>
      </w:pPr>
    </w:p>
    <w:p>
      <w:pPr>
        <w:ind w:left="20"/>
        <w:spacing w:after="0"/>
        <w:rPr>
          <w:sz w:val="20"/>
          <w:szCs w:val="20"/>
          <w:color w:val="auto"/>
        </w:rPr>
      </w:pPr>
      <w:r>
        <w:rPr>
          <w:rFonts w:ascii="Arial" w:cs="Arial" w:eastAsia="Arial" w:hAnsi="Arial"/>
          <w:sz w:val="17"/>
          <w:szCs w:val="17"/>
          <w:color w:val="auto"/>
        </w:rPr>
        <w:t>2014 Stock Option and Grant Plan and 2021 Incentive Award Plan: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-114300</wp:posOffset>
            </wp:positionV>
            <wp:extent cx="7132320" cy="137160"/>
            <wp:wrapNone/>
            <wp:docPr id="169" name="Picture 1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9"/>
                    <pic:cNvPicPr>
                      <a:picLocks noChangeAspect="1" noChangeArrowheads="1"/>
                    </pic:cNvPicPr>
                  </pic:nvPicPr>
                  <pic:blipFill>
                    <a:blip r:embed="rId176">
                      <a:extLst>
                        <a:ext uri="{28A0092B-C50C-407E-A947-70E740481C1C}"/>
                      </a:extLst>
                    </a:blip>
                    <a:srcRect/>
                    <a:stretch>
                      <a:fillRect/>
                    </a:stretch>
                  </pic:blipFill>
                  <pic:spPr bwMode="auto">
                    <a:xfrm>
                      <a:off x="0" y="0"/>
                      <a:ext cx="7132320" cy="137160"/>
                    </a:xfrm>
                    <a:prstGeom prst="rect">
                      <a:avLst/>
                    </a:prstGeom>
                    <a:noFill/>
                  </pic:spPr>
                </pic:pic>
              </a:graphicData>
            </a:graphic>
          </wp:anchor>
        </w:drawing>
      </w:r>
    </w:p>
    <w:p>
      <w:pPr>
        <w:spacing w:after="0" w:line="15" w:lineRule="exact"/>
        <w:rPr>
          <w:sz w:val="20"/>
          <w:szCs w:val="20"/>
          <w:color w:val="auto"/>
        </w:rPr>
      </w:pPr>
    </w:p>
    <w:p>
      <w:pPr>
        <w:ind w:left="200"/>
        <w:spacing w:after="0"/>
        <w:rPr>
          <w:sz w:val="20"/>
          <w:szCs w:val="20"/>
          <w:color w:val="auto"/>
        </w:rPr>
      </w:pPr>
      <w:r>
        <w:rPr>
          <w:rFonts w:ascii="Arial" w:cs="Arial" w:eastAsia="Arial" w:hAnsi="Arial"/>
          <w:sz w:val="18"/>
          <w:szCs w:val="18"/>
          <w:color w:val="auto"/>
        </w:rPr>
        <w:t>Equity plan stock options outstanding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5715</wp:posOffset>
            </wp:positionV>
            <wp:extent cx="7132320" cy="137160"/>
            <wp:wrapNone/>
            <wp:docPr id="170" name="Picture 1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0"/>
                    <pic:cNvPicPr>
                      <a:picLocks noChangeAspect="1" noChangeArrowheads="1"/>
                    </pic:cNvPicPr>
                  </pic:nvPicPr>
                  <pic:blipFill>
                    <a:blip r:embed="rId177">
                      <a:extLst>
                        <a:ext uri="{28A0092B-C50C-407E-A947-70E740481C1C}"/>
                      </a:extLst>
                    </a:blip>
                    <a:srcRect/>
                    <a:stretch>
                      <a:fillRect/>
                    </a:stretch>
                  </pic:blipFill>
                  <pic:spPr bwMode="auto">
                    <a:xfrm>
                      <a:off x="0" y="0"/>
                      <a:ext cx="7132320" cy="137160"/>
                    </a:xfrm>
                    <a:prstGeom prst="rect">
                      <a:avLst/>
                    </a:prstGeom>
                    <a:noFill/>
                  </pic:spPr>
                </pic:pic>
              </a:graphicData>
            </a:graphic>
          </wp:anchor>
        </w:drawing>
      </w:r>
    </w:p>
    <w:p>
      <w:pPr>
        <w:ind w:left="200"/>
        <w:spacing w:after="0"/>
        <w:rPr>
          <w:sz w:val="20"/>
          <w:szCs w:val="20"/>
          <w:color w:val="auto"/>
        </w:rPr>
      </w:pPr>
      <w:r>
        <w:rPr>
          <w:rFonts w:ascii="Arial" w:cs="Arial" w:eastAsia="Arial" w:hAnsi="Arial"/>
          <w:sz w:val="18"/>
          <w:szCs w:val="18"/>
          <w:color w:val="auto"/>
        </w:rPr>
        <w:t>RSUs outstanding</w:t>
      </w:r>
    </w:p>
    <w:p>
      <w:pPr>
        <w:spacing w:after="0" w:line="9" w:lineRule="exact"/>
        <w:rPr>
          <w:sz w:val="20"/>
          <w:szCs w:val="20"/>
          <w:color w:val="auto"/>
        </w:rPr>
      </w:pPr>
    </w:p>
    <w:p>
      <w:pPr>
        <w:ind w:left="200"/>
        <w:spacing w:after="0"/>
        <w:rPr>
          <w:sz w:val="20"/>
          <w:szCs w:val="20"/>
          <w:color w:val="auto"/>
        </w:rPr>
      </w:pPr>
      <w:r>
        <w:rPr>
          <w:rFonts w:ascii="Arial" w:cs="Arial" w:eastAsia="Arial" w:hAnsi="Arial"/>
          <w:sz w:val="18"/>
          <w:szCs w:val="18"/>
          <w:color w:val="auto"/>
        </w:rPr>
        <w:t>Shares available for future issuance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5715</wp:posOffset>
            </wp:positionV>
            <wp:extent cx="7132320" cy="137160"/>
            <wp:wrapNone/>
            <wp:docPr id="171" name="Picture 1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1"/>
                    <pic:cNvPicPr>
                      <a:picLocks noChangeAspect="1" noChangeArrowheads="1"/>
                    </pic:cNvPicPr>
                  </pic:nvPicPr>
                  <pic:blipFill>
                    <a:blip r:embed="rId178">
                      <a:extLst>
                        <a:ext uri="{28A0092B-C50C-407E-A947-70E740481C1C}"/>
                      </a:extLst>
                    </a:blip>
                    <a:srcRect/>
                    <a:stretch>
                      <a:fillRect/>
                    </a:stretch>
                  </pic:blipFill>
                  <pic:spPr bwMode="auto">
                    <a:xfrm>
                      <a:off x="0" y="0"/>
                      <a:ext cx="7132320" cy="137160"/>
                    </a:xfrm>
                    <a:prstGeom prst="rect">
                      <a:avLst/>
                    </a:prstGeom>
                    <a:noFill/>
                  </pic:spPr>
                </pic:pic>
              </a:graphicData>
            </a:graphic>
          </wp:anchor>
        </w:drawing>
      </w:r>
    </w:p>
    <w:p>
      <w:pPr>
        <w:ind w:left="20"/>
        <w:spacing w:after="0"/>
        <w:rPr>
          <w:sz w:val="20"/>
          <w:szCs w:val="20"/>
          <w:color w:val="auto"/>
        </w:rPr>
      </w:pPr>
      <w:r>
        <w:rPr>
          <w:rFonts w:ascii="Arial" w:cs="Arial" w:eastAsia="Arial" w:hAnsi="Arial"/>
          <w:sz w:val="18"/>
          <w:szCs w:val="18"/>
          <w:color w:val="auto"/>
        </w:rPr>
        <w:t>2021 Employee Stock Purchase Plan:</w:t>
      </w:r>
    </w:p>
    <w:p>
      <w:pPr>
        <w:spacing w:after="0" w:line="9" w:lineRule="exact"/>
        <w:rPr>
          <w:sz w:val="20"/>
          <w:szCs w:val="20"/>
          <w:color w:val="auto"/>
        </w:rPr>
      </w:pPr>
    </w:p>
    <w:p>
      <w:pPr>
        <w:ind w:left="200"/>
        <w:spacing w:after="0"/>
        <w:rPr>
          <w:sz w:val="20"/>
          <w:szCs w:val="20"/>
          <w:color w:val="auto"/>
        </w:rPr>
      </w:pPr>
      <w:r>
        <w:rPr>
          <w:rFonts w:ascii="Arial" w:cs="Arial" w:eastAsia="Arial" w:hAnsi="Arial"/>
          <w:sz w:val="18"/>
          <w:szCs w:val="18"/>
          <w:color w:val="auto"/>
        </w:rPr>
        <w:t>Shares available for future issuance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13970</wp:posOffset>
            </wp:positionV>
            <wp:extent cx="7132320" cy="162560"/>
            <wp:wrapNone/>
            <wp:docPr id="172" name="Picture 1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2"/>
                    <pic:cNvPicPr>
                      <a:picLocks noChangeAspect="1" noChangeArrowheads="1"/>
                    </pic:cNvPicPr>
                  </pic:nvPicPr>
                  <pic:blipFill>
                    <a:blip r:embed="rId179">
                      <a:extLst>
                        <a:ext uri="{28A0092B-C50C-407E-A947-70E740481C1C}"/>
                      </a:extLst>
                    </a:blip>
                    <a:srcRect/>
                    <a:stretch>
                      <a:fillRect/>
                    </a:stretch>
                  </pic:blipFill>
                  <pic:spPr bwMode="auto">
                    <a:xfrm>
                      <a:off x="0" y="0"/>
                      <a:ext cx="7132320" cy="162560"/>
                    </a:xfrm>
                    <a:prstGeom prst="rect">
                      <a:avLst/>
                    </a:prstGeom>
                    <a:noFill/>
                  </pic:spPr>
                </pic:pic>
              </a:graphicData>
            </a:graphic>
          </wp:anchor>
        </w:drawing>
      </w:r>
    </w:p>
    <w:p>
      <w:pPr>
        <w:spacing w:after="0" w:line="28" w:lineRule="exact"/>
        <w:rPr>
          <w:sz w:val="20"/>
          <w:szCs w:val="20"/>
          <w:color w:val="auto"/>
        </w:rPr>
      </w:pPr>
    </w:p>
    <w:p>
      <w:pPr>
        <w:ind w:left="380"/>
        <w:spacing w:after="0"/>
        <w:rPr>
          <w:sz w:val="20"/>
          <w:szCs w:val="20"/>
          <w:color w:val="auto"/>
        </w:rPr>
      </w:pPr>
      <w:r>
        <w:rPr>
          <w:rFonts w:ascii="Arial" w:cs="Arial" w:eastAsia="Arial" w:hAnsi="Arial"/>
          <w:sz w:val="18"/>
          <w:szCs w:val="18"/>
          <w:color w:val="auto"/>
        </w:rPr>
        <w:t>Total reserved shares</w:t>
      </w:r>
    </w:p>
    <w:p>
      <w:pPr>
        <w:spacing w:after="0" w:line="35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Equity Incentive Plans</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2014 Stock Option and Grant Plan</w:t>
      </w:r>
    </w:p>
    <w:p>
      <w:pPr>
        <w:spacing w:after="0" w:line="20" w:lineRule="exact"/>
        <w:rPr>
          <w:sz w:val="20"/>
          <w:szCs w:val="20"/>
          <w:color w:val="auto"/>
        </w:rPr>
      </w:pPr>
      <w:r>
        <w:rPr>
          <w:sz w:val="20"/>
          <w:szCs w:val="20"/>
          <w:color w:val="auto"/>
        </w:rPr>
        <w:br w:type="column"/>
      </w:r>
    </w:p>
    <w:p>
      <w:pPr>
        <w:spacing w:after="0" w:line="394" w:lineRule="exact"/>
        <w:rPr>
          <w:sz w:val="20"/>
          <w:szCs w:val="20"/>
          <w:color w:val="auto"/>
        </w:rPr>
      </w:pPr>
    </w:p>
    <w:p>
      <w:pPr>
        <w:ind w:left="340"/>
        <w:spacing w:after="0"/>
        <w:rPr>
          <w:sz w:val="20"/>
          <w:szCs w:val="20"/>
          <w:color w:val="auto"/>
        </w:rPr>
      </w:pPr>
      <w:r>
        <w:rPr>
          <w:rFonts w:ascii="Arial" w:cs="Arial" w:eastAsia="Arial" w:hAnsi="Arial"/>
          <w:sz w:val="18"/>
          <w:szCs w:val="18"/>
          <w:b w:val="1"/>
          <w:bCs w:val="1"/>
          <w:color w:val="auto"/>
        </w:rPr>
        <w:t>As of</w:t>
      </w:r>
    </w:p>
    <w:p>
      <w:pPr>
        <w:spacing w:after="0" w:line="220" w:lineRule="auto"/>
        <w:rPr>
          <w:sz w:val="20"/>
          <w:szCs w:val="20"/>
          <w:color w:val="auto"/>
        </w:rPr>
      </w:pPr>
      <w:r>
        <w:rPr>
          <w:rFonts w:ascii="Arial" w:cs="Arial" w:eastAsia="Arial" w:hAnsi="Arial"/>
          <w:sz w:val="18"/>
          <w:szCs w:val="18"/>
          <w:b w:val="1"/>
          <w:bCs w:val="1"/>
          <w:color w:val="auto"/>
        </w:rPr>
        <w:t>September 30,</w:t>
      </w:r>
    </w:p>
    <w:p>
      <w:pPr>
        <w:spacing w:after="0" w:line="1" w:lineRule="exact"/>
        <w:rPr>
          <w:sz w:val="20"/>
          <w:szCs w:val="20"/>
          <w:color w:val="auto"/>
        </w:rPr>
      </w:pPr>
    </w:p>
    <w:p>
      <w:pPr>
        <w:ind w:left="380"/>
        <w:spacing w:after="0"/>
        <w:rPr>
          <w:sz w:val="20"/>
          <w:szCs w:val="20"/>
          <w:color w:val="auto"/>
        </w:rPr>
      </w:pPr>
      <w:r>
        <w:rPr>
          <w:rFonts w:ascii="Arial" w:cs="Arial" w:eastAsia="Arial" w:hAnsi="Arial"/>
          <w:sz w:val="18"/>
          <w:szCs w:val="18"/>
          <w:b w:val="1"/>
          <w:bCs w:val="1"/>
          <w:color w:val="auto"/>
        </w:rPr>
        <w:t>2022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-216535</wp:posOffset>
            </wp:positionH>
            <wp:positionV relativeFrom="paragraph">
              <wp:posOffset>4445</wp:posOffset>
            </wp:positionV>
            <wp:extent cx="1138555" cy="8255"/>
            <wp:wrapNone/>
            <wp:docPr id="173" name="Picture 1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3"/>
                    <pic:cNvPicPr>
                      <a:picLocks noChangeAspect="1" noChangeArrowheads="1"/>
                    </pic:cNvPicPr>
                  </pic:nvPicPr>
                  <pic:blipFill>
                    <a:blip r:embed="rId180">
                      <a:extLst>
                        <a:ext uri="{28A0092B-C50C-407E-A947-70E740481C1C}"/>
                      </a:extLst>
                    </a:blip>
                    <a:srcRect/>
                    <a:stretch>
                      <a:fillRect/>
                    </a:stretch>
                  </pic:blipFill>
                  <pic:spPr bwMode="auto">
                    <a:xfrm>
                      <a:off x="0" y="0"/>
                      <a:ext cx="1138555" cy="8255"/>
                    </a:xfrm>
                    <a:prstGeom prst="rect">
                      <a:avLst/>
                    </a:prstGeom>
                    <a:noFill/>
                  </pic:spPr>
                </pic:pic>
              </a:graphicData>
            </a:graphic>
          </wp:anchor>
        </w:drawing>
      </w:r>
    </w:p>
    <w:p>
      <w:pPr>
        <w:spacing w:after="0" w:line="200" w:lineRule="exact"/>
        <w:rPr>
          <w:sz w:val="20"/>
          <w:szCs w:val="20"/>
          <w:color w:val="auto"/>
        </w:rPr>
      </w:pPr>
    </w:p>
    <w:p>
      <w:pPr>
        <w:spacing w:after="0" w:line="218" w:lineRule="exact"/>
        <w:rPr>
          <w:sz w:val="20"/>
          <w:szCs w:val="20"/>
          <w:color w:val="auto"/>
        </w:rPr>
      </w:pPr>
    </w:p>
    <w:p>
      <w:pPr>
        <w:jc w:val="right"/>
        <w:spacing w:after="0"/>
        <w:rPr>
          <w:sz w:val="20"/>
          <w:szCs w:val="20"/>
          <w:color w:val="auto"/>
        </w:rPr>
      </w:pPr>
      <w:r>
        <w:rPr>
          <w:rFonts w:ascii="Arial" w:cs="Arial" w:eastAsia="Arial" w:hAnsi="Arial"/>
          <w:sz w:val="18"/>
          <w:szCs w:val="18"/>
          <w:color w:val="auto"/>
        </w:rPr>
        <w:t>17,398,329</w:t>
      </w:r>
    </w:p>
    <w:p>
      <w:pPr>
        <w:spacing w:after="0" w:line="23" w:lineRule="exact"/>
        <w:rPr>
          <w:sz w:val="20"/>
          <w:szCs w:val="20"/>
          <w:color w:val="auto"/>
        </w:rPr>
      </w:pPr>
    </w:p>
    <w:p>
      <w:pPr>
        <w:jc w:val="right"/>
        <w:spacing w:after="0"/>
        <w:rPr>
          <w:sz w:val="20"/>
          <w:szCs w:val="20"/>
          <w:color w:val="auto"/>
        </w:rPr>
      </w:pPr>
      <w:r>
        <w:rPr>
          <w:rFonts w:ascii="Arial" w:cs="Arial" w:eastAsia="Arial" w:hAnsi="Arial"/>
          <w:sz w:val="18"/>
          <w:szCs w:val="18"/>
          <w:color w:val="auto"/>
        </w:rPr>
        <w:t>9,086,234</w:t>
      </w:r>
    </w:p>
    <w:p>
      <w:pPr>
        <w:spacing w:after="0" w:line="9" w:lineRule="exact"/>
        <w:rPr>
          <w:sz w:val="20"/>
          <w:szCs w:val="20"/>
          <w:color w:val="auto"/>
        </w:rPr>
      </w:pPr>
    </w:p>
    <w:p>
      <w:pPr>
        <w:jc w:val="right"/>
        <w:spacing w:after="0"/>
        <w:rPr>
          <w:sz w:val="20"/>
          <w:szCs w:val="20"/>
          <w:color w:val="auto"/>
        </w:rPr>
      </w:pPr>
      <w:r>
        <w:rPr>
          <w:rFonts w:ascii="Arial" w:cs="Arial" w:eastAsia="Arial" w:hAnsi="Arial"/>
          <w:sz w:val="18"/>
          <w:szCs w:val="18"/>
          <w:color w:val="auto"/>
        </w:rPr>
        <w:t>17,891,146</w:t>
      </w:r>
    </w:p>
    <w:p>
      <w:pPr>
        <w:spacing w:after="0" w:line="210" w:lineRule="exact"/>
        <w:rPr>
          <w:sz w:val="20"/>
          <w:szCs w:val="20"/>
          <w:color w:val="auto"/>
        </w:rPr>
      </w:pPr>
    </w:p>
    <w:p>
      <w:pPr>
        <w:jc w:val="right"/>
        <w:spacing w:after="0"/>
        <w:rPr>
          <w:sz w:val="20"/>
          <w:szCs w:val="20"/>
          <w:color w:val="auto"/>
        </w:rPr>
      </w:pPr>
      <w:r>
        <w:rPr>
          <w:rFonts w:ascii="Arial" w:cs="Arial" w:eastAsia="Arial" w:hAnsi="Arial"/>
          <w:sz w:val="18"/>
          <w:szCs w:val="18"/>
          <w:color w:val="auto"/>
        </w:rPr>
        <w:t>3,585,845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-216535</wp:posOffset>
            </wp:positionH>
            <wp:positionV relativeFrom="paragraph">
              <wp:posOffset>14605</wp:posOffset>
            </wp:positionV>
            <wp:extent cx="1138555" cy="8255"/>
            <wp:wrapNone/>
            <wp:docPr id="174" name="Picture 1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4"/>
                    <pic:cNvPicPr>
                      <a:picLocks noChangeAspect="1" noChangeArrowheads="1"/>
                    </pic:cNvPicPr>
                  </pic:nvPicPr>
                  <pic:blipFill>
                    <a:blip r:embed="rId181">
                      <a:extLst>
                        <a:ext uri="{28A0092B-C50C-407E-A947-70E740481C1C}"/>
                      </a:extLst>
                    </a:blip>
                    <a:srcRect/>
                    <a:stretch>
                      <a:fillRect/>
                    </a:stretch>
                  </pic:blipFill>
                  <pic:spPr bwMode="auto">
                    <a:xfrm>
                      <a:off x="0" y="0"/>
                      <a:ext cx="1138555" cy="8255"/>
                    </a:xfrm>
                    <a:prstGeom prst="rect">
                      <a:avLst/>
                    </a:prstGeom>
                    <a:noFill/>
                  </pic:spPr>
                </pic:pic>
              </a:graphicData>
            </a:graphic>
          </wp:anchor>
        </w:drawing>
      </w:r>
    </w:p>
    <w:p>
      <w:pPr>
        <w:spacing w:after="0" w:line="3" w:lineRule="exact"/>
        <w:rPr>
          <w:sz w:val="20"/>
          <w:szCs w:val="20"/>
          <w:color w:val="auto"/>
        </w:rPr>
      </w:pPr>
    </w:p>
    <w:p>
      <w:pPr>
        <w:jc w:val="right"/>
        <w:spacing w:after="0"/>
        <w:rPr>
          <w:sz w:val="20"/>
          <w:szCs w:val="20"/>
          <w:color w:val="auto"/>
        </w:rPr>
      </w:pPr>
      <w:r>
        <w:rPr>
          <w:rFonts w:ascii="Arial" w:cs="Arial" w:eastAsia="Arial" w:hAnsi="Arial"/>
          <w:sz w:val="18"/>
          <w:szCs w:val="18"/>
          <w:color w:val="auto"/>
        </w:rPr>
        <w:t>47,961,554</w:t>
      </w:r>
    </w:p>
    <w:p>
      <w:pPr>
        <w:spacing w:after="0" w:line="20" w:lineRule="exact"/>
        <w:rPr>
          <w:sz w:val="20"/>
          <w:szCs w:val="20"/>
          <w:color w:val="auto"/>
        </w:rPr>
      </w:pPr>
      <w:r>
        <w:rPr>
          <w:sz w:val="20"/>
          <w:szCs w:val="20"/>
          <w:color w:val="auto"/>
        </w:rPr>
        <w:br w:type="column"/>
      </w:r>
    </w:p>
    <w:p>
      <w:pPr>
        <w:spacing w:after="0" w:line="394" w:lineRule="exact"/>
        <w:rPr>
          <w:sz w:val="20"/>
          <w:szCs w:val="20"/>
          <w:color w:val="auto"/>
        </w:rPr>
      </w:pPr>
    </w:p>
    <w:p>
      <w:pPr>
        <w:ind w:left="340"/>
        <w:spacing w:after="0"/>
        <w:rPr>
          <w:sz w:val="20"/>
          <w:szCs w:val="20"/>
          <w:color w:val="auto"/>
        </w:rPr>
      </w:pPr>
      <w:r>
        <w:rPr>
          <w:rFonts w:ascii="Arial" w:cs="Arial" w:eastAsia="Arial" w:hAnsi="Arial"/>
          <w:sz w:val="18"/>
          <w:szCs w:val="18"/>
          <w:b w:val="1"/>
          <w:bCs w:val="1"/>
          <w:color w:val="auto"/>
        </w:rPr>
        <w:t>As of</w:t>
      </w:r>
    </w:p>
    <w:p>
      <w:pPr>
        <w:spacing w:after="0" w:line="220" w:lineRule="auto"/>
        <w:rPr>
          <w:sz w:val="20"/>
          <w:szCs w:val="20"/>
          <w:color w:val="auto"/>
        </w:rPr>
      </w:pPr>
      <w:r>
        <w:rPr>
          <w:rFonts w:ascii="Arial" w:cs="Arial" w:eastAsia="Arial" w:hAnsi="Arial"/>
          <w:sz w:val="18"/>
          <w:szCs w:val="18"/>
          <w:b w:val="1"/>
          <w:bCs w:val="1"/>
          <w:color w:val="auto"/>
        </w:rPr>
        <w:t>December 31,</w:t>
      </w:r>
    </w:p>
    <w:p>
      <w:pPr>
        <w:spacing w:after="0" w:line="1" w:lineRule="exact"/>
        <w:rPr>
          <w:sz w:val="20"/>
          <w:szCs w:val="20"/>
          <w:color w:val="auto"/>
        </w:rPr>
      </w:pPr>
    </w:p>
    <w:p>
      <w:pPr>
        <w:ind w:left="360"/>
        <w:spacing w:after="0"/>
        <w:rPr>
          <w:sz w:val="20"/>
          <w:szCs w:val="20"/>
          <w:color w:val="auto"/>
        </w:rPr>
      </w:pPr>
      <w:r>
        <w:rPr>
          <w:rFonts w:ascii="Arial" w:cs="Arial" w:eastAsia="Arial" w:hAnsi="Arial"/>
          <w:sz w:val="18"/>
          <w:szCs w:val="18"/>
          <w:b w:val="1"/>
          <w:bCs w:val="1"/>
          <w:color w:val="auto"/>
        </w:rPr>
        <w:t>2021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-176530</wp:posOffset>
            </wp:positionH>
            <wp:positionV relativeFrom="paragraph">
              <wp:posOffset>4445</wp:posOffset>
            </wp:positionV>
            <wp:extent cx="1036320" cy="8255"/>
            <wp:wrapNone/>
            <wp:docPr id="175" name="Picture 1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5"/>
                    <pic:cNvPicPr>
                      <a:picLocks noChangeAspect="1" noChangeArrowheads="1"/>
                    </pic:cNvPicPr>
                  </pic:nvPicPr>
                  <pic:blipFill>
                    <a:blip r:embed="rId182">
                      <a:extLst>
                        <a:ext uri="{28A0092B-C50C-407E-A947-70E740481C1C}"/>
                      </a:extLst>
                    </a:blip>
                    <a:srcRect/>
                    <a:stretch>
                      <a:fillRect/>
                    </a:stretch>
                  </pic:blipFill>
                  <pic:spPr bwMode="auto">
                    <a:xfrm>
                      <a:off x="0" y="0"/>
                      <a:ext cx="1036320" cy="8255"/>
                    </a:xfrm>
                    <a:prstGeom prst="rect">
                      <a:avLst/>
                    </a:prstGeom>
                    <a:noFill/>
                  </pic:spPr>
                </pic:pic>
              </a:graphicData>
            </a:graphic>
          </wp:anchor>
        </w:drawing>
      </w:r>
    </w:p>
    <w:p>
      <w:pPr>
        <w:spacing w:after="0" w:line="200" w:lineRule="exact"/>
        <w:rPr>
          <w:sz w:val="20"/>
          <w:szCs w:val="20"/>
          <w:color w:val="auto"/>
        </w:rPr>
      </w:pPr>
    </w:p>
    <w:p>
      <w:pPr>
        <w:spacing w:after="0" w:line="218" w:lineRule="exact"/>
        <w:rPr>
          <w:sz w:val="20"/>
          <w:szCs w:val="20"/>
          <w:color w:val="auto"/>
        </w:rPr>
      </w:pPr>
    </w:p>
    <w:p>
      <w:pPr>
        <w:jc w:val="right"/>
        <w:ind w:right="100"/>
        <w:spacing w:after="0"/>
        <w:rPr>
          <w:sz w:val="20"/>
          <w:szCs w:val="20"/>
          <w:color w:val="auto"/>
        </w:rPr>
      </w:pPr>
      <w:r>
        <w:rPr>
          <w:rFonts w:ascii="Arial" w:cs="Arial" w:eastAsia="Arial" w:hAnsi="Arial"/>
          <w:sz w:val="18"/>
          <w:szCs w:val="18"/>
          <w:color w:val="auto"/>
        </w:rPr>
        <w:t>21,214,155</w:t>
      </w:r>
    </w:p>
    <w:p>
      <w:pPr>
        <w:spacing w:after="0" w:line="23" w:lineRule="exact"/>
        <w:rPr>
          <w:sz w:val="20"/>
          <w:szCs w:val="20"/>
          <w:color w:val="auto"/>
        </w:rPr>
      </w:pPr>
    </w:p>
    <w:p>
      <w:pPr>
        <w:jc w:val="right"/>
        <w:ind w:right="100"/>
        <w:spacing w:after="0"/>
        <w:rPr>
          <w:sz w:val="20"/>
          <w:szCs w:val="20"/>
          <w:color w:val="auto"/>
        </w:rPr>
      </w:pPr>
      <w:r>
        <w:rPr>
          <w:rFonts w:ascii="Arial" w:cs="Arial" w:eastAsia="Arial" w:hAnsi="Arial"/>
          <w:sz w:val="18"/>
          <w:szCs w:val="18"/>
          <w:color w:val="auto"/>
        </w:rPr>
        <w:t>1,716,614</w:t>
      </w:r>
    </w:p>
    <w:p>
      <w:pPr>
        <w:spacing w:after="0" w:line="9" w:lineRule="exact"/>
        <w:rPr>
          <w:sz w:val="20"/>
          <w:szCs w:val="20"/>
          <w:color w:val="auto"/>
        </w:rPr>
      </w:pPr>
    </w:p>
    <w:p>
      <w:pPr>
        <w:jc w:val="right"/>
        <w:ind w:right="100"/>
        <w:spacing w:after="0"/>
        <w:rPr>
          <w:sz w:val="20"/>
          <w:szCs w:val="20"/>
          <w:color w:val="auto"/>
        </w:rPr>
      </w:pPr>
      <w:r>
        <w:rPr>
          <w:rFonts w:ascii="Arial" w:cs="Arial" w:eastAsia="Arial" w:hAnsi="Arial"/>
          <w:sz w:val="18"/>
          <w:szCs w:val="18"/>
          <w:color w:val="auto"/>
        </w:rPr>
        <w:t>19,005,008</w:t>
      </w:r>
    </w:p>
    <w:p>
      <w:pPr>
        <w:spacing w:after="0" w:line="210" w:lineRule="exact"/>
        <w:rPr>
          <w:sz w:val="20"/>
          <w:szCs w:val="20"/>
          <w:color w:val="auto"/>
        </w:rPr>
      </w:pPr>
    </w:p>
    <w:p>
      <w:pPr>
        <w:jc w:val="right"/>
        <w:ind w:right="100"/>
        <w:spacing w:after="0"/>
        <w:rPr>
          <w:sz w:val="20"/>
          <w:szCs w:val="20"/>
          <w:color w:val="auto"/>
        </w:rPr>
      </w:pPr>
      <w:r>
        <w:rPr>
          <w:rFonts w:ascii="Arial" w:cs="Arial" w:eastAsia="Arial" w:hAnsi="Arial"/>
          <w:sz w:val="18"/>
          <w:szCs w:val="18"/>
          <w:color w:val="auto"/>
        </w:rPr>
        <w:t>2,663,371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-176530</wp:posOffset>
            </wp:positionH>
            <wp:positionV relativeFrom="paragraph">
              <wp:posOffset>14605</wp:posOffset>
            </wp:positionV>
            <wp:extent cx="1036320" cy="8255"/>
            <wp:wrapNone/>
            <wp:docPr id="176" name="Picture 1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6"/>
                    <pic:cNvPicPr>
                      <a:picLocks noChangeAspect="1" noChangeArrowheads="1"/>
                    </pic:cNvPicPr>
                  </pic:nvPicPr>
                  <pic:blipFill>
                    <a:blip r:embed="rId183">
                      <a:extLst>
                        <a:ext uri="{28A0092B-C50C-407E-A947-70E740481C1C}"/>
                      </a:extLst>
                    </a:blip>
                    <a:srcRect/>
                    <a:stretch>
                      <a:fillRect/>
                    </a:stretch>
                  </pic:blipFill>
                  <pic:spPr bwMode="auto">
                    <a:xfrm>
                      <a:off x="0" y="0"/>
                      <a:ext cx="1036320" cy="8255"/>
                    </a:xfrm>
                    <a:prstGeom prst="rect">
                      <a:avLst/>
                    </a:prstGeom>
                    <a:noFill/>
                  </pic:spPr>
                </pic:pic>
              </a:graphicData>
            </a:graphic>
          </wp:anchor>
        </w:drawing>
      </w:r>
    </w:p>
    <w:p>
      <w:pPr>
        <w:spacing w:after="0" w:line="3" w:lineRule="exact"/>
        <w:rPr>
          <w:sz w:val="20"/>
          <w:szCs w:val="20"/>
          <w:color w:val="auto"/>
        </w:rPr>
      </w:pPr>
    </w:p>
    <w:p>
      <w:pPr>
        <w:jc w:val="right"/>
        <w:ind w:right="100"/>
        <w:spacing w:after="0"/>
        <w:rPr>
          <w:sz w:val="20"/>
          <w:szCs w:val="20"/>
          <w:color w:val="auto"/>
        </w:rPr>
      </w:pPr>
      <w:r>
        <w:rPr>
          <w:rFonts w:ascii="Arial" w:cs="Arial" w:eastAsia="Arial" w:hAnsi="Arial"/>
          <w:sz w:val="18"/>
          <w:szCs w:val="18"/>
          <w:color w:val="auto"/>
        </w:rPr>
        <w:t>44,599,148</w:t>
      </w:r>
    </w:p>
    <w:p>
      <w:pPr>
        <w:spacing w:after="0" w:line="1032" w:lineRule="exact"/>
        <w:rPr>
          <w:sz w:val="20"/>
          <w:szCs w:val="20"/>
          <w:color w:val="auto"/>
        </w:rPr>
      </w:pPr>
    </w:p>
    <w:p>
      <w:pPr>
        <w:sectPr>
          <w:pgSz w:w="11900" w:h="16838" w:orient="portrait"/>
          <w:cols w:equalWidth="0" w:num="3">
            <w:col w:w="7100" w:space="720"/>
            <w:col w:w="1440" w:space="520"/>
            <w:col w:w="1440"/>
          </w:cols>
          <w:pgMar w:left="320" w:top="543" w:right="359" w:bottom="1440" w:gutter="0" w:footer="0" w:header="0"/>
        </w:sectPr>
      </w:pPr>
    </w:p>
    <w:p>
      <w:pPr>
        <w:ind w:right="20" w:firstLine="509"/>
        <w:spacing w:after="0" w:line="259" w:lineRule="auto"/>
        <w:rPr>
          <w:sz w:val="20"/>
          <w:szCs w:val="20"/>
          <w:color w:val="auto"/>
        </w:rPr>
      </w:pPr>
      <w:r>
        <w:rPr>
          <w:rFonts w:ascii="Arial" w:cs="Arial" w:eastAsia="Arial" w:hAnsi="Arial"/>
          <w:sz w:val="17"/>
          <w:szCs w:val="17"/>
          <w:color w:val="auto"/>
        </w:rPr>
        <w:t>In December 2014, the Company adopted its 2014 Stock Option and Grant Plan (as amended, the “2014 Plan”), pursuant to which shares of the Company’s common stock were reserved for the issuance of stock options (incentive and non-statutory), restricted stock units (“RSUs”), and restricted stock to employees, directors, and consultants under terms and provisions established by the board of directors and approved by the Company’s stockholders. The 2014 Plan was terminated in September 2021 in connection with the Direct Listing but continues to govern the terms of outstanding awards that were granted prior to the termination of the 2014 Plan. No further equity awards will be granted under the 2014 Plan. With the establishment of the 2021 Incentive Award Plan (the “2021 Plan”) as further discussed below, upon the expiration, forfeiture, cancellation, or reacquisition of any shares of Class A common stock underlying outstanding stock-based awards granted under the 2014 Plan, an equal number of shares of Class A common stock will become available for grant under the 2021 Plan.</w:t>
      </w:r>
    </w:p>
    <w:p>
      <w:pPr>
        <w:spacing w:after="0" w:line="281"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2021 Incentive Award Plan</w:t>
      </w:r>
    </w:p>
    <w:p>
      <w:pPr>
        <w:spacing w:after="0" w:line="117" w:lineRule="exact"/>
        <w:rPr>
          <w:sz w:val="20"/>
          <w:szCs w:val="20"/>
          <w:color w:val="auto"/>
        </w:rPr>
      </w:pPr>
    </w:p>
    <w:p>
      <w:pPr>
        <w:ind w:firstLine="509"/>
        <w:spacing w:after="0" w:line="276" w:lineRule="auto"/>
        <w:rPr>
          <w:sz w:val="20"/>
          <w:szCs w:val="20"/>
          <w:color w:val="auto"/>
        </w:rPr>
      </w:pPr>
      <w:r>
        <w:rPr>
          <w:rFonts w:ascii="Arial" w:cs="Arial" w:eastAsia="Arial" w:hAnsi="Arial"/>
          <w:sz w:val="16"/>
          <w:szCs w:val="16"/>
          <w:color w:val="auto"/>
        </w:rPr>
        <w:t>In August 2021, the Company's board of directors adopted, and its stockholders approved, the 2021 Plan, which became effective in connection with the Direct Listing. The 2021 Plan provides for the grant of incentive stock options, nonqualified stock options, stock appreciation rights, restricted stock awards, RSU awards, performance bonus awards, performance stock units, dividend equivalent awards and other forms of equity compensation (collectively, “equity awards”). A total of 18,643,596 shares of the Company's Class A common stock have been reserved for issuance under the 2021 Plan in addition to (i) any shares available for issuance under the 2014 Plan as of the effective date of the 2021 Plan, (ii) the number of shares represented by awards outstanding under the Company's 2014 Plan (“Prior Plan Awards”) that become available upon the expiration, forfeiture, cancellation, or reacquisition of any shares of Class A common stock underlying outstanding stock awards granted under the 2014 Plan, and (iii) an annual increase on the first day of each fiscal year beginning in 2022 and ending in 2031, equal to the lesser of (A) 5% of the shares of the Company's common stock outstanding (on an as-converted basis) on the last day of the immediately preceding fiscal year and (B) such smaller number of shares of stock as determined by the Company's board of directors; provided, however, that no more than 88,000,000 shares of stock may be issued upon the exercise of incentive stock options.</w:t>
      </w:r>
    </w:p>
    <w:p>
      <w:pPr>
        <w:spacing w:after="0" w:line="257"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177" name="Picture 1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7"/>
                    <pic:cNvPicPr>
                      <a:picLocks noChangeAspect="1" noChangeArrowheads="1"/>
                    </pic:cNvPicPr>
                  </pic:nvPicPr>
                  <pic:blipFill>
                    <a:blip r:embed="rId18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543" w:right="359" w:bottom="1440" w:gutter="0" w:footer="0" w:header="0"/>
          <w:type w:val="continuous"/>
        </w:sectPr>
      </w:pPr>
    </w:p>
    <w:bookmarkStart w:id="19" w:name="page20"/>
    <w:bookmarkEnd w:id="19"/>
    <w:p>
      <w:pPr>
        <w:spacing w:after="0"/>
        <w:rPr>
          <w:sz w:val="20"/>
          <w:szCs w:val="20"/>
          <w:color w:val="auto"/>
        </w:rPr>
      </w:pPr>
      <w:r>
        <w:rPr>
          <w:rFonts w:ascii="Arial" w:cs="Arial" w:eastAsia="Arial" w:hAnsi="Arial"/>
          <w:sz w:val="18"/>
          <w:szCs w:val="18"/>
          <w:i w:val="1"/>
          <w:iCs w:val="1"/>
          <w:color w:val="auto"/>
        </w:rPr>
        <w:t>Stock Option Awards</w:t>
      </w:r>
    </w:p>
    <w:p>
      <w:pPr>
        <w:spacing w:after="0" w:line="117" w:lineRule="exact"/>
        <w:rPr>
          <w:sz w:val="20"/>
          <w:szCs w:val="20"/>
          <w:color w:val="auto"/>
        </w:rPr>
      </w:pPr>
    </w:p>
    <w:p>
      <w:pPr>
        <w:ind w:right="240" w:firstLine="509"/>
        <w:spacing w:after="0" w:line="290" w:lineRule="auto"/>
        <w:rPr>
          <w:sz w:val="20"/>
          <w:szCs w:val="20"/>
          <w:color w:val="auto"/>
        </w:rPr>
      </w:pPr>
      <w:r>
        <w:rPr>
          <w:rFonts w:ascii="Arial" w:cs="Arial" w:eastAsia="Arial" w:hAnsi="Arial"/>
          <w:sz w:val="17"/>
          <w:szCs w:val="17"/>
          <w:color w:val="auto"/>
        </w:rPr>
        <w:t>Stock options granted under the 2014 Plan and the 2021 Plan (collectively, the “combined stock plans”) generally vest based on continued service over four years. Options issued outside of the combined stock plans were immaterial and therefore not discussed further below.</w:t>
      </w:r>
    </w:p>
    <w:p>
      <w:pPr>
        <w:spacing w:after="0" w:line="148" w:lineRule="exact"/>
        <w:rPr>
          <w:sz w:val="20"/>
          <w:szCs w:val="20"/>
          <w:color w:val="auto"/>
        </w:rPr>
      </w:pPr>
    </w:p>
    <w:p>
      <w:pPr>
        <w:ind w:left="520"/>
        <w:spacing w:after="0"/>
        <w:rPr>
          <w:sz w:val="20"/>
          <w:szCs w:val="20"/>
          <w:color w:val="auto"/>
        </w:rPr>
      </w:pPr>
      <w:r>
        <w:rPr>
          <w:rFonts w:ascii="Arial" w:cs="Arial" w:eastAsia="Arial" w:hAnsi="Arial"/>
          <w:sz w:val="18"/>
          <w:szCs w:val="18"/>
          <w:color w:val="auto"/>
        </w:rPr>
        <w:t>Option activity under the Company's combined stock plans for the nine months ended September 30, 2022 is set forth below:</w:t>
      </w:r>
    </w:p>
    <w:p>
      <w:pPr>
        <w:spacing w:after="0" w:line="207"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5340" w:type="dxa"/>
            <w:vAlign w:val="bottom"/>
          </w:tcPr>
          <w:p>
            <w:pPr>
              <w:spacing w:after="0"/>
              <w:rPr>
                <w:sz w:val="18"/>
                <w:szCs w:val="18"/>
                <w:color w:val="auto"/>
              </w:rPr>
            </w:pPr>
          </w:p>
        </w:tc>
        <w:tc>
          <w:tcPr>
            <w:tcW w:w="12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40" w:type="dxa"/>
            <w:vAlign w:val="bottom"/>
          </w:tcPr>
          <w:p>
            <w:pPr>
              <w:jc w:val="center"/>
              <w:spacing w:after="0"/>
              <w:rPr>
                <w:sz w:val="20"/>
                <w:szCs w:val="20"/>
                <w:color w:val="auto"/>
              </w:rPr>
            </w:pPr>
            <w:r>
              <w:rPr>
                <w:rFonts w:ascii="Arial" w:cs="Arial" w:eastAsia="Arial" w:hAnsi="Arial"/>
                <w:sz w:val="18"/>
                <w:szCs w:val="18"/>
                <w:b w:val="1"/>
                <w:bCs w:val="1"/>
                <w:color w:val="auto"/>
                <w:w w:val="91"/>
              </w:rPr>
              <w:t>Weighted</w:t>
            </w:r>
          </w:p>
        </w:tc>
        <w:tc>
          <w:tcPr>
            <w:tcW w:w="2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8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5340" w:type="dxa"/>
            <w:vAlign w:val="bottom"/>
          </w:tcPr>
          <w:p>
            <w:pPr>
              <w:spacing w:after="0"/>
              <w:rPr>
                <w:sz w:val="18"/>
                <w:szCs w:val="18"/>
                <w:color w:val="auto"/>
              </w:rPr>
            </w:pPr>
          </w:p>
        </w:tc>
        <w:tc>
          <w:tcPr>
            <w:tcW w:w="12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20" w:type="dxa"/>
            <w:vAlign w:val="bottom"/>
          </w:tcPr>
          <w:p>
            <w:pPr>
              <w:jc w:val="center"/>
              <w:ind w:right="90"/>
              <w:spacing w:after="0"/>
              <w:rPr>
                <w:sz w:val="20"/>
                <w:szCs w:val="20"/>
                <w:color w:val="auto"/>
              </w:rPr>
            </w:pPr>
            <w:r>
              <w:rPr>
                <w:rFonts w:ascii="Arial" w:cs="Arial" w:eastAsia="Arial" w:hAnsi="Arial"/>
                <w:sz w:val="18"/>
                <w:szCs w:val="18"/>
                <w:b w:val="1"/>
                <w:bCs w:val="1"/>
                <w:color w:val="auto"/>
                <w:w w:val="88"/>
              </w:rPr>
              <w:t>Weighted</w:t>
            </w:r>
          </w:p>
        </w:tc>
        <w:tc>
          <w:tcPr>
            <w:tcW w:w="220" w:type="dxa"/>
            <w:vAlign w:val="bottom"/>
          </w:tcPr>
          <w:p>
            <w:pPr>
              <w:spacing w:after="0"/>
              <w:rPr>
                <w:sz w:val="18"/>
                <w:szCs w:val="18"/>
                <w:color w:val="auto"/>
              </w:rPr>
            </w:pPr>
          </w:p>
        </w:tc>
        <w:tc>
          <w:tcPr>
            <w:tcW w:w="1240" w:type="dxa"/>
            <w:vAlign w:val="bottom"/>
          </w:tcPr>
          <w:p>
            <w:pPr>
              <w:jc w:val="center"/>
              <w:spacing w:after="0"/>
              <w:rPr>
                <w:sz w:val="20"/>
                <w:szCs w:val="20"/>
                <w:color w:val="auto"/>
              </w:rPr>
            </w:pPr>
            <w:r>
              <w:rPr>
                <w:rFonts w:ascii="Arial" w:cs="Arial" w:eastAsia="Arial" w:hAnsi="Arial"/>
                <w:sz w:val="18"/>
                <w:szCs w:val="18"/>
                <w:b w:val="1"/>
                <w:bCs w:val="1"/>
                <w:color w:val="auto"/>
                <w:w w:val="88"/>
              </w:rPr>
              <w:t>average</w:t>
            </w:r>
          </w:p>
        </w:tc>
        <w:tc>
          <w:tcPr>
            <w:tcW w:w="2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80" w:type="dxa"/>
            <w:vAlign w:val="bottom"/>
          </w:tcPr>
          <w:p>
            <w:pPr>
              <w:jc w:val="center"/>
              <w:ind w:right="30"/>
              <w:spacing w:after="0"/>
              <w:rPr>
                <w:sz w:val="20"/>
                <w:szCs w:val="20"/>
                <w:color w:val="auto"/>
              </w:rPr>
            </w:pPr>
            <w:r>
              <w:rPr>
                <w:rFonts w:ascii="Arial" w:cs="Arial" w:eastAsia="Arial" w:hAnsi="Arial"/>
                <w:sz w:val="18"/>
                <w:szCs w:val="18"/>
                <w:b w:val="1"/>
                <w:bCs w:val="1"/>
                <w:color w:val="auto"/>
                <w:w w:val="89"/>
              </w:rPr>
              <w:t>Aggregate</w:t>
            </w:r>
          </w:p>
        </w:tc>
        <w:tc>
          <w:tcPr>
            <w:tcW w:w="100" w:type="dxa"/>
            <w:vAlign w:val="bottom"/>
          </w:tcPr>
          <w:p>
            <w:pPr>
              <w:spacing w:after="0"/>
              <w:rPr>
                <w:sz w:val="18"/>
                <w:szCs w:val="18"/>
                <w:color w:val="auto"/>
              </w:rPr>
            </w:pPr>
          </w:p>
        </w:tc>
      </w:tr>
      <w:tr>
        <w:trPr>
          <w:trHeight w:val="216"/>
        </w:trPr>
        <w:tc>
          <w:tcPr>
            <w:tcW w:w="5340" w:type="dxa"/>
            <w:vAlign w:val="bottom"/>
          </w:tcPr>
          <w:p>
            <w:pPr>
              <w:spacing w:after="0"/>
              <w:rPr>
                <w:sz w:val="18"/>
                <w:szCs w:val="18"/>
                <w:color w:val="auto"/>
              </w:rPr>
            </w:pPr>
          </w:p>
        </w:tc>
        <w:tc>
          <w:tcPr>
            <w:tcW w:w="1540" w:type="dxa"/>
            <w:vAlign w:val="bottom"/>
            <w:gridSpan w:val="2"/>
          </w:tcPr>
          <w:p>
            <w:pPr>
              <w:jc w:val="center"/>
              <w:ind w:right="260"/>
              <w:spacing w:after="0"/>
              <w:rPr>
                <w:sz w:val="20"/>
                <w:szCs w:val="20"/>
                <w:color w:val="auto"/>
              </w:rPr>
            </w:pPr>
            <w:r>
              <w:rPr>
                <w:rFonts w:ascii="Arial" w:cs="Arial" w:eastAsia="Arial" w:hAnsi="Arial"/>
                <w:sz w:val="18"/>
                <w:szCs w:val="18"/>
                <w:b w:val="1"/>
                <w:bCs w:val="1"/>
                <w:color w:val="auto"/>
                <w:w w:val="90"/>
              </w:rPr>
              <w:t>Outstanding</w:t>
            </w:r>
          </w:p>
        </w:tc>
        <w:tc>
          <w:tcPr>
            <w:tcW w:w="160" w:type="dxa"/>
            <w:vAlign w:val="bottom"/>
          </w:tcPr>
          <w:p>
            <w:pPr>
              <w:spacing w:after="0"/>
              <w:rPr>
                <w:sz w:val="18"/>
                <w:szCs w:val="18"/>
                <w:color w:val="auto"/>
              </w:rPr>
            </w:pPr>
          </w:p>
        </w:tc>
        <w:tc>
          <w:tcPr>
            <w:tcW w:w="1020" w:type="dxa"/>
            <w:vAlign w:val="bottom"/>
          </w:tcPr>
          <w:p>
            <w:pPr>
              <w:jc w:val="center"/>
              <w:ind w:right="90"/>
              <w:spacing w:after="0"/>
              <w:rPr>
                <w:sz w:val="20"/>
                <w:szCs w:val="20"/>
                <w:color w:val="auto"/>
              </w:rPr>
            </w:pPr>
            <w:r>
              <w:rPr>
                <w:rFonts w:ascii="Arial" w:cs="Arial" w:eastAsia="Arial" w:hAnsi="Arial"/>
                <w:sz w:val="18"/>
                <w:szCs w:val="18"/>
                <w:b w:val="1"/>
                <w:bCs w:val="1"/>
                <w:color w:val="auto"/>
                <w:w w:val="88"/>
              </w:rPr>
              <w:t>average</w:t>
            </w:r>
          </w:p>
        </w:tc>
        <w:tc>
          <w:tcPr>
            <w:tcW w:w="220" w:type="dxa"/>
            <w:vAlign w:val="bottom"/>
          </w:tcPr>
          <w:p>
            <w:pPr>
              <w:spacing w:after="0"/>
              <w:rPr>
                <w:sz w:val="18"/>
                <w:szCs w:val="18"/>
                <w:color w:val="auto"/>
              </w:rPr>
            </w:pPr>
          </w:p>
        </w:tc>
        <w:tc>
          <w:tcPr>
            <w:tcW w:w="1240" w:type="dxa"/>
            <w:vAlign w:val="bottom"/>
          </w:tcPr>
          <w:p>
            <w:pPr>
              <w:jc w:val="center"/>
              <w:spacing w:after="0"/>
              <w:rPr>
                <w:sz w:val="20"/>
                <w:szCs w:val="20"/>
                <w:color w:val="auto"/>
              </w:rPr>
            </w:pPr>
            <w:r>
              <w:rPr>
                <w:rFonts w:ascii="Arial" w:cs="Arial" w:eastAsia="Arial" w:hAnsi="Arial"/>
                <w:sz w:val="18"/>
                <w:szCs w:val="18"/>
                <w:b w:val="1"/>
                <w:bCs w:val="1"/>
                <w:color w:val="auto"/>
                <w:w w:val="90"/>
              </w:rPr>
              <w:t>remaining</w:t>
            </w:r>
          </w:p>
        </w:tc>
        <w:tc>
          <w:tcPr>
            <w:tcW w:w="2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80" w:type="dxa"/>
            <w:vAlign w:val="bottom"/>
          </w:tcPr>
          <w:p>
            <w:pPr>
              <w:jc w:val="center"/>
              <w:ind w:right="30"/>
              <w:spacing w:after="0"/>
              <w:rPr>
                <w:sz w:val="20"/>
                <w:szCs w:val="20"/>
                <w:color w:val="auto"/>
              </w:rPr>
            </w:pPr>
            <w:r>
              <w:rPr>
                <w:rFonts w:ascii="Arial" w:cs="Arial" w:eastAsia="Arial" w:hAnsi="Arial"/>
                <w:sz w:val="18"/>
                <w:szCs w:val="18"/>
                <w:b w:val="1"/>
                <w:bCs w:val="1"/>
                <w:color w:val="auto"/>
                <w:w w:val="91"/>
              </w:rPr>
              <w:t>intrinsic</w:t>
            </w:r>
          </w:p>
        </w:tc>
        <w:tc>
          <w:tcPr>
            <w:tcW w:w="100" w:type="dxa"/>
            <w:vAlign w:val="bottom"/>
          </w:tcPr>
          <w:p>
            <w:pPr>
              <w:spacing w:after="0"/>
              <w:rPr>
                <w:sz w:val="18"/>
                <w:szCs w:val="18"/>
                <w:color w:val="auto"/>
              </w:rPr>
            </w:pPr>
          </w:p>
        </w:tc>
      </w:tr>
      <w:tr>
        <w:trPr>
          <w:trHeight w:val="216"/>
        </w:trPr>
        <w:tc>
          <w:tcPr>
            <w:tcW w:w="5340" w:type="dxa"/>
            <w:vAlign w:val="bottom"/>
          </w:tcPr>
          <w:p>
            <w:pPr>
              <w:spacing w:after="0"/>
              <w:rPr>
                <w:sz w:val="18"/>
                <w:szCs w:val="18"/>
                <w:color w:val="auto"/>
              </w:rPr>
            </w:pPr>
          </w:p>
        </w:tc>
        <w:tc>
          <w:tcPr>
            <w:tcW w:w="1540" w:type="dxa"/>
            <w:vAlign w:val="bottom"/>
            <w:gridSpan w:val="2"/>
          </w:tcPr>
          <w:p>
            <w:pPr>
              <w:jc w:val="center"/>
              <w:ind w:right="260"/>
              <w:spacing w:after="0"/>
              <w:rPr>
                <w:sz w:val="20"/>
                <w:szCs w:val="20"/>
                <w:color w:val="auto"/>
              </w:rPr>
            </w:pPr>
            <w:r>
              <w:rPr>
                <w:rFonts w:ascii="Arial" w:cs="Arial" w:eastAsia="Arial" w:hAnsi="Arial"/>
                <w:sz w:val="18"/>
                <w:szCs w:val="18"/>
                <w:b w:val="1"/>
                <w:bCs w:val="1"/>
                <w:color w:val="auto"/>
                <w:w w:val="84"/>
              </w:rPr>
              <w:t>stock</w:t>
            </w:r>
          </w:p>
        </w:tc>
        <w:tc>
          <w:tcPr>
            <w:tcW w:w="160" w:type="dxa"/>
            <w:vAlign w:val="bottom"/>
          </w:tcPr>
          <w:p>
            <w:pPr>
              <w:spacing w:after="0"/>
              <w:rPr>
                <w:sz w:val="18"/>
                <w:szCs w:val="18"/>
                <w:color w:val="auto"/>
              </w:rPr>
            </w:pPr>
          </w:p>
        </w:tc>
        <w:tc>
          <w:tcPr>
            <w:tcW w:w="1020" w:type="dxa"/>
            <w:vAlign w:val="bottom"/>
          </w:tcPr>
          <w:p>
            <w:pPr>
              <w:jc w:val="center"/>
              <w:ind w:right="90"/>
              <w:spacing w:after="0"/>
              <w:rPr>
                <w:sz w:val="20"/>
                <w:szCs w:val="20"/>
                <w:color w:val="auto"/>
              </w:rPr>
            </w:pPr>
            <w:r>
              <w:rPr>
                <w:rFonts w:ascii="Arial" w:cs="Arial" w:eastAsia="Arial" w:hAnsi="Arial"/>
                <w:sz w:val="18"/>
                <w:szCs w:val="18"/>
                <w:b w:val="1"/>
                <w:bCs w:val="1"/>
                <w:color w:val="auto"/>
                <w:w w:val="83"/>
              </w:rPr>
              <w:t>exercise</w:t>
            </w:r>
          </w:p>
        </w:tc>
        <w:tc>
          <w:tcPr>
            <w:tcW w:w="220" w:type="dxa"/>
            <w:vAlign w:val="bottom"/>
          </w:tcPr>
          <w:p>
            <w:pPr>
              <w:spacing w:after="0"/>
              <w:rPr>
                <w:sz w:val="18"/>
                <w:szCs w:val="18"/>
                <w:color w:val="auto"/>
              </w:rPr>
            </w:pPr>
          </w:p>
        </w:tc>
        <w:tc>
          <w:tcPr>
            <w:tcW w:w="1240" w:type="dxa"/>
            <w:vAlign w:val="bottom"/>
          </w:tcPr>
          <w:p>
            <w:pPr>
              <w:jc w:val="center"/>
              <w:spacing w:after="0"/>
              <w:rPr>
                <w:sz w:val="20"/>
                <w:szCs w:val="20"/>
                <w:color w:val="auto"/>
              </w:rPr>
            </w:pPr>
            <w:r>
              <w:rPr>
                <w:rFonts w:ascii="Arial" w:cs="Arial" w:eastAsia="Arial" w:hAnsi="Arial"/>
                <w:sz w:val="18"/>
                <w:szCs w:val="18"/>
                <w:b w:val="1"/>
                <w:bCs w:val="1"/>
                <w:color w:val="auto"/>
                <w:w w:val="90"/>
              </w:rPr>
              <w:t>contractual</w:t>
            </w:r>
          </w:p>
        </w:tc>
        <w:tc>
          <w:tcPr>
            <w:tcW w:w="2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80" w:type="dxa"/>
            <w:vAlign w:val="bottom"/>
          </w:tcPr>
          <w:p>
            <w:pPr>
              <w:jc w:val="center"/>
              <w:ind w:right="30"/>
              <w:spacing w:after="0"/>
              <w:rPr>
                <w:sz w:val="20"/>
                <w:szCs w:val="20"/>
                <w:color w:val="auto"/>
              </w:rPr>
            </w:pPr>
            <w:r>
              <w:rPr>
                <w:rFonts w:ascii="Arial" w:cs="Arial" w:eastAsia="Arial" w:hAnsi="Arial"/>
                <w:sz w:val="18"/>
                <w:szCs w:val="18"/>
                <w:b w:val="1"/>
                <w:bCs w:val="1"/>
                <w:color w:val="auto"/>
                <w:w w:val="86"/>
              </w:rPr>
              <w:t>value</w:t>
            </w:r>
          </w:p>
        </w:tc>
        <w:tc>
          <w:tcPr>
            <w:tcW w:w="100" w:type="dxa"/>
            <w:vAlign w:val="bottom"/>
          </w:tcPr>
          <w:p>
            <w:pPr>
              <w:spacing w:after="0"/>
              <w:rPr>
                <w:sz w:val="18"/>
                <w:szCs w:val="18"/>
                <w:color w:val="auto"/>
              </w:rPr>
            </w:pPr>
          </w:p>
        </w:tc>
      </w:tr>
      <w:tr>
        <w:trPr>
          <w:trHeight w:val="234"/>
        </w:trPr>
        <w:tc>
          <w:tcPr>
            <w:tcW w:w="5340" w:type="dxa"/>
            <w:vAlign w:val="bottom"/>
          </w:tcPr>
          <w:p>
            <w:pPr>
              <w:spacing w:after="0"/>
              <w:rPr>
                <w:sz w:val="20"/>
                <w:szCs w:val="20"/>
                <w:color w:val="auto"/>
              </w:rPr>
            </w:pPr>
          </w:p>
        </w:tc>
        <w:tc>
          <w:tcPr>
            <w:tcW w:w="1540" w:type="dxa"/>
            <w:vAlign w:val="bottom"/>
            <w:gridSpan w:val="2"/>
          </w:tcPr>
          <w:p>
            <w:pPr>
              <w:jc w:val="center"/>
              <w:ind w:right="260"/>
              <w:spacing w:after="0"/>
              <w:rPr>
                <w:sz w:val="20"/>
                <w:szCs w:val="20"/>
                <w:color w:val="auto"/>
              </w:rPr>
            </w:pPr>
            <w:r>
              <w:rPr>
                <w:rFonts w:ascii="Arial" w:cs="Arial" w:eastAsia="Arial" w:hAnsi="Arial"/>
                <w:sz w:val="18"/>
                <w:szCs w:val="18"/>
                <w:b w:val="1"/>
                <w:bCs w:val="1"/>
                <w:color w:val="auto"/>
                <w:w w:val="86"/>
              </w:rPr>
              <w:t>options</w:t>
            </w:r>
          </w:p>
        </w:tc>
        <w:tc>
          <w:tcPr>
            <w:tcW w:w="160" w:type="dxa"/>
            <w:vAlign w:val="bottom"/>
          </w:tcPr>
          <w:p>
            <w:pPr>
              <w:spacing w:after="0"/>
              <w:rPr>
                <w:sz w:val="20"/>
                <w:szCs w:val="20"/>
                <w:color w:val="auto"/>
              </w:rPr>
            </w:pPr>
          </w:p>
        </w:tc>
        <w:tc>
          <w:tcPr>
            <w:tcW w:w="1020" w:type="dxa"/>
            <w:vAlign w:val="bottom"/>
          </w:tcPr>
          <w:p>
            <w:pPr>
              <w:jc w:val="center"/>
              <w:ind w:right="70"/>
              <w:spacing w:after="0"/>
              <w:rPr>
                <w:sz w:val="20"/>
                <w:szCs w:val="20"/>
                <w:color w:val="auto"/>
              </w:rPr>
            </w:pPr>
            <w:r>
              <w:rPr>
                <w:rFonts w:ascii="Arial" w:cs="Arial" w:eastAsia="Arial" w:hAnsi="Arial"/>
                <w:sz w:val="18"/>
                <w:szCs w:val="18"/>
                <w:b w:val="1"/>
                <w:bCs w:val="1"/>
                <w:color w:val="auto"/>
                <w:w w:val="88"/>
              </w:rPr>
              <w:t>price</w:t>
            </w:r>
          </w:p>
        </w:tc>
        <w:tc>
          <w:tcPr>
            <w:tcW w:w="220" w:type="dxa"/>
            <w:vAlign w:val="bottom"/>
          </w:tcPr>
          <w:p>
            <w:pPr>
              <w:spacing w:after="0"/>
              <w:rPr>
                <w:sz w:val="20"/>
                <w:szCs w:val="20"/>
                <w:color w:val="auto"/>
              </w:rPr>
            </w:pPr>
          </w:p>
        </w:tc>
        <w:tc>
          <w:tcPr>
            <w:tcW w:w="1240" w:type="dxa"/>
            <w:vAlign w:val="bottom"/>
          </w:tcPr>
          <w:p>
            <w:pPr>
              <w:jc w:val="center"/>
              <w:spacing w:after="0"/>
              <w:rPr>
                <w:sz w:val="20"/>
                <w:szCs w:val="20"/>
                <w:color w:val="auto"/>
              </w:rPr>
            </w:pPr>
            <w:r>
              <w:rPr>
                <w:rFonts w:ascii="Arial" w:cs="Arial" w:eastAsia="Arial" w:hAnsi="Arial"/>
                <w:sz w:val="18"/>
                <w:szCs w:val="18"/>
                <w:b w:val="1"/>
                <w:bCs w:val="1"/>
                <w:color w:val="auto"/>
                <w:w w:val="91"/>
              </w:rPr>
              <w:t>life (years)</w:t>
            </w:r>
          </w:p>
        </w:tc>
        <w:tc>
          <w:tcPr>
            <w:tcW w:w="2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280" w:type="dxa"/>
            <w:vAlign w:val="bottom"/>
          </w:tcPr>
          <w:p>
            <w:pPr>
              <w:jc w:val="center"/>
              <w:ind w:right="30"/>
              <w:spacing w:after="0"/>
              <w:rPr>
                <w:sz w:val="20"/>
                <w:szCs w:val="20"/>
                <w:color w:val="auto"/>
              </w:rPr>
            </w:pPr>
            <w:r>
              <w:rPr>
                <w:rFonts w:ascii="Arial" w:cs="Arial" w:eastAsia="Arial" w:hAnsi="Arial"/>
                <w:sz w:val="18"/>
                <w:szCs w:val="18"/>
                <w:b w:val="1"/>
                <w:bCs w:val="1"/>
                <w:color w:val="auto"/>
                <w:w w:val="87"/>
              </w:rPr>
              <w:t>(in thousands)</w:t>
            </w:r>
          </w:p>
        </w:tc>
        <w:tc>
          <w:tcPr>
            <w:tcW w:w="100" w:type="dxa"/>
            <w:vAlign w:val="bottom"/>
          </w:tcPr>
          <w:p>
            <w:pPr>
              <w:spacing w:after="0"/>
              <w:rPr>
                <w:sz w:val="20"/>
                <w:szCs w:val="20"/>
                <w:color w:val="auto"/>
              </w:rPr>
            </w:pPr>
          </w:p>
        </w:tc>
      </w:tr>
      <w:tr>
        <w:trPr>
          <w:trHeight w:val="209"/>
        </w:trPr>
        <w:tc>
          <w:tcPr>
            <w:tcW w:w="5340" w:type="dxa"/>
            <w:vAlign w:val="bottom"/>
            <w:tcBorders>
              <w:bottom w:val="single" w:sz="8" w:color="CFF0FC"/>
            </w:tcBorders>
            <w:shd w:val="clear" w:color="auto" w:fill="CFF0FC"/>
          </w:tcPr>
          <w:p>
            <w:pPr>
              <w:ind w:left="20"/>
              <w:spacing w:after="0"/>
              <w:rPr>
                <w:sz w:val="20"/>
                <w:szCs w:val="20"/>
                <w:color w:val="auto"/>
              </w:rPr>
            </w:pPr>
            <w:r>
              <w:rPr>
                <w:rFonts w:ascii="Arial" w:cs="Arial" w:eastAsia="Arial" w:hAnsi="Arial"/>
                <w:sz w:val="18"/>
                <w:szCs w:val="18"/>
                <w:color w:val="auto"/>
              </w:rPr>
              <w:t>Balances as of December 31, 2021</w:t>
            </w:r>
          </w:p>
        </w:tc>
        <w:tc>
          <w:tcPr>
            <w:tcW w:w="128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21,214,155</w:t>
            </w:r>
          </w:p>
        </w:tc>
        <w:tc>
          <w:tcPr>
            <w:tcW w:w="260" w:type="dxa"/>
            <w:vAlign w:val="bottom"/>
            <w:tcBorders>
              <w:bottom w:val="single" w:sz="8" w:color="CFF0FC"/>
            </w:tcBorders>
            <w:shd w:val="clear" w:color="auto" w:fill="CFF0FC"/>
          </w:tcPr>
          <w:p>
            <w:pPr>
              <w:spacing w:after="0"/>
              <w:rPr>
                <w:sz w:val="18"/>
                <w:szCs w:val="18"/>
                <w:color w:val="auto"/>
              </w:rPr>
            </w:pPr>
          </w:p>
        </w:tc>
        <w:tc>
          <w:tcPr>
            <w:tcW w:w="160" w:type="dxa"/>
            <w:vAlign w:val="bottom"/>
            <w:tcBorders>
              <w:top w:val="single" w:sz="8" w:color="auto"/>
              <w:bottom w:val="single" w:sz="8" w:color="CFF0FC"/>
            </w:tcBorders>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1020" w:type="dxa"/>
            <w:vAlign w:val="bottom"/>
            <w:tcBorders>
              <w:top w:val="single" w:sz="8" w:color="auto"/>
              <w:bottom w:val="single" w:sz="8" w:color="CFF0FC"/>
            </w:tcBorders>
            <w:shd w:val="clear" w:color="auto" w:fill="CFF0FC"/>
          </w:tcPr>
          <w:p>
            <w:pPr>
              <w:jc w:val="right"/>
              <w:spacing w:after="0"/>
              <w:rPr>
                <w:sz w:val="20"/>
                <w:szCs w:val="20"/>
                <w:color w:val="auto"/>
              </w:rPr>
            </w:pPr>
            <w:r>
              <w:rPr>
                <w:rFonts w:ascii="Arial" w:cs="Arial" w:eastAsia="Arial" w:hAnsi="Arial"/>
                <w:sz w:val="18"/>
                <w:szCs w:val="18"/>
                <w:color w:val="auto"/>
              </w:rPr>
              <w:t>4.15</w:t>
            </w:r>
          </w:p>
        </w:tc>
        <w:tc>
          <w:tcPr>
            <w:tcW w:w="220" w:type="dxa"/>
            <w:vAlign w:val="bottom"/>
            <w:tcBorders>
              <w:bottom w:val="single" w:sz="8" w:color="CFF0FC"/>
            </w:tcBorders>
            <w:shd w:val="clear" w:color="auto" w:fill="CFF0FC"/>
          </w:tcPr>
          <w:p>
            <w:pPr>
              <w:spacing w:after="0"/>
              <w:rPr>
                <w:sz w:val="18"/>
                <w:szCs w:val="18"/>
                <w:color w:val="auto"/>
              </w:rPr>
            </w:pPr>
          </w:p>
        </w:tc>
        <w:tc>
          <w:tcPr>
            <w:tcW w:w="1240" w:type="dxa"/>
            <w:vAlign w:val="bottom"/>
            <w:tcBorders>
              <w:top w:val="single" w:sz="8" w:color="auto"/>
              <w:bottom w:val="single" w:sz="8" w:color="CFF0FC"/>
            </w:tcBorders>
            <w:shd w:val="clear" w:color="auto" w:fill="CFF0FC"/>
          </w:tcPr>
          <w:p>
            <w:pPr>
              <w:jc w:val="right"/>
              <w:spacing w:after="0"/>
              <w:rPr>
                <w:sz w:val="20"/>
                <w:szCs w:val="20"/>
                <w:color w:val="auto"/>
              </w:rPr>
            </w:pPr>
            <w:r>
              <w:rPr>
                <w:rFonts w:ascii="Arial" w:cs="Arial" w:eastAsia="Arial" w:hAnsi="Arial"/>
                <w:sz w:val="18"/>
                <w:szCs w:val="18"/>
                <w:color w:val="auto"/>
              </w:rPr>
              <w:t>8.12</w:t>
            </w:r>
          </w:p>
        </w:tc>
        <w:tc>
          <w:tcPr>
            <w:tcW w:w="220" w:type="dxa"/>
            <w:vAlign w:val="bottom"/>
            <w:tcBorders>
              <w:bottom w:val="single" w:sz="8" w:color="CFF0FC"/>
            </w:tcBorders>
            <w:shd w:val="clear" w:color="auto" w:fill="CFF0FC"/>
          </w:tcPr>
          <w:p>
            <w:pPr>
              <w:spacing w:after="0"/>
              <w:rPr>
                <w:sz w:val="18"/>
                <w:szCs w:val="18"/>
                <w:color w:val="auto"/>
              </w:rPr>
            </w:pPr>
          </w:p>
        </w:tc>
        <w:tc>
          <w:tcPr>
            <w:tcW w:w="120" w:type="dxa"/>
            <w:vAlign w:val="bottom"/>
            <w:tcBorders>
              <w:top w:val="single" w:sz="8" w:color="auto"/>
              <w:bottom w:val="single" w:sz="8" w:color="CFF0FC"/>
            </w:tcBorders>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1280" w:type="dxa"/>
            <w:vAlign w:val="bottom"/>
            <w:tcBorders>
              <w:top w:val="single" w:sz="8" w:color="auto"/>
              <w:bottom w:val="single" w:sz="8" w:color="CFF0FC"/>
            </w:tcBorders>
            <w:shd w:val="clear" w:color="auto" w:fill="CFF0FC"/>
          </w:tcPr>
          <w:p>
            <w:pPr>
              <w:jc w:val="right"/>
              <w:spacing w:after="0"/>
              <w:rPr>
                <w:sz w:val="20"/>
                <w:szCs w:val="20"/>
                <w:color w:val="auto"/>
              </w:rPr>
            </w:pPr>
            <w:r>
              <w:rPr>
                <w:rFonts w:ascii="Arial" w:cs="Arial" w:eastAsia="Arial" w:hAnsi="Arial"/>
                <w:sz w:val="18"/>
                <w:szCs w:val="18"/>
                <w:color w:val="auto"/>
              </w:rPr>
              <w:t>1,035,039</w:t>
            </w:r>
          </w:p>
        </w:tc>
        <w:tc>
          <w:tcPr>
            <w:tcW w:w="100" w:type="dxa"/>
            <w:vAlign w:val="bottom"/>
            <w:tcBorders>
              <w:bottom w:val="single" w:sz="8" w:color="CFF0FC"/>
            </w:tcBorders>
            <w:shd w:val="clear" w:color="auto" w:fill="CFF0FC"/>
          </w:tcPr>
          <w:p>
            <w:pPr>
              <w:spacing w:after="0"/>
              <w:rPr>
                <w:sz w:val="18"/>
                <w:szCs w:val="18"/>
                <w:color w:val="auto"/>
              </w:rPr>
            </w:pPr>
          </w:p>
        </w:tc>
      </w:tr>
      <w:tr>
        <w:trPr>
          <w:trHeight w:val="209"/>
        </w:trPr>
        <w:tc>
          <w:tcPr>
            <w:tcW w:w="5340" w:type="dxa"/>
            <w:vAlign w:val="bottom"/>
          </w:tcPr>
          <w:p>
            <w:pPr>
              <w:ind w:left="20"/>
              <w:spacing w:after="0"/>
              <w:rPr>
                <w:sz w:val="20"/>
                <w:szCs w:val="20"/>
                <w:color w:val="auto"/>
              </w:rPr>
            </w:pPr>
            <w:r>
              <w:rPr>
                <w:rFonts w:ascii="Arial" w:cs="Arial" w:eastAsia="Arial" w:hAnsi="Arial"/>
                <w:sz w:val="18"/>
                <w:szCs w:val="18"/>
                <w:color w:val="auto"/>
              </w:rPr>
              <w:t>Granted</w:t>
            </w:r>
          </w:p>
        </w:tc>
        <w:tc>
          <w:tcPr>
            <w:tcW w:w="1280" w:type="dxa"/>
            <w:vAlign w:val="bottom"/>
          </w:tcPr>
          <w:p>
            <w:pPr>
              <w:jc w:val="right"/>
              <w:spacing w:after="0"/>
              <w:rPr>
                <w:sz w:val="20"/>
                <w:szCs w:val="20"/>
                <w:color w:val="auto"/>
              </w:rPr>
            </w:pPr>
            <w:r>
              <w:rPr>
                <w:rFonts w:ascii="Arial" w:cs="Arial" w:eastAsia="Arial" w:hAnsi="Arial"/>
                <w:sz w:val="18"/>
                <w:szCs w:val="18"/>
                <w:color w:val="auto"/>
              </w:rPr>
              <w:t>858,630</w:t>
            </w:r>
          </w:p>
        </w:tc>
        <w:tc>
          <w:tcPr>
            <w:tcW w:w="2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14.84</w:t>
            </w:r>
          </w:p>
        </w:tc>
        <w:tc>
          <w:tcPr>
            <w:tcW w:w="22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8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5340" w:type="dxa"/>
            <w:vAlign w:val="bottom"/>
            <w:shd w:val="clear" w:color="auto" w:fill="CFF0FC"/>
          </w:tcPr>
          <w:p>
            <w:pPr>
              <w:ind w:left="20"/>
              <w:spacing w:after="0"/>
              <w:rPr>
                <w:sz w:val="20"/>
                <w:szCs w:val="20"/>
                <w:color w:val="auto"/>
              </w:rPr>
            </w:pPr>
            <w:r>
              <w:rPr>
                <w:rFonts w:ascii="Arial" w:cs="Arial" w:eastAsia="Arial" w:hAnsi="Arial"/>
                <w:sz w:val="18"/>
                <w:szCs w:val="18"/>
                <w:color w:val="auto"/>
              </w:rPr>
              <w:t>Exercised</w:t>
            </w:r>
          </w:p>
        </w:tc>
        <w:tc>
          <w:tcPr>
            <w:tcW w:w="1540" w:type="dxa"/>
            <w:vAlign w:val="bottom"/>
            <w:gridSpan w:val="2"/>
            <w:shd w:val="clear" w:color="auto" w:fill="CFF0FC"/>
          </w:tcPr>
          <w:p>
            <w:pPr>
              <w:jc w:val="right"/>
              <w:ind w:right="200"/>
              <w:spacing w:after="0"/>
              <w:rPr>
                <w:sz w:val="20"/>
                <w:szCs w:val="20"/>
                <w:color w:val="auto"/>
              </w:rPr>
            </w:pPr>
            <w:r>
              <w:rPr>
                <w:rFonts w:ascii="Arial" w:cs="Arial" w:eastAsia="Arial" w:hAnsi="Arial"/>
                <w:sz w:val="18"/>
                <w:szCs w:val="18"/>
                <w:color w:val="auto"/>
              </w:rPr>
              <w:t>(2,239,714 )</w:t>
            </w:r>
          </w:p>
        </w:tc>
        <w:tc>
          <w:tcPr>
            <w:tcW w:w="160" w:type="dxa"/>
            <w:vAlign w:val="bottom"/>
            <w:shd w:val="clear" w:color="auto" w:fill="CFF0FC"/>
          </w:tcPr>
          <w:p>
            <w:pPr>
              <w:spacing w:after="0"/>
              <w:rPr>
                <w:sz w:val="18"/>
                <w:szCs w:val="18"/>
                <w:color w:val="auto"/>
              </w:rPr>
            </w:pPr>
          </w:p>
        </w:tc>
        <w:tc>
          <w:tcPr>
            <w:tcW w:w="10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2.77</w:t>
            </w:r>
          </w:p>
        </w:tc>
        <w:tc>
          <w:tcPr>
            <w:tcW w:w="220" w:type="dxa"/>
            <w:vAlign w:val="bottom"/>
            <w:shd w:val="clear" w:color="auto" w:fill="CFF0FC"/>
          </w:tcPr>
          <w:p>
            <w:pPr>
              <w:spacing w:after="0"/>
              <w:rPr>
                <w:sz w:val="18"/>
                <w:szCs w:val="18"/>
                <w:color w:val="auto"/>
              </w:rPr>
            </w:pPr>
          </w:p>
        </w:tc>
        <w:tc>
          <w:tcPr>
            <w:tcW w:w="124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128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r>
      <w:tr>
        <w:trPr>
          <w:trHeight w:val="216"/>
        </w:trPr>
        <w:tc>
          <w:tcPr>
            <w:tcW w:w="5340" w:type="dxa"/>
            <w:vAlign w:val="bottom"/>
          </w:tcPr>
          <w:p>
            <w:pPr>
              <w:ind w:left="20"/>
              <w:spacing w:after="0"/>
              <w:rPr>
                <w:sz w:val="20"/>
                <w:szCs w:val="20"/>
                <w:color w:val="auto"/>
              </w:rPr>
            </w:pPr>
            <w:r>
              <w:rPr>
                <w:rFonts w:ascii="Arial" w:cs="Arial" w:eastAsia="Arial" w:hAnsi="Arial"/>
                <w:sz w:val="18"/>
                <w:szCs w:val="18"/>
                <w:color w:val="auto"/>
              </w:rPr>
              <w:t>Cancelled/forfeited</w:t>
            </w:r>
          </w:p>
        </w:tc>
        <w:tc>
          <w:tcPr>
            <w:tcW w:w="1540" w:type="dxa"/>
            <w:vAlign w:val="bottom"/>
            <w:gridSpan w:val="2"/>
          </w:tcPr>
          <w:p>
            <w:pPr>
              <w:jc w:val="right"/>
              <w:ind w:right="200"/>
              <w:spacing w:after="0"/>
              <w:rPr>
                <w:sz w:val="20"/>
                <w:szCs w:val="20"/>
                <w:color w:val="auto"/>
              </w:rPr>
            </w:pPr>
            <w:r>
              <w:rPr>
                <w:rFonts w:ascii="Arial" w:cs="Arial" w:eastAsia="Arial" w:hAnsi="Arial"/>
                <w:sz w:val="18"/>
                <w:szCs w:val="18"/>
                <w:color w:val="auto"/>
              </w:rPr>
              <w:t>(2,434,742 )</w:t>
            </w:r>
          </w:p>
        </w:tc>
        <w:tc>
          <w:tcPr>
            <w:tcW w:w="16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8.72</w:t>
            </w:r>
          </w:p>
        </w:tc>
        <w:tc>
          <w:tcPr>
            <w:tcW w:w="22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8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49"/>
        </w:trPr>
        <w:tc>
          <w:tcPr>
            <w:tcW w:w="5340" w:type="dxa"/>
            <w:vAlign w:val="bottom"/>
            <w:tcBorders>
              <w:bottom w:val="single" w:sz="8" w:color="CFF0FC"/>
            </w:tcBorders>
            <w:shd w:val="clear" w:color="auto" w:fill="CFF0FC"/>
          </w:tcPr>
          <w:p>
            <w:pPr>
              <w:ind w:left="20"/>
              <w:spacing w:after="0" w:line="209" w:lineRule="exact"/>
              <w:rPr>
                <w:sz w:val="20"/>
                <w:szCs w:val="20"/>
                <w:color w:val="auto"/>
              </w:rPr>
            </w:pPr>
            <w:r>
              <w:rPr>
                <w:rFonts w:ascii="Arial" w:cs="Arial" w:eastAsia="Arial" w:hAnsi="Arial"/>
                <w:sz w:val="18"/>
                <w:szCs w:val="18"/>
                <w:color w:val="auto"/>
              </w:rPr>
              <w:t>Balances as of September 30, 2022</w:t>
            </w:r>
            <w:r>
              <w:rPr>
                <w:rFonts w:ascii="Arial" w:cs="Arial" w:eastAsia="Arial" w:hAnsi="Arial"/>
                <w:sz w:val="24"/>
                <w:szCs w:val="24"/>
                <w:color w:val="auto"/>
                <w:vertAlign w:val="superscript"/>
              </w:rPr>
              <w:t>(1)</w:t>
            </w:r>
          </w:p>
        </w:tc>
        <w:tc>
          <w:tcPr>
            <w:tcW w:w="128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17,398,329</w:t>
            </w:r>
          </w:p>
        </w:tc>
        <w:tc>
          <w:tcPr>
            <w:tcW w:w="260" w:type="dxa"/>
            <w:vAlign w:val="bottom"/>
            <w:tcBorders>
              <w:bottom w:val="single" w:sz="8" w:color="CFF0FC"/>
            </w:tcBorders>
            <w:shd w:val="clear" w:color="auto" w:fill="CFF0FC"/>
          </w:tcPr>
          <w:p>
            <w:pPr>
              <w:spacing w:after="0"/>
              <w:rPr>
                <w:sz w:val="21"/>
                <w:szCs w:val="21"/>
                <w:color w:val="auto"/>
              </w:rPr>
            </w:pPr>
          </w:p>
        </w:tc>
        <w:tc>
          <w:tcPr>
            <w:tcW w:w="160" w:type="dxa"/>
            <w:vAlign w:val="bottom"/>
            <w:tcBorders>
              <w:bottom w:val="single" w:sz="8" w:color="CFF0FC"/>
            </w:tcBorders>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1020" w:type="dxa"/>
            <w:vAlign w:val="bottom"/>
            <w:tcBorders>
              <w:bottom w:val="single" w:sz="8" w:color="CFF0FC"/>
            </w:tcBorders>
            <w:shd w:val="clear" w:color="auto" w:fill="CFF0FC"/>
          </w:tcPr>
          <w:p>
            <w:pPr>
              <w:jc w:val="right"/>
              <w:spacing w:after="0"/>
              <w:rPr>
                <w:sz w:val="20"/>
                <w:szCs w:val="20"/>
                <w:color w:val="auto"/>
              </w:rPr>
            </w:pPr>
            <w:r>
              <w:rPr>
                <w:rFonts w:ascii="Arial" w:cs="Arial" w:eastAsia="Arial" w:hAnsi="Arial"/>
                <w:sz w:val="18"/>
                <w:szCs w:val="18"/>
                <w:color w:val="auto"/>
              </w:rPr>
              <w:t>4.22</w:t>
            </w:r>
          </w:p>
        </w:tc>
        <w:tc>
          <w:tcPr>
            <w:tcW w:w="1460" w:type="dxa"/>
            <w:vAlign w:val="bottom"/>
            <w:tcBorders>
              <w:bottom w:val="single" w:sz="8" w:color="CFF0FC"/>
            </w:tcBorders>
            <w:gridSpan w:val="2"/>
            <w:shd w:val="clear" w:color="auto" w:fill="CFF0FC"/>
          </w:tcPr>
          <w:p>
            <w:pPr>
              <w:jc w:val="right"/>
              <w:spacing w:after="0"/>
              <w:rPr>
                <w:sz w:val="20"/>
                <w:szCs w:val="20"/>
                <w:color w:val="auto"/>
              </w:rPr>
            </w:pPr>
            <w:r>
              <w:rPr>
                <w:rFonts w:ascii="Arial" w:cs="Arial" w:eastAsia="Arial" w:hAnsi="Arial"/>
                <w:sz w:val="18"/>
                <w:szCs w:val="18"/>
                <w:color w:val="auto"/>
              </w:rPr>
              <w:t>7.45</w:t>
            </w:r>
          </w:p>
        </w:tc>
        <w:tc>
          <w:tcPr>
            <w:tcW w:w="340" w:type="dxa"/>
            <w:vAlign w:val="bottom"/>
            <w:tcBorders>
              <w:bottom w:val="single" w:sz="8" w:color="CFF0FC"/>
            </w:tcBorders>
            <w:gridSpan w:val="2"/>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1280" w:type="dxa"/>
            <w:vAlign w:val="bottom"/>
            <w:tcBorders>
              <w:bottom w:val="single" w:sz="8" w:color="CFF0FC"/>
            </w:tcBorders>
            <w:shd w:val="clear" w:color="auto" w:fill="CFF0FC"/>
          </w:tcPr>
          <w:p>
            <w:pPr>
              <w:jc w:val="right"/>
              <w:spacing w:after="0"/>
              <w:rPr>
                <w:sz w:val="20"/>
                <w:szCs w:val="20"/>
                <w:color w:val="auto"/>
              </w:rPr>
            </w:pPr>
            <w:r>
              <w:rPr>
                <w:rFonts w:ascii="Arial" w:cs="Arial" w:eastAsia="Arial" w:hAnsi="Arial"/>
                <w:sz w:val="18"/>
                <w:szCs w:val="18"/>
                <w:color w:val="auto"/>
              </w:rPr>
              <w:t>195,745</w:t>
            </w:r>
          </w:p>
        </w:tc>
        <w:tc>
          <w:tcPr>
            <w:tcW w:w="100" w:type="dxa"/>
            <w:vAlign w:val="bottom"/>
            <w:tcBorders>
              <w:bottom w:val="single" w:sz="8" w:color="CFF0FC"/>
            </w:tcBorders>
            <w:shd w:val="clear" w:color="auto" w:fill="CFF0FC"/>
          </w:tcPr>
          <w:p>
            <w:pPr>
              <w:spacing w:after="0"/>
              <w:rPr>
                <w:sz w:val="21"/>
                <w:szCs w:val="21"/>
                <w:color w:val="auto"/>
              </w:rPr>
            </w:pPr>
          </w:p>
        </w:tc>
      </w:tr>
      <w:tr>
        <w:trPr>
          <w:trHeight w:val="196"/>
        </w:trPr>
        <w:tc>
          <w:tcPr>
            <w:tcW w:w="5340" w:type="dxa"/>
            <w:vAlign w:val="bottom"/>
          </w:tcPr>
          <w:p>
            <w:pPr>
              <w:ind w:left="20"/>
              <w:spacing w:after="0" w:line="197" w:lineRule="exact"/>
              <w:rPr>
                <w:sz w:val="20"/>
                <w:szCs w:val="20"/>
                <w:color w:val="auto"/>
              </w:rPr>
            </w:pPr>
            <w:r>
              <w:rPr>
                <w:rFonts w:ascii="Arial" w:cs="Arial" w:eastAsia="Arial" w:hAnsi="Arial"/>
                <w:sz w:val="17"/>
                <w:szCs w:val="17"/>
                <w:color w:val="auto"/>
              </w:rPr>
              <w:t>Exercisable as of September 30, 2022</w:t>
            </w:r>
            <w:r>
              <w:rPr>
                <w:rFonts w:ascii="Arial" w:cs="Arial" w:eastAsia="Arial" w:hAnsi="Arial"/>
                <w:sz w:val="22"/>
                <w:szCs w:val="22"/>
                <w:color w:val="auto"/>
                <w:vertAlign w:val="superscript"/>
              </w:rPr>
              <w:t>(2)</w:t>
            </w:r>
          </w:p>
        </w:tc>
        <w:tc>
          <w:tcPr>
            <w:tcW w:w="1280" w:type="dxa"/>
            <w:vAlign w:val="bottom"/>
            <w:tcBorders>
              <w:bottom w:val="single" w:sz="8" w:color="auto"/>
            </w:tcBorders>
          </w:tcPr>
          <w:p>
            <w:pPr>
              <w:jc w:val="right"/>
              <w:spacing w:after="0" w:line="196" w:lineRule="exact"/>
              <w:rPr>
                <w:sz w:val="20"/>
                <w:szCs w:val="20"/>
                <w:color w:val="auto"/>
              </w:rPr>
            </w:pPr>
            <w:r>
              <w:rPr>
                <w:rFonts w:ascii="Arial" w:cs="Arial" w:eastAsia="Arial" w:hAnsi="Arial"/>
                <w:sz w:val="18"/>
                <w:szCs w:val="18"/>
                <w:color w:val="auto"/>
              </w:rPr>
              <w:t>12,671,705</w:t>
            </w:r>
          </w:p>
        </w:tc>
        <w:tc>
          <w:tcPr>
            <w:tcW w:w="260" w:type="dxa"/>
            <w:vAlign w:val="bottom"/>
          </w:tcPr>
          <w:p>
            <w:pPr>
              <w:spacing w:after="0"/>
              <w:rPr>
                <w:sz w:val="17"/>
                <w:szCs w:val="17"/>
                <w:color w:val="auto"/>
              </w:rPr>
            </w:pPr>
          </w:p>
        </w:tc>
        <w:tc>
          <w:tcPr>
            <w:tcW w:w="160" w:type="dxa"/>
            <w:vAlign w:val="bottom"/>
          </w:tcPr>
          <w:p>
            <w:pPr>
              <w:jc w:val="right"/>
              <w:spacing w:after="0" w:line="196" w:lineRule="exact"/>
              <w:rPr>
                <w:sz w:val="20"/>
                <w:szCs w:val="20"/>
                <w:color w:val="auto"/>
              </w:rPr>
            </w:pPr>
            <w:r>
              <w:rPr>
                <w:rFonts w:ascii="Arial" w:cs="Arial" w:eastAsia="Arial" w:hAnsi="Arial"/>
                <w:sz w:val="18"/>
                <w:szCs w:val="18"/>
                <w:color w:val="auto"/>
                <w:w w:val="79"/>
              </w:rPr>
              <w:t>$</w:t>
            </w:r>
          </w:p>
        </w:tc>
        <w:tc>
          <w:tcPr>
            <w:tcW w:w="1020" w:type="dxa"/>
            <w:vAlign w:val="bottom"/>
          </w:tcPr>
          <w:p>
            <w:pPr>
              <w:jc w:val="right"/>
              <w:spacing w:after="0" w:line="196" w:lineRule="exact"/>
              <w:rPr>
                <w:sz w:val="20"/>
                <w:szCs w:val="20"/>
                <w:color w:val="auto"/>
              </w:rPr>
            </w:pPr>
            <w:r>
              <w:rPr>
                <w:rFonts w:ascii="Arial" w:cs="Arial" w:eastAsia="Arial" w:hAnsi="Arial"/>
                <w:sz w:val="18"/>
                <w:szCs w:val="18"/>
                <w:color w:val="auto"/>
              </w:rPr>
              <w:t>3.19</w:t>
            </w:r>
          </w:p>
        </w:tc>
        <w:tc>
          <w:tcPr>
            <w:tcW w:w="1460" w:type="dxa"/>
            <w:vAlign w:val="bottom"/>
            <w:gridSpan w:val="2"/>
          </w:tcPr>
          <w:p>
            <w:pPr>
              <w:jc w:val="right"/>
              <w:spacing w:after="0" w:line="196" w:lineRule="exact"/>
              <w:rPr>
                <w:sz w:val="20"/>
                <w:szCs w:val="20"/>
                <w:color w:val="auto"/>
              </w:rPr>
            </w:pPr>
            <w:r>
              <w:rPr>
                <w:rFonts w:ascii="Arial" w:cs="Arial" w:eastAsia="Arial" w:hAnsi="Arial"/>
                <w:sz w:val="18"/>
                <w:szCs w:val="18"/>
                <w:color w:val="auto"/>
              </w:rPr>
              <w:t>7.09</w:t>
            </w:r>
          </w:p>
        </w:tc>
        <w:tc>
          <w:tcPr>
            <w:tcW w:w="340" w:type="dxa"/>
            <w:vAlign w:val="bottom"/>
            <w:gridSpan w:val="2"/>
          </w:tcPr>
          <w:p>
            <w:pPr>
              <w:jc w:val="right"/>
              <w:spacing w:after="0" w:line="196" w:lineRule="exact"/>
              <w:rPr>
                <w:sz w:val="20"/>
                <w:szCs w:val="20"/>
                <w:color w:val="auto"/>
              </w:rPr>
            </w:pPr>
            <w:r>
              <w:rPr>
                <w:rFonts w:ascii="Arial" w:cs="Arial" w:eastAsia="Arial" w:hAnsi="Arial"/>
                <w:sz w:val="18"/>
                <w:szCs w:val="18"/>
                <w:color w:val="auto"/>
              </w:rPr>
              <w:t>$</w:t>
            </w:r>
          </w:p>
        </w:tc>
        <w:tc>
          <w:tcPr>
            <w:tcW w:w="1280" w:type="dxa"/>
            <w:vAlign w:val="bottom"/>
          </w:tcPr>
          <w:p>
            <w:pPr>
              <w:jc w:val="right"/>
              <w:spacing w:after="0" w:line="196" w:lineRule="exact"/>
              <w:rPr>
                <w:sz w:val="20"/>
                <w:szCs w:val="20"/>
                <w:color w:val="auto"/>
              </w:rPr>
            </w:pPr>
            <w:r>
              <w:rPr>
                <w:rFonts w:ascii="Arial" w:cs="Arial" w:eastAsia="Arial" w:hAnsi="Arial"/>
                <w:sz w:val="18"/>
                <w:szCs w:val="18"/>
                <w:color w:val="auto"/>
              </w:rPr>
              <w:t>155,554</w:t>
            </w:r>
          </w:p>
        </w:tc>
        <w:tc>
          <w:tcPr>
            <w:tcW w:w="100" w:type="dxa"/>
            <w:vAlign w:val="bottom"/>
          </w:tcPr>
          <w:p>
            <w:pPr>
              <w:spacing w:after="0"/>
              <w:rPr>
                <w:sz w:val="17"/>
                <w:szCs w:val="17"/>
                <w:color w:val="auto"/>
              </w:rPr>
            </w:pPr>
          </w:p>
        </w:tc>
      </w:tr>
      <w:tr>
        <w:trPr>
          <w:trHeight w:val="20"/>
        </w:trPr>
        <w:tc>
          <w:tcPr>
            <w:tcW w:w="5340" w:type="dxa"/>
            <w:vAlign w:val="bottom"/>
          </w:tcPr>
          <w:p>
            <w:pPr>
              <w:spacing w:after="0" w:line="20" w:lineRule="exact"/>
              <w:rPr>
                <w:sz w:val="1"/>
                <w:szCs w:val="1"/>
                <w:color w:val="auto"/>
              </w:rPr>
            </w:pPr>
          </w:p>
        </w:tc>
        <w:tc>
          <w:tcPr>
            <w:tcW w:w="1280" w:type="dxa"/>
            <w:vAlign w:val="bottom"/>
            <w:tcBorders>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24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4200525</wp:posOffset>
            </wp:positionH>
            <wp:positionV relativeFrom="paragraph">
              <wp:posOffset>-753110</wp:posOffset>
            </wp:positionV>
            <wp:extent cx="76835" cy="145415"/>
            <wp:wrapNone/>
            <wp:docPr id="178" name="Picture 1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8"/>
                    <pic:cNvPicPr>
                      <a:picLocks noChangeAspect="1" noChangeArrowheads="1"/>
                    </pic:cNvPicPr>
                  </pic:nvPicPr>
                  <pic:blipFill>
                    <a:blip r:embed="rId185">
                      <a:extLst>
                        <a:ext uri="{28A0092B-C50C-407E-A947-70E740481C1C}"/>
                      </a:extLst>
                    </a:blip>
                    <a:srcRect/>
                    <a:stretch>
                      <a:fillRect/>
                    </a:stretch>
                  </pic:blipFill>
                  <pic:spPr bwMode="auto">
                    <a:xfrm>
                      <a:off x="0" y="0"/>
                      <a:ext cx="76835" cy="145415"/>
                    </a:xfrm>
                    <a:prstGeom prst="rect">
                      <a:avLst/>
                    </a:prstGeom>
                    <a:noFill/>
                  </pic:spPr>
                </pic:pic>
              </a:graphicData>
            </a:graphic>
          </wp:anchor>
        </w:drawing>
        <w:drawing>
          <wp:anchor simplePos="0" relativeHeight="251657728" behindDoc="1" locked="0" layoutInCell="0" allowOverlap="1">
            <wp:simplePos x="0" y="0"/>
            <wp:positionH relativeFrom="column">
              <wp:posOffset>4200525</wp:posOffset>
            </wp:positionH>
            <wp:positionV relativeFrom="paragraph">
              <wp:posOffset>-187960</wp:posOffset>
            </wp:positionV>
            <wp:extent cx="76835" cy="188595"/>
            <wp:wrapNone/>
            <wp:docPr id="179" name="Picture 1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9"/>
                    <pic:cNvPicPr>
                      <a:picLocks noChangeAspect="1" noChangeArrowheads="1"/>
                    </pic:cNvPicPr>
                  </pic:nvPicPr>
                  <pic:blipFill>
                    <a:blip r:embed="rId186">
                      <a:extLst>
                        <a:ext uri="{28A0092B-C50C-407E-A947-70E740481C1C}"/>
                      </a:extLst>
                    </a:blip>
                    <a:srcRect/>
                    <a:stretch>
                      <a:fillRect/>
                    </a:stretch>
                  </pic:blipFill>
                  <pic:spPr bwMode="auto">
                    <a:xfrm>
                      <a:off x="0" y="0"/>
                      <a:ext cx="76835" cy="18859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76835</wp:posOffset>
            </wp:positionV>
            <wp:extent cx="855980" cy="8255"/>
            <wp:wrapNone/>
            <wp:docPr id="180" name="Picture 1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0"/>
                    <pic:cNvPicPr>
                      <a:picLocks noChangeAspect="1" noChangeArrowheads="1"/>
                    </pic:cNvPicPr>
                  </pic:nvPicPr>
                  <pic:blipFill>
                    <a:blip r:embed="rId187">
                      <a:extLst>
                        <a:ext uri="{28A0092B-C50C-407E-A947-70E740481C1C}"/>
                      </a:extLst>
                    </a:blip>
                    <a:srcRect/>
                    <a:stretch>
                      <a:fillRect/>
                    </a:stretch>
                  </pic:blipFill>
                  <pic:spPr bwMode="auto">
                    <a:xfrm>
                      <a:off x="0" y="0"/>
                      <a:ext cx="855980" cy="8255"/>
                    </a:xfrm>
                    <a:prstGeom prst="rect">
                      <a:avLst/>
                    </a:prstGeom>
                    <a:noFill/>
                  </pic:spPr>
                </pic:pic>
              </a:graphicData>
            </a:graphic>
          </wp:anchor>
        </w:drawing>
      </w:r>
    </w:p>
    <w:p>
      <w:pPr>
        <w:spacing w:after="0" w:line="150" w:lineRule="exact"/>
        <w:rPr>
          <w:sz w:val="20"/>
          <w:szCs w:val="20"/>
          <w:color w:val="auto"/>
        </w:rPr>
      </w:pPr>
    </w:p>
    <w:p>
      <w:pPr>
        <w:ind w:left="380" w:right="100" w:hanging="372"/>
        <w:spacing w:after="0" w:line="256" w:lineRule="auto"/>
        <w:tabs>
          <w:tab w:leader="none" w:pos="380" w:val="left"/>
        </w:tabs>
        <w:numPr>
          <w:ilvl w:val="0"/>
          <w:numId w:val="18"/>
        </w:numPr>
        <w:rPr>
          <w:rFonts w:ascii="Arial" w:cs="Arial" w:eastAsia="Arial" w:hAnsi="Arial"/>
          <w:sz w:val="14"/>
          <w:szCs w:val="14"/>
          <w:color w:val="auto"/>
        </w:rPr>
      </w:pPr>
      <w:r>
        <w:rPr>
          <w:rFonts w:ascii="Arial" w:cs="Arial" w:eastAsia="Arial" w:hAnsi="Arial"/>
          <w:sz w:val="14"/>
          <w:szCs w:val="14"/>
          <w:color w:val="auto"/>
        </w:rPr>
        <w:t>As no forfeitures are estimated due to the Company's adoption of ASU No. 2016-09, all options are vested or expected to vest. As of September 30, 2022, no options were outstanding that were subject to a future performance condition</w:t>
      </w:r>
    </w:p>
    <w:p>
      <w:pPr>
        <w:ind w:left="380" w:hanging="372"/>
        <w:spacing w:after="0"/>
        <w:tabs>
          <w:tab w:leader="none" w:pos="380" w:val="left"/>
        </w:tabs>
        <w:numPr>
          <w:ilvl w:val="0"/>
          <w:numId w:val="18"/>
        </w:numPr>
        <w:rPr>
          <w:rFonts w:ascii="Arial" w:cs="Arial" w:eastAsia="Arial" w:hAnsi="Arial"/>
          <w:sz w:val="14"/>
          <w:szCs w:val="14"/>
          <w:color w:val="auto"/>
        </w:rPr>
      </w:pPr>
      <w:r>
        <w:rPr>
          <w:rFonts w:ascii="Arial" w:cs="Arial" w:eastAsia="Arial" w:hAnsi="Arial"/>
          <w:sz w:val="14"/>
          <w:szCs w:val="14"/>
          <w:color w:val="auto"/>
        </w:rPr>
        <w:t>Exercisable shares include vested options as well as unvested shares that can be early exercised</w:t>
      </w:r>
    </w:p>
    <w:p>
      <w:pPr>
        <w:spacing w:after="0" w:line="214" w:lineRule="exact"/>
        <w:rPr>
          <w:sz w:val="20"/>
          <w:szCs w:val="20"/>
          <w:color w:val="auto"/>
        </w:rPr>
      </w:pPr>
    </w:p>
    <w:p>
      <w:pPr>
        <w:ind w:right="60" w:firstLine="509"/>
        <w:spacing w:after="0" w:line="282" w:lineRule="auto"/>
        <w:rPr>
          <w:sz w:val="20"/>
          <w:szCs w:val="20"/>
          <w:color w:val="auto"/>
        </w:rPr>
      </w:pPr>
      <w:r>
        <w:rPr>
          <w:rFonts w:ascii="Arial" w:cs="Arial" w:eastAsia="Arial" w:hAnsi="Arial"/>
          <w:sz w:val="16"/>
          <w:szCs w:val="16"/>
          <w:color w:val="auto"/>
        </w:rPr>
        <w:t>During December 2020, the Company granted 1,756,545 stock options to two executives which contain both a service condition and a performance condition. Based on the terms of the options, the vesting commencement date is defined as the date on which a registration statement on Form S-1 filed with the SEC becomes effective (a “QPO Event”). In conjunction with the Direct Listing, a QPO Event occurred and therefore the options began to vest 1/24th each month subsequent to September 21, 2021. During the three and nine months ended September 30, 2022, the Company recognized $0.3 million and $1.2 million in stock-based compensation expense related to these awards using the accelerated attribution method, respectively. The unrecognized stock-based compensation expense was $0.5 million and $1.7 million as of September 30, 2022 and December 31, 2021, respectively.</w:t>
      </w:r>
    </w:p>
    <w:p>
      <w:pPr>
        <w:spacing w:after="0" w:line="159" w:lineRule="exact"/>
        <w:rPr>
          <w:sz w:val="20"/>
          <w:szCs w:val="20"/>
          <w:color w:val="auto"/>
        </w:rPr>
      </w:pPr>
    </w:p>
    <w:p>
      <w:pPr>
        <w:jc w:val="both"/>
        <w:ind w:right="60" w:firstLine="509"/>
        <w:spacing w:after="0" w:line="247" w:lineRule="auto"/>
        <w:rPr>
          <w:sz w:val="20"/>
          <w:szCs w:val="20"/>
          <w:color w:val="auto"/>
        </w:rPr>
      </w:pPr>
      <w:r>
        <w:rPr>
          <w:rFonts w:ascii="Arial" w:cs="Arial" w:eastAsia="Arial" w:hAnsi="Arial"/>
          <w:sz w:val="18"/>
          <w:szCs w:val="18"/>
          <w:color w:val="auto"/>
        </w:rPr>
        <w:t>The aggregate intrinsic values of options are calculated as the difference between the exercise price of the options and the market price for shares of the Company’s common stock as of each period-end. The total intrinsic value of options exercised for the nine months ended September 30, 2022 and 2021 was $28.4 million and $420.9 million, respectively.</w:t>
      </w:r>
    </w:p>
    <w:p>
      <w:pPr>
        <w:spacing w:after="0" w:line="197" w:lineRule="exact"/>
        <w:rPr>
          <w:sz w:val="20"/>
          <w:szCs w:val="20"/>
          <w:color w:val="auto"/>
        </w:rPr>
      </w:pPr>
    </w:p>
    <w:p>
      <w:pPr>
        <w:ind w:right="20" w:firstLine="509"/>
        <w:spacing w:after="0" w:line="268" w:lineRule="auto"/>
        <w:rPr>
          <w:sz w:val="20"/>
          <w:szCs w:val="20"/>
          <w:color w:val="auto"/>
        </w:rPr>
      </w:pPr>
      <w:r>
        <w:rPr>
          <w:rFonts w:ascii="Arial" w:cs="Arial" w:eastAsia="Arial" w:hAnsi="Arial"/>
          <w:sz w:val="17"/>
          <w:szCs w:val="17"/>
          <w:color w:val="auto"/>
        </w:rPr>
        <w:t>Stock options granted during the nine months ended September 30, 2022 and 2021 had a weighted average grant date fair value of $8.27 and $5.67 per share, respectively. With the exception of the performance options detailed above, the fair value is being expensed over the vesting period of the options on a straight-line basis as the services are being provided. The total grant date fair value of shares vested during the nine months ended September 30, 2022 and 2021 was $14.0 million and $6.4 million, respectively. No tax benefits were realized from options during the periods.</w:t>
      </w:r>
    </w:p>
    <w:p>
      <w:pPr>
        <w:spacing w:after="0" w:line="165" w:lineRule="exact"/>
        <w:rPr>
          <w:sz w:val="20"/>
          <w:szCs w:val="20"/>
          <w:color w:val="auto"/>
        </w:rPr>
      </w:pPr>
    </w:p>
    <w:p>
      <w:pPr>
        <w:ind w:right="40" w:firstLine="509"/>
        <w:spacing w:after="0" w:line="302" w:lineRule="auto"/>
        <w:rPr>
          <w:sz w:val="20"/>
          <w:szCs w:val="20"/>
          <w:color w:val="auto"/>
        </w:rPr>
      </w:pPr>
      <w:r>
        <w:rPr>
          <w:rFonts w:ascii="Arial" w:cs="Arial" w:eastAsia="Arial" w:hAnsi="Arial"/>
          <w:sz w:val="16"/>
          <w:szCs w:val="16"/>
          <w:color w:val="auto"/>
        </w:rPr>
        <w:t>As of September 30, 2022, total unrecognized stock-based compensation expense related to options outstanding under the combined stock plans was $26.4 million. This unrecognized expense as of September 30, 2022 is expected to be recognized over the weighted average remaining vesting period of 2.00 years. As of September 30, 2022, the Company had 354,500 shares of non-employee stock options outstanding under the combined stock plans.</w:t>
      </w:r>
    </w:p>
    <w:p>
      <w:pPr>
        <w:spacing w:after="0" w:line="141" w:lineRule="exact"/>
        <w:rPr>
          <w:sz w:val="20"/>
          <w:szCs w:val="20"/>
          <w:color w:val="auto"/>
        </w:rPr>
      </w:pPr>
    </w:p>
    <w:p>
      <w:pPr>
        <w:ind w:right="60" w:firstLine="509"/>
        <w:spacing w:after="0" w:line="255" w:lineRule="auto"/>
        <w:rPr>
          <w:sz w:val="20"/>
          <w:szCs w:val="20"/>
          <w:color w:val="auto"/>
        </w:rPr>
      </w:pPr>
      <w:r>
        <w:rPr>
          <w:rFonts w:ascii="Arial" w:cs="Arial" w:eastAsia="Arial" w:hAnsi="Arial"/>
          <w:sz w:val="18"/>
          <w:szCs w:val="18"/>
          <w:color w:val="auto"/>
        </w:rPr>
        <w:t>The fair value of each option granted to employees under the 2021 Plan is estimated on the grant date using the Black-Scholes pricing model. Based on the nature of the underlying options granted under the 2014 Plan, the fair value of each option granted to employees is estimated on the date of grant using the Monte Carlo simulation model.</w:t>
      </w:r>
    </w:p>
    <w:p>
      <w:pPr>
        <w:spacing w:after="0" w:line="27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181" name="Picture 1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1"/>
                    <pic:cNvPicPr>
                      <a:picLocks noChangeAspect="1" noChangeArrowheads="1"/>
                    </pic:cNvPicPr>
                  </pic:nvPicPr>
                  <pic:blipFill>
                    <a:blip r:embed="rId18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651" w:right="339" w:bottom="1440" w:gutter="0" w:footer="0" w:header="0"/>
        </w:sectPr>
      </w:pPr>
    </w:p>
    <w:bookmarkStart w:id="20" w:name="page21"/>
    <w:bookmarkEnd w:id="20"/>
    <w:p>
      <w:pPr>
        <w:ind w:right="540" w:firstLine="509"/>
        <w:spacing w:after="0" w:line="277" w:lineRule="auto"/>
        <w:rPr>
          <w:sz w:val="20"/>
          <w:szCs w:val="20"/>
          <w:color w:val="auto"/>
        </w:rPr>
      </w:pPr>
      <w:r>
        <w:rPr>
          <w:rFonts w:ascii="Arial" w:cs="Arial" w:eastAsia="Arial" w:hAnsi="Arial"/>
          <w:sz w:val="18"/>
          <w:szCs w:val="18"/>
          <w:color w:val="auto"/>
        </w:rPr>
        <w:t>The following range of assumptions and data inputs were used in the Black-Scholes option-pricing model to estimate the fair value of options granted under the 2021 Plan:</w:t>
      </w:r>
    </w:p>
    <w:p>
      <w:pPr>
        <w:spacing w:after="0" w:line="120"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8980" w:type="dxa"/>
            <w:vAlign w:val="bottom"/>
          </w:tcPr>
          <w:p>
            <w:pPr>
              <w:spacing w:after="0"/>
              <w:rPr>
                <w:sz w:val="17"/>
                <w:szCs w:val="17"/>
                <w:color w:val="auto"/>
              </w:rPr>
            </w:pPr>
          </w:p>
        </w:tc>
        <w:tc>
          <w:tcPr>
            <w:tcW w:w="2260" w:type="dxa"/>
            <w:vAlign w:val="bottom"/>
          </w:tcPr>
          <w:p>
            <w:pPr>
              <w:jc w:val="right"/>
              <w:ind w:right="270"/>
              <w:spacing w:after="0"/>
              <w:rPr>
                <w:sz w:val="20"/>
                <w:szCs w:val="20"/>
                <w:color w:val="auto"/>
              </w:rPr>
            </w:pPr>
            <w:r>
              <w:rPr>
                <w:rFonts w:ascii="Arial" w:cs="Arial" w:eastAsia="Arial" w:hAnsi="Arial"/>
                <w:sz w:val="18"/>
                <w:szCs w:val="18"/>
                <w:b w:val="1"/>
                <w:bCs w:val="1"/>
                <w:color w:val="auto"/>
              </w:rPr>
              <w:t>Nine Months Ended</w:t>
            </w:r>
          </w:p>
        </w:tc>
      </w:tr>
      <w:tr>
        <w:trPr>
          <w:trHeight w:val="234"/>
        </w:trPr>
        <w:tc>
          <w:tcPr>
            <w:tcW w:w="8980" w:type="dxa"/>
            <w:vAlign w:val="bottom"/>
          </w:tcPr>
          <w:p>
            <w:pPr>
              <w:spacing w:after="0"/>
              <w:rPr>
                <w:sz w:val="20"/>
                <w:szCs w:val="20"/>
                <w:color w:val="auto"/>
              </w:rPr>
            </w:pPr>
          </w:p>
        </w:tc>
        <w:tc>
          <w:tcPr>
            <w:tcW w:w="2260" w:type="dxa"/>
            <w:vAlign w:val="bottom"/>
            <w:tcBorders>
              <w:bottom w:val="single" w:sz="8" w:color="auto"/>
            </w:tcBorders>
          </w:tcPr>
          <w:p>
            <w:pPr>
              <w:jc w:val="right"/>
              <w:ind w:right="290"/>
              <w:spacing w:after="0"/>
              <w:rPr>
                <w:sz w:val="20"/>
                <w:szCs w:val="20"/>
                <w:color w:val="auto"/>
              </w:rPr>
            </w:pPr>
            <w:r>
              <w:rPr>
                <w:rFonts w:ascii="Arial" w:cs="Arial" w:eastAsia="Arial" w:hAnsi="Arial"/>
                <w:sz w:val="18"/>
                <w:szCs w:val="18"/>
                <w:b w:val="1"/>
                <w:bCs w:val="1"/>
                <w:color w:val="auto"/>
              </w:rPr>
              <w:t>September 30, 2022</w:t>
            </w:r>
          </w:p>
        </w:tc>
      </w:tr>
      <w:tr>
        <w:trPr>
          <w:trHeight w:val="209"/>
        </w:trPr>
        <w:tc>
          <w:tcPr>
            <w:tcW w:w="8980" w:type="dxa"/>
            <w:vAlign w:val="bottom"/>
          </w:tcPr>
          <w:p>
            <w:pPr>
              <w:spacing w:after="0"/>
              <w:rPr>
                <w:sz w:val="18"/>
                <w:szCs w:val="18"/>
                <w:color w:val="auto"/>
              </w:rPr>
            </w:pPr>
          </w:p>
        </w:tc>
        <w:tc>
          <w:tcPr>
            <w:tcW w:w="2260" w:type="dxa"/>
            <w:vAlign w:val="bottom"/>
          </w:tcPr>
          <w:p>
            <w:pPr>
              <w:spacing w:after="0"/>
              <w:rPr>
                <w:sz w:val="18"/>
                <w:szCs w:val="18"/>
                <w:color w:val="auto"/>
              </w:rPr>
            </w:pPr>
          </w:p>
        </w:tc>
      </w:tr>
      <w:tr>
        <w:trPr>
          <w:trHeight w:val="216"/>
        </w:trPr>
        <w:tc>
          <w:tcPr>
            <w:tcW w:w="8980" w:type="dxa"/>
            <w:vAlign w:val="bottom"/>
            <w:shd w:val="clear" w:color="auto" w:fill="CFF0FC"/>
          </w:tcPr>
          <w:p>
            <w:pPr>
              <w:ind w:left="20"/>
              <w:spacing w:after="0"/>
              <w:rPr>
                <w:sz w:val="20"/>
                <w:szCs w:val="20"/>
                <w:color w:val="auto"/>
              </w:rPr>
            </w:pPr>
            <w:r>
              <w:rPr>
                <w:rFonts w:ascii="Arial" w:cs="Arial" w:eastAsia="Arial" w:hAnsi="Arial"/>
                <w:sz w:val="18"/>
                <w:szCs w:val="18"/>
                <w:color w:val="auto"/>
              </w:rPr>
              <w:t>Fair value of common stock</w:t>
            </w:r>
          </w:p>
        </w:tc>
        <w:tc>
          <w:tcPr>
            <w:tcW w:w="22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$14.62 - $15.63</w:t>
            </w:r>
          </w:p>
        </w:tc>
      </w:tr>
      <w:tr>
        <w:trPr>
          <w:trHeight w:val="216"/>
        </w:trPr>
        <w:tc>
          <w:tcPr>
            <w:tcW w:w="8980" w:type="dxa"/>
            <w:vAlign w:val="bottom"/>
          </w:tcPr>
          <w:p>
            <w:pPr>
              <w:ind w:left="20"/>
              <w:spacing w:after="0"/>
              <w:rPr>
                <w:sz w:val="20"/>
                <w:szCs w:val="20"/>
                <w:color w:val="auto"/>
              </w:rPr>
            </w:pPr>
            <w:r>
              <w:rPr>
                <w:rFonts w:ascii="Arial" w:cs="Arial" w:eastAsia="Arial" w:hAnsi="Arial"/>
                <w:sz w:val="18"/>
                <w:szCs w:val="18"/>
                <w:color w:val="auto"/>
              </w:rPr>
              <w:t>Expected dividend yield</w:t>
            </w:r>
          </w:p>
        </w:tc>
        <w:tc>
          <w:tcPr>
            <w:tcW w:w="2260" w:type="dxa"/>
            <w:vAlign w:val="bottom"/>
          </w:tcPr>
          <w:p>
            <w:pPr>
              <w:jc w:val="right"/>
              <w:ind w:right="10"/>
              <w:spacing w:after="0"/>
              <w:rPr>
                <w:sz w:val="20"/>
                <w:szCs w:val="20"/>
                <w:color w:val="auto"/>
              </w:rPr>
            </w:pPr>
            <w:r>
              <w:rPr>
                <w:rFonts w:ascii="Arial" w:cs="Arial" w:eastAsia="Arial" w:hAnsi="Arial"/>
                <w:sz w:val="18"/>
                <w:szCs w:val="18"/>
                <w:color w:val="auto"/>
              </w:rPr>
              <w:t>—</w:t>
            </w:r>
          </w:p>
        </w:tc>
      </w:tr>
      <w:tr>
        <w:trPr>
          <w:trHeight w:val="216"/>
        </w:trPr>
        <w:tc>
          <w:tcPr>
            <w:tcW w:w="8980" w:type="dxa"/>
            <w:vAlign w:val="bottom"/>
            <w:shd w:val="clear" w:color="auto" w:fill="CFF0FC"/>
          </w:tcPr>
          <w:p>
            <w:pPr>
              <w:ind w:left="20"/>
              <w:spacing w:after="0"/>
              <w:rPr>
                <w:sz w:val="20"/>
                <w:szCs w:val="20"/>
                <w:color w:val="auto"/>
              </w:rPr>
            </w:pPr>
            <w:r>
              <w:rPr>
                <w:rFonts w:ascii="Arial" w:cs="Arial" w:eastAsia="Arial" w:hAnsi="Arial"/>
                <w:sz w:val="18"/>
                <w:szCs w:val="18"/>
                <w:color w:val="auto"/>
              </w:rPr>
              <w:t>Risk-free interest rate</w:t>
            </w:r>
          </w:p>
        </w:tc>
        <w:tc>
          <w:tcPr>
            <w:tcW w:w="22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3.01% - 3.36%</w:t>
            </w:r>
          </w:p>
        </w:tc>
      </w:tr>
      <w:tr>
        <w:trPr>
          <w:trHeight w:val="216"/>
        </w:trPr>
        <w:tc>
          <w:tcPr>
            <w:tcW w:w="8980" w:type="dxa"/>
            <w:vAlign w:val="bottom"/>
          </w:tcPr>
          <w:p>
            <w:pPr>
              <w:ind w:left="20"/>
              <w:spacing w:after="0"/>
              <w:rPr>
                <w:sz w:val="20"/>
                <w:szCs w:val="20"/>
                <w:color w:val="auto"/>
              </w:rPr>
            </w:pPr>
            <w:r>
              <w:rPr>
                <w:rFonts w:ascii="Arial" w:cs="Arial" w:eastAsia="Arial" w:hAnsi="Arial"/>
                <w:sz w:val="18"/>
                <w:szCs w:val="18"/>
                <w:color w:val="auto"/>
              </w:rPr>
              <w:t>Expected volatility</w:t>
            </w:r>
          </w:p>
        </w:tc>
        <w:tc>
          <w:tcPr>
            <w:tcW w:w="2260" w:type="dxa"/>
            <w:vAlign w:val="bottom"/>
          </w:tcPr>
          <w:p>
            <w:pPr>
              <w:jc w:val="right"/>
              <w:spacing w:after="0"/>
              <w:rPr>
                <w:sz w:val="20"/>
                <w:szCs w:val="20"/>
                <w:color w:val="auto"/>
              </w:rPr>
            </w:pPr>
            <w:r>
              <w:rPr>
                <w:rFonts w:ascii="Arial" w:cs="Arial" w:eastAsia="Arial" w:hAnsi="Arial"/>
                <w:sz w:val="18"/>
                <w:szCs w:val="18"/>
                <w:color w:val="auto"/>
              </w:rPr>
              <w:t>55.3% - 55.6%</w:t>
            </w:r>
          </w:p>
        </w:tc>
      </w:tr>
      <w:tr>
        <w:trPr>
          <w:trHeight w:val="216"/>
        </w:trPr>
        <w:tc>
          <w:tcPr>
            <w:tcW w:w="8980" w:type="dxa"/>
            <w:vAlign w:val="bottom"/>
            <w:shd w:val="clear" w:color="auto" w:fill="CFF0FC"/>
          </w:tcPr>
          <w:p>
            <w:pPr>
              <w:ind w:left="20"/>
              <w:spacing w:after="0"/>
              <w:rPr>
                <w:sz w:val="20"/>
                <w:szCs w:val="20"/>
                <w:color w:val="auto"/>
              </w:rPr>
            </w:pPr>
            <w:r>
              <w:rPr>
                <w:rFonts w:ascii="Arial" w:cs="Arial" w:eastAsia="Arial" w:hAnsi="Arial"/>
                <w:sz w:val="18"/>
                <w:szCs w:val="18"/>
                <w:color w:val="auto"/>
              </w:rPr>
              <w:t>Expected term (years)</w:t>
            </w:r>
          </w:p>
        </w:tc>
        <w:tc>
          <w:tcPr>
            <w:tcW w:w="22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6.0 - 6.3</w:t>
            </w:r>
          </w:p>
        </w:tc>
      </w:tr>
    </w:tbl>
    <w:p>
      <w:pPr>
        <w:spacing w:after="0" w:line="309"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Restricted Stock Units</w:t>
      </w:r>
    </w:p>
    <w:p>
      <w:pPr>
        <w:spacing w:after="0" w:line="117" w:lineRule="exact"/>
        <w:rPr>
          <w:sz w:val="20"/>
          <w:szCs w:val="20"/>
          <w:color w:val="auto"/>
        </w:rPr>
      </w:pPr>
    </w:p>
    <w:p>
      <w:pPr>
        <w:ind w:right="20" w:firstLine="509"/>
        <w:spacing w:after="0" w:line="241" w:lineRule="auto"/>
        <w:rPr>
          <w:sz w:val="20"/>
          <w:szCs w:val="20"/>
          <w:color w:val="auto"/>
        </w:rPr>
      </w:pPr>
      <w:r>
        <w:rPr>
          <w:rFonts w:ascii="Arial" w:cs="Arial" w:eastAsia="Arial" w:hAnsi="Arial"/>
          <w:sz w:val="18"/>
          <w:szCs w:val="18"/>
          <w:color w:val="auto"/>
        </w:rPr>
        <w:t>RSUs granted under the 2021 Plan generally vest based on continued service, typically over a three- to four-year period. RSUs granted pursuant to the 2014 Plan vest according to a service condition as well as a performance condition, through a liquidity event, including (i) a change in control of the Company or (ii) the initial public offering of the Company’s equity securities, following which the securities shall be publicly traded, which includes a direct listing. As a result of the Direct Listing, the performance condition for all RSUs granted pursuant to the 2014 Plan has been met. During the three and nine months ended September 30, 2022, the Company recorded $13.5 million and $29.8 million in stock-based compensation expense related to RSUs, respectively. During the three and nine months ended September 30, 2021, the Company recorded $7.2 million in stock-based compensation expense related to RSUs.</w:t>
      </w:r>
    </w:p>
    <w:p>
      <w:pPr>
        <w:spacing w:after="0" w:line="204" w:lineRule="exact"/>
        <w:rPr>
          <w:sz w:val="20"/>
          <w:szCs w:val="20"/>
          <w:color w:val="auto"/>
        </w:rPr>
      </w:pPr>
    </w:p>
    <w:p>
      <w:pPr>
        <w:ind w:firstLine="509"/>
        <w:spacing w:after="0" w:line="247" w:lineRule="auto"/>
        <w:rPr>
          <w:sz w:val="20"/>
          <w:szCs w:val="20"/>
          <w:color w:val="auto"/>
        </w:rPr>
      </w:pPr>
      <w:r>
        <w:rPr>
          <w:rFonts w:ascii="Arial" w:cs="Arial" w:eastAsia="Arial" w:hAnsi="Arial"/>
          <w:sz w:val="18"/>
          <w:szCs w:val="18"/>
          <w:color w:val="auto"/>
        </w:rPr>
        <w:t>As of September 30, 2022, total unrecognized stock-based compensation expense related to RSUs was $165.4 million. This unrecognized expense as of September 30, 2022 is expected to be recognized over the weighted average remaining vesting period of 2.95 years. As of September 30, 2022, the Company had 248,027 shares of non-employee RSUs outstanding under the combined stock plans.</w:t>
      </w:r>
    </w:p>
    <w:p>
      <w:pPr>
        <w:sectPr>
          <w:pgSz w:w="11900" w:h="16838" w:orient="portrait"/>
          <w:cols w:equalWidth="0" w:num="1">
            <w:col w:w="11240"/>
          </w:cols>
          <w:pgMar w:left="320" w:top="543" w:right="339" w:bottom="1440" w:gutter="0" w:footer="0" w:header="0"/>
        </w:sectPr>
      </w:pPr>
    </w:p>
    <w:p>
      <w:pPr>
        <w:spacing w:after="0" w:line="197" w:lineRule="exact"/>
        <w:rPr>
          <w:sz w:val="20"/>
          <w:szCs w:val="20"/>
          <w:color w:val="auto"/>
        </w:rPr>
      </w:pPr>
    </w:p>
    <w:p>
      <w:pPr>
        <w:ind w:left="520"/>
        <w:spacing w:after="0"/>
        <w:rPr>
          <w:sz w:val="20"/>
          <w:szCs w:val="20"/>
          <w:color w:val="auto"/>
        </w:rPr>
      </w:pPr>
      <w:r>
        <w:rPr>
          <w:rFonts w:ascii="Arial" w:cs="Arial" w:eastAsia="Arial" w:hAnsi="Arial"/>
          <w:sz w:val="16"/>
          <w:szCs w:val="16"/>
          <w:color w:val="auto"/>
        </w:rPr>
        <w:t>RSU activity during the nine months ended September 30, 2022 was as follows: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1" w:lineRule="exact"/>
        <w:rPr>
          <w:sz w:val="20"/>
          <w:szCs w:val="20"/>
          <w:color w:val="auto"/>
        </w:rPr>
      </w:pPr>
    </w:p>
    <w:p>
      <w:pPr>
        <w:ind w:left="20"/>
        <w:spacing w:after="0"/>
        <w:rPr>
          <w:sz w:val="20"/>
          <w:szCs w:val="20"/>
          <w:color w:val="auto"/>
        </w:rPr>
      </w:pPr>
      <w:r>
        <w:rPr>
          <w:rFonts w:ascii="Arial" w:cs="Arial" w:eastAsia="Arial" w:hAnsi="Arial"/>
          <w:sz w:val="18"/>
          <w:szCs w:val="18"/>
          <w:color w:val="auto"/>
        </w:rPr>
        <w:t>Balance as of December 31, 2021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-130175</wp:posOffset>
            </wp:positionV>
            <wp:extent cx="7132320" cy="145415"/>
            <wp:wrapNone/>
            <wp:docPr id="182" name="Picture 1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2"/>
                    <pic:cNvPicPr>
                      <a:picLocks noChangeAspect="1" noChangeArrowheads="1"/>
                    </pic:cNvPicPr>
                  </pic:nvPicPr>
                  <pic:blipFill>
                    <a:blip r:embed="rId189">
                      <a:extLst>
                        <a:ext uri="{28A0092B-C50C-407E-A947-70E740481C1C}"/>
                      </a:extLst>
                    </a:blip>
                    <a:srcRect/>
                    <a:stretch>
                      <a:fillRect/>
                    </a:stretch>
                  </pic:blipFill>
                  <pic:spPr bwMode="auto">
                    <a:xfrm>
                      <a:off x="0" y="0"/>
                      <a:ext cx="7132320" cy="145415"/>
                    </a:xfrm>
                    <a:prstGeom prst="rect">
                      <a:avLst/>
                    </a:prstGeom>
                    <a:noFill/>
                  </pic:spPr>
                </pic:pic>
              </a:graphicData>
            </a:graphic>
          </wp:anchor>
        </w:drawing>
      </w:r>
    </w:p>
    <w:p>
      <w:pPr>
        <w:spacing w:after="0" w:line="3" w:lineRule="exact"/>
        <w:rPr>
          <w:sz w:val="20"/>
          <w:szCs w:val="20"/>
          <w:color w:val="auto"/>
        </w:rPr>
      </w:pPr>
    </w:p>
    <w:p>
      <w:pPr>
        <w:ind w:left="20"/>
        <w:spacing w:after="0"/>
        <w:rPr>
          <w:sz w:val="20"/>
          <w:szCs w:val="20"/>
          <w:color w:val="auto"/>
        </w:rPr>
      </w:pPr>
      <w:r>
        <w:rPr>
          <w:rFonts w:ascii="Arial" w:cs="Arial" w:eastAsia="Arial" w:hAnsi="Arial"/>
          <w:sz w:val="18"/>
          <w:szCs w:val="18"/>
          <w:color w:val="auto"/>
        </w:rPr>
        <w:t>Granted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5715</wp:posOffset>
            </wp:positionV>
            <wp:extent cx="7132320" cy="137160"/>
            <wp:wrapNone/>
            <wp:docPr id="183" name="Picture 1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3"/>
                    <pic:cNvPicPr>
                      <a:picLocks noChangeAspect="1" noChangeArrowheads="1"/>
                    </pic:cNvPicPr>
                  </pic:nvPicPr>
                  <pic:blipFill>
                    <a:blip r:embed="rId190">
                      <a:extLst>
                        <a:ext uri="{28A0092B-C50C-407E-A947-70E740481C1C}"/>
                      </a:extLst>
                    </a:blip>
                    <a:srcRect/>
                    <a:stretch>
                      <a:fillRect/>
                    </a:stretch>
                  </pic:blipFill>
                  <pic:spPr bwMode="auto">
                    <a:xfrm>
                      <a:off x="0" y="0"/>
                      <a:ext cx="7132320" cy="137160"/>
                    </a:xfrm>
                    <a:prstGeom prst="rect">
                      <a:avLst/>
                    </a:prstGeom>
                    <a:noFill/>
                  </pic:spPr>
                </pic:pic>
              </a:graphicData>
            </a:graphic>
          </wp:anchor>
        </w:drawing>
      </w:r>
    </w:p>
    <w:p>
      <w:pPr>
        <w:ind w:left="20"/>
        <w:spacing w:after="0"/>
        <w:rPr>
          <w:sz w:val="20"/>
          <w:szCs w:val="20"/>
          <w:color w:val="auto"/>
        </w:rPr>
      </w:pPr>
      <w:r>
        <w:rPr>
          <w:rFonts w:ascii="Arial" w:cs="Arial" w:eastAsia="Arial" w:hAnsi="Arial"/>
          <w:sz w:val="18"/>
          <w:szCs w:val="18"/>
          <w:color w:val="auto"/>
        </w:rPr>
        <w:t>Vested</w:t>
      </w:r>
    </w:p>
    <w:p>
      <w:pPr>
        <w:spacing w:after="0" w:line="9" w:lineRule="exact"/>
        <w:rPr>
          <w:sz w:val="20"/>
          <w:szCs w:val="20"/>
          <w:color w:val="auto"/>
        </w:rPr>
      </w:pPr>
    </w:p>
    <w:p>
      <w:pPr>
        <w:ind w:left="20"/>
        <w:spacing w:after="0"/>
        <w:rPr>
          <w:sz w:val="20"/>
          <w:szCs w:val="20"/>
          <w:color w:val="auto"/>
        </w:rPr>
      </w:pPr>
      <w:r>
        <w:rPr>
          <w:rFonts w:ascii="Arial" w:cs="Arial" w:eastAsia="Arial" w:hAnsi="Arial"/>
          <w:sz w:val="18"/>
          <w:szCs w:val="18"/>
          <w:color w:val="auto"/>
        </w:rPr>
        <w:t>Cancelled/forfeited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13970</wp:posOffset>
            </wp:positionV>
            <wp:extent cx="7132320" cy="162560"/>
            <wp:wrapNone/>
            <wp:docPr id="184" name="Picture 1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4"/>
                    <pic:cNvPicPr>
                      <a:picLocks noChangeAspect="1" noChangeArrowheads="1"/>
                    </pic:cNvPicPr>
                  </pic:nvPicPr>
                  <pic:blipFill>
                    <a:blip r:embed="rId191">
                      <a:extLst>
                        <a:ext uri="{28A0092B-C50C-407E-A947-70E740481C1C}"/>
                      </a:extLst>
                    </a:blip>
                    <a:srcRect/>
                    <a:stretch>
                      <a:fillRect/>
                    </a:stretch>
                  </pic:blipFill>
                  <pic:spPr bwMode="auto">
                    <a:xfrm>
                      <a:off x="0" y="0"/>
                      <a:ext cx="7132320" cy="162560"/>
                    </a:xfrm>
                    <a:prstGeom prst="rect">
                      <a:avLst/>
                    </a:prstGeom>
                    <a:noFill/>
                  </pic:spPr>
                </pic:pic>
              </a:graphicData>
            </a:graphic>
          </wp:anchor>
        </w:drawing>
      </w:r>
    </w:p>
    <w:p>
      <w:pPr>
        <w:spacing w:after="0" w:line="28" w:lineRule="exact"/>
        <w:rPr>
          <w:sz w:val="20"/>
          <w:szCs w:val="20"/>
          <w:color w:val="auto"/>
        </w:rPr>
      </w:pPr>
    </w:p>
    <w:p>
      <w:pPr>
        <w:ind w:left="20"/>
        <w:spacing w:after="0"/>
        <w:rPr>
          <w:sz w:val="20"/>
          <w:szCs w:val="20"/>
          <w:color w:val="auto"/>
        </w:rPr>
      </w:pPr>
      <w:r>
        <w:rPr>
          <w:rFonts w:ascii="Arial" w:cs="Arial" w:eastAsia="Arial" w:hAnsi="Arial"/>
          <w:sz w:val="18"/>
          <w:szCs w:val="18"/>
          <w:color w:val="auto"/>
        </w:rPr>
        <w:t>Balance as of September 30, 2022</w:t>
      </w:r>
    </w:p>
    <w:p>
      <w:pPr>
        <w:spacing w:after="0" w:line="332"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2021 Employee Stock Purchase Plan</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366" w:lineRule="exact"/>
        <w:rPr>
          <w:sz w:val="20"/>
          <w:szCs w:val="20"/>
          <w:color w:val="auto"/>
        </w:rPr>
      </w:pPr>
    </w:p>
    <w:p>
      <w:pPr>
        <w:jc w:val="center"/>
        <w:ind w:right="380"/>
        <w:spacing w:after="0"/>
        <w:rPr>
          <w:sz w:val="20"/>
          <w:szCs w:val="20"/>
          <w:color w:val="auto"/>
        </w:rPr>
      </w:pPr>
      <w:r>
        <w:rPr>
          <w:rFonts w:ascii="Arial" w:cs="Arial" w:eastAsia="Arial" w:hAnsi="Arial"/>
          <w:sz w:val="15"/>
          <w:szCs w:val="15"/>
          <w:b w:val="1"/>
          <w:bCs w:val="1"/>
          <w:color w:val="auto"/>
        </w:rPr>
        <w:t>Restricted stock</w:t>
      </w:r>
    </w:p>
    <w:p>
      <w:pPr>
        <w:spacing w:after="0" w:line="36" w:lineRule="exact"/>
        <w:rPr>
          <w:sz w:val="20"/>
          <w:szCs w:val="20"/>
          <w:color w:val="auto"/>
        </w:rPr>
      </w:pPr>
    </w:p>
    <w:p>
      <w:pPr>
        <w:jc w:val="center"/>
        <w:ind w:right="380"/>
        <w:spacing w:after="0"/>
        <w:rPr>
          <w:sz w:val="20"/>
          <w:szCs w:val="20"/>
          <w:color w:val="auto"/>
        </w:rPr>
      </w:pPr>
      <w:r>
        <w:rPr>
          <w:rFonts w:ascii="Arial" w:cs="Arial" w:eastAsia="Arial" w:hAnsi="Arial"/>
          <w:sz w:val="18"/>
          <w:szCs w:val="18"/>
          <w:b w:val="1"/>
          <w:bCs w:val="1"/>
          <w:color w:val="auto"/>
        </w:rPr>
        <w:t>units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-174625</wp:posOffset>
            </wp:positionH>
            <wp:positionV relativeFrom="paragraph">
              <wp:posOffset>4445</wp:posOffset>
            </wp:positionV>
            <wp:extent cx="1138555" cy="8255"/>
            <wp:wrapNone/>
            <wp:docPr id="185" name="Picture 1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5"/>
                    <pic:cNvPicPr>
                      <a:picLocks noChangeAspect="1" noChangeArrowheads="1"/>
                    </pic:cNvPicPr>
                  </pic:nvPicPr>
                  <pic:blipFill>
                    <a:blip r:embed="rId192">
                      <a:extLst>
                        <a:ext uri="{28A0092B-C50C-407E-A947-70E740481C1C}"/>
                      </a:extLst>
                    </a:blip>
                    <a:srcRect/>
                    <a:stretch>
                      <a:fillRect/>
                    </a:stretch>
                  </pic:blipFill>
                  <pic:spPr bwMode="auto">
                    <a:xfrm>
                      <a:off x="0" y="0"/>
                      <a:ext cx="1138555" cy="8255"/>
                    </a:xfrm>
                    <a:prstGeom prst="rect">
                      <a:avLst/>
                    </a:prstGeom>
                    <a:noFill/>
                  </pic:spPr>
                </pic:pic>
              </a:graphicData>
            </a:graphic>
          </wp:anchor>
        </w:drawing>
      </w:r>
    </w:p>
    <w:p>
      <w:pPr>
        <w:ind w:left="780"/>
        <w:spacing w:after="0"/>
        <w:rPr>
          <w:sz w:val="20"/>
          <w:szCs w:val="20"/>
          <w:color w:val="auto"/>
        </w:rPr>
      </w:pPr>
      <w:r>
        <w:rPr>
          <w:rFonts w:ascii="Arial" w:cs="Arial" w:eastAsia="Arial" w:hAnsi="Arial"/>
          <w:sz w:val="18"/>
          <w:szCs w:val="18"/>
          <w:color w:val="auto"/>
        </w:rPr>
        <w:t>1,716,614</w:t>
      </w:r>
    </w:p>
    <w:p>
      <w:pPr>
        <w:jc w:val="right"/>
        <w:spacing w:after="0"/>
        <w:rPr>
          <w:sz w:val="20"/>
          <w:szCs w:val="20"/>
          <w:color w:val="auto"/>
        </w:rPr>
      </w:pPr>
      <w:r>
        <w:rPr>
          <w:rFonts w:ascii="Arial" w:cs="Arial" w:eastAsia="Arial" w:hAnsi="Arial"/>
          <w:sz w:val="18"/>
          <w:szCs w:val="18"/>
          <w:color w:val="auto"/>
        </w:rPr>
        <w:t>8,955,958</w:t>
      </w:r>
      <w:r>
        <w:rPr>
          <w:sz w:val="1"/>
          <w:szCs w:val="1"/>
          <w:color w:val="auto"/>
        </w:rPr>
        <w:drawing>
          <wp:inline distT="0" distB="0" distL="0" distR="0">
            <wp:extent cx="68580" cy="133350"/>
            <wp:effectExtent l="0" t="0" r="0" b="0"/>
            <wp:docPr id="186" name="Picture 1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6"/>
                    <pic:cNvPicPr>
                      <a:picLocks noChangeAspect="1" noChangeArrowheads="1"/>
                    </pic:cNvPicPr>
                  </pic:nvPicPr>
                  <pic:blipFill>
                    <a:blip r:embed="rId193">
                      <a:extLst>
                        <a:ext uri="{28A0092B-C50C-407E-A947-70E740481C1C}"/>
                      </a:extLst>
                    </a:blip>
                    <a:srcRect/>
                    <a:stretch>
                      <a:fillRect/>
                    </a:stretch>
                  </pic:blipFill>
                  <pic:spPr bwMode="auto">
                    <a:xfrm>
                      <a:off x="0" y="0"/>
                      <a:ext cx="68580" cy="133350"/>
                    </a:xfrm>
                    <a:prstGeom prst="rect">
                      <a:avLst/>
                    </a:prstGeom>
                    <a:noFill/>
                    <a:ln>
                      <a:noFill/>
                    </a:ln>
                  </pic:spPr>
                </pic:pic>
              </a:graphicData>
            </a:graphic>
          </wp:inline>
        </w:drawing>
      </w:r>
    </w:p>
    <w:p>
      <w:pPr>
        <w:spacing w:after="0" w:line="3" w:lineRule="exact"/>
        <w:rPr>
          <w:sz w:val="20"/>
          <w:szCs w:val="20"/>
          <w:color w:val="auto"/>
        </w:rPr>
      </w:pPr>
    </w:p>
    <w:p>
      <w:pPr>
        <w:ind w:left="860"/>
        <w:spacing w:after="0"/>
        <w:rPr>
          <w:sz w:val="20"/>
          <w:szCs w:val="20"/>
          <w:color w:val="auto"/>
        </w:rPr>
      </w:pPr>
      <w:r>
        <w:rPr>
          <w:rFonts w:ascii="Arial" w:cs="Arial" w:eastAsia="Arial" w:hAnsi="Arial"/>
          <w:sz w:val="16"/>
          <w:szCs w:val="16"/>
          <w:color w:val="auto"/>
        </w:rPr>
        <w:t>(821,063 )</w:t>
      </w:r>
    </w:p>
    <w:p>
      <w:pPr>
        <w:spacing w:after="0" w:line="32" w:lineRule="exact"/>
        <w:rPr>
          <w:sz w:val="20"/>
          <w:szCs w:val="20"/>
          <w:color w:val="auto"/>
        </w:rPr>
      </w:pPr>
    </w:p>
    <w:p>
      <w:pPr>
        <w:ind w:left="860"/>
        <w:spacing w:after="0"/>
        <w:rPr>
          <w:sz w:val="20"/>
          <w:szCs w:val="20"/>
          <w:color w:val="auto"/>
        </w:rPr>
      </w:pPr>
      <w:r>
        <w:rPr>
          <w:rFonts w:ascii="Arial" w:cs="Arial" w:eastAsia="Arial" w:hAnsi="Arial"/>
          <w:sz w:val="16"/>
          <w:szCs w:val="16"/>
          <w:color w:val="auto"/>
        </w:rPr>
        <w:t>(765,275 )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-174625</wp:posOffset>
            </wp:positionH>
            <wp:positionV relativeFrom="paragraph">
              <wp:posOffset>20320</wp:posOffset>
            </wp:positionV>
            <wp:extent cx="1138555" cy="8255"/>
            <wp:wrapNone/>
            <wp:docPr id="187" name="Picture 1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7"/>
                    <pic:cNvPicPr>
                      <a:picLocks noChangeAspect="1" noChangeArrowheads="1"/>
                    </pic:cNvPicPr>
                  </pic:nvPicPr>
                  <pic:blipFill>
                    <a:blip r:embed="rId194">
                      <a:extLst>
                        <a:ext uri="{28A0092B-C50C-407E-A947-70E740481C1C}"/>
                      </a:extLst>
                    </a:blip>
                    <a:srcRect/>
                    <a:stretch>
                      <a:fillRect/>
                    </a:stretch>
                  </pic:blipFill>
                  <pic:spPr bwMode="auto">
                    <a:xfrm>
                      <a:off x="0" y="0"/>
                      <a:ext cx="1138555" cy="8255"/>
                    </a:xfrm>
                    <a:prstGeom prst="rect">
                      <a:avLst/>
                    </a:prstGeom>
                    <a:noFill/>
                  </pic:spPr>
                </pic:pic>
              </a:graphicData>
            </a:graphic>
          </wp:anchor>
        </w:drawing>
      </w:r>
    </w:p>
    <w:p>
      <w:pPr>
        <w:spacing w:after="0" w:line="12" w:lineRule="exact"/>
        <w:rPr>
          <w:sz w:val="20"/>
          <w:szCs w:val="20"/>
          <w:color w:val="auto"/>
        </w:rPr>
      </w:pPr>
    </w:p>
    <w:p>
      <w:pPr>
        <w:ind w:left="780"/>
        <w:spacing w:after="0"/>
        <w:rPr>
          <w:sz w:val="20"/>
          <w:szCs w:val="20"/>
          <w:color w:val="auto"/>
        </w:rPr>
      </w:pPr>
      <w:r>
        <w:rPr>
          <w:rFonts w:ascii="Arial" w:cs="Arial" w:eastAsia="Arial" w:hAnsi="Arial"/>
          <w:sz w:val="18"/>
          <w:szCs w:val="18"/>
          <w:color w:val="auto"/>
        </w:rPr>
        <w:t>9,086,234</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377" w:lineRule="exact"/>
        <w:rPr>
          <w:sz w:val="20"/>
          <w:szCs w:val="20"/>
          <w:color w:val="auto"/>
        </w:rPr>
      </w:pPr>
    </w:p>
    <w:p>
      <w:pPr>
        <w:ind w:left="240" w:right="260" w:hanging="105"/>
        <w:spacing w:after="0" w:line="271" w:lineRule="auto"/>
        <w:rPr>
          <w:sz w:val="20"/>
          <w:szCs w:val="20"/>
          <w:color w:val="auto"/>
        </w:rPr>
      </w:pPr>
      <w:r>
        <w:rPr>
          <w:rFonts w:ascii="Arial" w:cs="Arial" w:eastAsia="Arial" w:hAnsi="Arial"/>
          <w:sz w:val="16"/>
          <w:szCs w:val="16"/>
          <w:b w:val="1"/>
          <w:bCs w:val="1"/>
          <w:color w:val="auto"/>
        </w:rPr>
        <w:t>Weighted-average grant date fair value per share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-6985</wp:posOffset>
            </wp:positionV>
            <wp:extent cx="1070610" cy="8255"/>
            <wp:wrapNone/>
            <wp:docPr id="188" name="Picture 1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8"/>
                    <pic:cNvPicPr>
                      <a:picLocks noChangeAspect="1" noChangeArrowheads="1"/>
                    </pic:cNvPicPr>
                  </pic:nvPicPr>
                  <pic:blipFill>
                    <a:blip r:embed="rId195">
                      <a:extLst>
                        <a:ext uri="{28A0092B-C50C-407E-A947-70E740481C1C}"/>
                      </a:extLst>
                    </a:blip>
                    <a:srcRect/>
                    <a:stretch>
                      <a:fillRect/>
                    </a:stretch>
                  </pic:blipFill>
                  <pic:spPr bwMode="auto">
                    <a:xfrm>
                      <a:off x="0" y="0"/>
                      <a:ext cx="1070610" cy="8255"/>
                    </a:xfrm>
                    <a:prstGeom prst="rect">
                      <a:avLst/>
                    </a:prstGeom>
                    <a:noFill/>
                  </pic:spPr>
                </pic:pic>
              </a:graphicData>
            </a:graphic>
          </wp:anchor>
        </w:drawing>
      </w:r>
    </w:p>
    <w:p>
      <w:pPr>
        <w:ind w:left="1260" w:hanging="1260"/>
        <w:spacing w:after="0"/>
        <w:tabs>
          <w:tab w:leader="none" w:pos="1260" w:val="left"/>
        </w:tabs>
        <w:numPr>
          <w:ilvl w:val="0"/>
          <w:numId w:val="19"/>
        </w:numPr>
        <w:rPr>
          <w:rFonts w:ascii="Arial" w:cs="Arial" w:eastAsia="Arial" w:hAnsi="Arial"/>
          <w:sz w:val="15"/>
          <w:szCs w:val="15"/>
          <w:color w:val="auto"/>
        </w:rPr>
      </w:pPr>
      <w:r>
        <w:rPr>
          <w:rFonts w:ascii="Arial" w:cs="Arial" w:eastAsia="Arial" w:hAnsi="Arial"/>
          <w:sz w:val="15"/>
          <w:szCs w:val="15"/>
          <w:color w:val="auto"/>
        </w:rPr>
        <w:t>38.40</w:t>
      </w:r>
    </w:p>
    <w:p>
      <w:pPr>
        <w:spacing w:after="0" w:line="57" w:lineRule="exact"/>
        <w:rPr>
          <w:rFonts w:ascii="Arial" w:cs="Arial" w:eastAsia="Arial" w:hAnsi="Arial"/>
          <w:sz w:val="15"/>
          <w:szCs w:val="15"/>
          <w:color w:val="auto"/>
        </w:rPr>
      </w:pPr>
    </w:p>
    <w:p>
      <w:pPr>
        <w:ind w:left="1260"/>
        <w:spacing w:after="0"/>
        <w:rPr>
          <w:rFonts w:ascii="Arial" w:cs="Arial" w:eastAsia="Arial" w:hAnsi="Arial"/>
          <w:sz w:val="15"/>
          <w:szCs w:val="15"/>
          <w:color w:val="auto"/>
        </w:rPr>
      </w:pPr>
      <w:r>
        <w:rPr>
          <w:rFonts w:ascii="Arial" w:cs="Arial" w:eastAsia="Arial" w:hAnsi="Arial"/>
          <w:sz w:val="15"/>
          <w:szCs w:val="15"/>
          <w:color w:val="auto"/>
        </w:rPr>
        <w:t>18.19</w:t>
      </w:r>
    </w:p>
    <w:p>
      <w:pPr>
        <w:spacing w:after="0" w:line="43" w:lineRule="exact"/>
        <w:rPr>
          <w:rFonts w:ascii="Arial" w:cs="Arial" w:eastAsia="Arial" w:hAnsi="Arial"/>
          <w:sz w:val="15"/>
          <w:szCs w:val="15"/>
          <w:color w:val="auto"/>
        </w:rPr>
      </w:pPr>
    </w:p>
    <w:p>
      <w:pPr>
        <w:ind w:left="1260"/>
        <w:spacing w:after="0"/>
        <w:rPr>
          <w:rFonts w:ascii="Arial" w:cs="Arial" w:eastAsia="Arial" w:hAnsi="Arial"/>
          <w:sz w:val="15"/>
          <w:szCs w:val="15"/>
          <w:color w:val="auto"/>
        </w:rPr>
      </w:pPr>
      <w:r>
        <w:rPr>
          <w:rFonts w:ascii="Arial" w:cs="Arial" w:eastAsia="Arial" w:hAnsi="Arial"/>
          <w:sz w:val="15"/>
          <w:szCs w:val="15"/>
          <w:color w:val="auto"/>
        </w:rPr>
        <w:t>23.42</w:t>
      </w:r>
    </w:p>
    <w:p>
      <w:pPr>
        <w:spacing w:after="0" w:line="43" w:lineRule="exact"/>
        <w:rPr>
          <w:rFonts w:ascii="Arial" w:cs="Arial" w:eastAsia="Arial" w:hAnsi="Arial"/>
          <w:sz w:val="15"/>
          <w:szCs w:val="15"/>
          <w:color w:val="auto"/>
        </w:rPr>
      </w:pPr>
    </w:p>
    <w:p>
      <w:pPr>
        <w:ind w:left="1260"/>
        <w:spacing w:after="0"/>
        <w:rPr>
          <w:rFonts w:ascii="Arial" w:cs="Arial" w:eastAsia="Arial" w:hAnsi="Arial"/>
          <w:sz w:val="15"/>
          <w:szCs w:val="15"/>
          <w:color w:val="auto"/>
        </w:rPr>
      </w:pPr>
      <w:r>
        <w:rPr>
          <w:rFonts w:ascii="Arial" w:cs="Arial" w:eastAsia="Arial" w:hAnsi="Arial"/>
          <w:sz w:val="15"/>
          <w:szCs w:val="15"/>
          <w:color w:val="auto"/>
        </w:rPr>
        <w:t>30.62</w:t>
      </w:r>
    </w:p>
    <w:p>
      <w:pPr>
        <w:spacing w:after="0" w:line="83" w:lineRule="exact"/>
        <w:rPr>
          <w:sz w:val="20"/>
          <w:szCs w:val="20"/>
          <w:color w:val="auto"/>
        </w:rPr>
      </w:pPr>
    </w:p>
    <w:p>
      <w:pPr>
        <w:ind w:left="1260" w:hanging="1260"/>
        <w:spacing w:after="0"/>
        <w:tabs>
          <w:tab w:leader="none" w:pos="1260" w:val="left"/>
        </w:tabs>
        <w:numPr>
          <w:ilvl w:val="0"/>
          <w:numId w:val="20"/>
        </w:numPr>
        <w:rPr>
          <w:rFonts w:ascii="Arial" w:cs="Arial" w:eastAsia="Arial" w:hAnsi="Arial"/>
          <w:sz w:val="15"/>
          <w:szCs w:val="15"/>
          <w:color w:val="auto"/>
        </w:rPr>
      </w:pPr>
      <w:r>
        <w:rPr>
          <w:rFonts w:ascii="Arial" w:cs="Arial" w:eastAsia="Arial" w:hAnsi="Arial"/>
          <w:sz w:val="15"/>
          <w:szCs w:val="15"/>
          <w:color w:val="auto"/>
        </w:rPr>
        <w:t>24.80</w:t>
      </w:r>
    </w:p>
    <w:p>
      <w:pPr>
        <w:spacing w:after="0" w:line="676" w:lineRule="exact"/>
        <w:rPr>
          <w:sz w:val="20"/>
          <w:szCs w:val="20"/>
          <w:color w:val="auto"/>
        </w:rPr>
      </w:pPr>
    </w:p>
    <w:p>
      <w:pPr>
        <w:sectPr>
          <w:pgSz w:w="11900" w:h="16838" w:orient="portrait"/>
          <w:cols w:equalWidth="0" w:num="3">
            <w:col w:w="6940" w:space="720"/>
            <w:col w:w="1620" w:space="180"/>
            <w:col w:w="1780"/>
          </w:cols>
          <w:pgMar w:left="320" w:top="543" w:right="339" w:bottom="1440" w:gutter="0" w:footer="0" w:header="0"/>
          <w:type w:val="continuous"/>
        </w:sectPr>
      </w:pPr>
    </w:p>
    <w:p>
      <w:pPr>
        <w:ind w:firstLine="509"/>
        <w:spacing w:after="0" w:line="273" w:lineRule="auto"/>
        <w:rPr>
          <w:sz w:val="20"/>
          <w:szCs w:val="20"/>
          <w:color w:val="auto"/>
        </w:rPr>
      </w:pPr>
      <w:r>
        <w:rPr>
          <w:rFonts w:ascii="Arial" w:cs="Arial" w:eastAsia="Arial" w:hAnsi="Arial"/>
          <w:sz w:val="16"/>
          <w:szCs w:val="16"/>
          <w:color w:val="auto"/>
        </w:rPr>
        <w:t>In August 2021, the Company’s board of directors adopted, and its stockholders approved, the 2021 Employee Stock Purchase Plan (the “ESPP”), which became effective in connection with the Direct Listing. The ESPP authorizes the issuance of shares of common stock pursuant to purchase rights granted to employees. A total of 3,585,845 shares of the Company’s Class A common stock have been reserved for future issuance under the ESPP, in addition to any annual automatic evergreen increases in the number of shares of Class A common stock reserved for future issuance under the ESPP. The ESPP offers employees the option to purchase shares through a series of consecutive 12-month offering periods on each May 15th and November 15th (with two six-month purchase periods during each offering period). The price at which Class A common stock is purchased under the ESPP is equal to the lower of (i) 85% of the closing trading price per share of the Company's Class A common stock on the first trading date of an offering period in which a participant is enrolled or (ii) 85% of the closing trading price per share on the purchase date, which will occur on the last trading day of each purchase period, or such other price designated by the administrator. The initial offering period under the ESPP will be longer than 12 months, commencing on September 28, 2021 and ending on November 14, 2022. The first purchase period commenced on September 28, 2021 and ended on May 14, 2022. The ESPP offers a rollover feature pursuant to which, if the fair market value of a share of Class A common stock on the first purchase date is lower than the fair market value on the first trading day of the offering period, the respective offering period will terminate and each participant will be automatically enrolled in the offering period that commences immediately following the purchase date. In accordance with the rollover feature, immediately following the conclusion of the first purchase period on May 14, 2022, the initial offering period was terminated and participants were automatically</w:t>
      </w:r>
    </w:p>
    <w:p>
      <w:pPr>
        <w:spacing w:after="0" w:line="6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189" name="Picture 1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9"/>
                    <pic:cNvPicPr>
                      <a:picLocks noChangeAspect="1" noChangeArrowheads="1"/>
                    </pic:cNvPicPr>
                  </pic:nvPicPr>
                  <pic:blipFill>
                    <a:blip r:embed="rId19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543" w:right="339" w:bottom="1440" w:gutter="0" w:footer="0" w:header="0"/>
          <w:type w:val="continuous"/>
        </w:sectPr>
      </w:pPr>
    </w:p>
    <w:bookmarkStart w:id="21" w:name="page22"/>
    <w:bookmarkEnd w:id="21"/>
    <w:p>
      <w:pPr>
        <w:ind w:right="120"/>
        <w:spacing w:after="0" w:line="277" w:lineRule="auto"/>
        <w:rPr>
          <w:sz w:val="20"/>
          <w:szCs w:val="20"/>
          <w:color w:val="auto"/>
        </w:rPr>
      </w:pPr>
      <w:r>
        <w:rPr>
          <w:rFonts w:ascii="Arial" w:cs="Arial" w:eastAsia="Arial" w:hAnsi="Arial"/>
          <w:sz w:val="18"/>
          <w:szCs w:val="18"/>
          <w:color w:val="auto"/>
        </w:rPr>
        <w:t>enrolled in a new 12-month offering period commencing on May 15, 2022 and ending on May 14, 2023. The impact of the rollover feature did not result in any incremental compensation cost for the three or nine months ended September 30, 2022.</w:t>
      </w:r>
    </w:p>
    <w:p>
      <w:pPr>
        <w:spacing w:after="0" w:line="156" w:lineRule="exact"/>
        <w:rPr>
          <w:sz w:val="20"/>
          <w:szCs w:val="20"/>
          <w:color w:val="auto"/>
        </w:rPr>
      </w:pPr>
    </w:p>
    <w:p>
      <w:pPr>
        <w:ind w:right="60" w:firstLine="509"/>
        <w:spacing w:after="0" w:line="248" w:lineRule="auto"/>
        <w:rPr>
          <w:sz w:val="20"/>
          <w:szCs w:val="20"/>
          <w:color w:val="auto"/>
        </w:rPr>
      </w:pPr>
      <w:r>
        <w:rPr>
          <w:rFonts w:ascii="Arial" w:cs="Arial" w:eastAsia="Arial" w:hAnsi="Arial"/>
          <w:sz w:val="18"/>
          <w:szCs w:val="18"/>
          <w:color w:val="auto"/>
        </w:rPr>
        <w:t>As of September 30, 2022, 0.2 million shares have been purchased under the ESPP. During the nine months ended September 30, 2022, the Company recognized $4.5 million of stock-based compensation expense related to the ESPP and withheld $5.3 million in contributions from employees. As of September 30, 2022, total unrecognized compensation cost related to the ESPP was $1.9 million, which will be amortized over a weighted average period of 0.62 years.</w:t>
      </w:r>
    </w:p>
    <w:p>
      <w:pPr>
        <w:spacing w:after="0" w:line="291" w:lineRule="exact"/>
        <w:rPr>
          <w:sz w:val="20"/>
          <w:szCs w:val="20"/>
          <w:color w:val="auto"/>
        </w:rPr>
      </w:pPr>
    </w:p>
    <w:p>
      <w:pPr>
        <w:ind w:right="260" w:firstLine="509"/>
        <w:spacing w:after="0" w:line="261" w:lineRule="auto"/>
        <w:rPr>
          <w:sz w:val="20"/>
          <w:szCs w:val="20"/>
          <w:color w:val="auto"/>
        </w:rPr>
      </w:pPr>
      <w:r>
        <w:rPr>
          <w:rFonts w:ascii="Arial" w:cs="Arial" w:eastAsia="Arial" w:hAnsi="Arial"/>
          <w:sz w:val="18"/>
          <w:szCs w:val="18"/>
          <w:color w:val="auto"/>
        </w:rPr>
        <w:t>Stock-based compensation expense, net of actual forfeitures is reflected in the condensed consolidated statement of operations and comprehensive loss (in thousands):</w:t>
      </w:r>
    </w:p>
    <w:p>
      <w:pPr>
        <w:spacing w:after="0" w:line="134"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550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2360" w:type="dxa"/>
            <w:vAlign w:val="bottom"/>
            <w:gridSpan w:val="4"/>
          </w:tcPr>
          <w:p>
            <w:pPr>
              <w:jc w:val="right"/>
              <w:ind w:right="390"/>
              <w:spacing w:after="0"/>
              <w:rPr>
                <w:sz w:val="20"/>
                <w:szCs w:val="20"/>
                <w:color w:val="auto"/>
              </w:rPr>
            </w:pPr>
            <w:r>
              <w:rPr>
                <w:rFonts w:ascii="Arial" w:cs="Arial" w:eastAsia="Arial" w:hAnsi="Arial"/>
                <w:sz w:val="18"/>
                <w:szCs w:val="18"/>
                <w:b w:val="1"/>
                <w:bCs w:val="1"/>
                <w:color w:val="auto"/>
              </w:rPr>
              <w:t>Three Months Ended</w:t>
            </w:r>
          </w:p>
        </w:tc>
        <w:tc>
          <w:tcPr>
            <w:tcW w:w="24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2540" w:type="dxa"/>
            <w:vAlign w:val="bottom"/>
            <w:gridSpan w:val="4"/>
          </w:tcPr>
          <w:p>
            <w:pPr>
              <w:jc w:val="right"/>
              <w:ind w:right="530"/>
              <w:spacing w:after="0"/>
              <w:rPr>
                <w:sz w:val="20"/>
                <w:szCs w:val="20"/>
                <w:color w:val="auto"/>
              </w:rPr>
            </w:pPr>
            <w:r>
              <w:rPr>
                <w:rFonts w:ascii="Arial" w:cs="Arial" w:eastAsia="Arial" w:hAnsi="Arial"/>
                <w:sz w:val="18"/>
                <w:szCs w:val="18"/>
                <w:b w:val="1"/>
                <w:bCs w:val="1"/>
                <w:color w:val="auto"/>
              </w:rPr>
              <w:t>Nine Months Ended</w:t>
            </w:r>
          </w:p>
        </w:tc>
        <w:tc>
          <w:tcPr>
            <w:tcW w:w="100" w:type="dxa"/>
            <w:vAlign w:val="bottom"/>
          </w:tcPr>
          <w:p>
            <w:pPr>
              <w:spacing w:after="0"/>
              <w:rPr>
                <w:sz w:val="17"/>
                <w:szCs w:val="17"/>
                <w:color w:val="auto"/>
              </w:rPr>
            </w:pPr>
          </w:p>
        </w:tc>
      </w:tr>
      <w:tr>
        <w:trPr>
          <w:trHeight w:val="216"/>
        </w:trPr>
        <w:tc>
          <w:tcPr>
            <w:tcW w:w="55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2360" w:type="dxa"/>
            <w:vAlign w:val="bottom"/>
            <w:gridSpan w:val="4"/>
          </w:tcPr>
          <w:p>
            <w:pPr>
              <w:jc w:val="right"/>
              <w:ind w:right="670"/>
              <w:spacing w:after="0"/>
              <w:rPr>
                <w:sz w:val="20"/>
                <w:szCs w:val="20"/>
                <w:color w:val="auto"/>
              </w:rPr>
            </w:pPr>
            <w:r>
              <w:rPr>
                <w:rFonts w:ascii="Arial" w:cs="Arial" w:eastAsia="Arial" w:hAnsi="Arial"/>
                <w:sz w:val="18"/>
                <w:szCs w:val="18"/>
                <w:b w:val="1"/>
                <w:bCs w:val="1"/>
                <w:color w:val="auto"/>
              </w:rPr>
              <w:t>September 30,</w:t>
            </w:r>
          </w:p>
        </w:tc>
        <w:tc>
          <w:tcPr>
            <w:tcW w:w="2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540" w:type="dxa"/>
            <w:vAlign w:val="bottom"/>
            <w:gridSpan w:val="4"/>
          </w:tcPr>
          <w:p>
            <w:pPr>
              <w:jc w:val="right"/>
              <w:ind w:right="750"/>
              <w:spacing w:after="0"/>
              <w:rPr>
                <w:sz w:val="20"/>
                <w:szCs w:val="20"/>
                <w:color w:val="auto"/>
              </w:rPr>
            </w:pPr>
            <w:r>
              <w:rPr>
                <w:rFonts w:ascii="Arial" w:cs="Arial" w:eastAsia="Arial" w:hAnsi="Arial"/>
                <w:sz w:val="18"/>
                <w:szCs w:val="18"/>
                <w:b w:val="1"/>
                <w:bCs w:val="1"/>
                <w:color w:val="auto"/>
              </w:rPr>
              <w:t>September 30,</w:t>
            </w:r>
          </w:p>
        </w:tc>
        <w:tc>
          <w:tcPr>
            <w:tcW w:w="100" w:type="dxa"/>
            <w:vAlign w:val="bottom"/>
          </w:tcPr>
          <w:p>
            <w:pPr>
              <w:spacing w:after="0"/>
              <w:rPr>
                <w:sz w:val="18"/>
                <w:szCs w:val="18"/>
                <w:color w:val="auto"/>
              </w:rPr>
            </w:pPr>
          </w:p>
        </w:tc>
      </w:tr>
      <w:tr>
        <w:trPr>
          <w:trHeight w:val="234"/>
        </w:trPr>
        <w:tc>
          <w:tcPr>
            <w:tcW w:w="5500" w:type="dxa"/>
            <w:vAlign w:val="bottom"/>
          </w:tcPr>
          <w:p>
            <w:pPr>
              <w:spacing w:after="0"/>
              <w:rPr>
                <w:sz w:val="20"/>
                <w:szCs w:val="20"/>
                <w:color w:val="auto"/>
              </w:rPr>
            </w:pPr>
          </w:p>
        </w:tc>
        <w:tc>
          <w:tcPr>
            <w:tcW w:w="260" w:type="dxa"/>
            <w:vAlign w:val="bottom"/>
            <w:tcBorders>
              <w:bottom w:val="single" w:sz="8" w:color="auto"/>
            </w:tcBorders>
          </w:tcPr>
          <w:p>
            <w:pPr>
              <w:spacing w:after="0"/>
              <w:rPr>
                <w:sz w:val="20"/>
                <w:szCs w:val="20"/>
                <w:color w:val="auto"/>
              </w:rPr>
            </w:pPr>
          </w:p>
        </w:tc>
        <w:tc>
          <w:tcPr>
            <w:tcW w:w="900" w:type="dxa"/>
            <w:vAlign w:val="bottom"/>
            <w:tcBorders>
              <w:bottom w:val="single" w:sz="8" w:color="auto"/>
            </w:tcBorders>
          </w:tcPr>
          <w:p>
            <w:pPr>
              <w:jc w:val="right"/>
              <w:ind w:right="310"/>
              <w:spacing w:after="0"/>
              <w:rPr>
                <w:sz w:val="20"/>
                <w:szCs w:val="20"/>
                <w:color w:val="auto"/>
              </w:rPr>
            </w:pPr>
            <w:r>
              <w:rPr>
                <w:rFonts w:ascii="Arial" w:cs="Arial" w:eastAsia="Arial" w:hAnsi="Arial"/>
                <w:sz w:val="18"/>
                <w:szCs w:val="18"/>
                <w:b w:val="1"/>
                <w:bCs w:val="1"/>
                <w:color w:val="auto"/>
              </w:rPr>
              <w:t>2022</w:t>
            </w:r>
          </w:p>
        </w:tc>
        <w:tc>
          <w:tcPr>
            <w:tcW w:w="260" w:type="dxa"/>
            <w:vAlign w:val="bottom"/>
          </w:tcPr>
          <w:p>
            <w:pPr>
              <w:spacing w:after="0"/>
              <w:rPr>
                <w:sz w:val="20"/>
                <w:szCs w:val="20"/>
                <w:color w:val="auto"/>
              </w:rPr>
            </w:pPr>
          </w:p>
        </w:tc>
        <w:tc>
          <w:tcPr>
            <w:tcW w:w="260" w:type="dxa"/>
            <w:vAlign w:val="bottom"/>
            <w:tcBorders>
              <w:bottom w:val="single" w:sz="8" w:color="auto"/>
            </w:tcBorders>
          </w:tcPr>
          <w:p>
            <w:pPr>
              <w:spacing w:after="0"/>
              <w:rPr>
                <w:sz w:val="20"/>
                <w:szCs w:val="20"/>
                <w:color w:val="auto"/>
              </w:rPr>
            </w:pPr>
          </w:p>
        </w:tc>
        <w:tc>
          <w:tcPr>
            <w:tcW w:w="940" w:type="dxa"/>
            <w:vAlign w:val="bottom"/>
            <w:tcBorders>
              <w:bottom w:val="single" w:sz="8" w:color="auto"/>
            </w:tcBorders>
          </w:tcPr>
          <w:p>
            <w:pPr>
              <w:jc w:val="right"/>
              <w:ind w:right="330"/>
              <w:spacing w:after="0"/>
              <w:rPr>
                <w:sz w:val="20"/>
                <w:szCs w:val="20"/>
                <w:color w:val="auto"/>
              </w:rPr>
            </w:pPr>
            <w:r>
              <w:rPr>
                <w:rFonts w:ascii="Arial" w:cs="Arial" w:eastAsia="Arial" w:hAnsi="Arial"/>
                <w:sz w:val="18"/>
                <w:szCs w:val="18"/>
                <w:b w:val="1"/>
                <w:bCs w:val="1"/>
                <w:color w:val="auto"/>
              </w:rPr>
              <w:t>2021</w:t>
            </w:r>
          </w:p>
        </w:tc>
        <w:tc>
          <w:tcPr>
            <w:tcW w:w="240" w:type="dxa"/>
            <w:vAlign w:val="bottom"/>
          </w:tcPr>
          <w:p>
            <w:pPr>
              <w:spacing w:after="0"/>
              <w:rPr>
                <w:sz w:val="20"/>
                <w:szCs w:val="20"/>
                <w:color w:val="auto"/>
              </w:rPr>
            </w:pPr>
          </w:p>
        </w:tc>
        <w:tc>
          <w:tcPr>
            <w:tcW w:w="240" w:type="dxa"/>
            <w:vAlign w:val="bottom"/>
            <w:tcBorders>
              <w:bottom w:val="single" w:sz="8" w:color="auto"/>
            </w:tcBorders>
          </w:tcPr>
          <w:p>
            <w:pPr>
              <w:spacing w:after="0"/>
              <w:rPr>
                <w:sz w:val="20"/>
                <w:szCs w:val="20"/>
                <w:color w:val="auto"/>
              </w:rPr>
            </w:pPr>
          </w:p>
        </w:tc>
        <w:tc>
          <w:tcPr>
            <w:tcW w:w="880" w:type="dxa"/>
            <w:vAlign w:val="bottom"/>
            <w:tcBorders>
              <w:bottom w:val="single" w:sz="8" w:color="auto"/>
            </w:tcBorders>
          </w:tcPr>
          <w:p>
            <w:pPr>
              <w:jc w:val="right"/>
              <w:ind w:right="290"/>
              <w:spacing w:after="0"/>
              <w:rPr>
                <w:sz w:val="20"/>
                <w:szCs w:val="20"/>
                <w:color w:val="auto"/>
              </w:rPr>
            </w:pPr>
            <w:r>
              <w:rPr>
                <w:rFonts w:ascii="Arial" w:cs="Arial" w:eastAsia="Arial" w:hAnsi="Arial"/>
                <w:sz w:val="18"/>
                <w:szCs w:val="18"/>
                <w:b w:val="1"/>
                <w:bCs w:val="1"/>
                <w:color w:val="auto"/>
              </w:rPr>
              <w:t>2022</w:t>
            </w:r>
          </w:p>
        </w:tc>
        <w:tc>
          <w:tcPr>
            <w:tcW w:w="240" w:type="dxa"/>
            <w:vAlign w:val="bottom"/>
          </w:tcPr>
          <w:p>
            <w:pPr>
              <w:spacing w:after="0"/>
              <w:rPr>
                <w:sz w:val="20"/>
                <w:szCs w:val="20"/>
                <w:color w:val="auto"/>
              </w:rPr>
            </w:pPr>
          </w:p>
        </w:tc>
        <w:tc>
          <w:tcPr>
            <w:tcW w:w="320" w:type="dxa"/>
            <w:vAlign w:val="bottom"/>
            <w:tcBorders>
              <w:bottom w:val="single" w:sz="8" w:color="auto"/>
            </w:tcBorders>
          </w:tcPr>
          <w:p>
            <w:pPr>
              <w:spacing w:after="0"/>
              <w:rPr>
                <w:sz w:val="20"/>
                <w:szCs w:val="20"/>
                <w:color w:val="auto"/>
              </w:rPr>
            </w:pPr>
          </w:p>
        </w:tc>
        <w:tc>
          <w:tcPr>
            <w:tcW w:w="1100" w:type="dxa"/>
            <w:vAlign w:val="bottom"/>
            <w:tcBorders>
              <w:bottom w:val="single" w:sz="8" w:color="auto"/>
            </w:tcBorders>
          </w:tcPr>
          <w:p>
            <w:pPr>
              <w:jc w:val="right"/>
              <w:ind w:right="450"/>
              <w:spacing w:after="0"/>
              <w:rPr>
                <w:sz w:val="20"/>
                <w:szCs w:val="20"/>
                <w:color w:val="auto"/>
              </w:rPr>
            </w:pPr>
            <w:r>
              <w:rPr>
                <w:rFonts w:ascii="Arial" w:cs="Arial" w:eastAsia="Arial" w:hAnsi="Arial"/>
                <w:sz w:val="18"/>
                <w:szCs w:val="18"/>
                <w:b w:val="1"/>
                <w:bCs w:val="1"/>
                <w:color w:val="auto"/>
              </w:rPr>
              <w:t>2021</w:t>
            </w:r>
          </w:p>
        </w:tc>
        <w:tc>
          <w:tcPr>
            <w:tcW w:w="100" w:type="dxa"/>
            <w:vAlign w:val="bottom"/>
          </w:tcPr>
          <w:p>
            <w:pPr>
              <w:spacing w:after="0"/>
              <w:rPr>
                <w:sz w:val="20"/>
                <w:szCs w:val="20"/>
                <w:color w:val="auto"/>
              </w:rPr>
            </w:pPr>
          </w:p>
        </w:tc>
      </w:tr>
      <w:tr>
        <w:trPr>
          <w:trHeight w:val="209"/>
        </w:trPr>
        <w:tc>
          <w:tcPr>
            <w:tcW w:w="55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520" w:type="dxa"/>
            <w:vAlign w:val="bottom"/>
            <w:gridSpan w:val="2"/>
          </w:tcPr>
          <w:p>
            <w:pPr>
              <w:spacing w:after="0"/>
              <w:rPr>
                <w:sz w:val="18"/>
                <w:szCs w:val="18"/>
                <w:color w:val="auto"/>
              </w:rPr>
            </w:pPr>
          </w:p>
        </w:tc>
        <w:tc>
          <w:tcPr>
            <w:tcW w:w="940" w:type="dxa"/>
            <w:vAlign w:val="bottom"/>
          </w:tcPr>
          <w:p>
            <w:pPr>
              <w:spacing w:after="0"/>
              <w:rPr>
                <w:sz w:val="18"/>
                <w:szCs w:val="18"/>
                <w:color w:val="auto"/>
              </w:rPr>
            </w:pPr>
          </w:p>
        </w:tc>
        <w:tc>
          <w:tcPr>
            <w:tcW w:w="480" w:type="dxa"/>
            <w:vAlign w:val="bottom"/>
            <w:gridSpan w:val="2"/>
          </w:tcPr>
          <w:p>
            <w:pPr>
              <w:spacing w:after="0"/>
              <w:rPr>
                <w:sz w:val="18"/>
                <w:szCs w:val="18"/>
                <w:color w:val="auto"/>
              </w:rPr>
            </w:pPr>
          </w:p>
        </w:tc>
        <w:tc>
          <w:tcPr>
            <w:tcW w:w="880" w:type="dxa"/>
            <w:vAlign w:val="bottom"/>
          </w:tcPr>
          <w:p>
            <w:pPr>
              <w:spacing w:after="0"/>
              <w:rPr>
                <w:sz w:val="18"/>
                <w:szCs w:val="18"/>
                <w:color w:val="auto"/>
              </w:rPr>
            </w:pPr>
          </w:p>
        </w:tc>
        <w:tc>
          <w:tcPr>
            <w:tcW w:w="560" w:type="dxa"/>
            <w:vAlign w:val="bottom"/>
            <w:gridSpan w:val="2"/>
          </w:tcPr>
          <w:p>
            <w:pPr>
              <w:spacing w:after="0"/>
              <w:rPr>
                <w:sz w:val="18"/>
                <w:szCs w:val="18"/>
                <w:color w:val="auto"/>
              </w:rPr>
            </w:pPr>
          </w:p>
        </w:tc>
        <w:tc>
          <w:tcPr>
            <w:tcW w:w="110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5500" w:type="dxa"/>
            <w:vAlign w:val="bottom"/>
            <w:shd w:val="clear" w:color="auto" w:fill="CFF0FC"/>
          </w:tcPr>
          <w:p>
            <w:pPr>
              <w:ind w:left="20"/>
              <w:spacing w:after="0"/>
              <w:rPr>
                <w:sz w:val="20"/>
                <w:szCs w:val="20"/>
                <w:color w:val="auto"/>
              </w:rPr>
            </w:pPr>
            <w:r>
              <w:rPr>
                <w:rFonts w:ascii="Arial" w:cs="Arial" w:eastAsia="Arial" w:hAnsi="Arial"/>
                <w:sz w:val="18"/>
                <w:szCs w:val="18"/>
                <w:color w:val="auto"/>
              </w:rPr>
              <w:t>Cost of revenue</w:t>
            </w:r>
          </w:p>
        </w:tc>
        <w:tc>
          <w:tcPr>
            <w:tcW w:w="260" w:type="dxa"/>
            <w:vAlign w:val="bottom"/>
            <w:shd w:val="clear" w:color="auto" w:fill="CFF0FC"/>
          </w:tcPr>
          <w:p>
            <w:pPr>
              <w:jc w:val="right"/>
              <w:ind w:right="50"/>
              <w:spacing w:after="0"/>
              <w:rPr>
                <w:sz w:val="20"/>
                <w:szCs w:val="20"/>
                <w:color w:val="auto"/>
              </w:rPr>
            </w:pPr>
            <w:r>
              <w:rPr>
                <w:rFonts w:ascii="Arial" w:cs="Arial" w:eastAsia="Arial" w:hAnsi="Arial"/>
                <w:sz w:val="18"/>
                <w:szCs w:val="18"/>
                <w:color w:val="auto"/>
                <w:w w:val="99"/>
              </w:rPr>
              <w:t>$</w:t>
            </w:r>
          </w:p>
        </w:tc>
        <w:tc>
          <w:tcPr>
            <w:tcW w:w="9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1,793</w:t>
            </w:r>
          </w:p>
        </w:tc>
        <w:tc>
          <w:tcPr>
            <w:tcW w:w="520" w:type="dxa"/>
            <w:vAlign w:val="bottom"/>
            <w:gridSpan w:val="2"/>
            <w:shd w:val="clear" w:color="auto" w:fill="CFF0FC"/>
          </w:tcPr>
          <w:p>
            <w:pPr>
              <w:jc w:val="right"/>
              <w:ind w:right="70"/>
              <w:spacing w:after="0"/>
              <w:rPr>
                <w:sz w:val="20"/>
                <w:szCs w:val="20"/>
                <w:color w:val="auto"/>
              </w:rPr>
            </w:pPr>
            <w:r>
              <w:rPr>
                <w:rFonts w:ascii="Arial" w:cs="Arial" w:eastAsia="Arial" w:hAnsi="Arial"/>
                <w:sz w:val="18"/>
                <w:szCs w:val="18"/>
                <w:color w:val="auto"/>
              </w:rPr>
              <w:t>$</w:t>
            </w:r>
          </w:p>
        </w:tc>
        <w:tc>
          <w:tcPr>
            <w:tcW w:w="9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425</w:t>
            </w:r>
          </w:p>
        </w:tc>
        <w:tc>
          <w:tcPr>
            <w:tcW w:w="480" w:type="dxa"/>
            <w:vAlign w:val="bottom"/>
            <w:gridSpan w:val="2"/>
            <w:shd w:val="clear" w:color="auto" w:fill="CFF0FC"/>
          </w:tcPr>
          <w:p>
            <w:pPr>
              <w:jc w:val="right"/>
              <w:ind w:right="50"/>
              <w:spacing w:after="0"/>
              <w:rPr>
                <w:sz w:val="20"/>
                <w:szCs w:val="20"/>
                <w:color w:val="auto"/>
              </w:rPr>
            </w:pPr>
            <w:r>
              <w:rPr>
                <w:rFonts w:ascii="Arial" w:cs="Arial" w:eastAsia="Arial" w:hAnsi="Arial"/>
                <w:sz w:val="18"/>
                <w:szCs w:val="18"/>
                <w:color w:val="auto"/>
              </w:rPr>
              <w:t>$</w:t>
            </w:r>
          </w:p>
        </w:tc>
        <w:tc>
          <w:tcPr>
            <w:tcW w:w="8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4,385</w:t>
            </w:r>
          </w:p>
        </w:tc>
        <w:tc>
          <w:tcPr>
            <w:tcW w:w="560" w:type="dxa"/>
            <w:vAlign w:val="bottom"/>
            <w:gridSpan w:val="2"/>
            <w:shd w:val="clear" w:color="auto" w:fill="CFF0FC"/>
          </w:tcPr>
          <w:p>
            <w:pPr>
              <w:jc w:val="right"/>
              <w:ind w:right="130"/>
              <w:spacing w:after="0"/>
              <w:rPr>
                <w:sz w:val="20"/>
                <w:szCs w:val="20"/>
                <w:color w:val="auto"/>
              </w:rPr>
            </w:pPr>
            <w:r>
              <w:rPr>
                <w:rFonts w:ascii="Arial" w:cs="Arial" w:eastAsia="Arial" w:hAnsi="Arial"/>
                <w:sz w:val="18"/>
                <w:szCs w:val="18"/>
                <w:color w:val="auto"/>
              </w:rPr>
              <w:t>$</w:t>
            </w:r>
          </w:p>
        </w:tc>
        <w:tc>
          <w:tcPr>
            <w:tcW w:w="11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909</w:t>
            </w:r>
          </w:p>
        </w:tc>
        <w:tc>
          <w:tcPr>
            <w:tcW w:w="100" w:type="dxa"/>
            <w:vAlign w:val="bottom"/>
            <w:shd w:val="clear" w:color="auto" w:fill="CFF0FC"/>
          </w:tcPr>
          <w:p>
            <w:pPr>
              <w:spacing w:after="0"/>
              <w:rPr>
                <w:sz w:val="18"/>
                <w:szCs w:val="18"/>
                <w:color w:val="auto"/>
              </w:rPr>
            </w:pPr>
          </w:p>
        </w:tc>
      </w:tr>
      <w:tr>
        <w:trPr>
          <w:trHeight w:val="216"/>
        </w:trPr>
        <w:tc>
          <w:tcPr>
            <w:tcW w:w="5500" w:type="dxa"/>
            <w:vAlign w:val="bottom"/>
          </w:tcPr>
          <w:p>
            <w:pPr>
              <w:ind w:left="20"/>
              <w:spacing w:after="0"/>
              <w:rPr>
                <w:sz w:val="20"/>
                <w:szCs w:val="20"/>
                <w:color w:val="auto"/>
              </w:rPr>
            </w:pPr>
            <w:r>
              <w:rPr>
                <w:rFonts w:ascii="Arial" w:cs="Arial" w:eastAsia="Arial" w:hAnsi="Arial"/>
                <w:sz w:val="18"/>
                <w:szCs w:val="18"/>
                <w:color w:val="auto"/>
              </w:rPr>
              <w:t>Research and development</w:t>
            </w:r>
          </w:p>
        </w:tc>
        <w:tc>
          <w:tcPr>
            <w:tcW w:w="26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7,486</w:t>
            </w:r>
          </w:p>
        </w:tc>
        <w:tc>
          <w:tcPr>
            <w:tcW w:w="2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7,390</w:t>
            </w:r>
          </w:p>
        </w:tc>
        <w:tc>
          <w:tcPr>
            <w:tcW w:w="2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19,153</w:t>
            </w:r>
          </w:p>
        </w:tc>
        <w:tc>
          <w:tcPr>
            <w:tcW w:w="24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9,454</w:t>
            </w:r>
          </w:p>
        </w:tc>
        <w:tc>
          <w:tcPr>
            <w:tcW w:w="100" w:type="dxa"/>
            <w:vAlign w:val="bottom"/>
          </w:tcPr>
          <w:p>
            <w:pPr>
              <w:spacing w:after="0"/>
              <w:rPr>
                <w:sz w:val="18"/>
                <w:szCs w:val="18"/>
                <w:color w:val="auto"/>
              </w:rPr>
            </w:pPr>
          </w:p>
        </w:tc>
      </w:tr>
      <w:tr>
        <w:trPr>
          <w:trHeight w:val="216"/>
        </w:trPr>
        <w:tc>
          <w:tcPr>
            <w:tcW w:w="5500" w:type="dxa"/>
            <w:vAlign w:val="bottom"/>
            <w:shd w:val="clear" w:color="auto" w:fill="CFF0FC"/>
          </w:tcPr>
          <w:p>
            <w:pPr>
              <w:ind w:left="20"/>
              <w:spacing w:after="0"/>
              <w:rPr>
                <w:sz w:val="20"/>
                <w:szCs w:val="20"/>
                <w:color w:val="auto"/>
              </w:rPr>
            </w:pPr>
            <w:r>
              <w:rPr>
                <w:rFonts w:ascii="Arial" w:cs="Arial" w:eastAsia="Arial" w:hAnsi="Arial"/>
                <w:sz w:val="18"/>
                <w:szCs w:val="18"/>
                <w:color w:val="auto"/>
              </w:rPr>
              <w:t>Sales and marketing</w:t>
            </w:r>
          </w:p>
        </w:tc>
        <w:tc>
          <w:tcPr>
            <w:tcW w:w="260" w:type="dxa"/>
            <w:vAlign w:val="bottom"/>
            <w:shd w:val="clear" w:color="auto" w:fill="CFF0FC"/>
          </w:tcPr>
          <w:p>
            <w:pPr>
              <w:spacing w:after="0"/>
              <w:rPr>
                <w:sz w:val="18"/>
                <w:szCs w:val="18"/>
                <w:color w:val="auto"/>
              </w:rPr>
            </w:pPr>
          </w:p>
        </w:tc>
        <w:tc>
          <w:tcPr>
            <w:tcW w:w="9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5,029</w:t>
            </w:r>
          </w:p>
        </w:tc>
        <w:tc>
          <w:tcPr>
            <w:tcW w:w="260" w:type="dxa"/>
            <w:vAlign w:val="bottom"/>
            <w:shd w:val="clear" w:color="auto" w:fill="CFF0FC"/>
          </w:tcPr>
          <w:p>
            <w:pPr>
              <w:spacing w:after="0"/>
              <w:rPr>
                <w:sz w:val="18"/>
                <w:szCs w:val="18"/>
                <w:color w:val="auto"/>
              </w:rPr>
            </w:pPr>
          </w:p>
        </w:tc>
        <w:tc>
          <w:tcPr>
            <w:tcW w:w="260" w:type="dxa"/>
            <w:vAlign w:val="bottom"/>
            <w:shd w:val="clear" w:color="auto" w:fill="CFF0FC"/>
          </w:tcPr>
          <w:p>
            <w:pPr>
              <w:spacing w:after="0"/>
              <w:rPr>
                <w:sz w:val="18"/>
                <w:szCs w:val="18"/>
                <w:color w:val="auto"/>
              </w:rPr>
            </w:pPr>
          </w:p>
        </w:tc>
        <w:tc>
          <w:tcPr>
            <w:tcW w:w="9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2,312</w:t>
            </w:r>
          </w:p>
        </w:tc>
        <w:tc>
          <w:tcPr>
            <w:tcW w:w="240" w:type="dxa"/>
            <w:vAlign w:val="bottom"/>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8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11,474</w:t>
            </w:r>
          </w:p>
        </w:tc>
        <w:tc>
          <w:tcPr>
            <w:tcW w:w="240" w:type="dxa"/>
            <w:vAlign w:val="bottom"/>
            <w:shd w:val="clear" w:color="auto" w:fill="CFF0FC"/>
          </w:tcPr>
          <w:p>
            <w:pPr>
              <w:spacing w:after="0"/>
              <w:rPr>
                <w:sz w:val="18"/>
                <w:szCs w:val="18"/>
                <w:color w:val="auto"/>
              </w:rPr>
            </w:pPr>
          </w:p>
        </w:tc>
        <w:tc>
          <w:tcPr>
            <w:tcW w:w="320" w:type="dxa"/>
            <w:vAlign w:val="bottom"/>
            <w:shd w:val="clear" w:color="auto" w:fill="CFF0FC"/>
          </w:tcPr>
          <w:p>
            <w:pPr>
              <w:spacing w:after="0"/>
              <w:rPr>
                <w:sz w:val="18"/>
                <w:szCs w:val="18"/>
                <w:color w:val="auto"/>
              </w:rPr>
            </w:pPr>
          </w:p>
        </w:tc>
        <w:tc>
          <w:tcPr>
            <w:tcW w:w="11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4,001</w:t>
            </w:r>
          </w:p>
        </w:tc>
        <w:tc>
          <w:tcPr>
            <w:tcW w:w="100" w:type="dxa"/>
            <w:vAlign w:val="bottom"/>
            <w:shd w:val="clear" w:color="auto" w:fill="CFF0FC"/>
          </w:tcPr>
          <w:p>
            <w:pPr>
              <w:spacing w:after="0"/>
              <w:rPr>
                <w:sz w:val="18"/>
                <w:szCs w:val="18"/>
                <w:color w:val="auto"/>
              </w:rPr>
            </w:pPr>
          </w:p>
        </w:tc>
      </w:tr>
      <w:tr>
        <w:trPr>
          <w:trHeight w:val="216"/>
        </w:trPr>
        <w:tc>
          <w:tcPr>
            <w:tcW w:w="5500" w:type="dxa"/>
            <w:vAlign w:val="bottom"/>
          </w:tcPr>
          <w:p>
            <w:pPr>
              <w:ind w:left="20"/>
              <w:spacing w:after="0"/>
              <w:rPr>
                <w:sz w:val="20"/>
                <w:szCs w:val="20"/>
                <w:color w:val="auto"/>
              </w:rPr>
            </w:pPr>
            <w:r>
              <w:rPr>
                <w:rFonts w:ascii="Arial" w:cs="Arial" w:eastAsia="Arial" w:hAnsi="Arial"/>
                <w:sz w:val="18"/>
                <w:szCs w:val="18"/>
                <w:color w:val="auto"/>
              </w:rPr>
              <w:t>General and administrative</w:t>
            </w:r>
          </w:p>
        </w:tc>
        <w:tc>
          <w:tcPr>
            <w:tcW w:w="260" w:type="dxa"/>
            <w:vAlign w:val="bottom"/>
            <w:tcBorders>
              <w:bottom w:val="single" w:sz="8" w:color="auto"/>
            </w:tcBorders>
          </w:tcPr>
          <w:p>
            <w:pPr>
              <w:spacing w:after="0"/>
              <w:rPr>
                <w:sz w:val="18"/>
                <w:szCs w:val="18"/>
                <w:color w:val="auto"/>
              </w:rPr>
            </w:pP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4,184</w:t>
            </w:r>
          </w:p>
        </w:tc>
        <w:tc>
          <w:tcPr>
            <w:tcW w:w="260" w:type="dxa"/>
            <w:vAlign w:val="bottom"/>
          </w:tcPr>
          <w:p>
            <w:pPr>
              <w:spacing w:after="0"/>
              <w:rPr>
                <w:sz w:val="18"/>
                <w:szCs w:val="18"/>
                <w:color w:val="auto"/>
              </w:rPr>
            </w:pPr>
          </w:p>
        </w:tc>
        <w:tc>
          <w:tcPr>
            <w:tcW w:w="260" w:type="dxa"/>
            <w:vAlign w:val="bottom"/>
            <w:tcBorders>
              <w:bottom w:val="single" w:sz="8" w:color="auto"/>
            </w:tcBorders>
          </w:tcPr>
          <w:p>
            <w:pPr>
              <w:spacing w:after="0"/>
              <w:rPr>
                <w:sz w:val="18"/>
                <w:szCs w:val="18"/>
                <w:color w:val="auto"/>
              </w:rPr>
            </w:pP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4,412</w:t>
            </w:r>
          </w:p>
        </w:tc>
        <w:tc>
          <w:tcPr>
            <w:tcW w:w="240" w:type="dxa"/>
            <w:vAlign w:val="bottom"/>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11,819</w:t>
            </w:r>
          </w:p>
        </w:tc>
        <w:tc>
          <w:tcPr>
            <w:tcW w:w="240" w:type="dxa"/>
            <w:vAlign w:val="bottom"/>
          </w:tcPr>
          <w:p>
            <w:pPr>
              <w:spacing w:after="0"/>
              <w:rPr>
                <w:sz w:val="18"/>
                <w:szCs w:val="18"/>
                <w:color w:val="auto"/>
              </w:rPr>
            </w:pPr>
          </w:p>
        </w:tc>
        <w:tc>
          <w:tcPr>
            <w:tcW w:w="320" w:type="dxa"/>
            <w:vAlign w:val="bottom"/>
            <w:tcBorders>
              <w:bottom w:val="single" w:sz="8" w:color="auto"/>
            </w:tcBorders>
          </w:tcPr>
          <w:p>
            <w:pPr>
              <w:spacing w:after="0"/>
              <w:rPr>
                <w:sz w:val="18"/>
                <w:szCs w:val="18"/>
                <w:color w:val="auto"/>
              </w:rPr>
            </w:pP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5,773</w:t>
            </w:r>
          </w:p>
        </w:tc>
        <w:tc>
          <w:tcPr>
            <w:tcW w:w="100" w:type="dxa"/>
            <w:vAlign w:val="bottom"/>
          </w:tcPr>
          <w:p>
            <w:pPr>
              <w:spacing w:after="0"/>
              <w:rPr>
                <w:sz w:val="18"/>
                <w:szCs w:val="18"/>
                <w:color w:val="auto"/>
              </w:rPr>
            </w:pPr>
          </w:p>
        </w:tc>
      </w:tr>
      <w:tr>
        <w:trPr>
          <w:trHeight w:val="249"/>
        </w:trPr>
        <w:tc>
          <w:tcPr>
            <w:tcW w:w="5500" w:type="dxa"/>
            <w:vAlign w:val="bottom"/>
            <w:tcBorders>
              <w:bottom w:val="single" w:sz="8" w:color="CFF0FC"/>
            </w:tcBorders>
            <w:shd w:val="clear" w:color="auto" w:fill="CFF0FC"/>
          </w:tcPr>
          <w:p>
            <w:pPr>
              <w:ind w:left="200"/>
              <w:spacing w:after="0"/>
              <w:rPr>
                <w:sz w:val="20"/>
                <w:szCs w:val="20"/>
                <w:color w:val="auto"/>
              </w:rPr>
            </w:pPr>
            <w:r>
              <w:rPr>
                <w:rFonts w:ascii="Arial" w:cs="Arial" w:eastAsia="Arial" w:hAnsi="Arial"/>
                <w:sz w:val="18"/>
                <w:szCs w:val="18"/>
                <w:color w:val="auto"/>
              </w:rPr>
              <w:t>Total stock-based compensation expense</w:t>
            </w:r>
          </w:p>
        </w:tc>
        <w:tc>
          <w:tcPr>
            <w:tcW w:w="260" w:type="dxa"/>
            <w:vAlign w:val="bottom"/>
            <w:tcBorders>
              <w:bottom w:val="single" w:sz="8" w:color="auto"/>
            </w:tcBorders>
            <w:shd w:val="clear" w:color="auto" w:fill="CFF0FC"/>
          </w:tcPr>
          <w:p>
            <w:pPr>
              <w:jc w:val="right"/>
              <w:ind w:right="50"/>
              <w:spacing w:after="0"/>
              <w:rPr>
                <w:sz w:val="20"/>
                <w:szCs w:val="20"/>
                <w:color w:val="auto"/>
              </w:rPr>
            </w:pPr>
            <w:r>
              <w:rPr>
                <w:rFonts w:ascii="Arial" w:cs="Arial" w:eastAsia="Arial" w:hAnsi="Arial"/>
                <w:sz w:val="18"/>
                <w:szCs w:val="18"/>
                <w:color w:val="auto"/>
                <w:w w:val="99"/>
              </w:rPr>
              <w:t>$</w:t>
            </w:r>
          </w:p>
        </w:tc>
        <w:tc>
          <w:tcPr>
            <w:tcW w:w="9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18,492</w:t>
            </w:r>
          </w:p>
        </w:tc>
        <w:tc>
          <w:tcPr>
            <w:tcW w:w="260" w:type="dxa"/>
            <w:vAlign w:val="bottom"/>
            <w:tcBorders>
              <w:bottom w:val="single" w:sz="8" w:color="CFF0FC"/>
            </w:tcBorders>
            <w:shd w:val="clear" w:color="auto" w:fill="CFF0FC"/>
          </w:tcPr>
          <w:p>
            <w:pPr>
              <w:spacing w:after="0"/>
              <w:rPr>
                <w:sz w:val="21"/>
                <w:szCs w:val="21"/>
                <w:color w:val="auto"/>
              </w:rPr>
            </w:pPr>
          </w:p>
        </w:tc>
        <w:tc>
          <w:tcPr>
            <w:tcW w:w="260" w:type="dxa"/>
            <w:vAlign w:val="bottom"/>
            <w:tcBorders>
              <w:bottom w:val="single" w:sz="8" w:color="auto"/>
            </w:tcBorders>
            <w:shd w:val="clear" w:color="auto" w:fill="CFF0FC"/>
          </w:tcPr>
          <w:p>
            <w:pPr>
              <w:jc w:val="right"/>
              <w:ind w:right="70"/>
              <w:spacing w:after="0"/>
              <w:rPr>
                <w:sz w:val="20"/>
                <w:szCs w:val="20"/>
                <w:color w:val="auto"/>
              </w:rPr>
            </w:pPr>
            <w:r>
              <w:rPr>
                <w:rFonts w:ascii="Arial" w:cs="Arial" w:eastAsia="Arial" w:hAnsi="Arial"/>
                <w:sz w:val="18"/>
                <w:szCs w:val="18"/>
                <w:color w:val="auto"/>
                <w:w w:val="79"/>
              </w:rPr>
              <w:t>$</w:t>
            </w:r>
          </w:p>
        </w:tc>
        <w:tc>
          <w:tcPr>
            <w:tcW w:w="9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14,539</w:t>
            </w:r>
          </w:p>
        </w:tc>
        <w:tc>
          <w:tcPr>
            <w:tcW w:w="240" w:type="dxa"/>
            <w:vAlign w:val="bottom"/>
            <w:tcBorders>
              <w:bottom w:val="single" w:sz="8" w:color="CFF0FC"/>
            </w:tcBorders>
            <w:shd w:val="clear" w:color="auto" w:fill="CFF0FC"/>
          </w:tcPr>
          <w:p>
            <w:pPr>
              <w:spacing w:after="0"/>
              <w:rPr>
                <w:sz w:val="21"/>
                <w:szCs w:val="21"/>
                <w:color w:val="auto"/>
              </w:rPr>
            </w:pPr>
          </w:p>
        </w:tc>
        <w:tc>
          <w:tcPr>
            <w:tcW w:w="240" w:type="dxa"/>
            <w:vAlign w:val="bottom"/>
            <w:tcBorders>
              <w:bottom w:val="single" w:sz="8" w:color="auto"/>
            </w:tcBorders>
            <w:shd w:val="clear" w:color="auto" w:fill="CFF0FC"/>
          </w:tcPr>
          <w:p>
            <w:pPr>
              <w:jc w:val="right"/>
              <w:ind w:right="50"/>
              <w:spacing w:after="0"/>
              <w:rPr>
                <w:sz w:val="20"/>
                <w:szCs w:val="20"/>
                <w:color w:val="auto"/>
              </w:rPr>
            </w:pPr>
            <w:r>
              <w:rPr>
                <w:rFonts w:ascii="Arial" w:cs="Arial" w:eastAsia="Arial" w:hAnsi="Arial"/>
                <w:sz w:val="18"/>
                <w:szCs w:val="18"/>
                <w:color w:val="auto"/>
                <w:w w:val="79"/>
              </w:rPr>
              <w:t>$</w:t>
            </w:r>
          </w:p>
        </w:tc>
        <w:tc>
          <w:tcPr>
            <w:tcW w:w="8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46,831</w:t>
            </w:r>
          </w:p>
        </w:tc>
        <w:tc>
          <w:tcPr>
            <w:tcW w:w="240" w:type="dxa"/>
            <w:vAlign w:val="bottom"/>
            <w:tcBorders>
              <w:bottom w:val="single" w:sz="8" w:color="CFF0FC"/>
            </w:tcBorders>
            <w:shd w:val="clear" w:color="auto" w:fill="CFF0FC"/>
          </w:tcPr>
          <w:p>
            <w:pPr>
              <w:spacing w:after="0"/>
              <w:rPr>
                <w:sz w:val="21"/>
                <w:szCs w:val="21"/>
                <w:color w:val="auto"/>
              </w:rPr>
            </w:pPr>
          </w:p>
        </w:tc>
        <w:tc>
          <w:tcPr>
            <w:tcW w:w="320" w:type="dxa"/>
            <w:vAlign w:val="bottom"/>
            <w:tcBorders>
              <w:bottom w:val="single" w:sz="8" w:color="auto"/>
            </w:tcBorders>
            <w:shd w:val="clear" w:color="auto" w:fill="CFF0FC"/>
          </w:tcPr>
          <w:p>
            <w:pPr>
              <w:jc w:val="right"/>
              <w:ind w:right="130"/>
              <w:spacing w:after="0"/>
              <w:rPr>
                <w:sz w:val="20"/>
                <w:szCs w:val="20"/>
                <w:color w:val="auto"/>
              </w:rPr>
            </w:pPr>
            <w:r>
              <w:rPr>
                <w:rFonts w:ascii="Arial" w:cs="Arial" w:eastAsia="Arial" w:hAnsi="Arial"/>
                <w:sz w:val="18"/>
                <w:szCs w:val="18"/>
                <w:color w:val="auto"/>
                <w:w w:val="79"/>
              </w:rPr>
              <w:t>$</w:t>
            </w:r>
          </w:p>
        </w:tc>
        <w:tc>
          <w:tcPr>
            <w:tcW w:w="11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20,137</w:t>
            </w:r>
          </w:p>
        </w:tc>
        <w:tc>
          <w:tcPr>
            <w:tcW w:w="100" w:type="dxa"/>
            <w:vAlign w:val="bottom"/>
            <w:tcBorders>
              <w:bottom w:val="single" w:sz="8" w:color="CFF0FC"/>
            </w:tcBorders>
            <w:shd w:val="clear" w:color="auto" w:fill="CFF0FC"/>
          </w:tcPr>
          <w:p>
            <w:pPr>
              <w:spacing w:after="0"/>
              <w:rPr>
                <w:sz w:val="21"/>
                <w:szCs w:val="2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4234815</wp:posOffset>
            </wp:positionH>
            <wp:positionV relativeFrom="paragraph">
              <wp:posOffset>-24765</wp:posOffset>
            </wp:positionV>
            <wp:extent cx="76835" cy="8255"/>
            <wp:wrapNone/>
            <wp:docPr id="190" name="Picture 1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0"/>
                    <pic:cNvPicPr>
                      <a:picLocks noChangeAspect="1" noChangeArrowheads="1"/>
                    </pic:cNvPicPr>
                  </pic:nvPicPr>
                  <pic:blipFill>
                    <a:blip r:embed="rId197">
                      <a:extLst>
                        <a:ext uri="{28A0092B-C50C-407E-A947-70E740481C1C}"/>
                      </a:extLst>
                    </a:blip>
                    <a:srcRect/>
                    <a:stretch>
                      <a:fillRect/>
                    </a:stretch>
                  </pic:blipFill>
                  <pic:spPr bwMode="auto">
                    <a:xfrm>
                      <a:off x="0" y="0"/>
                      <a:ext cx="76835" cy="8255"/>
                    </a:xfrm>
                    <a:prstGeom prst="rect">
                      <a:avLst/>
                    </a:prstGeom>
                    <a:noFill/>
                  </pic:spPr>
                </pic:pic>
              </a:graphicData>
            </a:graphic>
          </wp:anchor>
        </w:drawing>
        <w:drawing>
          <wp:anchor simplePos="0" relativeHeight="251657728" behindDoc="1" locked="0" layoutInCell="0" allowOverlap="1">
            <wp:simplePos x="0" y="0"/>
            <wp:positionH relativeFrom="column">
              <wp:posOffset>4234815</wp:posOffset>
            </wp:positionH>
            <wp:positionV relativeFrom="paragraph">
              <wp:posOffset>-7620</wp:posOffset>
            </wp:positionV>
            <wp:extent cx="76835" cy="8255"/>
            <wp:wrapNone/>
            <wp:docPr id="191" name="Picture 1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1"/>
                    <pic:cNvPicPr>
                      <a:picLocks noChangeAspect="1" noChangeArrowheads="1"/>
                    </pic:cNvPicPr>
                  </pic:nvPicPr>
                  <pic:blipFill>
                    <a:blip r:embed="rId198">
                      <a:extLst>
                        <a:ext uri="{28A0092B-C50C-407E-A947-70E740481C1C}"/>
                      </a:extLst>
                    </a:blip>
                    <a:srcRect/>
                    <a:stretch>
                      <a:fillRect/>
                    </a:stretch>
                  </pic:blipFill>
                  <pic:spPr bwMode="auto">
                    <a:xfrm>
                      <a:off x="0" y="0"/>
                      <a:ext cx="76835" cy="8255"/>
                    </a:xfrm>
                    <a:prstGeom prst="rect">
                      <a:avLst/>
                    </a:prstGeom>
                    <a:noFill/>
                  </pic:spPr>
                </pic:pic>
              </a:graphicData>
            </a:graphic>
          </wp:anchor>
        </w:drawing>
        <w:drawing>
          <wp:anchor simplePos="0" relativeHeight="251657728" behindDoc="1" locked="0" layoutInCell="0" allowOverlap="1">
            <wp:simplePos x="0" y="0"/>
            <wp:positionH relativeFrom="column">
              <wp:posOffset>5159375</wp:posOffset>
            </wp:positionH>
            <wp:positionV relativeFrom="paragraph">
              <wp:posOffset>-24765</wp:posOffset>
            </wp:positionV>
            <wp:extent cx="68580" cy="8255"/>
            <wp:wrapNone/>
            <wp:docPr id="192" name="Picture 1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2"/>
                    <pic:cNvPicPr>
                      <a:picLocks noChangeAspect="1" noChangeArrowheads="1"/>
                    </pic:cNvPicPr>
                  </pic:nvPicPr>
                  <pic:blipFill>
                    <a:blip r:embed="rId199">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5159375</wp:posOffset>
            </wp:positionH>
            <wp:positionV relativeFrom="paragraph">
              <wp:posOffset>-7620</wp:posOffset>
            </wp:positionV>
            <wp:extent cx="68580" cy="8255"/>
            <wp:wrapNone/>
            <wp:docPr id="193" name="Picture 1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3"/>
                    <pic:cNvPicPr>
                      <a:picLocks noChangeAspect="1" noChangeArrowheads="1"/>
                    </pic:cNvPicPr>
                  </pic:nvPicPr>
                  <pic:blipFill>
                    <a:blip r:embed="rId200">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6024245</wp:posOffset>
            </wp:positionH>
            <wp:positionV relativeFrom="paragraph">
              <wp:posOffset>-24765</wp:posOffset>
            </wp:positionV>
            <wp:extent cx="68580" cy="8255"/>
            <wp:wrapNone/>
            <wp:docPr id="194" name="Picture 1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4"/>
                    <pic:cNvPicPr>
                      <a:picLocks noChangeAspect="1" noChangeArrowheads="1"/>
                    </pic:cNvPicPr>
                  </pic:nvPicPr>
                  <pic:blipFill>
                    <a:blip r:embed="rId201">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6024245</wp:posOffset>
            </wp:positionH>
            <wp:positionV relativeFrom="paragraph">
              <wp:posOffset>-7620</wp:posOffset>
            </wp:positionV>
            <wp:extent cx="68580" cy="8255"/>
            <wp:wrapNone/>
            <wp:docPr id="195" name="Picture 1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5"/>
                    <pic:cNvPicPr>
                      <a:picLocks noChangeAspect="1" noChangeArrowheads="1"/>
                    </pic:cNvPicPr>
                  </pic:nvPicPr>
                  <pic:blipFill>
                    <a:blip r:embed="rId202">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-24765</wp:posOffset>
            </wp:positionV>
            <wp:extent cx="68580" cy="8255"/>
            <wp:wrapNone/>
            <wp:docPr id="196" name="Picture 1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6"/>
                    <pic:cNvPicPr>
                      <a:picLocks noChangeAspect="1" noChangeArrowheads="1"/>
                    </pic:cNvPicPr>
                  </pic:nvPicPr>
                  <pic:blipFill>
                    <a:blip r:embed="rId203">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-7620</wp:posOffset>
            </wp:positionV>
            <wp:extent cx="68580" cy="8255"/>
            <wp:wrapNone/>
            <wp:docPr id="197" name="Picture 1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7"/>
                    <pic:cNvPicPr>
                      <a:picLocks noChangeAspect="1" noChangeArrowheads="1"/>
                    </pic:cNvPicPr>
                  </pic:nvPicPr>
                  <pic:blipFill>
                    <a:blip r:embed="rId204">
                      <a:extLst>
                        <a:ext uri="{28A0092B-C50C-407E-A947-70E740481C1C}"/>
                      </a:extLst>
                    </a:blip>
                    <a:srcRect/>
                    <a:stretch>
                      <a:fillRect/>
                    </a:stretch>
                  </pic:blipFill>
                  <pic:spPr bwMode="auto">
                    <a:xfrm>
                      <a:off x="0" y="0"/>
                      <a:ext cx="68580" cy="8255"/>
                    </a:xfrm>
                    <a:prstGeom prst="rect">
                      <a:avLst/>
                    </a:prstGeom>
                    <a:noFill/>
                  </pic:spPr>
                </pic:pic>
              </a:graphicData>
            </a:graphic>
          </wp:anchor>
        </w:drawing>
      </w:r>
    </w:p>
    <w:p>
      <w:pPr>
        <w:spacing w:after="0" w:line="285" w:lineRule="exact"/>
        <w:rPr>
          <w:sz w:val="20"/>
          <w:szCs w:val="20"/>
          <w:color w:val="auto"/>
        </w:rPr>
      </w:pPr>
    </w:p>
    <w:p>
      <w:pPr>
        <w:ind w:left="520" w:hanging="512"/>
        <w:spacing w:after="0"/>
        <w:tabs>
          <w:tab w:leader="none" w:pos="520" w:val="left"/>
        </w:tabs>
        <w:numPr>
          <w:ilvl w:val="0"/>
          <w:numId w:val="21"/>
        </w:numPr>
        <w:rPr>
          <w:rFonts w:ascii="Arial" w:cs="Arial" w:eastAsia="Arial" w:hAnsi="Arial"/>
          <w:sz w:val="18"/>
          <w:szCs w:val="18"/>
          <w:b w:val="1"/>
          <w:bCs w:val="1"/>
          <w:color w:val="auto"/>
        </w:rPr>
      </w:pPr>
      <w:r>
        <w:rPr>
          <w:rFonts w:ascii="Arial" w:cs="Arial" w:eastAsia="Arial" w:hAnsi="Arial"/>
          <w:sz w:val="18"/>
          <w:szCs w:val="18"/>
          <w:b w:val="1"/>
          <w:bCs w:val="1"/>
          <w:color w:val="auto"/>
        </w:rPr>
        <w:t>Income Taxes</w:t>
      </w:r>
    </w:p>
    <w:p>
      <w:pPr>
        <w:spacing w:after="0" w:line="107" w:lineRule="exact"/>
        <w:rPr>
          <w:sz w:val="20"/>
          <w:szCs w:val="20"/>
          <w:color w:val="auto"/>
        </w:rPr>
      </w:pPr>
    </w:p>
    <w:p>
      <w:pPr>
        <w:ind w:right="400" w:firstLine="509"/>
        <w:spacing w:after="0" w:line="255" w:lineRule="auto"/>
        <w:rPr>
          <w:sz w:val="20"/>
          <w:szCs w:val="20"/>
          <w:color w:val="auto"/>
        </w:rPr>
      </w:pPr>
      <w:r>
        <w:rPr>
          <w:rFonts w:ascii="Arial" w:cs="Arial" w:eastAsia="Arial" w:hAnsi="Arial"/>
          <w:sz w:val="18"/>
          <w:szCs w:val="18"/>
          <w:color w:val="auto"/>
        </w:rPr>
        <w:t>The Company had an effective tax rate of 0.9% and (0.6)% for the three and nine months ended September 30, 2022, respectively, and 0.2% and (1.1)% for the three and nine months ended September 30, 2021, respectively. The Company continues to incur U.S. operating losses and has minimal profits in its foreign jurisdictions.</w:t>
      </w:r>
    </w:p>
    <w:p>
      <w:pPr>
        <w:spacing w:after="0" w:line="176" w:lineRule="exact"/>
        <w:rPr>
          <w:sz w:val="20"/>
          <w:szCs w:val="20"/>
          <w:color w:val="auto"/>
        </w:rPr>
      </w:pPr>
    </w:p>
    <w:p>
      <w:pPr>
        <w:jc w:val="center"/>
        <w:ind w:right="180"/>
        <w:spacing w:after="0"/>
        <w:rPr>
          <w:sz w:val="20"/>
          <w:szCs w:val="20"/>
          <w:color w:val="auto"/>
        </w:rPr>
      </w:pPr>
      <w:r>
        <w:rPr>
          <w:rFonts w:ascii="Arial" w:cs="Arial" w:eastAsia="Arial" w:hAnsi="Arial"/>
          <w:sz w:val="17"/>
          <w:szCs w:val="17"/>
          <w:color w:val="auto"/>
        </w:rPr>
        <w:t>During the three and nine months ended September 30, 2022 and 2021, the Company has evaluated all available evidence, both positive and</w:t>
      </w:r>
    </w:p>
    <w:p>
      <w:pPr>
        <w:spacing w:after="0" w:line="23" w:lineRule="exact"/>
        <w:rPr>
          <w:sz w:val="20"/>
          <w:szCs w:val="20"/>
          <w:color w:val="auto"/>
        </w:rPr>
      </w:pPr>
    </w:p>
    <w:p>
      <w:pPr>
        <w:jc w:val="both"/>
        <w:ind w:right="160"/>
        <w:spacing w:after="0" w:line="268" w:lineRule="auto"/>
        <w:rPr>
          <w:sz w:val="20"/>
          <w:szCs w:val="20"/>
          <w:color w:val="auto"/>
        </w:rPr>
      </w:pPr>
      <w:r>
        <w:rPr>
          <w:rFonts w:ascii="Arial" w:cs="Arial" w:eastAsia="Arial" w:hAnsi="Arial"/>
          <w:sz w:val="17"/>
          <w:szCs w:val="17"/>
          <w:color w:val="auto"/>
        </w:rPr>
        <w:t>negative, including historical levels of income, and expectations and risks associated with estimates of future taxable income, and has determined that it is more likely than not that its net deferred tax assets will not be realized in the United States. Due to uncertainties surrounding the realization of the deferred tax assets, the Company continues to maintain a full valuation allowance against its net deferred tax assets within the United States.</w:t>
      </w:r>
    </w:p>
    <w:p>
      <w:pPr>
        <w:spacing w:after="0" w:line="269"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360" w:type="dxa"/>
            <w:vAlign w:val="bottom"/>
            <w:gridSpan w:val="2"/>
          </w:tcPr>
          <w:p>
            <w:pPr>
              <w:spacing w:after="0"/>
              <w:rPr>
                <w:sz w:val="20"/>
                <w:szCs w:val="20"/>
                <w:color w:val="auto"/>
              </w:rPr>
            </w:pPr>
            <w:r>
              <w:rPr>
                <w:rFonts w:ascii="Arial" w:cs="Arial" w:eastAsia="Arial" w:hAnsi="Arial"/>
                <w:sz w:val="18"/>
                <w:szCs w:val="18"/>
                <w:b w:val="1"/>
                <w:bCs w:val="1"/>
                <w:color w:val="auto"/>
              </w:rPr>
              <w:t>(8)</w:t>
            </w:r>
          </w:p>
        </w:tc>
        <w:tc>
          <w:tcPr>
            <w:tcW w:w="7220" w:type="dxa"/>
            <w:vAlign w:val="bottom"/>
          </w:tcPr>
          <w:p>
            <w:pPr>
              <w:ind w:left="160"/>
              <w:spacing w:after="0"/>
              <w:rPr>
                <w:sz w:val="20"/>
                <w:szCs w:val="20"/>
                <w:color w:val="auto"/>
              </w:rPr>
            </w:pPr>
            <w:r>
              <w:rPr>
                <w:rFonts w:ascii="Arial" w:cs="Arial" w:eastAsia="Arial" w:hAnsi="Arial"/>
                <w:sz w:val="18"/>
                <w:szCs w:val="18"/>
                <w:b w:val="1"/>
                <w:bCs w:val="1"/>
                <w:color w:val="auto"/>
              </w:rPr>
              <w:t>Operating Leases</w:t>
            </w:r>
          </w:p>
        </w:tc>
        <w:tc>
          <w:tcPr>
            <w:tcW w:w="700" w:type="dxa"/>
            <w:vAlign w:val="bottom"/>
          </w:tcPr>
          <w:p>
            <w:pPr>
              <w:spacing w:after="0"/>
              <w:rPr>
                <w:sz w:val="20"/>
                <w:szCs w:val="20"/>
                <w:color w:val="auto"/>
              </w:rPr>
            </w:pPr>
          </w:p>
        </w:tc>
        <w:tc>
          <w:tcPr>
            <w:tcW w:w="8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3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18"/>
        </w:trPr>
        <w:tc>
          <w:tcPr>
            <w:tcW w:w="2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7220" w:type="dxa"/>
            <w:vAlign w:val="bottom"/>
          </w:tcPr>
          <w:p>
            <w:pPr>
              <w:ind w:left="160"/>
              <w:spacing w:after="0"/>
              <w:rPr>
                <w:sz w:val="20"/>
                <w:szCs w:val="20"/>
                <w:color w:val="auto"/>
              </w:rPr>
            </w:pPr>
            <w:r>
              <w:rPr>
                <w:rFonts w:ascii="Arial" w:cs="Arial" w:eastAsia="Arial" w:hAnsi="Arial"/>
                <w:sz w:val="18"/>
                <w:szCs w:val="18"/>
                <w:color w:val="auto"/>
                <w:w w:val="99"/>
              </w:rPr>
              <w:t>The components of lease expense were as follows (in thousands, except years and rate):</w:t>
            </w:r>
          </w:p>
        </w:tc>
        <w:tc>
          <w:tcPr>
            <w:tcW w:w="70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3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64"/>
        </w:trPr>
        <w:tc>
          <w:tcPr>
            <w:tcW w:w="2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722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540" w:type="dxa"/>
            <w:vAlign w:val="bottom"/>
            <w:gridSpan w:val="3"/>
          </w:tcPr>
          <w:p>
            <w:pPr>
              <w:jc w:val="right"/>
              <w:ind w:right="480"/>
              <w:spacing w:after="0"/>
              <w:rPr>
                <w:sz w:val="20"/>
                <w:szCs w:val="20"/>
                <w:color w:val="auto"/>
              </w:rPr>
            </w:pPr>
            <w:r>
              <w:rPr>
                <w:rFonts w:ascii="Arial" w:cs="Arial" w:eastAsia="Arial" w:hAnsi="Arial"/>
                <w:sz w:val="18"/>
                <w:szCs w:val="18"/>
                <w:b w:val="1"/>
                <w:bCs w:val="1"/>
                <w:color w:val="auto"/>
                <w:w w:val="96"/>
              </w:rPr>
              <w:t>Nine Months</w:t>
            </w:r>
          </w:p>
        </w:tc>
        <w:tc>
          <w:tcPr>
            <w:tcW w:w="0" w:type="dxa"/>
            <w:vAlign w:val="bottom"/>
          </w:tcPr>
          <w:p>
            <w:pPr>
              <w:spacing w:after="0"/>
              <w:rPr>
                <w:sz w:val="1"/>
                <w:szCs w:val="1"/>
                <w:color w:val="auto"/>
              </w:rPr>
            </w:pPr>
          </w:p>
        </w:tc>
      </w:tr>
      <w:tr>
        <w:trPr>
          <w:trHeight w:val="189"/>
        </w:trPr>
        <w:tc>
          <w:tcPr>
            <w:tcW w:w="2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7220" w:type="dxa"/>
            <w:vAlign w:val="bottom"/>
          </w:tcPr>
          <w:p>
            <w:pPr>
              <w:spacing w:after="0"/>
              <w:rPr>
                <w:sz w:val="16"/>
                <w:szCs w:val="16"/>
                <w:color w:val="auto"/>
              </w:rPr>
            </w:pPr>
          </w:p>
        </w:tc>
        <w:tc>
          <w:tcPr>
            <w:tcW w:w="1700" w:type="dxa"/>
            <w:vAlign w:val="bottom"/>
            <w:gridSpan w:val="4"/>
          </w:tcPr>
          <w:p>
            <w:pPr>
              <w:ind w:left="20"/>
              <w:spacing w:after="0" w:line="189" w:lineRule="exact"/>
              <w:rPr>
                <w:sz w:val="20"/>
                <w:szCs w:val="20"/>
                <w:color w:val="auto"/>
              </w:rPr>
            </w:pPr>
            <w:r>
              <w:rPr>
                <w:rFonts w:ascii="Arial" w:cs="Arial" w:eastAsia="Arial" w:hAnsi="Arial"/>
                <w:sz w:val="18"/>
                <w:szCs w:val="18"/>
                <w:b w:val="1"/>
                <w:bCs w:val="1"/>
                <w:color w:val="auto"/>
                <w:w w:val="93"/>
              </w:rPr>
              <w:t>Three Months Ended</w:t>
            </w:r>
          </w:p>
        </w:tc>
        <w:tc>
          <w:tcPr>
            <w:tcW w:w="28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540" w:type="dxa"/>
            <w:vAlign w:val="bottom"/>
            <w:gridSpan w:val="3"/>
          </w:tcPr>
          <w:p>
            <w:pPr>
              <w:jc w:val="right"/>
              <w:ind w:right="700"/>
              <w:spacing w:after="0" w:line="189" w:lineRule="exact"/>
              <w:rPr>
                <w:sz w:val="20"/>
                <w:szCs w:val="20"/>
                <w:color w:val="auto"/>
              </w:rPr>
            </w:pPr>
            <w:r>
              <w:rPr>
                <w:rFonts w:ascii="Arial" w:cs="Arial" w:eastAsia="Arial" w:hAnsi="Arial"/>
                <w:sz w:val="18"/>
                <w:szCs w:val="18"/>
                <w:b w:val="1"/>
                <w:bCs w:val="1"/>
                <w:color w:val="auto"/>
              </w:rPr>
              <w:t>Ended</w:t>
            </w:r>
          </w:p>
        </w:tc>
        <w:tc>
          <w:tcPr>
            <w:tcW w:w="0" w:type="dxa"/>
            <w:vAlign w:val="bottom"/>
          </w:tcPr>
          <w:p>
            <w:pPr>
              <w:spacing w:after="0"/>
              <w:rPr>
                <w:sz w:val="1"/>
                <w:szCs w:val="1"/>
                <w:color w:val="auto"/>
              </w:rPr>
            </w:pPr>
          </w:p>
        </w:tc>
      </w:tr>
      <w:tr>
        <w:trPr>
          <w:trHeight w:val="236"/>
        </w:trPr>
        <w:tc>
          <w:tcPr>
            <w:tcW w:w="2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7220" w:type="dxa"/>
            <w:vAlign w:val="bottom"/>
          </w:tcPr>
          <w:p>
            <w:pPr>
              <w:spacing w:after="0"/>
              <w:rPr>
                <w:sz w:val="20"/>
                <w:szCs w:val="20"/>
                <w:color w:val="auto"/>
              </w:rPr>
            </w:pPr>
          </w:p>
        </w:tc>
        <w:tc>
          <w:tcPr>
            <w:tcW w:w="1700" w:type="dxa"/>
            <w:vAlign w:val="bottom"/>
            <w:gridSpan w:val="4"/>
          </w:tcPr>
          <w:p>
            <w:pPr>
              <w:ind w:left="100"/>
              <w:spacing w:after="0"/>
              <w:rPr>
                <w:sz w:val="20"/>
                <w:szCs w:val="20"/>
                <w:color w:val="auto"/>
              </w:rPr>
            </w:pPr>
            <w:r>
              <w:rPr>
                <w:rFonts w:ascii="Arial" w:cs="Arial" w:eastAsia="Arial" w:hAnsi="Arial"/>
                <w:sz w:val="18"/>
                <w:szCs w:val="18"/>
                <w:b w:val="1"/>
                <w:bCs w:val="1"/>
                <w:color w:val="auto"/>
                <w:w w:val="93"/>
              </w:rPr>
              <w:t>September 30, 2022</w:t>
            </w:r>
          </w:p>
        </w:tc>
        <w:tc>
          <w:tcPr>
            <w:tcW w:w="280" w:type="dxa"/>
            <w:vAlign w:val="bottom"/>
          </w:tcPr>
          <w:p>
            <w:pPr>
              <w:spacing w:after="0"/>
              <w:rPr>
                <w:sz w:val="20"/>
                <w:szCs w:val="20"/>
                <w:color w:val="auto"/>
              </w:rPr>
            </w:pPr>
          </w:p>
        </w:tc>
        <w:tc>
          <w:tcPr>
            <w:tcW w:w="1740" w:type="dxa"/>
            <w:vAlign w:val="bottom"/>
            <w:gridSpan w:val="4"/>
          </w:tcPr>
          <w:p>
            <w:pPr>
              <w:ind w:left="40"/>
              <w:spacing w:after="0"/>
              <w:rPr>
                <w:sz w:val="20"/>
                <w:szCs w:val="20"/>
                <w:color w:val="auto"/>
              </w:rPr>
            </w:pPr>
            <w:r>
              <w:rPr>
                <w:rFonts w:ascii="Arial" w:cs="Arial" w:eastAsia="Arial" w:hAnsi="Arial"/>
                <w:sz w:val="18"/>
                <w:szCs w:val="18"/>
                <w:b w:val="1"/>
                <w:bCs w:val="1"/>
                <w:color w:val="auto"/>
                <w:w w:val="99"/>
              </w:rPr>
              <w:t>September 30, 2022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560" w:type="dxa"/>
            <w:vAlign w:val="bottom"/>
            <w:gridSpan w:val="2"/>
            <w:shd w:val="clear" w:color="auto" w:fill="CFF0FC"/>
          </w:tcPr>
          <w:p>
            <w:pPr>
              <w:spacing w:after="0"/>
              <w:rPr>
                <w:sz w:val="20"/>
                <w:szCs w:val="20"/>
                <w:color w:val="auto"/>
              </w:rPr>
            </w:pPr>
            <w:r>
              <w:rPr>
                <w:rFonts w:ascii="Arial" w:cs="Arial" w:eastAsia="Arial" w:hAnsi="Arial"/>
                <w:sz w:val="18"/>
                <w:szCs w:val="18"/>
                <w:color w:val="auto"/>
              </w:rPr>
              <w:t>Operating lease cost</w:t>
            </w:r>
          </w:p>
        </w:tc>
        <w:tc>
          <w:tcPr>
            <w:tcW w:w="700" w:type="dxa"/>
            <w:vAlign w:val="bottom"/>
            <w:tcBorders>
              <w:top w:val="single" w:sz="8" w:color="auto"/>
            </w:tcBorders>
            <w:shd w:val="clear" w:color="auto" w:fill="CFF0FC"/>
          </w:tcPr>
          <w:p>
            <w:pPr>
              <w:ind w:left="20"/>
              <w:spacing w:after="0"/>
              <w:rPr>
                <w:sz w:val="20"/>
                <w:szCs w:val="20"/>
                <w:color w:val="auto"/>
              </w:rPr>
            </w:pPr>
            <w:r>
              <w:rPr>
                <w:rFonts w:ascii="Arial" w:cs="Arial" w:eastAsia="Arial" w:hAnsi="Arial"/>
                <w:sz w:val="18"/>
                <w:szCs w:val="18"/>
                <w:color w:val="auto"/>
              </w:rPr>
              <w:t>$</w:t>
            </w:r>
          </w:p>
        </w:tc>
        <w:tc>
          <w:tcPr>
            <w:tcW w:w="1000" w:type="dxa"/>
            <w:vAlign w:val="bottom"/>
            <w:tcBorders>
              <w:top w:val="single" w:sz="8" w:color="auto"/>
            </w:tcBorders>
            <w:gridSpan w:val="3"/>
            <w:shd w:val="clear" w:color="auto" w:fill="CFF0FC"/>
          </w:tcPr>
          <w:p>
            <w:pPr>
              <w:jc w:val="right"/>
              <w:spacing w:after="0"/>
              <w:rPr>
                <w:sz w:val="20"/>
                <w:szCs w:val="20"/>
                <w:color w:val="auto"/>
              </w:rPr>
            </w:pPr>
            <w:r>
              <w:rPr>
                <w:rFonts w:ascii="Arial" w:cs="Arial" w:eastAsia="Arial" w:hAnsi="Arial"/>
                <w:sz w:val="18"/>
                <w:szCs w:val="18"/>
                <w:color w:val="auto"/>
              </w:rPr>
              <w:t>969</w:t>
            </w:r>
          </w:p>
        </w:tc>
        <w:tc>
          <w:tcPr>
            <w:tcW w:w="280" w:type="dxa"/>
            <w:vAlign w:val="bottom"/>
            <w:shd w:val="clear" w:color="auto" w:fill="CFF0FC"/>
          </w:tcPr>
          <w:p>
            <w:pPr>
              <w:spacing w:after="0"/>
              <w:rPr>
                <w:sz w:val="18"/>
                <w:szCs w:val="18"/>
                <w:color w:val="auto"/>
              </w:rPr>
            </w:pPr>
          </w:p>
        </w:tc>
        <w:tc>
          <w:tcPr>
            <w:tcW w:w="200" w:type="dxa"/>
            <w:vAlign w:val="bottom"/>
            <w:tcBorders>
              <w:top w:val="single" w:sz="8" w:color="auto"/>
            </w:tcBorders>
            <w:shd w:val="clear" w:color="auto" w:fill="CFF0FC"/>
          </w:tcPr>
          <w:p>
            <w:pPr>
              <w:ind w:left="20"/>
              <w:spacing w:after="0"/>
              <w:rPr>
                <w:sz w:val="20"/>
                <w:szCs w:val="20"/>
                <w:color w:val="auto"/>
              </w:rPr>
            </w:pPr>
            <w:r>
              <w:rPr>
                <w:rFonts w:ascii="Arial" w:cs="Arial" w:eastAsia="Arial" w:hAnsi="Arial"/>
                <w:sz w:val="18"/>
                <w:szCs w:val="18"/>
                <w:color w:val="auto"/>
              </w:rPr>
              <w:t>$</w:t>
            </w:r>
          </w:p>
        </w:tc>
        <w:tc>
          <w:tcPr>
            <w:tcW w:w="138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2,759</w:t>
            </w:r>
          </w:p>
        </w:tc>
        <w:tc>
          <w:tcPr>
            <w:tcW w:w="100" w:type="dxa"/>
            <w:vAlign w:val="bottom"/>
            <w:shd w:val="clear" w:color="auto" w:fill="CFF0FC"/>
          </w:tcPr>
          <w:p>
            <w:pPr>
              <w:spacing w:after="0"/>
              <w:rPr>
                <w:sz w:val="18"/>
                <w:szCs w:val="18"/>
                <w:color w:val="auto"/>
              </w:rPr>
            </w:pP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560" w:type="dxa"/>
            <w:vAlign w:val="bottom"/>
            <w:gridSpan w:val="2"/>
          </w:tcPr>
          <w:p>
            <w:pPr>
              <w:spacing w:after="0"/>
              <w:rPr>
                <w:sz w:val="20"/>
                <w:szCs w:val="20"/>
                <w:color w:val="auto"/>
              </w:rPr>
            </w:pPr>
            <w:r>
              <w:rPr>
                <w:rFonts w:ascii="Arial" w:cs="Arial" w:eastAsia="Arial" w:hAnsi="Arial"/>
                <w:sz w:val="18"/>
                <w:szCs w:val="18"/>
                <w:color w:val="auto"/>
              </w:rPr>
              <w:t>Short-term lease cost</w:t>
            </w:r>
          </w:p>
        </w:tc>
        <w:tc>
          <w:tcPr>
            <w:tcW w:w="700" w:type="dxa"/>
            <w:vAlign w:val="bottom"/>
            <w:tcBorders>
              <w:bottom w:val="single" w:sz="8" w:color="auto"/>
            </w:tcBorders>
          </w:tcPr>
          <w:p>
            <w:pPr>
              <w:spacing w:after="0"/>
              <w:rPr>
                <w:sz w:val="18"/>
                <w:szCs w:val="18"/>
                <w:color w:val="auto"/>
              </w:rPr>
            </w:pPr>
          </w:p>
        </w:tc>
        <w:tc>
          <w:tcPr>
            <w:tcW w:w="1000" w:type="dxa"/>
            <w:vAlign w:val="bottom"/>
            <w:tcBorders>
              <w:bottom w:val="single" w:sz="8" w:color="auto"/>
            </w:tcBorders>
            <w:gridSpan w:val="3"/>
          </w:tcPr>
          <w:p>
            <w:pPr>
              <w:jc w:val="right"/>
              <w:spacing w:after="0"/>
              <w:rPr>
                <w:sz w:val="20"/>
                <w:szCs w:val="20"/>
                <w:color w:val="auto"/>
              </w:rPr>
            </w:pPr>
            <w:r>
              <w:rPr>
                <w:rFonts w:ascii="Arial" w:cs="Arial" w:eastAsia="Arial" w:hAnsi="Arial"/>
                <w:sz w:val="18"/>
                <w:szCs w:val="18"/>
                <w:color w:val="auto"/>
              </w:rPr>
              <w:t>219</w:t>
            </w:r>
          </w:p>
        </w:tc>
        <w:tc>
          <w:tcPr>
            <w:tcW w:w="280" w:type="dxa"/>
            <w:vAlign w:val="bottom"/>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13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590</w:t>
            </w:r>
          </w:p>
        </w:tc>
        <w:tc>
          <w:tcPr>
            <w:tcW w:w="1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49"/>
        </w:trPr>
        <w:tc>
          <w:tcPr>
            <w:tcW w:w="20" w:type="dxa"/>
            <w:vAlign w:val="bottom"/>
          </w:tcPr>
          <w:p>
            <w:pPr>
              <w:spacing w:after="0"/>
              <w:rPr>
                <w:sz w:val="21"/>
                <w:szCs w:val="21"/>
                <w:color w:val="auto"/>
              </w:rPr>
            </w:pPr>
          </w:p>
        </w:tc>
        <w:tc>
          <w:tcPr>
            <w:tcW w:w="7560" w:type="dxa"/>
            <w:vAlign w:val="bottom"/>
            <w:tcBorders>
              <w:bottom w:val="single" w:sz="8" w:color="CFF0FC"/>
            </w:tcBorders>
            <w:gridSpan w:val="2"/>
            <w:shd w:val="clear" w:color="auto" w:fill="CFF0FC"/>
          </w:tcPr>
          <w:p>
            <w:pPr>
              <w:spacing w:after="0"/>
              <w:rPr>
                <w:sz w:val="20"/>
                <w:szCs w:val="20"/>
                <w:color w:val="auto"/>
              </w:rPr>
            </w:pPr>
            <w:r>
              <w:rPr>
                <w:rFonts w:ascii="Arial" w:cs="Arial" w:eastAsia="Arial" w:hAnsi="Arial"/>
                <w:sz w:val="18"/>
                <w:szCs w:val="18"/>
                <w:color w:val="auto"/>
              </w:rPr>
              <w:t>Total lease cost</w:t>
            </w:r>
          </w:p>
        </w:tc>
        <w:tc>
          <w:tcPr>
            <w:tcW w:w="700" w:type="dxa"/>
            <w:vAlign w:val="bottom"/>
            <w:tcBorders>
              <w:bottom w:val="single" w:sz="8" w:color="auto"/>
            </w:tcBorders>
            <w:shd w:val="clear" w:color="auto" w:fill="CFF0FC"/>
          </w:tcPr>
          <w:p>
            <w:pPr>
              <w:ind w:left="20"/>
              <w:spacing w:after="0"/>
              <w:rPr>
                <w:sz w:val="20"/>
                <w:szCs w:val="20"/>
                <w:color w:val="auto"/>
              </w:rPr>
            </w:pPr>
            <w:r>
              <w:rPr>
                <w:rFonts w:ascii="Arial" w:cs="Arial" w:eastAsia="Arial" w:hAnsi="Arial"/>
                <w:sz w:val="18"/>
                <w:szCs w:val="18"/>
                <w:color w:val="auto"/>
              </w:rPr>
              <w:t>$</w:t>
            </w:r>
          </w:p>
        </w:tc>
        <w:tc>
          <w:tcPr>
            <w:tcW w:w="1000" w:type="dxa"/>
            <w:vAlign w:val="bottom"/>
            <w:tcBorders>
              <w:bottom w:val="single" w:sz="8" w:color="auto"/>
            </w:tcBorders>
            <w:gridSpan w:val="3"/>
            <w:shd w:val="clear" w:color="auto" w:fill="CFF0FC"/>
          </w:tcPr>
          <w:p>
            <w:pPr>
              <w:jc w:val="right"/>
              <w:spacing w:after="0"/>
              <w:rPr>
                <w:sz w:val="20"/>
                <w:szCs w:val="20"/>
                <w:color w:val="auto"/>
              </w:rPr>
            </w:pPr>
            <w:r>
              <w:rPr>
                <w:rFonts w:ascii="Arial" w:cs="Arial" w:eastAsia="Arial" w:hAnsi="Arial"/>
                <w:sz w:val="18"/>
                <w:szCs w:val="18"/>
                <w:color w:val="auto"/>
              </w:rPr>
              <w:t>1,188</w:t>
            </w:r>
          </w:p>
        </w:tc>
        <w:tc>
          <w:tcPr>
            <w:tcW w:w="280" w:type="dxa"/>
            <w:vAlign w:val="bottom"/>
            <w:tcBorders>
              <w:bottom w:val="single" w:sz="8" w:color="CFF0FC"/>
            </w:tcBorders>
            <w:shd w:val="clear" w:color="auto" w:fill="CFF0FC"/>
          </w:tcPr>
          <w:p>
            <w:pPr>
              <w:spacing w:after="0"/>
              <w:rPr>
                <w:sz w:val="21"/>
                <w:szCs w:val="21"/>
                <w:color w:val="auto"/>
              </w:rPr>
            </w:pPr>
          </w:p>
        </w:tc>
        <w:tc>
          <w:tcPr>
            <w:tcW w:w="200" w:type="dxa"/>
            <w:vAlign w:val="bottom"/>
            <w:tcBorders>
              <w:bottom w:val="single" w:sz="8" w:color="auto"/>
            </w:tcBorders>
            <w:shd w:val="clear" w:color="auto" w:fill="CFF0FC"/>
          </w:tcPr>
          <w:p>
            <w:pPr>
              <w:ind w:left="20"/>
              <w:spacing w:after="0"/>
              <w:rPr>
                <w:sz w:val="20"/>
                <w:szCs w:val="20"/>
                <w:color w:val="auto"/>
              </w:rPr>
            </w:pPr>
            <w:r>
              <w:rPr>
                <w:rFonts w:ascii="Arial" w:cs="Arial" w:eastAsia="Arial" w:hAnsi="Arial"/>
                <w:sz w:val="18"/>
                <w:szCs w:val="18"/>
                <w:color w:val="auto"/>
              </w:rPr>
              <w:t>$</w:t>
            </w:r>
          </w:p>
        </w:tc>
        <w:tc>
          <w:tcPr>
            <w:tcW w:w="13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3,349</w:t>
            </w:r>
          </w:p>
        </w:tc>
        <w:tc>
          <w:tcPr>
            <w:tcW w:w="100" w:type="dxa"/>
            <w:vAlign w:val="bottom"/>
            <w:tcBorders>
              <w:bottom w:val="single" w:sz="8" w:color="CFF0FC"/>
            </w:tcBorders>
            <w:shd w:val="clear" w:color="auto" w:fill="CFF0FC"/>
          </w:tcPr>
          <w:p>
            <w:pPr>
              <w:spacing w:after="0"/>
              <w:rPr>
                <w:sz w:val="21"/>
                <w:szCs w:val="21"/>
                <w:color w:val="auto"/>
              </w:rPr>
            </w:pPr>
          </w:p>
        </w:tc>
        <w:tc>
          <w:tcPr>
            <w:tcW w:w="6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398"/>
        </w:trPr>
        <w:tc>
          <w:tcPr>
            <w:tcW w:w="20" w:type="dxa"/>
            <w:vAlign w:val="bottom"/>
          </w:tcPr>
          <w:p>
            <w:pPr>
              <w:spacing w:after="0"/>
              <w:rPr>
                <w:sz w:val="24"/>
                <w:szCs w:val="24"/>
                <w:color w:val="auto"/>
              </w:rPr>
            </w:pPr>
          </w:p>
        </w:tc>
        <w:tc>
          <w:tcPr>
            <w:tcW w:w="7560" w:type="dxa"/>
            <w:vAlign w:val="bottom"/>
            <w:gridSpan w:val="2"/>
            <w:vMerge w:val="restart"/>
          </w:tcPr>
          <w:p>
            <w:pPr>
              <w:spacing w:after="0"/>
              <w:rPr>
                <w:sz w:val="20"/>
                <w:szCs w:val="20"/>
                <w:color w:val="auto"/>
              </w:rPr>
            </w:pPr>
            <w:r>
              <w:rPr>
                <w:rFonts w:ascii="Arial" w:cs="Arial" w:eastAsia="Arial" w:hAnsi="Arial"/>
                <w:sz w:val="18"/>
                <w:szCs w:val="18"/>
                <w:color w:val="auto"/>
              </w:rPr>
              <w:t>Weighted average remaining term (years)</w:t>
            </w:r>
          </w:p>
        </w:tc>
        <w:tc>
          <w:tcPr>
            <w:tcW w:w="70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180" w:type="dxa"/>
            <w:vAlign w:val="bottom"/>
            <w:gridSpan w:val="6"/>
          </w:tcPr>
          <w:p>
            <w:pPr>
              <w:ind w:left="20"/>
              <w:spacing w:after="0"/>
              <w:rPr>
                <w:sz w:val="20"/>
                <w:szCs w:val="20"/>
                <w:color w:val="auto"/>
              </w:rPr>
            </w:pPr>
            <w:r>
              <w:rPr>
                <w:rFonts w:ascii="Arial" w:cs="Arial" w:eastAsia="Arial" w:hAnsi="Arial"/>
                <w:sz w:val="18"/>
                <w:szCs w:val="18"/>
                <w:b w:val="1"/>
                <w:bCs w:val="1"/>
                <w:color w:val="auto"/>
                <w:w w:val="98"/>
              </w:rPr>
              <w:t>As of September 30, 2022</w:t>
            </w:r>
          </w:p>
        </w:tc>
        <w:tc>
          <w:tcPr>
            <w:tcW w:w="0" w:type="dxa"/>
            <w:vAlign w:val="bottom"/>
          </w:tcPr>
          <w:p>
            <w:pPr>
              <w:spacing w:after="0"/>
              <w:rPr>
                <w:sz w:val="1"/>
                <w:szCs w:val="1"/>
                <w:color w:val="auto"/>
              </w:rPr>
            </w:pPr>
          </w:p>
        </w:tc>
      </w:tr>
      <w:tr>
        <w:trPr>
          <w:trHeight w:val="209"/>
        </w:trPr>
        <w:tc>
          <w:tcPr>
            <w:tcW w:w="20" w:type="dxa"/>
            <w:vAlign w:val="bottom"/>
          </w:tcPr>
          <w:p>
            <w:pPr>
              <w:spacing w:after="0"/>
              <w:rPr>
                <w:sz w:val="18"/>
                <w:szCs w:val="18"/>
                <w:color w:val="auto"/>
              </w:rPr>
            </w:pPr>
          </w:p>
        </w:tc>
        <w:tc>
          <w:tcPr>
            <w:tcW w:w="7560" w:type="dxa"/>
            <w:vAlign w:val="bottom"/>
            <w:gridSpan w:val="2"/>
            <w:vMerge w:val="continue"/>
          </w:tcPr>
          <w:p>
            <w:pPr>
              <w:spacing w:after="0"/>
              <w:rPr>
                <w:sz w:val="18"/>
                <w:szCs w:val="18"/>
                <w:color w:val="auto"/>
              </w:rPr>
            </w:pPr>
          </w:p>
        </w:tc>
        <w:tc>
          <w:tcPr>
            <w:tcW w:w="70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20" w:type="dxa"/>
            <w:vAlign w:val="bottom"/>
            <w:tcBorders>
              <w:top w:val="single" w:sz="8" w:color="auto"/>
            </w:tcBorders>
          </w:tcPr>
          <w:p>
            <w:pPr>
              <w:spacing w:after="0"/>
              <w:rPr>
                <w:sz w:val="18"/>
                <w:szCs w:val="18"/>
                <w:color w:val="auto"/>
              </w:rPr>
            </w:pPr>
          </w:p>
        </w:tc>
        <w:tc>
          <w:tcPr>
            <w:tcW w:w="160" w:type="dxa"/>
            <w:vAlign w:val="bottom"/>
            <w:tcBorders>
              <w:top w:val="single" w:sz="8" w:color="auto"/>
            </w:tcBorders>
          </w:tcPr>
          <w:p>
            <w:pPr>
              <w:spacing w:after="0"/>
              <w:rPr>
                <w:sz w:val="18"/>
                <w:szCs w:val="18"/>
                <w:color w:val="auto"/>
              </w:rPr>
            </w:pPr>
          </w:p>
        </w:tc>
        <w:tc>
          <w:tcPr>
            <w:tcW w:w="280" w:type="dxa"/>
            <w:vAlign w:val="bottom"/>
            <w:tcBorders>
              <w:top w:val="single" w:sz="8" w:color="auto"/>
            </w:tcBorders>
          </w:tcPr>
          <w:p>
            <w:pPr>
              <w:spacing w:after="0"/>
              <w:rPr>
                <w:sz w:val="18"/>
                <w:szCs w:val="18"/>
                <w:color w:val="auto"/>
              </w:rPr>
            </w:pPr>
          </w:p>
        </w:tc>
        <w:tc>
          <w:tcPr>
            <w:tcW w:w="200" w:type="dxa"/>
            <w:vAlign w:val="bottom"/>
            <w:tcBorders>
              <w:top w:val="single" w:sz="8" w:color="auto"/>
            </w:tcBorders>
          </w:tcPr>
          <w:p>
            <w:pPr>
              <w:spacing w:after="0"/>
              <w:rPr>
                <w:sz w:val="18"/>
                <w:szCs w:val="18"/>
                <w:color w:val="auto"/>
              </w:rPr>
            </w:pPr>
          </w:p>
        </w:tc>
        <w:tc>
          <w:tcPr>
            <w:tcW w:w="13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3.05</w:t>
            </w:r>
          </w:p>
        </w:tc>
        <w:tc>
          <w:tcPr>
            <w:tcW w:w="1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560" w:type="dxa"/>
            <w:vAlign w:val="bottom"/>
            <w:gridSpan w:val="2"/>
          </w:tcPr>
          <w:p>
            <w:pPr>
              <w:spacing w:after="0"/>
              <w:rPr>
                <w:sz w:val="20"/>
                <w:szCs w:val="20"/>
                <w:color w:val="auto"/>
              </w:rPr>
            </w:pPr>
            <w:r>
              <w:rPr>
                <w:rFonts w:ascii="Arial" w:cs="Arial" w:eastAsia="Arial" w:hAnsi="Arial"/>
                <w:sz w:val="18"/>
                <w:szCs w:val="18"/>
                <w:color w:val="auto"/>
              </w:rPr>
              <w:t>Weighted average discount rate</w:t>
            </w:r>
          </w:p>
        </w:tc>
        <w:tc>
          <w:tcPr>
            <w:tcW w:w="70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540" w:type="dxa"/>
            <w:vAlign w:val="bottom"/>
            <w:gridSpan w:val="3"/>
          </w:tcPr>
          <w:p>
            <w:pPr>
              <w:jc w:val="right"/>
              <w:spacing w:after="0"/>
              <w:rPr>
                <w:sz w:val="20"/>
                <w:szCs w:val="20"/>
                <w:color w:val="auto"/>
              </w:rPr>
            </w:pPr>
            <w:r>
              <w:rPr>
                <w:rFonts w:ascii="Arial" w:cs="Arial" w:eastAsia="Arial" w:hAnsi="Arial"/>
                <w:sz w:val="18"/>
                <w:szCs w:val="18"/>
                <w:color w:val="auto"/>
              </w:rPr>
              <w:t>2.92 %</w:t>
            </w:r>
          </w:p>
        </w:tc>
        <w:tc>
          <w:tcPr>
            <w:tcW w:w="0" w:type="dxa"/>
            <w:vAlign w:val="bottom"/>
          </w:tcPr>
          <w:p>
            <w:pPr>
              <w:spacing w:after="0"/>
              <w:rPr>
                <w:sz w:val="1"/>
                <w:szCs w:val="1"/>
                <w:color w:val="auto"/>
              </w:rPr>
            </w:pPr>
          </w:p>
        </w:tc>
      </w:tr>
      <w:tr>
        <w:trPr>
          <w:trHeight w:val="432"/>
        </w:trPr>
        <w:tc>
          <w:tcPr>
            <w:tcW w:w="2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7220" w:type="dxa"/>
            <w:vAlign w:val="bottom"/>
          </w:tcPr>
          <w:p>
            <w:pPr>
              <w:ind w:left="160"/>
              <w:spacing w:after="0"/>
              <w:rPr>
                <w:sz w:val="20"/>
                <w:szCs w:val="20"/>
                <w:color w:val="auto"/>
              </w:rPr>
            </w:pPr>
            <w:r>
              <w:rPr>
                <w:rFonts w:ascii="Arial" w:cs="Arial" w:eastAsia="Arial" w:hAnsi="Arial"/>
                <w:sz w:val="18"/>
                <w:szCs w:val="18"/>
                <w:color w:val="auto"/>
                <w:w w:val="96"/>
              </w:rPr>
              <w:t>Supplemental cash flow information related to operating leases is as follows (in thousands):</w:t>
            </w:r>
          </w:p>
        </w:tc>
        <w:tc>
          <w:tcPr>
            <w:tcW w:w="70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3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59"/>
        </w:trPr>
        <w:tc>
          <w:tcPr>
            <w:tcW w:w="2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722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2020" w:type="dxa"/>
            <w:vAlign w:val="bottom"/>
            <w:gridSpan w:val="5"/>
          </w:tcPr>
          <w:p>
            <w:pPr>
              <w:jc w:val="right"/>
              <w:ind w:right="400"/>
              <w:spacing w:after="0"/>
              <w:rPr>
                <w:sz w:val="20"/>
                <w:szCs w:val="20"/>
                <w:color w:val="auto"/>
              </w:rPr>
            </w:pPr>
            <w:r>
              <w:rPr>
                <w:rFonts w:ascii="Arial" w:cs="Arial" w:eastAsia="Arial" w:hAnsi="Arial"/>
                <w:sz w:val="18"/>
                <w:szCs w:val="18"/>
                <w:b w:val="1"/>
                <w:bCs w:val="1"/>
                <w:color w:val="auto"/>
                <w:w w:val="95"/>
              </w:rPr>
              <w:t>Nine Months Ended</w:t>
            </w:r>
          </w:p>
        </w:tc>
        <w:tc>
          <w:tcPr>
            <w:tcW w:w="0" w:type="dxa"/>
            <w:vAlign w:val="bottom"/>
          </w:tcPr>
          <w:p>
            <w:pPr>
              <w:spacing w:after="0"/>
              <w:rPr>
                <w:sz w:val="1"/>
                <w:szCs w:val="1"/>
                <w:color w:val="auto"/>
              </w:rPr>
            </w:pPr>
          </w:p>
        </w:tc>
      </w:tr>
      <w:tr>
        <w:trPr>
          <w:trHeight w:val="234"/>
        </w:trPr>
        <w:tc>
          <w:tcPr>
            <w:tcW w:w="2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722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8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740" w:type="dxa"/>
            <w:vAlign w:val="bottom"/>
            <w:gridSpan w:val="4"/>
          </w:tcPr>
          <w:p>
            <w:pPr>
              <w:ind w:left="20"/>
              <w:spacing w:after="0"/>
              <w:rPr>
                <w:sz w:val="20"/>
                <w:szCs w:val="20"/>
                <w:color w:val="auto"/>
              </w:rPr>
            </w:pPr>
            <w:r>
              <w:rPr>
                <w:rFonts w:ascii="Arial" w:cs="Arial" w:eastAsia="Arial" w:hAnsi="Arial"/>
                <w:sz w:val="18"/>
                <w:szCs w:val="18"/>
                <w:b w:val="1"/>
                <w:bCs w:val="1"/>
                <w:color w:val="auto"/>
              </w:rPr>
              <w:t>September 30,</w:t>
            </w:r>
          </w:p>
        </w:tc>
        <w:tc>
          <w:tcPr>
            <w:tcW w:w="0" w:type="dxa"/>
            <w:vAlign w:val="bottom"/>
          </w:tcPr>
          <w:p>
            <w:pPr>
              <w:spacing w:after="0"/>
              <w:rPr>
                <w:sz w:val="1"/>
                <w:szCs w:val="1"/>
                <w:color w:val="auto"/>
              </w:rPr>
            </w:pPr>
          </w:p>
        </w:tc>
      </w:tr>
      <w:tr>
        <w:trPr>
          <w:trHeight w:val="209"/>
        </w:trPr>
        <w:tc>
          <w:tcPr>
            <w:tcW w:w="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722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60" w:type="dxa"/>
            <w:vAlign w:val="bottom"/>
            <w:tcBorders>
              <w:top w:val="single" w:sz="8" w:color="auto"/>
              <w:bottom w:val="single" w:sz="8" w:color="auto"/>
            </w:tcBorders>
          </w:tcPr>
          <w:p>
            <w:pPr>
              <w:spacing w:after="0"/>
              <w:rPr>
                <w:sz w:val="18"/>
                <w:szCs w:val="18"/>
                <w:color w:val="auto"/>
              </w:rPr>
            </w:pPr>
          </w:p>
        </w:tc>
        <w:tc>
          <w:tcPr>
            <w:tcW w:w="280" w:type="dxa"/>
            <w:vAlign w:val="bottom"/>
            <w:tcBorders>
              <w:top w:val="single" w:sz="8" w:color="auto"/>
              <w:bottom w:val="single" w:sz="8" w:color="auto"/>
            </w:tcBorders>
          </w:tcPr>
          <w:p>
            <w:pPr>
              <w:spacing w:after="0"/>
              <w:rPr>
                <w:sz w:val="18"/>
                <w:szCs w:val="18"/>
                <w:color w:val="auto"/>
              </w:rPr>
            </w:pPr>
          </w:p>
        </w:tc>
        <w:tc>
          <w:tcPr>
            <w:tcW w:w="200" w:type="dxa"/>
            <w:vAlign w:val="bottom"/>
            <w:tcBorders>
              <w:top w:val="single" w:sz="8" w:color="auto"/>
              <w:bottom w:val="single" w:sz="8" w:color="auto"/>
            </w:tcBorders>
          </w:tcPr>
          <w:p>
            <w:pPr>
              <w:spacing w:after="0"/>
              <w:rPr>
                <w:sz w:val="18"/>
                <w:szCs w:val="18"/>
                <w:color w:val="auto"/>
              </w:rPr>
            </w:pPr>
          </w:p>
        </w:tc>
        <w:tc>
          <w:tcPr>
            <w:tcW w:w="1380" w:type="dxa"/>
            <w:vAlign w:val="bottom"/>
            <w:tcBorders>
              <w:top w:val="single" w:sz="8" w:color="auto"/>
              <w:bottom w:val="single" w:sz="8" w:color="auto"/>
            </w:tcBorders>
          </w:tcPr>
          <w:p>
            <w:pPr>
              <w:jc w:val="right"/>
              <w:ind w:right="750"/>
              <w:spacing w:after="0"/>
              <w:rPr>
                <w:sz w:val="20"/>
                <w:szCs w:val="20"/>
                <w:color w:val="auto"/>
              </w:rPr>
            </w:pPr>
            <w:r>
              <w:rPr>
                <w:rFonts w:ascii="Arial" w:cs="Arial" w:eastAsia="Arial" w:hAnsi="Arial"/>
                <w:sz w:val="18"/>
                <w:szCs w:val="18"/>
                <w:b w:val="1"/>
                <w:bCs w:val="1"/>
                <w:color w:val="auto"/>
              </w:rPr>
              <w:t>2022</w:t>
            </w:r>
          </w:p>
        </w:tc>
        <w:tc>
          <w:tcPr>
            <w:tcW w:w="1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20" w:type="dxa"/>
            <w:vAlign w:val="bottom"/>
          </w:tcPr>
          <w:p>
            <w:pPr>
              <w:spacing w:after="0"/>
              <w:rPr>
                <w:sz w:val="18"/>
                <w:szCs w:val="18"/>
                <w:color w:val="auto"/>
              </w:rPr>
            </w:pPr>
          </w:p>
        </w:tc>
        <w:tc>
          <w:tcPr>
            <w:tcW w:w="7560" w:type="dxa"/>
            <w:vAlign w:val="bottom"/>
            <w:gridSpan w:val="2"/>
            <w:shd w:val="clear" w:color="auto" w:fill="CFF0FC"/>
          </w:tcPr>
          <w:p>
            <w:pPr>
              <w:spacing w:after="0"/>
              <w:rPr>
                <w:sz w:val="20"/>
                <w:szCs w:val="20"/>
                <w:color w:val="auto"/>
              </w:rPr>
            </w:pPr>
            <w:r>
              <w:rPr>
                <w:rFonts w:ascii="Arial" w:cs="Arial" w:eastAsia="Arial" w:hAnsi="Arial"/>
                <w:sz w:val="18"/>
                <w:szCs w:val="18"/>
                <w:color w:val="auto"/>
              </w:rPr>
              <w:t>Right-of-use assets obtained in exchange for new operating lease liabilities</w:t>
            </w:r>
          </w:p>
        </w:tc>
        <w:tc>
          <w:tcPr>
            <w:tcW w:w="700" w:type="dxa"/>
            <w:vAlign w:val="bottom"/>
            <w:shd w:val="clear" w:color="auto" w:fill="CFF0FC"/>
          </w:tcPr>
          <w:p>
            <w:pPr>
              <w:spacing w:after="0"/>
              <w:rPr>
                <w:sz w:val="18"/>
                <w:szCs w:val="18"/>
                <w:color w:val="auto"/>
              </w:rPr>
            </w:pPr>
          </w:p>
        </w:tc>
        <w:tc>
          <w:tcPr>
            <w:tcW w:w="840" w:type="dxa"/>
            <w:vAlign w:val="bottom"/>
            <w:gridSpan w:val="2"/>
            <w:shd w:val="clear" w:color="auto" w:fill="CFF0FC"/>
          </w:tcPr>
          <w:p>
            <w:pPr>
              <w:spacing w:after="0"/>
              <w:rPr>
                <w:sz w:val="18"/>
                <w:szCs w:val="18"/>
                <w:color w:val="auto"/>
              </w:rPr>
            </w:pPr>
          </w:p>
        </w:tc>
        <w:tc>
          <w:tcPr>
            <w:tcW w:w="160" w:type="dxa"/>
            <w:vAlign w:val="bottom"/>
            <w:shd w:val="clear" w:color="auto" w:fill="CFF0FC"/>
          </w:tcPr>
          <w:p>
            <w:pPr>
              <w:ind w:left="20"/>
              <w:spacing w:after="0"/>
              <w:rPr>
                <w:sz w:val="20"/>
                <w:szCs w:val="20"/>
                <w:color w:val="auto"/>
              </w:rPr>
            </w:pPr>
            <w:r>
              <w:rPr>
                <w:rFonts w:ascii="Arial" w:cs="Arial" w:eastAsia="Arial" w:hAnsi="Arial"/>
                <w:sz w:val="18"/>
                <w:szCs w:val="18"/>
                <w:color w:val="auto"/>
              </w:rPr>
              <w:t>$</w:t>
            </w:r>
          </w:p>
        </w:tc>
        <w:tc>
          <w:tcPr>
            <w:tcW w:w="28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13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920</w:t>
            </w:r>
          </w:p>
        </w:tc>
        <w:tc>
          <w:tcPr>
            <w:tcW w:w="100" w:type="dxa"/>
            <w:vAlign w:val="bottom"/>
            <w:shd w:val="clear" w:color="auto" w:fill="CFF0FC"/>
          </w:tcPr>
          <w:p>
            <w:pPr>
              <w:spacing w:after="0"/>
              <w:rPr>
                <w:sz w:val="18"/>
                <w:szCs w:val="18"/>
                <w:color w:val="auto"/>
              </w:rPr>
            </w:pP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7560" w:type="dxa"/>
            <w:vAlign w:val="bottom"/>
            <w:gridSpan w:val="2"/>
          </w:tcPr>
          <w:p>
            <w:pPr>
              <w:spacing w:after="0"/>
              <w:rPr>
                <w:sz w:val="20"/>
                <w:szCs w:val="20"/>
                <w:color w:val="auto"/>
              </w:rPr>
            </w:pPr>
            <w:r>
              <w:rPr>
                <w:rFonts w:ascii="Arial" w:cs="Arial" w:eastAsia="Arial" w:hAnsi="Arial"/>
                <w:sz w:val="18"/>
                <w:szCs w:val="18"/>
                <w:color w:val="auto"/>
              </w:rPr>
              <w:t>Cash paid for operating lease liabilities</w:t>
            </w:r>
          </w:p>
        </w:tc>
        <w:tc>
          <w:tcPr>
            <w:tcW w:w="700" w:type="dxa"/>
            <w:vAlign w:val="bottom"/>
          </w:tcPr>
          <w:p>
            <w:pPr>
              <w:spacing w:after="0"/>
              <w:rPr>
                <w:sz w:val="20"/>
                <w:szCs w:val="20"/>
                <w:color w:val="auto"/>
              </w:rPr>
            </w:pPr>
          </w:p>
        </w:tc>
        <w:tc>
          <w:tcPr>
            <w:tcW w:w="1000" w:type="dxa"/>
            <w:vAlign w:val="bottom"/>
            <w:gridSpan w:val="3"/>
          </w:tcPr>
          <w:p>
            <w:pPr>
              <w:ind w:left="860"/>
              <w:spacing w:after="0"/>
              <w:rPr>
                <w:sz w:val="20"/>
                <w:szCs w:val="20"/>
                <w:color w:val="auto"/>
              </w:rPr>
            </w:pPr>
            <w:r>
              <w:rPr>
                <w:rFonts w:ascii="Arial" w:cs="Arial" w:eastAsia="Arial" w:hAnsi="Arial"/>
                <w:sz w:val="18"/>
                <w:szCs w:val="18"/>
                <w:color w:val="auto"/>
              </w:rPr>
              <w:t>$</w:t>
            </w:r>
          </w:p>
        </w:tc>
        <w:tc>
          <w:tcPr>
            <w:tcW w:w="28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380" w:type="dxa"/>
            <w:vAlign w:val="bottom"/>
          </w:tcPr>
          <w:p>
            <w:pPr>
              <w:jc w:val="right"/>
              <w:spacing w:after="0"/>
              <w:rPr>
                <w:sz w:val="20"/>
                <w:szCs w:val="20"/>
                <w:color w:val="auto"/>
              </w:rPr>
            </w:pPr>
            <w:r>
              <w:rPr>
                <w:rFonts w:ascii="Arial" w:cs="Arial" w:eastAsia="Arial" w:hAnsi="Arial"/>
                <w:sz w:val="18"/>
                <w:szCs w:val="18"/>
                <w:color w:val="auto"/>
              </w:rPr>
              <w:t>2,488</w:t>
            </w:r>
          </w:p>
        </w:tc>
        <w:tc>
          <w:tcPr>
            <w:tcW w:w="10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525"/>
        </w:trPr>
        <w:tc>
          <w:tcPr>
            <w:tcW w:w="2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7220" w:type="dxa"/>
            <w:vAlign w:val="bottom"/>
          </w:tcPr>
          <w:p>
            <w:pPr>
              <w:jc w:val="right"/>
              <w:ind w:right="1770"/>
              <w:spacing w:after="0"/>
              <w:rPr>
                <w:sz w:val="20"/>
                <w:szCs w:val="20"/>
                <w:color w:val="auto"/>
              </w:rPr>
            </w:pPr>
            <w:r>
              <w:rPr>
                <w:rFonts w:ascii="Arial" w:cs="Arial" w:eastAsia="Arial" w:hAnsi="Arial"/>
                <w:sz w:val="18"/>
                <w:szCs w:val="18"/>
                <w:color w:val="auto"/>
              </w:rPr>
              <w:t>22</w:t>
            </w:r>
          </w:p>
        </w:tc>
        <w:tc>
          <w:tcPr>
            <w:tcW w:w="70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3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01"/>
        </w:trPr>
        <w:tc>
          <w:tcPr>
            <w:tcW w:w="20" w:type="dxa"/>
            <w:vAlign w:val="bottom"/>
          </w:tcPr>
          <w:p>
            <w:pPr>
              <w:spacing w:after="0"/>
              <w:rPr>
                <w:sz w:val="8"/>
                <w:szCs w:val="8"/>
                <w:color w:val="auto"/>
              </w:rPr>
            </w:pPr>
          </w:p>
        </w:tc>
        <w:tc>
          <w:tcPr>
            <w:tcW w:w="340" w:type="dxa"/>
            <w:vAlign w:val="bottom"/>
            <w:tcBorders>
              <w:bottom w:val="single" w:sz="8" w:color="9A9A9A"/>
            </w:tcBorders>
          </w:tcPr>
          <w:p>
            <w:pPr>
              <w:spacing w:after="0"/>
              <w:rPr>
                <w:sz w:val="8"/>
                <w:szCs w:val="8"/>
                <w:color w:val="auto"/>
              </w:rPr>
            </w:pPr>
          </w:p>
        </w:tc>
        <w:tc>
          <w:tcPr>
            <w:tcW w:w="7220" w:type="dxa"/>
            <w:vAlign w:val="bottom"/>
            <w:tcBorders>
              <w:bottom w:val="single" w:sz="8" w:color="9A9A9A"/>
            </w:tcBorders>
          </w:tcPr>
          <w:p>
            <w:pPr>
              <w:spacing w:after="0"/>
              <w:rPr>
                <w:sz w:val="8"/>
                <w:szCs w:val="8"/>
                <w:color w:val="auto"/>
              </w:rPr>
            </w:pPr>
          </w:p>
        </w:tc>
        <w:tc>
          <w:tcPr>
            <w:tcW w:w="700" w:type="dxa"/>
            <w:vAlign w:val="bottom"/>
            <w:tcBorders>
              <w:bottom w:val="single" w:sz="8" w:color="9A9A9A"/>
            </w:tcBorders>
          </w:tcPr>
          <w:p>
            <w:pPr>
              <w:spacing w:after="0"/>
              <w:rPr>
                <w:sz w:val="8"/>
                <w:szCs w:val="8"/>
                <w:color w:val="auto"/>
              </w:rPr>
            </w:pPr>
          </w:p>
        </w:tc>
        <w:tc>
          <w:tcPr>
            <w:tcW w:w="820" w:type="dxa"/>
            <w:vAlign w:val="bottom"/>
            <w:tcBorders>
              <w:bottom w:val="single" w:sz="8" w:color="9A9A9A"/>
            </w:tcBorders>
          </w:tcPr>
          <w:p>
            <w:pPr>
              <w:spacing w:after="0"/>
              <w:rPr>
                <w:sz w:val="8"/>
                <w:szCs w:val="8"/>
                <w:color w:val="auto"/>
              </w:rPr>
            </w:pPr>
          </w:p>
        </w:tc>
        <w:tc>
          <w:tcPr>
            <w:tcW w:w="20" w:type="dxa"/>
            <w:vAlign w:val="bottom"/>
            <w:tcBorders>
              <w:bottom w:val="single" w:sz="8" w:color="9A9A9A"/>
            </w:tcBorders>
          </w:tcPr>
          <w:p>
            <w:pPr>
              <w:spacing w:after="0"/>
              <w:rPr>
                <w:sz w:val="8"/>
                <w:szCs w:val="8"/>
                <w:color w:val="auto"/>
              </w:rPr>
            </w:pPr>
          </w:p>
        </w:tc>
        <w:tc>
          <w:tcPr>
            <w:tcW w:w="160" w:type="dxa"/>
            <w:vAlign w:val="bottom"/>
            <w:tcBorders>
              <w:bottom w:val="single" w:sz="8" w:color="9A9A9A"/>
            </w:tcBorders>
          </w:tcPr>
          <w:p>
            <w:pPr>
              <w:spacing w:after="0"/>
              <w:rPr>
                <w:sz w:val="8"/>
                <w:szCs w:val="8"/>
                <w:color w:val="auto"/>
              </w:rPr>
            </w:pPr>
          </w:p>
        </w:tc>
        <w:tc>
          <w:tcPr>
            <w:tcW w:w="280" w:type="dxa"/>
            <w:vAlign w:val="bottom"/>
            <w:tcBorders>
              <w:bottom w:val="single" w:sz="8" w:color="9A9A9A"/>
            </w:tcBorders>
          </w:tcPr>
          <w:p>
            <w:pPr>
              <w:spacing w:after="0"/>
              <w:rPr>
                <w:sz w:val="8"/>
                <w:szCs w:val="8"/>
                <w:color w:val="auto"/>
              </w:rPr>
            </w:pPr>
          </w:p>
        </w:tc>
        <w:tc>
          <w:tcPr>
            <w:tcW w:w="200" w:type="dxa"/>
            <w:vAlign w:val="bottom"/>
            <w:tcBorders>
              <w:bottom w:val="single" w:sz="8" w:color="9A9A9A"/>
            </w:tcBorders>
          </w:tcPr>
          <w:p>
            <w:pPr>
              <w:spacing w:after="0"/>
              <w:rPr>
                <w:sz w:val="8"/>
                <w:szCs w:val="8"/>
                <w:color w:val="auto"/>
              </w:rPr>
            </w:pPr>
          </w:p>
        </w:tc>
        <w:tc>
          <w:tcPr>
            <w:tcW w:w="1380" w:type="dxa"/>
            <w:vAlign w:val="bottom"/>
            <w:tcBorders>
              <w:bottom w:val="single" w:sz="8" w:color="9A9A9A"/>
            </w:tcBorders>
          </w:tcPr>
          <w:p>
            <w:pPr>
              <w:spacing w:after="0"/>
              <w:rPr>
                <w:sz w:val="8"/>
                <w:szCs w:val="8"/>
                <w:color w:val="auto"/>
              </w:rPr>
            </w:pPr>
          </w:p>
        </w:tc>
        <w:tc>
          <w:tcPr>
            <w:tcW w:w="100" w:type="dxa"/>
            <w:vAlign w:val="bottom"/>
            <w:tcBorders>
              <w:bottom w:val="single" w:sz="8" w:color="9A9A9A"/>
            </w:tcBorders>
          </w:tcPr>
          <w:p>
            <w:pPr>
              <w:spacing w:after="0"/>
              <w:rPr>
                <w:sz w:val="8"/>
                <w:szCs w:val="8"/>
                <w:color w:val="auto"/>
              </w:rPr>
            </w:pPr>
          </w:p>
        </w:tc>
        <w:tc>
          <w:tcPr>
            <w:tcW w:w="60" w:type="dxa"/>
            <w:vAlign w:val="bottom"/>
          </w:tcPr>
          <w:p>
            <w:pPr>
              <w:spacing w:after="0"/>
              <w:rPr>
                <w:sz w:val="8"/>
                <w:szCs w:val="8"/>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5887085</wp:posOffset>
            </wp:positionH>
            <wp:positionV relativeFrom="paragraph">
              <wp:posOffset>-2071370</wp:posOffset>
            </wp:positionV>
            <wp:extent cx="68580" cy="8255"/>
            <wp:wrapNone/>
            <wp:docPr id="198" name="Picture 1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8"/>
                    <pic:cNvPicPr>
                      <a:picLocks noChangeAspect="1" noChangeArrowheads="1"/>
                    </pic:cNvPicPr>
                  </pic:nvPicPr>
                  <pic:blipFill>
                    <a:blip r:embed="rId205">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5887085</wp:posOffset>
            </wp:positionH>
            <wp:positionV relativeFrom="paragraph">
              <wp:posOffset>-2054225</wp:posOffset>
            </wp:positionV>
            <wp:extent cx="68580" cy="8255"/>
            <wp:wrapNone/>
            <wp:docPr id="199" name="Picture 1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9"/>
                    <pic:cNvPicPr>
                      <a:picLocks noChangeAspect="1" noChangeArrowheads="1"/>
                    </pic:cNvPicPr>
                  </pic:nvPicPr>
                  <pic:blipFill>
                    <a:blip r:embed="rId206">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-2071370</wp:posOffset>
            </wp:positionV>
            <wp:extent cx="68580" cy="8255"/>
            <wp:wrapNone/>
            <wp:docPr id="200" name="Picture 2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0"/>
                    <pic:cNvPicPr>
                      <a:picLocks noChangeAspect="1" noChangeArrowheads="1"/>
                    </pic:cNvPicPr>
                  </pic:nvPicPr>
                  <pic:blipFill>
                    <a:blip r:embed="rId207">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-2054225</wp:posOffset>
            </wp:positionV>
            <wp:extent cx="68580" cy="8255"/>
            <wp:wrapNone/>
            <wp:docPr id="201" name="Picture 2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1"/>
                    <pic:cNvPicPr>
                      <a:picLocks noChangeAspect="1" noChangeArrowheads="1"/>
                    </pic:cNvPicPr>
                  </pic:nvPicPr>
                  <pic:blipFill>
                    <a:blip r:embed="rId208">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-1634490</wp:posOffset>
            </wp:positionV>
            <wp:extent cx="7132320" cy="137160"/>
            <wp:wrapNone/>
            <wp:docPr id="202" name="Picture 2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2"/>
                    <pic:cNvPicPr>
                      <a:picLocks noChangeAspect="1" noChangeArrowheads="1"/>
                    </pic:cNvPicPr>
                  </pic:nvPicPr>
                  <pic:blipFill>
                    <a:blip r:embed="rId209">
                      <a:extLst>
                        <a:ext uri="{28A0092B-C50C-407E-A947-70E740481C1C}"/>
                      </a:extLst>
                    </a:blip>
                    <a:srcRect/>
                    <a:stretch>
                      <a:fillRect/>
                    </a:stretch>
                  </pic:blipFill>
                  <pic:spPr bwMode="auto">
                    <a:xfrm>
                      <a:off x="0" y="0"/>
                      <a:ext cx="7132320" cy="137160"/>
                    </a:xfrm>
                    <a:prstGeom prst="rect">
                      <a:avLst/>
                    </a:prstGeom>
                    <a:noFill/>
                  </pic:spPr>
                </pic:pic>
              </a:graphicData>
            </a:graphic>
          </wp:anchor>
        </w:drawing>
        <w:drawing>
          <wp:anchor simplePos="0" relativeHeight="251657728" behindDoc="1" locked="0" layoutInCell="0" allowOverlap="1">
            <wp:simplePos x="0" y="0"/>
            <wp:positionH relativeFrom="column">
              <wp:posOffset>7116445</wp:posOffset>
            </wp:positionH>
            <wp:positionV relativeFrom="paragraph">
              <wp:posOffset>-29210</wp:posOffset>
            </wp:positionV>
            <wp:extent cx="33655" cy="42545"/>
            <wp:wrapNone/>
            <wp:docPr id="203" name="Picture 2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3"/>
                    <pic:cNvPicPr>
                      <a:picLocks noChangeAspect="1" noChangeArrowheads="1"/>
                    </pic:cNvPicPr>
                  </pic:nvPicPr>
                  <pic:blipFill>
                    <a:blip r:embed="rId210">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3655" cy="42545"/>
            <wp:wrapNone/>
            <wp:docPr id="204" name="Picture 2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4"/>
                    <pic:cNvPicPr>
                      <a:picLocks noChangeAspect="1" noChangeArrowheads="1"/>
                    </pic:cNvPicPr>
                  </pic:nvPicPr>
                  <pic:blipFill>
                    <a:blip r:embed="rId211">
                      <a:extLst>
                        <a:ext uri="{28A0092B-C50C-407E-A947-70E740481C1C}"/>
                      </a:extLst>
                    </a:blip>
                    <a:srcRect/>
                    <a:stretch>
                      <a:fillRect/>
                    </a:stretch>
                  </pic:blipFill>
                  <pic:spPr bwMode="auto">
                    <a:xfrm>
                      <a:off x="0" y="0"/>
                      <a:ext cx="33655" cy="42545"/>
                    </a:xfrm>
                    <a:prstGeom prst="rect">
                      <a:avLst/>
                    </a:prstGeom>
                    <a:noFill/>
                  </pic:spPr>
                </pic:pic>
              </a:graphicData>
            </a:graphic>
          </wp:anchor>
        </w:drawing>
      </w:r>
    </w:p>
    <w:p>
      <w:pPr>
        <w:sectPr>
          <w:pgSz w:w="11900" w:h="16838" w:orient="portrait"/>
          <w:cols w:equalWidth="0" w:num="1">
            <w:col w:w="11300"/>
          </w:cols>
          <w:pgMar w:left="320" w:top="435" w:right="279" w:bottom="1440" w:gutter="0" w:footer="0" w:header="0"/>
        </w:sectPr>
      </w:pPr>
    </w:p>
    <w:bookmarkStart w:id="22" w:name="page23"/>
    <w:bookmarkEnd w:id="22"/>
    <w:p>
      <w:pPr>
        <w:ind w:right="340" w:firstLine="509"/>
        <w:spacing w:after="0" w:line="277" w:lineRule="auto"/>
        <w:rPr>
          <w:sz w:val="20"/>
          <w:szCs w:val="20"/>
          <w:color w:val="auto"/>
        </w:rPr>
      </w:pPr>
      <w:r>
        <w:rPr>
          <w:rFonts w:ascii="Arial" w:cs="Arial" w:eastAsia="Arial" w:hAnsi="Arial"/>
          <w:sz w:val="18"/>
          <w:szCs w:val="18"/>
          <w:color w:val="auto"/>
        </w:rPr>
        <w:t>Future minimum lease payments under non-cancellable operating leases with initial lease terms in excess of one year included in the Company’s lease liabilities as of September 30, 2022 are as follows (in thousands):</w:t>
      </w:r>
    </w:p>
    <w:p>
      <w:pPr>
        <w:spacing w:after="0" w:line="157"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9200" w:type="dxa"/>
            <w:vAlign w:val="bottom"/>
            <w:shd w:val="clear" w:color="auto" w:fill="CFF0FC"/>
          </w:tcPr>
          <w:p>
            <w:pPr>
              <w:ind w:left="20"/>
              <w:spacing w:after="0"/>
              <w:rPr>
                <w:sz w:val="20"/>
                <w:szCs w:val="20"/>
                <w:color w:val="auto"/>
              </w:rPr>
            </w:pPr>
            <w:r>
              <w:rPr>
                <w:rFonts w:ascii="Arial" w:cs="Arial" w:eastAsia="Arial" w:hAnsi="Arial"/>
                <w:sz w:val="18"/>
                <w:szCs w:val="18"/>
                <w:color w:val="auto"/>
              </w:rPr>
              <w:t>Year ending December 31:</w:t>
            </w:r>
          </w:p>
        </w:tc>
        <w:tc>
          <w:tcPr>
            <w:tcW w:w="760" w:type="dxa"/>
            <w:vAlign w:val="bottom"/>
            <w:shd w:val="clear" w:color="auto" w:fill="CFF0FC"/>
          </w:tcPr>
          <w:p>
            <w:pPr>
              <w:spacing w:after="0"/>
              <w:rPr>
                <w:sz w:val="18"/>
                <w:szCs w:val="18"/>
                <w:color w:val="auto"/>
              </w:rPr>
            </w:pPr>
          </w:p>
        </w:tc>
        <w:tc>
          <w:tcPr>
            <w:tcW w:w="118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r>
      <w:tr>
        <w:trPr>
          <w:trHeight w:val="216"/>
        </w:trPr>
        <w:tc>
          <w:tcPr>
            <w:tcW w:w="9200" w:type="dxa"/>
            <w:vAlign w:val="bottom"/>
          </w:tcPr>
          <w:p>
            <w:pPr>
              <w:ind w:left="200"/>
              <w:spacing w:after="0"/>
              <w:rPr>
                <w:sz w:val="20"/>
                <w:szCs w:val="20"/>
                <w:color w:val="auto"/>
              </w:rPr>
            </w:pPr>
            <w:r>
              <w:rPr>
                <w:rFonts w:ascii="Arial" w:cs="Arial" w:eastAsia="Arial" w:hAnsi="Arial"/>
                <w:sz w:val="18"/>
                <w:szCs w:val="18"/>
                <w:color w:val="auto"/>
              </w:rPr>
              <w:t>Remainder of 2022</w:t>
            </w:r>
          </w:p>
        </w:tc>
        <w:tc>
          <w:tcPr>
            <w:tcW w:w="760" w:type="dxa"/>
            <w:vAlign w:val="bottom"/>
          </w:tcPr>
          <w:p>
            <w:pPr>
              <w:jc w:val="right"/>
              <w:ind w:right="570"/>
              <w:spacing w:after="0"/>
              <w:rPr>
                <w:sz w:val="20"/>
                <w:szCs w:val="20"/>
                <w:color w:val="auto"/>
              </w:rPr>
            </w:pPr>
            <w:r>
              <w:rPr>
                <w:rFonts w:ascii="Arial" w:cs="Arial" w:eastAsia="Arial" w:hAnsi="Arial"/>
                <w:sz w:val="18"/>
                <w:szCs w:val="18"/>
                <w:color w:val="auto"/>
                <w:w w:val="79"/>
              </w:rPr>
              <w:t>$</w:t>
            </w:r>
          </w:p>
        </w:tc>
        <w:tc>
          <w:tcPr>
            <w:tcW w:w="1180" w:type="dxa"/>
            <w:vAlign w:val="bottom"/>
          </w:tcPr>
          <w:p>
            <w:pPr>
              <w:jc w:val="right"/>
              <w:spacing w:after="0"/>
              <w:rPr>
                <w:sz w:val="20"/>
                <w:szCs w:val="20"/>
                <w:color w:val="auto"/>
              </w:rPr>
            </w:pPr>
            <w:r>
              <w:rPr>
                <w:rFonts w:ascii="Arial" w:cs="Arial" w:eastAsia="Arial" w:hAnsi="Arial"/>
                <w:sz w:val="18"/>
                <w:szCs w:val="18"/>
                <w:color w:val="auto"/>
              </w:rPr>
              <w:t>739</w:t>
            </w:r>
          </w:p>
        </w:tc>
        <w:tc>
          <w:tcPr>
            <w:tcW w:w="100" w:type="dxa"/>
            <w:vAlign w:val="bottom"/>
          </w:tcPr>
          <w:p>
            <w:pPr>
              <w:spacing w:after="0"/>
              <w:rPr>
                <w:sz w:val="18"/>
                <w:szCs w:val="18"/>
                <w:color w:val="auto"/>
              </w:rPr>
            </w:pPr>
          </w:p>
        </w:tc>
      </w:tr>
      <w:tr>
        <w:trPr>
          <w:trHeight w:val="216"/>
        </w:trPr>
        <w:tc>
          <w:tcPr>
            <w:tcW w:w="9200" w:type="dxa"/>
            <w:vAlign w:val="bottom"/>
            <w:shd w:val="clear" w:color="auto" w:fill="CFF0FC"/>
          </w:tcPr>
          <w:p>
            <w:pPr>
              <w:ind w:left="200"/>
              <w:spacing w:after="0"/>
              <w:rPr>
                <w:sz w:val="20"/>
                <w:szCs w:val="20"/>
                <w:color w:val="auto"/>
              </w:rPr>
            </w:pPr>
            <w:r>
              <w:rPr>
                <w:rFonts w:ascii="Arial" w:cs="Arial" w:eastAsia="Arial" w:hAnsi="Arial"/>
                <w:sz w:val="18"/>
                <w:szCs w:val="18"/>
                <w:color w:val="auto"/>
              </w:rPr>
              <w:t>2023</w:t>
            </w:r>
          </w:p>
        </w:tc>
        <w:tc>
          <w:tcPr>
            <w:tcW w:w="760" w:type="dxa"/>
            <w:vAlign w:val="bottom"/>
            <w:shd w:val="clear" w:color="auto" w:fill="CFF0FC"/>
          </w:tcPr>
          <w:p>
            <w:pPr>
              <w:spacing w:after="0"/>
              <w:rPr>
                <w:sz w:val="18"/>
                <w:szCs w:val="18"/>
                <w:color w:val="auto"/>
              </w:rPr>
            </w:pPr>
          </w:p>
        </w:tc>
        <w:tc>
          <w:tcPr>
            <w:tcW w:w="11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4,153</w:t>
            </w:r>
          </w:p>
        </w:tc>
        <w:tc>
          <w:tcPr>
            <w:tcW w:w="100" w:type="dxa"/>
            <w:vAlign w:val="bottom"/>
            <w:shd w:val="clear" w:color="auto" w:fill="CFF0FC"/>
          </w:tcPr>
          <w:p>
            <w:pPr>
              <w:spacing w:after="0"/>
              <w:rPr>
                <w:sz w:val="18"/>
                <w:szCs w:val="18"/>
                <w:color w:val="auto"/>
              </w:rPr>
            </w:pPr>
          </w:p>
        </w:tc>
      </w:tr>
      <w:tr>
        <w:trPr>
          <w:trHeight w:val="216"/>
        </w:trPr>
        <w:tc>
          <w:tcPr>
            <w:tcW w:w="9200" w:type="dxa"/>
            <w:vAlign w:val="bottom"/>
          </w:tcPr>
          <w:p>
            <w:pPr>
              <w:ind w:left="200"/>
              <w:spacing w:after="0"/>
              <w:rPr>
                <w:sz w:val="20"/>
                <w:szCs w:val="20"/>
                <w:color w:val="auto"/>
              </w:rPr>
            </w:pPr>
            <w:r>
              <w:rPr>
                <w:rFonts w:ascii="Arial" w:cs="Arial" w:eastAsia="Arial" w:hAnsi="Arial"/>
                <w:sz w:val="18"/>
                <w:szCs w:val="18"/>
                <w:color w:val="auto"/>
              </w:rPr>
              <w:t>2024</w:t>
            </w:r>
          </w:p>
        </w:tc>
        <w:tc>
          <w:tcPr>
            <w:tcW w:w="760" w:type="dxa"/>
            <w:vAlign w:val="bottom"/>
          </w:tcPr>
          <w:p>
            <w:pPr>
              <w:spacing w:after="0"/>
              <w:rPr>
                <w:sz w:val="18"/>
                <w:szCs w:val="18"/>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3,912</w:t>
            </w:r>
          </w:p>
        </w:tc>
        <w:tc>
          <w:tcPr>
            <w:tcW w:w="100" w:type="dxa"/>
            <w:vAlign w:val="bottom"/>
          </w:tcPr>
          <w:p>
            <w:pPr>
              <w:spacing w:after="0"/>
              <w:rPr>
                <w:sz w:val="18"/>
                <w:szCs w:val="18"/>
                <w:color w:val="auto"/>
              </w:rPr>
            </w:pPr>
          </w:p>
        </w:tc>
      </w:tr>
      <w:tr>
        <w:trPr>
          <w:trHeight w:val="216"/>
        </w:trPr>
        <w:tc>
          <w:tcPr>
            <w:tcW w:w="9200" w:type="dxa"/>
            <w:vAlign w:val="bottom"/>
            <w:shd w:val="clear" w:color="auto" w:fill="CFF0FC"/>
          </w:tcPr>
          <w:p>
            <w:pPr>
              <w:ind w:left="200"/>
              <w:spacing w:after="0"/>
              <w:rPr>
                <w:sz w:val="20"/>
                <w:szCs w:val="20"/>
                <w:color w:val="auto"/>
              </w:rPr>
            </w:pPr>
            <w:r>
              <w:rPr>
                <w:rFonts w:ascii="Arial" w:cs="Arial" w:eastAsia="Arial" w:hAnsi="Arial"/>
                <w:sz w:val="18"/>
                <w:szCs w:val="18"/>
                <w:color w:val="auto"/>
              </w:rPr>
              <w:t>2025</w:t>
            </w:r>
          </w:p>
        </w:tc>
        <w:tc>
          <w:tcPr>
            <w:tcW w:w="760" w:type="dxa"/>
            <w:vAlign w:val="bottom"/>
            <w:shd w:val="clear" w:color="auto" w:fill="CFF0FC"/>
          </w:tcPr>
          <w:p>
            <w:pPr>
              <w:spacing w:after="0"/>
              <w:rPr>
                <w:sz w:val="18"/>
                <w:szCs w:val="18"/>
                <w:color w:val="auto"/>
              </w:rPr>
            </w:pPr>
          </w:p>
        </w:tc>
        <w:tc>
          <w:tcPr>
            <w:tcW w:w="11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3,125</w:t>
            </w:r>
          </w:p>
        </w:tc>
        <w:tc>
          <w:tcPr>
            <w:tcW w:w="100" w:type="dxa"/>
            <w:vAlign w:val="bottom"/>
            <w:shd w:val="clear" w:color="auto" w:fill="CFF0FC"/>
          </w:tcPr>
          <w:p>
            <w:pPr>
              <w:spacing w:after="0"/>
              <w:rPr>
                <w:sz w:val="18"/>
                <w:szCs w:val="18"/>
                <w:color w:val="auto"/>
              </w:rPr>
            </w:pPr>
          </w:p>
        </w:tc>
      </w:tr>
      <w:tr>
        <w:trPr>
          <w:trHeight w:val="216"/>
        </w:trPr>
        <w:tc>
          <w:tcPr>
            <w:tcW w:w="9200" w:type="dxa"/>
            <w:vAlign w:val="bottom"/>
          </w:tcPr>
          <w:p>
            <w:pPr>
              <w:ind w:left="200"/>
              <w:spacing w:after="0"/>
              <w:rPr>
                <w:sz w:val="20"/>
                <w:szCs w:val="20"/>
                <w:color w:val="auto"/>
              </w:rPr>
            </w:pPr>
            <w:r>
              <w:rPr>
                <w:rFonts w:ascii="Arial" w:cs="Arial" w:eastAsia="Arial" w:hAnsi="Arial"/>
                <w:sz w:val="18"/>
                <w:szCs w:val="18"/>
                <w:color w:val="auto"/>
              </w:rPr>
              <w:t>2026 and thereafter</w:t>
            </w:r>
          </w:p>
        </w:tc>
        <w:tc>
          <w:tcPr>
            <w:tcW w:w="760" w:type="dxa"/>
            <w:vAlign w:val="bottom"/>
            <w:tcBorders>
              <w:bottom w:val="single" w:sz="8" w:color="auto"/>
            </w:tcBorders>
          </w:tcPr>
          <w:p>
            <w:pPr>
              <w:spacing w:after="0"/>
              <w:rPr>
                <w:sz w:val="18"/>
                <w:szCs w:val="18"/>
                <w:color w:val="auto"/>
              </w:rPr>
            </w:pPr>
          </w:p>
        </w:tc>
        <w:tc>
          <w:tcPr>
            <w:tcW w:w="11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398</w:t>
            </w:r>
          </w:p>
        </w:tc>
        <w:tc>
          <w:tcPr>
            <w:tcW w:w="100" w:type="dxa"/>
            <w:vAlign w:val="bottom"/>
          </w:tcPr>
          <w:p>
            <w:pPr>
              <w:spacing w:after="0"/>
              <w:rPr>
                <w:sz w:val="18"/>
                <w:szCs w:val="18"/>
                <w:color w:val="auto"/>
              </w:rPr>
            </w:pPr>
          </w:p>
        </w:tc>
      </w:tr>
      <w:tr>
        <w:trPr>
          <w:trHeight w:val="209"/>
        </w:trPr>
        <w:tc>
          <w:tcPr>
            <w:tcW w:w="9200" w:type="dxa"/>
            <w:vAlign w:val="bottom"/>
            <w:shd w:val="clear" w:color="auto" w:fill="CFF0FC"/>
          </w:tcPr>
          <w:p>
            <w:pPr>
              <w:ind w:left="380"/>
              <w:spacing w:after="0"/>
              <w:rPr>
                <w:sz w:val="20"/>
                <w:szCs w:val="20"/>
                <w:color w:val="auto"/>
              </w:rPr>
            </w:pPr>
            <w:r>
              <w:rPr>
                <w:rFonts w:ascii="Arial" w:cs="Arial" w:eastAsia="Arial" w:hAnsi="Arial"/>
                <w:sz w:val="18"/>
                <w:szCs w:val="18"/>
                <w:color w:val="auto"/>
              </w:rPr>
              <w:t>Total undiscounted operating lease payments</w:t>
            </w:r>
          </w:p>
        </w:tc>
        <w:tc>
          <w:tcPr>
            <w:tcW w:w="760" w:type="dxa"/>
            <w:vAlign w:val="bottom"/>
            <w:shd w:val="clear" w:color="auto" w:fill="CFF0FC"/>
          </w:tcPr>
          <w:p>
            <w:pPr>
              <w:jc w:val="right"/>
              <w:ind w:right="570"/>
              <w:spacing w:after="0"/>
              <w:rPr>
                <w:sz w:val="20"/>
                <w:szCs w:val="20"/>
                <w:color w:val="auto"/>
              </w:rPr>
            </w:pPr>
            <w:r>
              <w:rPr>
                <w:rFonts w:ascii="Arial" w:cs="Arial" w:eastAsia="Arial" w:hAnsi="Arial"/>
                <w:sz w:val="18"/>
                <w:szCs w:val="18"/>
                <w:color w:val="auto"/>
                <w:w w:val="79"/>
              </w:rPr>
              <w:t>$</w:t>
            </w:r>
          </w:p>
        </w:tc>
        <w:tc>
          <w:tcPr>
            <w:tcW w:w="11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12,327</w:t>
            </w:r>
          </w:p>
        </w:tc>
        <w:tc>
          <w:tcPr>
            <w:tcW w:w="100" w:type="dxa"/>
            <w:vAlign w:val="bottom"/>
            <w:shd w:val="clear" w:color="auto" w:fill="CFF0FC"/>
          </w:tcPr>
          <w:p>
            <w:pPr>
              <w:spacing w:after="0"/>
              <w:rPr>
                <w:sz w:val="18"/>
                <w:szCs w:val="18"/>
                <w:color w:val="auto"/>
              </w:rPr>
            </w:pPr>
          </w:p>
        </w:tc>
      </w:tr>
      <w:tr>
        <w:trPr>
          <w:trHeight w:val="216"/>
        </w:trPr>
        <w:tc>
          <w:tcPr>
            <w:tcW w:w="9200" w:type="dxa"/>
            <w:vAlign w:val="bottom"/>
          </w:tcPr>
          <w:p>
            <w:pPr>
              <w:ind w:left="200"/>
              <w:spacing w:after="0"/>
              <w:rPr>
                <w:sz w:val="20"/>
                <w:szCs w:val="20"/>
                <w:color w:val="auto"/>
              </w:rPr>
            </w:pPr>
            <w:r>
              <w:rPr>
                <w:rFonts w:ascii="Arial" w:cs="Arial" w:eastAsia="Arial" w:hAnsi="Arial"/>
                <w:sz w:val="18"/>
                <w:szCs w:val="18"/>
                <w:color w:val="auto"/>
              </w:rPr>
              <w:t>Less: imputed interest</w:t>
            </w:r>
          </w:p>
        </w:tc>
        <w:tc>
          <w:tcPr>
            <w:tcW w:w="760" w:type="dxa"/>
            <w:vAlign w:val="bottom"/>
          </w:tcPr>
          <w:p>
            <w:pPr>
              <w:spacing w:after="0"/>
              <w:rPr>
                <w:sz w:val="18"/>
                <w:szCs w:val="18"/>
                <w:color w:val="auto"/>
              </w:rPr>
            </w:pPr>
          </w:p>
        </w:tc>
        <w:tc>
          <w:tcPr>
            <w:tcW w:w="1280" w:type="dxa"/>
            <w:vAlign w:val="bottom"/>
            <w:gridSpan w:val="2"/>
          </w:tcPr>
          <w:p>
            <w:pPr>
              <w:jc w:val="right"/>
              <w:ind w:right="40"/>
              <w:spacing w:after="0"/>
              <w:rPr>
                <w:sz w:val="20"/>
                <w:szCs w:val="20"/>
                <w:color w:val="auto"/>
              </w:rPr>
            </w:pPr>
            <w:r>
              <w:rPr>
                <w:rFonts w:ascii="Arial" w:cs="Arial" w:eastAsia="Arial" w:hAnsi="Arial"/>
                <w:sz w:val="18"/>
                <w:szCs w:val="18"/>
                <w:color w:val="auto"/>
              </w:rPr>
              <w:t>(799 )</w:t>
            </w:r>
          </w:p>
        </w:tc>
      </w:tr>
      <w:tr>
        <w:trPr>
          <w:trHeight w:val="249"/>
        </w:trPr>
        <w:tc>
          <w:tcPr>
            <w:tcW w:w="9200" w:type="dxa"/>
            <w:vAlign w:val="bottom"/>
            <w:tcBorders>
              <w:bottom w:val="single" w:sz="8" w:color="CFF0FC"/>
            </w:tcBorders>
            <w:shd w:val="clear" w:color="auto" w:fill="CFF0FC"/>
          </w:tcPr>
          <w:p>
            <w:pPr>
              <w:ind w:left="380"/>
              <w:spacing w:after="0"/>
              <w:rPr>
                <w:sz w:val="20"/>
                <w:szCs w:val="20"/>
                <w:color w:val="auto"/>
              </w:rPr>
            </w:pPr>
            <w:r>
              <w:rPr>
                <w:rFonts w:ascii="Arial" w:cs="Arial" w:eastAsia="Arial" w:hAnsi="Arial"/>
                <w:sz w:val="18"/>
                <w:szCs w:val="18"/>
                <w:color w:val="auto"/>
              </w:rPr>
              <w:t>Total operating lease liabilities</w:t>
            </w:r>
          </w:p>
        </w:tc>
        <w:tc>
          <w:tcPr>
            <w:tcW w:w="760" w:type="dxa"/>
            <w:vAlign w:val="bottom"/>
            <w:tcBorders>
              <w:top w:val="single" w:sz="8" w:color="auto"/>
              <w:bottom w:val="single" w:sz="8" w:color="auto"/>
            </w:tcBorders>
            <w:shd w:val="clear" w:color="auto" w:fill="CFF0FC"/>
          </w:tcPr>
          <w:p>
            <w:pPr>
              <w:jc w:val="right"/>
              <w:ind w:right="570"/>
              <w:spacing w:after="0"/>
              <w:rPr>
                <w:sz w:val="20"/>
                <w:szCs w:val="20"/>
                <w:color w:val="auto"/>
              </w:rPr>
            </w:pPr>
            <w:r>
              <w:rPr>
                <w:rFonts w:ascii="Arial" w:cs="Arial" w:eastAsia="Arial" w:hAnsi="Arial"/>
                <w:sz w:val="18"/>
                <w:szCs w:val="18"/>
                <w:color w:val="auto"/>
                <w:w w:val="79"/>
              </w:rPr>
              <w:t>$</w:t>
            </w:r>
          </w:p>
        </w:tc>
        <w:tc>
          <w:tcPr>
            <w:tcW w:w="118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11,528</w:t>
            </w:r>
          </w:p>
        </w:tc>
        <w:tc>
          <w:tcPr>
            <w:tcW w:w="100" w:type="dxa"/>
            <w:vAlign w:val="bottom"/>
            <w:tcBorders>
              <w:bottom w:val="single" w:sz="8" w:color="CFF0FC"/>
            </w:tcBorders>
            <w:shd w:val="clear" w:color="auto" w:fill="CFF0FC"/>
          </w:tcPr>
          <w:p>
            <w:pPr>
              <w:spacing w:after="0"/>
              <w:rPr>
                <w:sz w:val="21"/>
                <w:szCs w:val="2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7068820</wp:posOffset>
            </wp:positionH>
            <wp:positionV relativeFrom="paragraph">
              <wp:posOffset>-24765</wp:posOffset>
            </wp:positionV>
            <wp:extent cx="68580" cy="8255"/>
            <wp:wrapNone/>
            <wp:docPr id="205" name="Picture 2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5"/>
                    <pic:cNvPicPr>
                      <a:picLocks noChangeAspect="1" noChangeArrowheads="1"/>
                    </pic:cNvPicPr>
                  </pic:nvPicPr>
                  <pic:blipFill>
                    <a:blip r:embed="rId212">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-7620</wp:posOffset>
            </wp:positionV>
            <wp:extent cx="68580" cy="8255"/>
            <wp:wrapNone/>
            <wp:docPr id="206" name="Picture 2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6"/>
                    <pic:cNvPicPr>
                      <a:picLocks noChangeAspect="1" noChangeArrowheads="1"/>
                    </pic:cNvPicPr>
                  </pic:nvPicPr>
                  <pic:blipFill>
                    <a:blip r:embed="rId213">
                      <a:extLst>
                        <a:ext uri="{28A0092B-C50C-407E-A947-70E740481C1C}"/>
                      </a:extLst>
                    </a:blip>
                    <a:srcRect/>
                    <a:stretch>
                      <a:fillRect/>
                    </a:stretch>
                  </pic:blipFill>
                  <pic:spPr bwMode="auto">
                    <a:xfrm>
                      <a:off x="0" y="0"/>
                      <a:ext cx="68580" cy="8255"/>
                    </a:xfrm>
                    <a:prstGeom prst="rect">
                      <a:avLst/>
                    </a:prstGeom>
                    <a:noFill/>
                  </pic:spPr>
                </pic:pic>
              </a:graphicData>
            </a:graphic>
          </wp:anchor>
        </w:drawing>
      </w:r>
    </w:p>
    <w:p>
      <w:pPr>
        <w:spacing w:after="0" w:line="181" w:lineRule="exact"/>
        <w:rPr>
          <w:sz w:val="20"/>
          <w:szCs w:val="20"/>
          <w:color w:val="auto"/>
        </w:rPr>
      </w:pPr>
    </w:p>
    <w:p>
      <w:pPr>
        <w:ind w:left="520"/>
        <w:spacing w:after="0"/>
        <w:rPr>
          <w:sz w:val="20"/>
          <w:szCs w:val="20"/>
          <w:color w:val="auto"/>
        </w:rPr>
      </w:pPr>
      <w:r>
        <w:rPr>
          <w:rFonts w:ascii="Arial" w:cs="Arial" w:eastAsia="Arial" w:hAnsi="Arial"/>
          <w:sz w:val="18"/>
          <w:szCs w:val="18"/>
          <w:color w:val="auto"/>
        </w:rPr>
        <w:t>Future minimum payments under non-cancellable operating leases consisted of the following as of December 31, 2021 (in thousands):</w:t>
      </w:r>
    </w:p>
    <w:p>
      <w:pPr>
        <w:spacing w:after="0" w:line="225"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9240" w:type="dxa"/>
            <w:vAlign w:val="bottom"/>
            <w:shd w:val="clear" w:color="auto" w:fill="CFF0FC"/>
          </w:tcPr>
          <w:p>
            <w:pPr>
              <w:ind w:left="20"/>
              <w:spacing w:after="0"/>
              <w:rPr>
                <w:sz w:val="20"/>
                <w:szCs w:val="20"/>
                <w:color w:val="auto"/>
              </w:rPr>
            </w:pPr>
            <w:r>
              <w:rPr>
                <w:rFonts w:ascii="Arial" w:cs="Arial" w:eastAsia="Arial" w:hAnsi="Arial"/>
                <w:sz w:val="18"/>
                <w:szCs w:val="18"/>
                <w:color w:val="auto"/>
              </w:rPr>
              <w:t>Year ending December 31:</w:t>
            </w:r>
          </w:p>
        </w:tc>
        <w:tc>
          <w:tcPr>
            <w:tcW w:w="740" w:type="dxa"/>
            <w:vAlign w:val="bottom"/>
            <w:shd w:val="clear" w:color="auto" w:fill="CFF0FC"/>
          </w:tcPr>
          <w:p>
            <w:pPr>
              <w:spacing w:after="0"/>
              <w:rPr>
                <w:sz w:val="18"/>
                <w:szCs w:val="18"/>
                <w:color w:val="auto"/>
              </w:rPr>
            </w:pPr>
          </w:p>
        </w:tc>
        <w:tc>
          <w:tcPr>
            <w:tcW w:w="116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r>
      <w:tr>
        <w:trPr>
          <w:trHeight w:val="216"/>
        </w:trPr>
        <w:tc>
          <w:tcPr>
            <w:tcW w:w="9240" w:type="dxa"/>
            <w:vAlign w:val="bottom"/>
          </w:tcPr>
          <w:p>
            <w:pPr>
              <w:ind w:left="200"/>
              <w:spacing w:after="0"/>
              <w:rPr>
                <w:sz w:val="20"/>
                <w:szCs w:val="20"/>
                <w:color w:val="auto"/>
              </w:rPr>
            </w:pPr>
            <w:r>
              <w:rPr>
                <w:rFonts w:ascii="Arial" w:cs="Arial" w:eastAsia="Arial" w:hAnsi="Arial"/>
                <w:sz w:val="18"/>
                <w:szCs w:val="18"/>
                <w:color w:val="auto"/>
              </w:rPr>
              <w:t>2022</w:t>
            </w:r>
          </w:p>
        </w:tc>
        <w:tc>
          <w:tcPr>
            <w:tcW w:w="740" w:type="dxa"/>
            <w:vAlign w:val="bottom"/>
          </w:tcPr>
          <w:p>
            <w:pPr>
              <w:jc w:val="right"/>
              <w:ind w:right="550"/>
              <w:spacing w:after="0"/>
              <w:rPr>
                <w:sz w:val="20"/>
                <w:szCs w:val="20"/>
                <w:color w:val="auto"/>
              </w:rPr>
            </w:pPr>
            <w:r>
              <w:rPr>
                <w:rFonts w:ascii="Arial" w:cs="Arial" w:eastAsia="Arial" w:hAnsi="Arial"/>
                <w:sz w:val="18"/>
                <w:szCs w:val="18"/>
                <w:color w:val="auto"/>
                <w:w w:val="79"/>
              </w:rPr>
              <w:t>$</w:t>
            </w:r>
          </w:p>
        </w:tc>
        <w:tc>
          <w:tcPr>
            <w:tcW w:w="1160" w:type="dxa"/>
            <w:vAlign w:val="bottom"/>
          </w:tcPr>
          <w:p>
            <w:pPr>
              <w:jc w:val="right"/>
              <w:spacing w:after="0"/>
              <w:rPr>
                <w:sz w:val="20"/>
                <w:szCs w:val="20"/>
                <w:color w:val="auto"/>
              </w:rPr>
            </w:pPr>
            <w:r>
              <w:rPr>
                <w:rFonts w:ascii="Arial" w:cs="Arial" w:eastAsia="Arial" w:hAnsi="Arial"/>
                <w:sz w:val="18"/>
                <w:szCs w:val="18"/>
                <w:color w:val="auto"/>
              </w:rPr>
              <w:t>2,767</w:t>
            </w:r>
          </w:p>
        </w:tc>
        <w:tc>
          <w:tcPr>
            <w:tcW w:w="100" w:type="dxa"/>
            <w:vAlign w:val="bottom"/>
          </w:tcPr>
          <w:p>
            <w:pPr>
              <w:spacing w:after="0"/>
              <w:rPr>
                <w:sz w:val="18"/>
                <w:szCs w:val="18"/>
                <w:color w:val="auto"/>
              </w:rPr>
            </w:pPr>
          </w:p>
        </w:tc>
      </w:tr>
      <w:tr>
        <w:trPr>
          <w:trHeight w:val="216"/>
        </w:trPr>
        <w:tc>
          <w:tcPr>
            <w:tcW w:w="9240" w:type="dxa"/>
            <w:vAlign w:val="bottom"/>
            <w:shd w:val="clear" w:color="auto" w:fill="CFF0FC"/>
          </w:tcPr>
          <w:p>
            <w:pPr>
              <w:ind w:left="200"/>
              <w:spacing w:after="0"/>
              <w:rPr>
                <w:sz w:val="20"/>
                <w:szCs w:val="20"/>
                <w:color w:val="auto"/>
              </w:rPr>
            </w:pPr>
            <w:r>
              <w:rPr>
                <w:rFonts w:ascii="Arial" w:cs="Arial" w:eastAsia="Arial" w:hAnsi="Arial"/>
                <w:sz w:val="18"/>
                <w:szCs w:val="18"/>
                <w:color w:val="auto"/>
              </w:rPr>
              <w:t>2023</w:t>
            </w:r>
          </w:p>
        </w:tc>
        <w:tc>
          <w:tcPr>
            <w:tcW w:w="740" w:type="dxa"/>
            <w:vAlign w:val="bottom"/>
            <w:shd w:val="clear" w:color="auto" w:fill="CFF0FC"/>
          </w:tcPr>
          <w:p>
            <w:pPr>
              <w:spacing w:after="0"/>
              <w:rPr>
                <w:sz w:val="18"/>
                <w:szCs w:val="18"/>
                <w:color w:val="auto"/>
              </w:rPr>
            </w:pPr>
          </w:p>
        </w:tc>
        <w:tc>
          <w:tcPr>
            <w:tcW w:w="11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3,883</w:t>
            </w:r>
          </w:p>
        </w:tc>
        <w:tc>
          <w:tcPr>
            <w:tcW w:w="100" w:type="dxa"/>
            <w:vAlign w:val="bottom"/>
            <w:shd w:val="clear" w:color="auto" w:fill="CFF0FC"/>
          </w:tcPr>
          <w:p>
            <w:pPr>
              <w:spacing w:after="0"/>
              <w:rPr>
                <w:sz w:val="18"/>
                <w:szCs w:val="18"/>
                <w:color w:val="auto"/>
              </w:rPr>
            </w:pPr>
          </w:p>
        </w:tc>
      </w:tr>
      <w:tr>
        <w:trPr>
          <w:trHeight w:val="216"/>
        </w:trPr>
        <w:tc>
          <w:tcPr>
            <w:tcW w:w="9240" w:type="dxa"/>
            <w:vAlign w:val="bottom"/>
          </w:tcPr>
          <w:p>
            <w:pPr>
              <w:ind w:left="200"/>
              <w:spacing w:after="0"/>
              <w:rPr>
                <w:sz w:val="20"/>
                <w:szCs w:val="20"/>
                <w:color w:val="auto"/>
              </w:rPr>
            </w:pPr>
            <w:r>
              <w:rPr>
                <w:rFonts w:ascii="Arial" w:cs="Arial" w:eastAsia="Arial" w:hAnsi="Arial"/>
                <w:sz w:val="18"/>
                <w:szCs w:val="18"/>
                <w:color w:val="auto"/>
              </w:rPr>
              <w:t>2024</w:t>
            </w:r>
          </w:p>
        </w:tc>
        <w:tc>
          <w:tcPr>
            <w:tcW w:w="740" w:type="dxa"/>
            <w:vAlign w:val="bottom"/>
          </w:tcPr>
          <w:p>
            <w:pPr>
              <w:spacing w:after="0"/>
              <w:rPr>
                <w:sz w:val="18"/>
                <w:szCs w:val="18"/>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3,988</w:t>
            </w:r>
          </w:p>
        </w:tc>
        <w:tc>
          <w:tcPr>
            <w:tcW w:w="100" w:type="dxa"/>
            <w:vAlign w:val="bottom"/>
          </w:tcPr>
          <w:p>
            <w:pPr>
              <w:spacing w:after="0"/>
              <w:rPr>
                <w:sz w:val="18"/>
                <w:szCs w:val="18"/>
                <w:color w:val="auto"/>
              </w:rPr>
            </w:pPr>
          </w:p>
        </w:tc>
      </w:tr>
      <w:tr>
        <w:trPr>
          <w:trHeight w:val="216"/>
        </w:trPr>
        <w:tc>
          <w:tcPr>
            <w:tcW w:w="9240" w:type="dxa"/>
            <w:vAlign w:val="bottom"/>
            <w:shd w:val="clear" w:color="auto" w:fill="CFF0FC"/>
          </w:tcPr>
          <w:p>
            <w:pPr>
              <w:ind w:left="200"/>
              <w:spacing w:after="0"/>
              <w:rPr>
                <w:sz w:val="20"/>
                <w:szCs w:val="20"/>
                <w:color w:val="auto"/>
              </w:rPr>
            </w:pPr>
            <w:r>
              <w:rPr>
                <w:rFonts w:ascii="Arial" w:cs="Arial" w:eastAsia="Arial" w:hAnsi="Arial"/>
                <w:sz w:val="18"/>
                <w:szCs w:val="18"/>
                <w:color w:val="auto"/>
              </w:rPr>
              <w:t>2025</w:t>
            </w:r>
          </w:p>
        </w:tc>
        <w:tc>
          <w:tcPr>
            <w:tcW w:w="740" w:type="dxa"/>
            <w:vAlign w:val="bottom"/>
            <w:shd w:val="clear" w:color="auto" w:fill="CFF0FC"/>
          </w:tcPr>
          <w:p>
            <w:pPr>
              <w:spacing w:after="0"/>
              <w:rPr>
                <w:sz w:val="18"/>
                <w:szCs w:val="18"/>
                <w:color w:val="auto"/>
              </w:rPr>
            </w:pPr>
          </w:p>
        </w:tc>
        <w:tc>
          <w:tcPr>
            <w:tcW w:w="11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3,207</w:t>
            </w:r>
          </w:p>
        </w:tc>
        <w:tc>
          <w:tcPr>
            <w:tcW w:w="100" w:type="dxa"/>
            <w:vAlign w:val="bottom"/>
            <w:shd w:val="clear" w:color="auto" w:fill="CFF0FC"/>
          </w:tcPr>
          <w:p>
            <w:pPr>
              <w:spacing w:after="0"/>
              <w:rPr>
                <w:sz w:val="18"/>
                <w:szCs w:val="18"/>
                <w:color w:val="auto"/>
              </w:rPr>
            </w:pPr>
          </w:p>
        </w:tc>
      </w:tr>
      <w:tr>
        <w:trPr>
          <w:trHeight w:val="216"/>
        </w:trPr>
        <w:tc>
          <w:tcPr>
            <w:tcW w:w="9240" w:type="dxa"/>
            <w:vAlign w:val="bottom"/>
          </w:tcPr>
          <w:p>
            <w:pPr>
              <w:ind w:left="200"/>
              <w:spacing w:after="0"/>
              <w:rPr>
                <w:sz w:val="20"/>
                <w:szCs w:val="20"/>
                <w:color w:val="auto"/>
              </w:rPr>
            </w:pPr>
            <w:r>
              <w:rPr>
                <w:rFonts w:ascii="Arial" w:cs="Arial" w:eastAsia="Arial" w:hAnsi="Arial"/>
                <w:sz w:val="18"/>
                <w:szCs w:val="18"/>
                <w:color w:val="auto"/>
              </w:rPr>
              <w:t>2026 and thereafter</w:t>
            </w:r>
          </w:p>
        </w:tc>
        <w:tc>
          <w:tcPr>
            <w:tcW w:w="740" w:type="dxa"/>
            <w:vAlign w:val="bottom"/>
            <w:tcBorders>
              <w:bottom w:val="single" w:sz="8" w:color="auto"/>
            </w:tcBorders>
          </w:tcPr>
          <w:p>
            <w:pPr>
              <w:spacing w:after="0"/>
              <w:rPr>
                <w:sz w:val="18"/>
                <w:szCs w:val="18"/>
                <w:color w:val="auto"/>
              </w:rPr>
            </w:pPr>
          </w:p>
        </w:tc>
        <w:tc>
          <w:tcPr>
            <w:tcW w:w="11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463</w:t>
            </w:r>
          </w:p>
        </w:tc>
        <w:tc>
          <w:tcPr>
            <w:tcW w:w="100" w:type="dxa"/>
            <w:vAlign w:val="bottom"/>
          </w:tcPr>
          <w:p>
            <w:pPr>
              <w:spacing w:after="0"/>
              <w:rPr>
                <w:sz w:val="18"/>
                <w:szCs w:val="18"/>
                <w:color w:val="auto"/>
              </w:rPr>
            </w:pPr>
          </w:p>
        </w:tc>
      </w:tr>
      <w:tr>
        <w:trPr>
          <w:trHeight w:val="249"/>
        </w:trPr>
        <w:tc>
          <w:tcPr>
            <w:tcW w:w="9240" w:type="dxa"/>
            <w:vAlign w:val="bottom"/>
            <w:tcBorders>
              <w:bottom w:val="single" w:sz="8" w:color="CFF0FC"/>
            </w:tcBorders>
            <w:shd w:val="clear" w:color="auto" w:fill="CFF0FC"/>
          </w:tcPr>
          <w:p>
            <w:pPr>
              <w:ind w:left="380"/>
              <w:spacing w:after="0"/>
              <w:rPr>
                <w:sz w:val="20"/>
                <w:szCs w:val="20"/>
                <w:color w:val="auto"/>
              </w:rPr>
            </w:pPr>
            <w:r>
              <w:rPr>
                <w:rFonts w:ascii="Arial" w:cs="Arial" w:eastAsia="Arial" w:hAnsi="Arial"/>
                <w:sz w:val="18"/>
                <w:szCs w:val="18"/>
                <w:color w:val="auto"/>
              </w:rPr>
              <w:t>Total minimum lease payments</w:t>
            </w:r>
          </w:p>
        </w:tc>
        <w:tc>
          <w:tcPr>
            <w:tcW w:w="740" w:type="dxa"/>
            <w:vAlign w:val="bottom"/>
            <w:tcBorders>
              <w:bottom w:val="single" w:sz="8" w:color="auto"/>
            </w:tcBorders>
            <w:shd w:val="clear" w:color="auto" w:fill="CFF0FC"/>
          </w:tcPr>
          <w:p>
            <w:pPr>
              <w:jc w:val="right"/>
              <w:ind w:right="550"/>
              <w:spacing w:after="0"/>
              <w:rPr>
                <w:sz w:val="20"/>
                <w:szCs w:val="20"/>
                <w:color w:val="auto"/>
              </w:rPr>
            </w:pPr>
            <w:r>
              <w:rPr>
                <w:rFonts w:ascii="Arial" w:cs="Arial" w:eastAsia="Arial" w:hAnsi="Arial"/>
                <w:sz w:val="18"/>
                <w:szCs w:val="18"/>
                <w:color w:val="auto"/>
                <w:w w:val="79"/>
              </w:rPr>
              <w:t>$</w:t>
            </w:r>
          </w:p>
        </w:tc>
        <w:tc>
          <w:tcPr>
            <w:tcW w:w="11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14,308</w:t>
            </w:r>
          </w:p>
        </w:tc>
        <w:tc>
          <w:tcPr>
            <w:tcW w:w="100" w:type="dxa"/>
            <w:vAlign w:val="bottom"/>
            <w:tcBorders>
              <w:bottom w:val="single" w:sz="8" w:color="CFF0FC"/>
            </w:tcBorders>
            <w:shd w:val="clear" w:color="auto" w:fill="CFF0FC"/>
          </w:tcPr>
          <w:p>
            <w:pPr>
              <w:spacing w:after="0"/>
              <w:rPr>
                <w:sz w:val="21"/>
                <w:szCs w:val="2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7068820</wp:posOffset>
            </wp:positionH>
            <wp:positionV relativeFrom="paragraph">
              <wp:posOffset>-24765</wp:posOffset>
            </wp:positionV>
            <wp:extent cx="68580" cy="8255"/>
            <wp:wrapNone/>
            <wp:docPr id="207" name="Picture 2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7"/>
                    <pic:cNvPicPr>
                      <a:picLocks noChangeAspect="1" noChangeArrowheads="1"/>
                    </pic:cNvPicPr>
                  </pic:nvPicPr>
                  <pic:blipFill>
                    <a:blip r:embed="rId214">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-7620</wp:posOffset>
            </wp:positionV>
            <wp:extent cx="68580" cy="8255"/>
            <wp:wrapNone/>
            <wp:docPr id="208" name="Picture 2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8"/>
                    <pic:cNvPicPr>
                      <a:picLocks noChangeAspect="1" noChangeArrowheads="1"/>
                    </pic:cNvPicPr>
                  </pic:nvPicPr>
                  <pic:blipFill>
                    <a:blip r:embed="rId215">
                      <a:extLst>
                        <a:ext uri="{28A0092B-C50C-407E-A947-70E740481C1C}"/>
                      </a:extLst>
                    </a:blip>
                    <a:srcRect/>
                    <a:stretch>
                      <a:fillRect/>
                    </a:stretch>
                  </pic:blipFill>
                  <pic:spPr bwMode="auto">
                    <a:xfrm>
                      <a:off x="0" y="0"/>
                      <a:ext cx="68580" cy="8255"/>
                    </a:xfrm>
                    <a:prstGeom prst="rect">
                      <a:avLst/>
                    </a:prstGeom>
                    <a:noFill/>
                  </pic:spPr>
                </pic:pic>
              </a:graphicData>
            </a:graphic>
          </wp:anchor>
        </w:drawing>
      </w:r>
    </w:p>
    <w:p>
      <w:pPr>
        <w:spacing w:after="0" w:line="181" w:lineRule="exact"/>
        <w:rPr>
          <w:sz w:val="20"/>
          <w:szCs w:val="20"/>
          <w:color w:val="auto"/>
        </w:rPr>
      </w:pPr>
    </w:p>
    <w:p>
      <w:pPr>
        <w:ind w:left="520"/>
        <w:spacing w:after="0"/>
        <w:rPr>
          <w:sz w:val="20"/>
          <w:szCs w:val="20"/>
          <w:color w:val="auto"/>
        </w:rPr>
      </w:pPr>
      <w:r>
        <w:rPr>
          <w:rFonts w:ascii="Arial" w:cs="Arial" w:eastAsia="Arial" w:hAnsi="Arial"/>
          <w:sz w:val="18"/>
          <w:szCs w:val="18"/>
          <w:color w:val="auto"/>
        </w:rPr>
        <w:t>For the three and nine months ended September 30, 2021, rent expense was $0.9 million and $3.0 million, respectively.</w:t>
      </w:r>
    </w:p>
    <w:p>
      <w:pPr>
        <w:spacing w:after="0" w:line="315" w:lineRule="exact"/>
        <w:rPr>
          <w:sz w:val="20"/>
          <w:szCs w:val="20"/>
          <w:color w:val="auto"/>
        </w:rPr>
      </w:pPr>
    </w:p>
    <w:p>
      <w:pPr>
        <w:ind w:right="8180" w:firstLine="8"/>
        <w:spacing w:after="0" w:line="361" w:lineRule="auto"/>
        <w:tabs>
          <w:tab w:leader="none" w:pos="510" w:val="left"/>
        </w:tabs>
        <w:numPr>
          <w:ilvl w:val="0"/>
          <w:numId w:val="22"/>
        </w:numPr>
        <w:rPr>
          <w:rFonts w:ascii="Arial" w:cs="Arial" w:eastAsia="Arial" w:hAnsi="Arial"/>
          <w:sz w:val="18"/>
          <w:szCs w:val="18"/>
          <w:b w:val="1"/>
          <w:bCs w:val="1"/>
          <w:color w:val="auto"/>
        </w:rPr>
      </w:pPr>
      <w:r>
        <w:rPr>
          <w:rFonts w:ascii="Arial" w:cs="Arial" w:eastAsia="Arial" w:hAnsi="Arial"/>
          <w:sz w:val="18"/>
          <w:szCs w:val="18"/>
          <w:b w:val="1"/>
          <w:bCs w:val="1"/>
          <w:color w:val="auto"/>
        </w:rPr>
        <w:t xml:space="preserve">Commitments and Contingencies </w:t>
      </w:r>
      <w:r>
        <w:rPr>
          <w:rFonts w:ascii="Arial" w:cs="Arial" w:eastAsia="Arial" w:hAnsi="Arial"/>
          <w:sz w:val="18"/>
          <w:szCs w:val="18"/>
          <w:b w:val="1"/>
          <w:bCs w:val="1"/>
          <w:i w:val="1"/>
          <w:iCs w:val="1"/>
          <w:color w:val="auto"/>
        </w:rPr>
        <w:t>Legal Matters</w:t>
      </w:r>
    </w:p>
    <w:p>
      <w:pPr>
        <w:spacing w:after="0" w:line="2" w:lineRule="exact"/>
        <w:rPr>
          <w:sz w:val="20"/>
          <w:szCs w:val="20"/>
          <w:color w:val="auto"/>
        </w:rPr>
      </w:pPr>
    </w:p>
    <w:p>
      <w:pPr>
        <w:ind w:right="220" w:firstLine="509"/>
        <w:spacing w:after="0" w:line="244" w:lineRule="auto"/>
        <w:rPr>
          <w:sz w:val="20"/>
          <w:szCs w:val="20"/>
          <w:color w:val="auto"/>
        </w:rPr>
      </w:pPr>
      <w:r>
        <w:rPr>
          <w:rFonts w:ascii="Arial" w:cs="Arial" w:eastAsia="Arial" w:hAnsi="Arial"/>
          <w:sz w:val="18"/>
          <w:szCs w:val="18"/>
          <w:color w:val="auto"/>
        </w:rPr>
        <w:t>The Company is involved in various legal and regulatory matters arising from the normal course of business activities. The Company records litigation accruals for legal matters, which are both probable and estimable. For legal proceedings for which there is a reasonable possibility of loss (meaning those losses for which the likelihood is more than remote but less than probable), the Company has determined that it does not have material exposure, or it is unable to develop a range of reasonably possible losses. Although no assurance may be given, the Company believes that it is not presently a party to any litigation of which the outcome, if determined adversely, would individually or in the aggregate be reasonably expected to have a material and adverse effect on the business, operating results, cash flows, or financial position. Legal fees are expensed in the period in which they are incurred.</w:t>
      </w:r>
    </w:p>
    <w:p>
      <w:pPr>
        <w:spacing w:after="0" w:line="289" w:lineRule="exact"/>
        <w:rPr>
          <w:sz w:val="20"/>
          <w:szCs w:val="20"/>
          <w:color w:val="auto"/>
        </w:rPr>
      </w:pPr>
    </w:p>
    <w:p>
      <w:pPr>
        <w:ind w:left="520" w:hanging="512"/>
        <w:spacing w:after="0"/>
        <w:tabs>
          <w:tab w:leader="none" w:pos="520" w:val="left"/>
        </w:tabs>
        <w:numPr>
          <w:ilvl w:val="0"/>
          <w:numId w:val="23"/>
        </w:numPr>
        <w:rPr>
          <w:rFonts w:ascii="Arial" w:cs="Arial" w:eastAsia="Arial" w:hAnsi="Arial"/>
          <w:sz w:val="18"/>
          <w:szCs w:val="18"/>
          <w:b w:val="1"/>
          <w:bCs w:val="1"/>
          <w:color w:val="auto"/>
        </w:rPr>
      </w:pPr>
      <w:r>
        <w:rPr>
          <w:rFonts w:ascii="Arial" w:cs="Arial" w:eastAsia="Arial" w:hAnsi="Arial"/>
          <w:sz w:val="18"/>
          <w:szCs w:val="18"/>
          <w:b w:val="1"/>
          <w:bCs w:val="1"/>
          <w:color w:val="auto"/>
        </w:rPr>
        <w:t>Net Loss Per Share</w:t>
      </w:r>
    </w:p>
    <w:p>
      <w:pPr>
        <w:spacing w:after="0" w:line="121" w:lineRule="exact"/>
        <w:rPr>
          <w:sz w:val="20"/>
          <w:szCs w:val="20"/>
          <w:color w:val="auto"/>
        </w:rPr>
      </w:pPr>
    </w:p>
    <w:p>
      <w:pPr>
        <w:ind w:right="20" w:firstLine="509"/>
        <w:spacing w:after="0" w:line="243" w:lineRule="auto"/>
        <w:rPr>
          <w:sz w:val="20"/>
          <w:szCs w:val="20"/>
          <w:color w:val="auto"/>
        </w:rPr>
      </w:pPr>
      <w:r>
        <w:rPr>
          <w:rFonts w:ascii="Arial" w:cs="Arial" w:eastAsia="Arial" w:hAnsi="Arial"/>
          <w:sz w:val="18"/>
          <w:szCs w:val="18"/>
          <w:color w:val="auto"/>
        </w:rPr>
        <w:t>Basic net loss per share attributable to the Company’s common stockholders is computed in conformity with the two-class method required for participating securities. Prior to the automatic conversion of all of its redeemable convertible preferred stock outstanding into Class B common stock concurrent with the Direct Listing, the Company considered all series of its redeemable convertible preferred stock to be participating securities as holders of such stock had the right to receive nonforfeitable dividends on a ratable basis in the event that a dividend was paid on common stock. Under the two-class method, the net loss attributable to common stockholders was not allocated to the redeemable convertible preferred stock as the preferred stockholders did not have a contractual obligation to share in the Company's losses.</w:t>
      </w:r>
    </w:p>
    <w:p>
      <w:pPr>
        <w:spacing w:after="0" w:line="199" w:lineRule="exact"/>
        <w:rPr>
          <w:sz w:val="20"/>
          <w:szCs w:val="20"/>
          <w:color w:val="auto"/>
        </w:rPr>
      </w:pPr>
    </w:p>
    <w:p>
      <w:pPr>
        <w:ind w:right="80" w:firstLine="509"/>
        <w:spacing w:after="0" w:line="269" w:lineRule="auto"/>
        <w:rPr>
          <w:sz w:val="20"/>
          <w:szCs w:val="20"/>
          <w:color w:val="auto"/>
        </w:rPr>
      </w:pPr>
      <w:r>
        <w:rPr>
          <w:rFonts w:ascii="Arial" w:cs="Arial" w:eastAsia="Arial" w:hAnsi="Arial"/>
          <w:sz w:val="17"/>
          <w:szCs w:val="17"/>
          <w:color w:val="auto"/>
        </w:rPr>
        <w:t>Basic net loss per share is computed by dividing the net loss attributable to the Company’s common stockholders by the weighted-average number of shares of common stock outstanding during the period. Diluted net loss per share is the same as basic net loss per share for all periods presented because the effects of potentially dilutive items were anti-dilutive given the Company’s net loss position in each period presented.</w:t>
      </w:r>
    </w:p>
    <w:p>
      <w:pPr>
        <w:spacing w:after="0" w:line="165" w:lineRule="exact"/>
        <w:rPr>
          <w:sz w:val="20"/>
          <w:szCs w:val="20"/>
          <w:color w:val="auto"/>
        </w:rPr>
      </w:pPr>
    </w:p>
    <w:p>
      <w:pPr>
        <w:ind w:right="120" w:firstLine="509"/>
        <w:spacing w:after="0" w:line="248" w:lineRule="auto"/>
        <w:rPr>
          <w:sz w:val="20"/>
          <w:szCs w:val="20"/>
          <w:color w:val="auto"/>
        </w:rPr>
      </w:pPr>
      <w:r>
        <w:rPr>
          <w:rFonts w:ascii="Arial" w:cs="Arial" w:eastAsia="Arial" w:hAnsi="Arial"/>
          <w:sz w:val="18"/>
          <w:szCs w:val="18"/>
          <w:color w:val="auto"/>
        </w:rPr>
        <w:t>The rights, including the liquidation and dividend rights, of the holders of Class A and Class B common stock are identical, except with respect to voting, conversion, and transfer rights. As the liquidation and dividend rights are identical, all undistributed earnings are allocated on a proportionate basis to each class of common stock and the resulting basic and diluted net loss per share attributable to common stockholders are, therefore, the same for both Class A and Class B common stock on both an individual and a combined basis.</w:t>
      </w:r>
    </w:p>
    <w:p>
      <w:pPr>
        <w:spacing w:after="0" w:line="8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61595</wp:posOffset>
            </wp:positionV>
            <wp:extent cx="7157720" cy="42545"/>
            <wp:wrapNone/>
            <wp:docPr id="209" name="Picture 2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9"/>
                    <pic:cNvPicPr>
                      <a:picLocks noChangeAspect="1" noChangeArrowheads="1"/>
                    </pic:cNvPicPr>
                  </pic:nvPicPr>
                  <pic:blipFill>
                    <a:blip r:embed="rId21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543" w:right="339" w:bottom="1440" w:gutter="0" w:footer="0" w:header="0"/>
        </w:sectPr>
      </w:pPr>
    </w:p>
    <w:bookmarkStart w:id="23" w:name="page24"/>
    <w:bookmarkEnd w:id="23"/>
    <w:p>
      <w:pPr>
        <w:ind w:left="520"/>
        <w:spacing w:after="0"/>
        <w:rPr>
          <w:sz w:val="20"/>
          <w:szCs w:val="20"/>
          <w:color w:val="auto"/>
        </w:rPr>
      </w:pPr>
      <w:r>
        <w:rPr>
          <w:rFonts w:ascii="Arial" w:cs="Arial" w:eastAsia="Arial" w:hAnsi="Arial"/>
          <w:sz w:val="18"/>
          <w:szCs w:val="18"/>
          <w:color w:val="auto"/>
        </w:rPr>
        <w:t>The following table presents the calculation of basic and diluted net loss per share (in thousands, except per share data):</w:t>
      </w:r>
    </w:p>
    <w:p>
      <w:pPr>
        <w:spacing w:after="0" w:line="189"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576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2480" w:type="dxa"/>
            <w:vAlign w:val="bottom"/>
            <w:gridSpan w:val="5"/>
          </w:tcPr>
          <w:p>
            <w:pPr>
              <w:jc w:val="right"/>
              <w:ind w:right="660"/>
              <w:spacing w:after="0"/>
              <w:rPr>
                <w:sz w:val="20"/>
                <w:szCs w:val="20"/>
                <w:color w:val="auto"/>
              </w:rPr>
            </w:pPr>
            <w:r>
              <w:rPr>
                <w:rFonts w:ascii="Arial" w:cs="Arial" w:eastAsia="Arial" w:hAnsi="Arial"/>
                <w:sz w:val="18"/>
                <w:szCs w:val="18"/>
                <w:b w:val="1"/>
                <w:bCs w:val="1"/>
                <w:color w:val="auto"/>
              </w:rPr>
              <w:t>Three Months Ended</w:t>
            </w:r>
          </w:p>
        </w:tc>
        <w:tc>
          <w:tcPr>
            <w:tcW w:w="260" w:type="dxa"/>
            <w:vAlign w:val="bottom"/>
          </w:tcPr>
          <w:p>
            <w:pPr>
              <w:spacing w:after="0"/>
              <w:rPr>
                <w:sz w:val="17"/>
                <w:szCs w:val="17"/>
                <w:color w:val="auto"/>
              </w:rPr>
            </w:pPr>
          </w:p>
        </w:tc>
        <w:tc>
          <w:tcPr>
            <w:tcW w:w="2500" w:type="dxa"/>
            <w:vAlign w:val="bottom"/>
            <w:gridSpan w:val="5"/>
          </w:tcPr>
          <w:p>
            <w:pPr>
              <w:jc w:val="right"/>
              <w:ind w:right="660"/>
              <w:spacing w:after="0"/>
              <w:rPr>
                <w:sz w:val="20"/>
                <w:szCs w:val="20"/>
                <w:color w:val="auto"/>
              </w:rPr>
            </w:pPr>
            <w:r>
              <w:rPr>
                <w:rFonts w:ascii="Arial" w:cs="Arial" w:eastAsia="Arial" w:hAnsi="Arial"/>
                <w:sz w:val="18"/>
                <w:szCs w:val="18"/>
                <w:b w:val="1"/>
                <w:bCs w:val="1"/>
                <w:color w:val="auto"/>
              </w:rPr>
              <w:t>Nine Months Ended</w:t>
            </w:r>
          </w:p>
        </w:tc>
        <w:tc>
          <w:tcPr>
            <w:tcW w:w="0" w:type="dxa"/>
            <w:vAlign w:val="bottom"/>
          </w:tcPr>
          <w:p>
            <w:pPr>
              <w:spacing w:after="0"/>
              <w:rPr>
                <w:sz w:val="1"/>
                <w:szCs w:val="1"/>
                <w:color w:val="auto"/>
              </w:rPr>
            </w:pPr>
          </w:p>
        </w:tc>
      </w:tr>
      <w:tr>
        <w:trPr>
          <w:trHeight w:val="216"/>
        </w:trPr>
        <w:tc>
          <w:tcPr>
            <w:tcW w:w="57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480" w:type="dxa"/>
            <w:vAlign w:val="bottom"/>
            <w:gridSpan w:val="5"/>
          </w:tcPr>
          <w:p>
            <w:pPr>
              <w:jc w:val="right"/>
              <w:ind w:right="940"/>
              <w:spacing w:after="0"/>
              <w:rPr>
                <w:sz w:val="20"/>
                <w:szCs w:val="20"/>
                <w:color w:val="auto"/>
              </w:rPr>
            </w:pPr>
            <w:r>
              <w:rPr>
                <w:rFonts w:ascii="Arial" w:cs="Arial" w:eastAsia="Arial" w:hAnsi="Arial"/>
                <w:sz w:val="18"/>
                <w:szCs w:val="18"/>
                <w:b w:val="1"/>
                <w:bCs w:val="1"/>
                <w:color w:val="auto"/>
              </w:rPr>
              <w:t>September 30,</w:t>
            </w:r>
          </w:p>
        </w:tc>
        <w:tc>
          <w:tcPr>
            <w:tcW w:w="260" w:type="dxa"/>
            <w:vAlign w:val="bottom"/>
          </w:tcPr>
          <w:p>
            <w:pPr>
              <w:spacing w:after="0"/>
              <w:rPr>
                <w:sz w:val="18"/>
                <w:szCs w:val="18"/>
                <w:color w:val="auto"/>
              </w:rPr>
            </w:pPr>
          </w:p>
        </w:tc>
        <w:tc>
          <w:tcPr>
            <w:tcW w:w="2500" w:type="dxa"/>
            <w:vAlign w:val="bottom"/>
            <w:gridSpan w:val="5"/>
          </w:tcPr>
          <w:p>
            <w:pPr>
              <w:jc w:val="right"/>
              <w:ind w:right="880"/>
              <w:spacing w:after="0"/>
              <w:rPr>
                <w:sz w:val="20"/>
                <w:szCs w:val="20"/>
                <w:color w:val="auto"/>
              </w:rPr>
            </w:pPr>
            <w:r>
              <w:rPr>
                <w:rFonts w:ascii="Arial" w:cs="Arial" w:eastAsia="Arial" w:hAnsi="Arial"/>
                <w:sz w:val="18"/>
                <w:szCs w:val="18"/>
                <w:b w:val="1"/>
                <w:bCs w:val="1"/>
                <w:color w:val="auto"/>
              </w:rPr>
              <w:t>September 30,</w:t>
            </w:r>
          </w:p>
        </w:tc>
        <w:tc>
          <w:tcPr>
            <w:tcW w:w="0" w:type="dxa"/>
            <w:vAlign w:val="bottom"/>
          </w:tcPr>
          <w:p>
            <w:pPr>
              <w:spacing w:after="0"/>
              <w:rPr>
                <w:sz w:val="1"/>
                <w:szCs w:val="1"/>
                <w:color w:val="auto"/>
              </w:rPr>
            </w:pPr>
          </w:p>
        </w:tc>
      </w:tr>
      <w:tr>
        <w:trPr>
          <w:trHeight w:val="234"/>
        </w:trPr>
        <w:tc>
          <w:tcPr>
            <w:tcW w:w="5760" w:type="dxa"/>
            <w:vAlign w:val="bottom"/>
          </w:tcPr>
          <w:p>
            <w:pPr>
              <w:spacing w:after="0"/>
              <w:rPr>
                <w:sz w:val="20"/>
                <w:szCs w:val="20"/>
                <w:color w:val="auto"/>
              </w:rPr>
            </w:pPr>
          </w:p>
        </w:tc>
        <w:tc>
          <w:tcPr>
            <w:tcW w:w="240" w:type="dxa"/>
            <w:vAlign w:val="bottom"/>
            <w:tcBorders>
              <w:bottom w:val="single" w:sz="8" w:color="auto"/>
            </w:tcBorders>
          </w:tcPr>
          <w:p>
            <w:pPr>
              <w:spacing w:after="0"/>
              <w:rPr>
                <w:sz w:val="20"/>
                <w:szCs w:val="20"/>
                <w:color w:val="auto"/>
              </w:rPr>
            </w:pPr>
          </w:p>
        </w:tc>
        <w:tc>
          <w:tcPr>
            <w:tcW w:w="880" w:type="dxa"/>
            <w:vAlign w:val="bottom"/>
            <w:tcBorders>
              <w:bottom w:val="single" w:sz="8" w:color="auto"/>
            </w:tcBorders>
          </w:tcPr>
          <w:p>
            <w:pPr>
              <w:jc w:val="right"/>
              <w:ind w:right="290"/>
              <w:spacing w:after="0"/>
              <w:rPr>
                <w:sz w:val="20"/>
                <w:szCs w:val="20"/>
                <w:color w:val="auto"/>
              </w:rPr>
            </w:pPr>
            <w:r>
              <w:rPr>
                <w:rFonts w:ascii="Arial" w:cs="Arial" w:eastAsia="Arial" w:hAnsi="Arial"/>
                <w:sz w:val="18"/>
                <w:szCs w:val="18"/>
                <w:b w:val="1"/>
                <w:bCs w:val="1"/>
                <w:color w:val="auto"/>
              </w:rPr>
              <w:t>2022</w:t>
            </w:r>
          </w:p>
        </w:tc>
        <w:tc>
          <w:tcPr>
            <w:tcW w:w="260" w:type="dxa"/>
            <w:vAlign w:val="bottom"/>
          </w:tcPr>
          <w:p>
            <w:pPr>
              <w:spacing w:after="0"/>
              <w:rPr>
                <w:sz w:val="20"/>
                <w:szCs w:val="20"/>
                <w:color w:val="auto"/>
              </w:rPr>
            </w:pPr>
          </w:p>
        </w:tc>
        <w:tc>
          <w:tcPr>
            <w:tcW w:w="240" w:type="dxa"/>
            <w:vAlign w:val="bottom"/>
            <w:tcBorders>
              <w:bottom w:val="single" w:sz="8" w:color="auto"/>
            </w:tcBorders>
          </w:tcPr>
          <w:p>
            <w:pPr>
              <w:spacing w:after="0"/>
              <w:rPr>
                <w:sz w:val="20"/>
                <w:szCs w:val="20"/>
                <w:color w:val="auto"/>
              </w:rPr>
            </w:pPr>
          </w:p>
        </w:tc>
        <w:tc>
          <w:tcPr>
            <w:tcW w:w="860" w:type="dxa"/>
            <w:vAlign w:val="bottom"/>
            <w:tcBorders>
              <w:bottom w:val="single" w:sz="8" w:color="auto"/>
            </w:tcBorders>
          </w:tcPr>
          <w:p>
            <w:pPr>
              <w:jc w:val="right"/>
              <w:ind w:right="270"/>
              <w:spacing w:after="0"/>
              <w:rPr>
                <w:sz w:val="20"/>
                <w:szCs w:val="20"/>
                <w:color w:val="auto"/>
              </w:rPr>
            </w:pPr>
            <w:r>
              <w:rPr>
                <w:rFonts w:ascii="Arial" w:cs="Arial" w:eastAsia="Arial" w:hAnsi="Arial"/>
                <w:sz w:val="18"/>
                <w:szCs w:val="18"/>
                <w:b w:val="1"/>
                <w:bCs w:val="1"/>
                <w:color w:val="auto"/>
              </w:rPr>
              <w:t>2021</w:t>
            </w:r>
          </w:p>
        </w:tc>
        <w:tc>
          <w:tcPr>
            <w:tcW w:w="240" w:type="dxa"/>
            <w:vAlign w:val="bottom"/>
          </w:tcPr>
          <w:p>
            <w:pPr>
              <w:spacing w:after="0"/>
              <w:rPr>
                <w:sz w:val="20"/>
                <w:szCs w:val="20"/>
                <w:color w:val="auto"/>
              </w:rPr>
            </w:pPr>
          </w:p>
        </w:tc>
        <w:tc>
          <w:tcPr>
            <w:tcW w:w="260" w:type="dxa"/>
            <w:vAlign w:val="bottom"/>
            <w:tcBorders>
              <w:bottom w:val="single" w:sz="8" w:color="auto"/>
            </w:tcBorders>
          </w:tcPr>
          <w:p>
            <w:pPr>
              <w:spacing w:after="0"/>
              <w:rPr>
                <w:sz w:val="20"/>
                <w:szCs w:val="20"/>
                <w:color w:val="auto"/>
              </w:rPr>
            </w:pPr>
          </w:p>
        </w:tc>
        <w:tc>
          <w:tcPr>
            <w:tcW w:w="940" w:type="dxa"/>
            <w:vAlign w:val="bottom"/>
            <w:tcBorders>
              <w:bottom w:val="single" w:sz="8" w:color="auto"/>
            </w:tcBorders>
          </w:tcPr>
          <w:p>
            <w:pPr>
              <w:jc w:val="right"/>
              <w:ind w:right="330"/>
              <w:spacing w:after="0"/>
              <w:rPr>
                <w:sz w:val="20"/>
                <w:szCs w:val="20"/>
                <w:color w:val="auto"/>
              </w:rPr>
            </w:pPr>
            <w:r>
              <w:rPr>
                <w:rFonts w:ascii="Arial" w:cs="Arial" w:eastAsia="Arial" w:hAnsi="Arial"/>
                <w:sz w:val="18"/>
                <w:szCs w:val="18"/>
                <w:b w:val="1"/>
                <w:bCs w:val="1"/>
                <w:color w:val="auto"/>
              </w:rPr>
              <w:t>2022</w:t>
            </w:r>
          </w:p>
        </w:tc>
        <w:tc>
          <w:tcPr>
            <w:tcW w:w="220" w:type="dxa"/>
            <w:vAlign w:val="bottom"/>
          </w:tcPr>
          <w:p>
            <w:pPr>
              <w:spacing w:after="0"/>
              <w:rPr>
                <w:sz w:val="20"/>
                <w:szCs w:val="20"/>
                <w:color w:val="auto"/>
              </w:rPr>
            </w:pPr>
          </w:p>
        </w:tc>
        <w:tc>
          <w:tcPr>
            <w:tcW w:w="280" w:type="dxa"/>
            <w:vAlign w:val="bottom"/>
            <w:tcBorders>
              <w:bottom w:val="single" w:sz="8" w:color="auto"/>
            </w:tcBorders>
          </w:tcPr>
          <w:p>
            <w:pPr>
              <w:spacing w:after="0"/>
              <w:rPr>
                <w:sz w:val="20"/>
                <w:szCs w:val="20"/>
                <w:color w:val="auto"/>
              </w:rPr>
            </w:pPr>
          </w:p>
        </w:tc>
        <w:tc>
          <w:tcPr>
            <w:tcW w:w="960" w:type="dxa"/>
            <w:vAlign w:val="bottom"/>
            <w:tcBorders>
              <w:bottom w:val="single" w:sz="8" w:color="auto"/>
            </w:tcBorders>
          </w:tcPr>
          <w:p>
            <w:pPr>
              <w:jc w:val="right"/>
              <w:ind w:right="350"/>
              <w:spacing w:after="0"/>
              <w:rPr>
                <w:sz w:val="20"/>
                <w:szCs w:val="20"/>
                <w:color w:val="auto"/>
              </w:rPr>
            </w:pPr>
            <w:r>
              <w:rPr>
                <w:rFonts w:ascii="Arial" w:cs="Arial" w:eastAsia="Arial" w:hAnsi="Arial"/>
                <w:sz w:val="18"/>
                <w:szCs w:val="18"/>
                <w:b w:val="1"/>
                <w:bCs w:val="1"/>
                <w:color w:val="auto"/>
              </w:rPr>
              <w:t>2021</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09"/>
        </w:trPr>
        <w:tc>
          <w:tcPr>
            <w:tcW w:w="57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140" w:type="dxa"/>
            <w:vAlign w:val="bottom"/>
            <w:gridSpan w:val="2"/>
          </w:tcPr>
          <w:p>
            <w:pPr>
              <w:spacing w:after="0"/>
              <w:rPr>
                <w:sz w:val="18"/>
                <w:szCs w:val="18"/>
                <w:color w:val="auto"/>
              </w:rPr>
            </w:pPr>
          </w:p>
        </w:tc>
        <w:tc>
          <w:tcPr>
            <w:tcW w:w="240" w:type="dxa"/>
            <w:vAlign w:val="bottom"/>
          </w:tcPr>
          <w:p>
            <w:pPr>
              <w:spacing w:after="0"/>
              <w:rPr>
                <w:sz w:val="18"/>
                <w:szCs w:val="18"/>
                <w:color w:val="auto"/>
              </w:rPr>
            </w:pPr>
          </w:p>
        </w:tc>
        <w:tc>
          <w:tcPr>
            <w:tcW w:w="1100" w:type="dxa"/>
            <w:vAlign w:val="bottom"/>
            <w:gridSpan w:val="2"/>
          </w:tcPr>
          <w:p>
            <w:pPr>
              <w:spacing w:after="0"/>
              <w:rPr>
                <w:sz w:val="18"/>
                <w:szCs w:val="18"/>
                <w:color w:val="auto"/>
              </w:rPr>
            </w:pPr>
          </w:p>
        </w:tc>
        <w:tc>
          <w:tcPr>
            <w:tcW w:w="260" w:type="dxa"/>
            <w:vAlign w:val="bottom"/>
          </w:tcPr>
          <w:p>
            <w:pPr>
              <w:spacing w:after="0"/>
              <w:rPr>
                <w:sz w:val="18"/>
                <w:szCs w:val="18"/>
                <w:color w:val="auto"/>
              </w:rPr>
            </w:pPr>
          </w:p>
        </w:tc>
        <w:tc>
          <w:tcPr>
            <w:tcW w:w="1160" w:type="dxa"/>
            <w:vAlign w:val="bottom"/>
            <w:gridSpan w:val="2"/>
          </w:tcPr>
          <w:p>
            <w:pPr>
              <w:spacing w:after="0"/>
              <w:rPr>
                <w:sz w:val="18"/>
                <w:szCs w:val="18"/>
                <w:color w:val="auto"/>
              </w:rPr>
            </w:pPr>
          </w:p>
        </w:tc>
        <w:tc>
          <w:tcPr>
            <w:tcW w:w="280" w:type="dxa"/>
            <w:vAlign w:val="bottom"/>
          </w:tcPr>
          <w:p>
            <w:pPr>
              <w:spacing w:after="0"/>
              <w:rPr>
                <w:sz w:val="18"/>
                <w:szCs w:val="18"/>
                <w:color w:val="auto"/>
              </w:rPr>
            </w:pPr>
          </w:p>
        </w:tc>
        <w:tc>
          <w:tcPr>
            <w:tcW w:w="1060" w:type="dxa"/>
            <w:vAlign w:val="bottom"/>
            <w:gridSpan w:val="2"/>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760" w:type="dxa"/>
            <w:vAlign w:val="bottom"/>
            <w:shd w:val="clear" w:color="auto" w:fill="CFF0FC"/>
          </w:tcPr>
          <w:p>
            <w:pPr>
              <w:ind w:left="20"/>
              <w:spacing w:after="0"/>
              <w:rPr>
                <w:sz w:val="20"/>
                <w:szCs w:val="20"/>
                <w:color w:val="auto"/>
              </w:rPr>
            </w:pPr>
            <w:r>
              <w:rPr>
                <w:rFonts w:ascii="Arial" w:cs="Arial" w:eastAsia="Arial" w:hAnsi="Arial"/>
                <w:sz w:val="18"/>
                <w:szCs w:val="18"/>
                <w:color w:val="auto"/>
              </w:rPr>
              <w:t>Net loss attributable to Class A and Class B common stockholders</w:t>
            </w:r>
          </w:p>
        </w:tc>
        <w:tc>
          <w:tcPr>
            <w:tcW w:w="240" w:type="dxa"/>
            <w:vAlign w:val="bottom"/>
            <w:shd w:val="clear" w:color="auto" w:fill="CFF0FC"/>
          </w:tcPr>
          <w:p>
            <w:pPr>
              <w:jc w:val="right"/>
              <w:ind w:right="50"/>
              <w:spacing w:after="0"/>
              <w:rPr>
                <w:sz w:val="20"/>
                <w:szCs w:val="20"/>
                <w:color w:val="auto"/>
              </w:rPr>
            </w:pPr>
            <w:r>
              <w:rPr>
                <w:rFonts w:ascii="Arial" w:cs="Arial" w:eastAsia="Arial" w:hAnsi="Arial"/>
                <w:sz w:val="18"/>
                <w:szCs w:val="18"/>
                <w:color w:val="auto"/>
                <w:w w:val="79"/>
              </w:rPr>
              <w:t>$</w:t>
            </w:r>
          </w:p>
        </w:tc>
        <w:tc>
          <w:tcPr>
            <w:tcW w:w="1140" w:type="dxa"/>
            <w:vAlign w:val="bottom"/>
            <w:gridSpan w:val="2"/>
            <w:shd w:val="clear" w:color="auto" w:fill="CFF0FC"/>
          </w:tcPr>
          <w:p>
            <w:pPr>
              <w:jc w:val="right"/>
              <w:ind w:right="200"/>
              <w:spacing w:after="0"/>
              <w:rPr>
                <w:sz w:val="20"/>
                <w:szCs w:val="20"/>
                <w:color w:val="auto"/>
              </w:rPr>
            </w:pPr>
            <w:r>
              <w:rPr>
                <w:rFonts w:ascii="Arial" w:cs="Arial" w:eastAsia="Arial" w:hAnsi="Arial"/>
                <w:sz w:val="18"/>
                <w:szCs w:val="18"/>
                <w:color w:val="auto"/>
              </w:rPr>
              <w:t>(22,544 )</w:t>
            </w:r>
          </w:p>
        </w:tc>
        <w:tc>
          <w:tcPr>
            <w:tcW w:w="240" w:type="dxa"/>
            <w:vAlign w:val="bottom"/>
            <w:shd w:val="clear" w:color="auto" w:fill="CFF0FC"/>
          </w:tcPr>
          <w:p>
            <w:pPr>
              <w:jc w:val="right"/>
              <w:ind w:right="50"/>
              <w:spacing w:after="0"/>
              <w:rPr>
                <w:sz w:val="20"/>
                <w:szCs w:val="20"/>
                <w:color w:val="auto"/>
              </w:rPr>
            </w:pPr>
            <w:r>
              <w:rPr>
                <w:rFonts w:ascii="Arial" w:cs="Arial" w:eastAsia="Arial" w:hAnsi="Arial"/>
                <w:sz w:val="18"/>
                <w:szCs w:val="18"/>
                <w:color w:val="auto"/>
                <w:w w:val="79"/>
              </w:rPr>
              <w:t>$</w:t>
            </w:r>
          </w:p>
        </w:tc>
        <w:tc>
          <w:tcPr>
            <w:tcW w:w="1100" w:type="dxa"/>
            <w:vAlign w:val="bottom"/>
            <w:gridSpan w:val="2"/>
            <w:shd w:val="clear" w:color="auto" w:fill="CFF0FC"/>
          </w:tcPr>
          <w:p>
            <w:pPr>
              <w:jc w:val="right"/>
              <w:ind w:right="160"/>
              <w:spacing w:after="0"/>
              <w:rPr>
                <w:sz w:val="20"/>
                <w:szCs w:val="20"/>
                <w:color w:val="auto"/>
              </w:rPr>
            </w:pPr>
            <w:r>
              <w:rPr>
                <w:rFonts w:ascii="Arial" w:cs="Arial" w:eastAsia="Arial" w:hAnsi="Arial"/>
                <w:sz w:val="18"/>
                <w:szCs w:val="18"/>
                <w:color w:val="auto"/>
              </w:rPr>
              <w:t>(36,559 )</w:t>
            </w:r>
          </w:p>
        </w:tc>
        <w:tc>
          <w:tcPr>
            <w:tcW w:w="260" w:type="dxa"/>
            <w:vAlign w:val="bottom"/>
            <w:shd w:val="clear" w:color="auto" w:fill="CFF0FC"/>
          </w:tcPr>
          <w:p>
            <w:pPr>
              <w:jc w:val="right"/>
              <w:ind w:right="70"/>
              <w:spacing w:after="0"/>
              <w:rPr>
                <w:sz w:val="20"/>
                <w:szCs w:val="20"/>
                <w:color w:val="auto"/>
              </w:rPr>
            </w:pPr>
            <w:r>
              <w:rPr>
                <w:rFonts w:ascii="Arial" w:cs="Arial" w:eastAsia="Arial" w:hAnsi="Arial"/>
                <w:sz w:val="18"/>
                <w:szCs w:val="18"/>
                <w:color w:val="auto"/>
                <w:w w:val="79"/>
              </w:rPr>
              <w:t>$</w:t>
            </w:r>
          </w:p>
        </w:tc>
        <w:tc>
          <w:tcPr>
            <w:tcW w:w="1160" w:type="dxa"/>
            <w:vAlign w:val="bottom"/>
            <w:gridSpan w:val="2"/>
            <w:shd w:val="clear" w:color="auto" w:fill="CFF0FC"/>
          </w:tcPr>
          <w:p>
            <w:pPr>
              <w:jc w:val="right"/>
              <w:ind w:right="160"/>
              <w:spacing w:after="0"/>
              <w:rPr>
                <w:sz w:val="20"/>
                <w:szCs w:val="20"/>
                <w:color w:val="auto"/>
              </w:rPr>
            </w:pPr>
            <w:r>
              <w:rPr>
                <w:rFonts w:ascii="Arial" w:cs="Arial" w:eastAsia="Arial" w:hAnsi="Arial"/>
                <w:sz w:val="18"/>
                <w:szCs w:val="18"/>
                <w:color w:val="auto"/>
              </w:rPr>
              <w:t>(69,332 )</w:t>
            </w:r>
          </w:p>
        </w:tc>
        <w:tc>
          <w:tcPr>
            <w:tcW w:w="280" w:type="dxa"/>
            <w:vAlign w:val="bottom"/>
            <w:shd w:val="clear" w:color="auto" w:fill="CFF0FC"/>
          </w:tcPr>
          <w:p>
            <w:pPr>
              <w:jc w:val="right"/>
              <w:ind w:right="90"/>
              <w:spacing w:after="0"/>
              <w:rPr>
                <w:sz w:val="20"/>
                <w:szCs w:val="20"/>
                <w:color w:val="auto"/>
              </w:rPr>
            </w:pPr>
            <w:r>
              <w:rPr>
                <w:rFonts w:ascii="Arial" w:cs="Arial" w:eastAsia="Arial" w:hAnsi="Arial"/>
                <w:sz w:val="18"/>
                <w:szCs w:val="18"/>
                <w:color w:val="auto"/>
                <w:w w:val="79"/>
              </w:rPr>
              <w:t>$</w:t>
            </w:r>
          </w:p>
        </w:tc>
        <w:tc>
          <w:tcPr>
            <w:tcW w:w="1060" w:type="dxa"/>
            <w:vAlign w:val="bottom"/>
            <w:gridSpan w:val="2"/>
            <w:shd w:val="clear" w:color="auto" w:fill="CFF0FC"/>
          </w:tcPr>
          <w:p>
            <w:pPr>
              <w:jc w:val="right"/>
              <w:ind w:right="40"/>
              <w:spacing w:after="0"/>
              <w:rPr>
                <w:sz w:val="20"/>
                <w:szCs w:val="20"/>
                <w:color w:val="auto"/>
              </w:rPr>
            </w:pPr>
            <w:r>
              <w:rPr>
                <w:rFonts w:ascii="Arial" w:cs="Arial" w:eastAsia="Arial" w:hAnsi="Arial"/>
                <w:sz w:val="18"/>
                <w:szCs w:val="18"/>
                <w:color w:val="auto"/>
              </w:rPr>
              <w:t>(53,081 )</w:t>
            </w:r>
          </w:p>
        </w:tc>
        <w:tc>
          <w:tcPr>
            <w:tcW w:w="0" w:type="dxa"/>
            <w:vAlign w:val="bottom"/>
          </w:tcPr>
          <w:p>
            <w:pPr>
              <w:spacing w:after="0"/>
              <w:rPr>
                <w:sz w:val="1"/>
                <w:szCs w:val="1"/>
                <w:color w:val="auto"/>
              </w:rPr>
            </w:pPr>
          </w:p>
        </w:tc>
      </w:tr>
      <w:tr>
        <w:trPr>
          <w:trHeight w:val="174"/>
        </w:trPr>
        <w:tc>
          <w:tcPr>
            <w:tcW w:w="5760" w:type="dxa"/>
            <w:vAlign w:val="bottom"/>
          </w:tcPr>
          <w:p>
            <w:pPr>
              <w:ind w:left="20"/>
              <w:spacing w:after="0" w:line="175" w:lineRule="exact"/>
              <w:rPr>
                <w:sz w:val="20"/>
                <w:szCs w:val="20"/>
                <w:color w:val="auto"/>
              </w:rPr>
            </w:pPr>
            <w:r>
              <w:rPr>
                <w:rFonts w:ascii="Arial" w:cs="Arial" w:eastAsia="Arial" w:hAnsi="Arial"/>
                <w:sz w:val="18"/>
                <w:szCs w:val="18"/>
                <w:color w:val="auto"/>
              </w:rPr>
              <w:t>Weighted-average shares used in computing net loss per share</w:t>
            </w:r>
          </w:p>
        </w:tc>
        <w:tc>
          <w:tcPr>
            <w:tcW w:w="240" w:type="dxa"/>
            <w:vAlign w:val="bottom"/>
          </w:tcPr>
          <w:p>
            <w:pPr>
              <w:spacing w:after="0"/>
              <w:rPr>
                <w:sz w:val="15"/>
                <w:szCs w:val="15"/>
                <w:color w:val="auto"/>
              </w:rPr>
            </w:pPr>
          </w:p>
        </w:tc>
        <w:tc>
          <w:tcPr>
            <w:tcW w:w="88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86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94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9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9"/>
        </w:trPr>
        <w:tc>
          <w:tcPr>
            <w:tcW w:w="5760" w:type="dxa"/>
            <w:vAlign w:val="bottom"/>
          </w:tcPr>
          <w:p>
            <w:pPr>
              <w:ind w:left="160"/>
              <w:spacing w:after="0" w:line="189" w:lineRule="exact"/>
              <w:rPr>
                <w:sz w:val="20"/>
                <w:szCs w:val="20"/>
                <w:color w:val="auto"/>
              </w:rPr>
            </w:pPr>
            <w:r>
              <w:rPr>
                <w:rFonts w:ascii="Arial" w:cs="Arial" w:eastAsia="Arial" w:hAnsi="Arial"/>
                <w:sz w:val="18"/>
                <w:szCs w:val="18"/>
                <w:color w:val="auto"/>
              </w:rPr>
              <w:t>attributable to Class A and Class B common stockholders,</w:t>
            </w:r>
          </w:p>
        </w:tc>
        <w:tc>
          <w:tcPr>
            <w:tcW w:w="240" w:type="dxa"/>
            <w:vAlign w:val="bottom"/>
          </w:tcPr>
          <w:p>
            <w:pPr>
              <w:spacing w:after="0"/>
              <w:rPr>
                <w:sz w:val="16"/>
                <w:szCs w:val="16"/>
                <w:color w:val="auto"/>
              </w:rPr>
            </w:pPr>
          </w:p>
        </w:tc>
        <w:tc>
          <w:tcPr>
            <w:tcW w:w="880" w:type="dxa"/>
            <w:vAlign w:val="bottom"/>
            <w:vMerge w:val="restart"/>
          </w:tcPr>
          <w:p>
            <w:pPr>
              <w:jc w:val="right"/>
              <w:spacing w:after="0"/>
              <w:rPr>
                <w:sz w:val="20"/>
                <w:szCs w:val="20"/>
                <w:color w:val="auto"/>
              </w:rPr>
            </w:pPr>
            <w:r>
              <w:rPr>
                <w:rFonts w:ascii="Arial" w:cs="Arial" w:eastAsia="Arial" w:hAnsi="Arial"/>
                <w:sz w:val="18"/>
                <w:szCs w:val="18"/>
                <w:color w:val="auto"/>
              </w:rPr>
              <w:t>112,016</w:t>
            </w:r>
          </w:p>
        </w:tc>
        <w:tc>
          <w:tcPr>
            <w:tcW w:w="26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860" w:type="dxa"/>
            <w:vAlign w:val="bottom"/>
            <w:vMerge w:val="restart"/>
          </w:tcPr>
          <w:p>
            <w:pPr>
              <w:jc w:val="right"/>
              <w:spacing w:after="0"/>
              <w:rPr>
                <w:sz w:val="20"/>
                <w:szCs w:val="20"/>
                <w:color w:val="auto"/>
              </w:rPr>
            </w:pPr>
            <w:r>
              <w:rPr>
                <w:rFonts w:ascii="Arial" w:cs="Arial" w:eastAsia="Arial" w:hAnsi="Arial"/>
                <w:sz w:val="18"/>
                <w:szCs w:val="18"/>
                <w:color w:val="auto"/>
              </w:rPr>
              <w:t>39,301</w:t>
            </w:r>
          </w:p>
        </w:tc>
        <w:tc>
          <w:tcPr>
            <w:tcW w:w="24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940" w:type="dxa"/>
            <w:vAlign w:val="bottom"/>
            <w:vMerge w:val="restart"/>
          </w:tcPr>
          <w:p>
            <w:pPr>
              <w:jc w:val="right"/>
              <w:spacing w:after="0"/>
              <w:rPr>
                <w:sz w:val="20"/>
                <w:szCs w:val="20"/>
                <w:color w:val="auto"/>
              </w:rPr>
            </w:pPr>
            <w:r>
              <w:rPr>
                <w:rFonts w:ascii="Arial" w:cs="Arial" w:eastAsia="Arial" w:hAnsi="Arial"/>
                <w:sz w:val="18"/>
                <w:szCs w:val="18"/>
                <w:color w:val="auto"/>
              </w:rPr>
              <w:t>110,876</w:t>
            </w:r>
          </w:p>
        </w:tc>
        <w:tc>
          <w:tcPr>
            <w:tcW w:w="22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960" w:type="dxa"/>
            <w:vAlign w:val="bottom"/>
            <w:vMerge w:val="restart"/>
          </w:tcPr>
          <w:p>
            <w:pPr>
              <w:jc w:val="right"/>
              <w:spacing w:after="0"/>
              <w:rPr>
                <w:sz w:val="20"/>
                <w:szCs w:val="20"/>
                <w:color w:val="auto"/>
              </w:rPr>
            </w:pPr>
            <w:r>
              <w:rPr>
                <w:rFonts w:ascii="Arial" w:cs="Arial" w:eastAsia="Arial" w:hAnsi="Arial"/>
                <w:sz w:val="18"/>
                <w:szCs w:val="18"/>
                <w:color w:val="auto"/>
              </w:rPr>
              <w:t>32,362</w:t>
            </w: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17"/>
        </w:trPr>
        <w:tc>
          <w:tcPr>
            <w:tcW w:w="5760" w:type="dxa"/>
            <w:vAlign w:val="bottom"/>
          </w:tcPr>
          <w:p>
            <w:pPr>
              <w:ind w:left="160"/>
              <w:spacing w:after="0"/>
              <w:rPr>
                <w:sz w:val="20"/>
                <w:szCs w:val="20"/>
                <w:color w:val="auto"/>
              </w:rPr>
            </w:pPr>
            <w:r>
              <w:rPr>
                <w:rFonts w:ascii="Arial" w:cs="Arial" w:eastAsia="Arial" w:hAnsi="Arial"/>
                <w:sz w:val="18"/>
                <w:szCs w:val="18"/>
                <w:color w:val="auto"/>
              </w:rPr>
              <w:t>basic and diluted</w:t>
            </w:r>
          </w:p>
        </w:tc>
        <w:tc>
          <w:tcPr>
            <w:tcW w:w="240" w:type="dxa"/>
            <w:vAlign w:val="bottom"/>
            <w:tcBorders>
              <w:bottom w:val="single" w:sz="8" w:color="auto"/>
            </w:tcBorders>
          </w:tcPr>
          <w:p>
            <w:pPr>
              <w:spacing w:after="0"/>
              <w:rPr>
                <w:sz w:val="18"/>
                <w:szCs w:val="18"/>
                <w:color w:val="auto"/>
              </w:rPr>
            </w:pPr>
          </w:p>
        </w:tc>
        <w:tc>
          <w:tcPr>
            <w:tcW w:w="880" w:type="dxa"/>
            <w:vAlign w:val="bottom"/>
            <w:tcBorders>
              <w:bottom w:val="single" w:sz="8" w:color="auto"/>
            </w:tcBorders>
            <w:vMerge w:val="continue"/>
          </w:tcPr>
          <w:p>
            <w:pPr>
              <w:spacing w:after="0"/>
              <w:rPr>
                <w:sz w:val="18"/>
                <w:szCs w:val="18"/>
                <w:color w:val="auto"/>
              </w:rPr>
            </w:pPr>
          </w:p>
        </w:tc>
        <w:tc>
          <w:tcPr>
            <w:tcW w:w="260" w:type="dxa"/>
            <w:vAlign w:val="bottom"/>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860" w:type="dxa"/>
            <w:vAlign w:val="bottom"/>
            <w:tcBorders>
              <w:bottom w:val="single" w:sz="8" w:color="auto"/>
            </w:tcBorders>
            <w:vMerge w:val="continue"/>
          </w:tcPr>
          <w:p>
            <w:pPr>
              <w:spacing w:after="0"/>
              <w:rPr>
                <w:sz w:val="18"/>
                <w:szCs w:val="18"/>
                <w:color w:val="auto"/>
              </w:rPr>
            </w:pPr>
          </w:p>
        </w:tc>
        <w:tc>
          <w:tcPr>
            <w:tcW w:w="240" w:type="dxa"/>
            <w:vAlign w:val="bottom"/>
          </w:tcPr>
          <w:p>
            <w:pPr>
              <w:spacing w:after="0"/>
              <w:rPr>
                <w:sz w:val="18"/>
                <w:szCs w:val="18"/>
                <w:color w:val="auto"/>
              </w:rPr>
            </w:pPr>
          </w:p>
        </w:tc>
        <w:tc>
          <w:tcPr>
            <w:tcW w:w="260" w:type="dxa"/>
            <w:vAlign w:val="bottom"/>
            <w:tcBorders>
              <w:bottom w:val="single" w:sz="8" w:color="auto"/>
            </w:tcBorders>
          </w:tcPr>
          <w:p>
            <w:pPr>
              <w:spacing w:after="0"/>
              <w:rPr>
                <w:sz w:val="18"/>
                <w:szCs w:val="18"/>
                <w:color w:val="auto"/>
              </w:rPr>
            </w:pPr>
          </w:p>
        </w:tc>
        <w:tc>
          <w:tcPr>
            <w:tcW w:w="940" w:type="dxa"/>
            <w:vAlign w:val="bottom"/>
            <w:tcBorders>
              <w:bottom w:val="single" w:sz="8" w:color="auto"/>
            </w:tcBorders>
            <w:vMerge w:val="continue"/>
          </w:tcPr>
          <w:p>
            <w:pPr>
              <w:spacing w:after="0"/>
              <w:rPr>
                <w:sz w:val="18"/>
                <w:szCs w:val="18"/>
                <w:color w:val="auto"/>
              </w:rPr>
            </w:pPr>
          </w:p>
        </w:tc>
        <w:tc>
          <w:tcPr>
            <w:tcW w:w="220" w:type="dxa"/>
            <w:vAlign w:val="bottom"/>
          </w:tcPr>
          <w:p>
            <w:pPr>
              <w:spacing w:after="0"/>
              <w:rPr>
                <w:sz w:val="18"/>
                <w:szCs w:val="18"/>
                <w:color w:val="auto"/>
              </w:rPr>
            </w:pPr>
          </w:p>
        </w:tc>
        <w:tc>
          <w:tcPr>
            <w:tcW w:w="280" w:type="dxa"/>
            <w:vAlign w:val="bottom"/>
            <w:tcBorders>
              <w:bottom w:val="single" w:sz="8" w:color="auto"/>
            </w:tcBorders>
          </w:tcPr>
          <w:p>
            <w:pPr>
              <w:spacing w:after="0"/>
              <w:rPr>
                <w:sz w:val="18"/>
                <w:szCs w:val="18"/>
                <w:color w:val="auto"/>
              </w:rPr>
            </w:pPr>
          </w:p>
        </w:tc>
        <w:tc>
          <w:tcPr>
            <w:tcW w:w="960" w:type="dxa"/>
            <w:vAlign w:val="bottom"/>
            <w:tcBorders>
              <w:bottom w:val="single" w:sz="8" w:color="auto"/>
            </w:tcBorders>
            <w:vMerge w:val="continue"/>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68"/>
        </w:trPr>
        <w:tc>
          <w:tcPr>
            <w:tcW w:w="5760" w:type="dxa"/>
            <w:vAlign w:val="bottom"/>
            <w:shd w:val="clear" w:color="auto" w:fill="CFF0FC"/>
          </w:tcPr>
          <w:p>
            <w:pPr>
              <w:ind w:left="200"/>
              <w:spacing w:after="0" w:line="168" w:lineRule="exact"/>
              <w:rPr>
                <w:sz w:val="20"/>
                <w:szCs w:val="20"/>
                <w:color w:val="auto"/>
              </w:rPr>
            </w:pPr>
            <w:r>
              <w:rPr>
                <w:rFonts w:ascii="Arial" w:cs="Arial" w:eastAsia="Arial" w:hAnsi="Arial"/>
                <w:sz w:val="18"/>
                <w:szCs w:val="18"/>
                <w:color w:val="auto"/>
              </w:rPr>
              <w:t>Net loss per share attributable to Class A and Class B</w:t>
            </w:r>
          </w:p>
        </w:tc>
        <w:tc>
          <w:tcPr>
            <w:tcW w:w="240" w:type="dxa"/>
            <w:vAlign w:val="bottom"/>
            <w:vMerge w:val="restart"/>
            <w:shd w:val="clear" w:color="auto" w:fill="CFF0FC"/>
          </w:tcPr>
          <w:p>
            <w:pPr>
              <w:jc w:val="right"/>
              <w:ind w:right="50"/>
              <w:spacing w:after="0"/>
              <w:rPr>
                <w:sz w:val="20"/>
                <w:szCs w:val="20"/>
                <w:color w:val="auto"/>
              </w:rPr>
            </w:pPr>
            <w:r>
              <w:rPr>
                <w:rFonts w:ascii="Arial" w:cs="Arial" w:eastAsia="Arial" w:hAnsi="Arial"/>
                <w:sz w:val="18"/>
                <w:szCs w:val="18"/>
                <w:color w:val="auto"/>
                <w:w w:val="79"/>
              </w:rPr>
              <w:t>$</w:t>
            </w:r>
          </w:p>
        </w:tc>
        <w:tc>
          <w:tcPr>
            <w:tcW w:w="1140" w:type="dxa"/>
            <w:vAlign w:val="bottom"/>
            <w:gridSpan w:val="2"/>
            <w:vMerge w:val="restart"/>
            <w:shd w:val="clear" w:color="auto" w:fill="CFF0FC"/>
          </w:tcPr>
          <w:p>
            <w:pPr>
              <w:jc w:val="right"/>
              <w:ind w:right="200"/>
              <w:spacing w:after="0"/>
              <w:rPr>
                <w:sz w:val="20"/>
                <w:szCs w:val="20"/>
                <w:color w:val="auto"/>
              </w:rPr>
            </w:pPr>
            <w:r>
              <w:rPr>
                <w:rFonts w:ascii="Arial" w:cs="Arial" w:eastAsia="Arial" w:hAnsi="Arial"/>
                <w:sz w:val="18"/>
                <w:szCs w:val="18"/>
                <w:color w:val="auto"/>
              </w:rPr>
              <w:t>(0.20 )</w:t>
            </w:r>
          </w:p>
        </w:tc>
        <w:tc>
          <w:tcPr>
            <w:tcW w:w="240" w:type="dxa"/>
            <w:vAlign w:val="bottom"/>
            <w:vMerge w:val="restart"/>
            <w:shd w:val="clear" w:color="auto" w:fill="CFF0FC"/>
          </w:tcPr>
          <w:p>
            <w:pPr>
              <w:jc w:val="right"/>
              <w:ind w:right="50"/>
              <w:spacing w:after="0"/>
              <w:rPr>
                <w:sz w:val="20"/>
                <w:szCs w:val="20"/>
                <w:color w:val="auto"/>
              </w:rPr>
            </w:pPr>
            <w:r>
              <w:rPr>
                <w:rFonts w:ascii="Arial" w:cs="Arial" w:eastAsia="Arial" w:hAnsi="Arial"/>
                <w:sz w:val="18"/>
                <w:szCs w:val="18"/>
                <w:color w:val="auto"/>
                <w:w w:val="79"/>
              </w:rPr>
              <w:t>$</w:t>
            </w:r>
          </w:p>
        </w:tc>
        <w:tc>
          <w:tcPr>
            <w:tcW w:w="1100" w:type="dxa"/>
            <w:vAlign w:val="bottom"/>
            <w:gridSpan w:val="2"/>
            <w:vMerge w:val="restart"/>
            <w:shd w:val="clear" w:color="auto" w:fill="CFF0FC"/>
          </w:tcPr>
          <w:p>
            <w:pPr>
              <w:jc w:val="right"/>
              <w:ind w:right="160"/>
              <w:spacing w:after="0"/>
              <w:rPr>
                <w:sz w:val="20"/>
                <w:szCs w:val="20"/>
                <w:color w:val="auto"/>
              </w:rPr>
            </w:pPr>
            <w:r>
              <w:rPr>
                <w:rFonts w:ascii="Arial" w:cs="Arial" w:eastAsia="Arial" w:hAnsi="Arial"/>
                <w:sz w:val="18"/>
                <w:szCs w:val="18"/>
                <w:color w:val="auto"/>
              </w:rPr>
              <w:t>(0.93 )</w:t>
            </w:r>
          </w:p>
        </w:tc>
        <w:tc>
          <w:tcPr>
            <w:tcW w:w="260" w:type="dxa"/>
            <w:vAlign w:val="bottom"/>
            <w:vMerge w:val="restart"/>
            <w:shd w:val="clear" w:color="auto" w:fill="CFF0FC"/>
          </w:tcPr>
          <w:p>
            <w:pPr>
              <w:jc w:val="right"/>
              <w:ind w:right="70"/>
              <w:spacing w:after="0"/>
              <w:rPr>
                <w:sz w:val="20"/>
                <w:szCs w:val="20"/>
                <w:color w:val="auto"/>
              </w:rPr>
            </w:pPr>
            <w:r>
              <w:rPr>
                <w:rFonts w:ascii="Arial" w:cs="Arial" w:eastAsia="Arial" w:hAnsi="Arial"/>
                <w:sz w:val="18"/>
                <w:szCs w:val="18"/>
                <w:color w:val="auto"/>
                <w:w w:val="79"/>
              </w:rPr>
              <w:t>$</w:t>
            </w:r>
          </w:p>
        </w:tc>
        <w:tc>
          <w:tcPr>
            <w:tcW w:w="1160" w:type="dxa"/>
            <w:vAlign w:val="bottom"/>
            <w:gridSpan w:val="2"/>
            <w:vMerge w:val="restart"/>
            <w:shd w:val="clear" w:color="auto" w:fill="CFF0FC"/>
          </w:tcPr>
          <w:p>
            <w:pPr>
              <w:jc w:val="right"/>
              <w:ind w:right="160"/>
              <w:spacing w:after="0"/>
              <w:rPr>
                <w:sz w:val="20"/>
                <w:szCs w:val="20"/>
                <w:color w:val="auto"/>
              </w:rPr>
            </w:pPr>
            <w:r>
              <w:rPr>
                <w:rFonts w:ascii="Arial" w:cs="Arial" w:eastAsia="Arial" w:hAnsi="Arial"/>
                <w:sz w:val="18"/>
                <w:szCs w:val="18"/>
                <w:color w:val="auto"/>
              </w:rPr>
              <w:t>(0.63 )</w:t>
            </w:r>
          </w:p>
        </w:tc>
        <w:tc>
          <w:tcPr>
            <w:tcW w:w="280" w:type="dxa"/>
            <w:vAlign w:val="bottom"/>
            <w:vMerge w:val="restart"/>
            <w:shd w:val="clear" w:color="auto" w:fill="CFF0FC"/>
          </w:tcPr>
          <w:p>
            <w:pPr>
              <w:jc w:val="right"/>
              <w:ind w:right="90"/>
              <w:spacing w:after="0"/>
              <w:rPr>
                <w:sz w:val="20"/>
                <w:szCs w:val="20"/>
                <w:color w:val="auto"/>
              </w:rPr>
            </w:pPr>
            <w:r>
              <w:rPr>
                <w:rFonts w:ascii="Arial" w:cs="Arial" w:eastAsia="Arial" w:hAnsi="Arial"/>
                <w:sz w:val="18"/>
                <w:szCs w:val="18"/>
                <w:color w:val="auto"/>
                <w:w w:val="79"/>
              </w:rPr>
              <w:t>$</w:t>
            </w:r>
          </w:p>
        </w:tc>
        <w:tc>
          <w:tcPr>
            <w:tcW w:w="1060" w:type="dxa"/>
            <w:vAlign w:val="bottom"/>
            <w:gridSpan w:val="2"/>
            <w:vMerge w:val="restart"/>
            <w:shd w:val="clear" w:color="auto" w:fill="CFF0FC"/>
          </w:tcPr>
          <w:p>
            <w:pPr>
              <w:jc w:val="right"/>
              <w:ind w:right="40"/>
              <w:spacing w:after="0"/>
              <w:rPr>
                <w:sz w:val="20"/>
                <w:szCs w:val="20"/>
                <w:color w:val="auto"/>
              </w:rPr>
            </w:pPr>
            <w:r>
              <w:rPr>
                <w:rFonts w:ascii="Arial" w:cs="Arial" w:eastAsia="Arial" w:hAnsi="Arial"/>
                <w:sz w:val="18"/>
                <w:szCs w:val="18"/>
                <w:color w:val="auto"/>
              </w:rPr>
              <w:t>(1.64 )</w:t>
            </w:r>
          </w:p>
        </w:tc>
        <w:tc>
          <w:tcPr>
            <w:tcW w:w="0" w:type="dxa"/>
            <w:vAlign w:val="bottom"/>
          </w:tcPr>
          <w:p>
            <w:pPr>
              <w:spacing w:after="0"/>
              <w:rPr>
                <w:sz w:val="1"/>
                <w:szCs w:val="1"/>
                <w:color w:val="auto"/>
              </w:rPr>
            </w:pPr>
          </w:p>
        </w:tc>
      </w:tr>
      <w:tr>
        <w:trPr>
          <w:trHeight w:val="210"/>
        </w:trPr>
        <w:tc>
          <w:tcPr>
            <w:tcW w:w="5760" w:type="dxa"/>
            <w:vAlign w:val="bottom"/>
            <w:shd w:val="clear" w:color="auto" w:fill="CFF0FC"/>
          </w:tcPr>
          <w:p>
            <w:pPr>
              <w:ind w:left="340"/>
              <w:spacing w:after="0" w:line="189" w:lineRule="exact"/>
              <w:rPr>
                <w:sz w:val="20"/>
                <w:szCs w:val="20"/>
                <w:color w:val="auto"/>
              </w:rPr>
            </w:pPr>
            <w:r>
              <w:rPr>
                <w:rFonts w:ascii="Arial" w:cs="Arial" w:eastAsia="Arial" w:hAnsi="Arial"/>
                <w:sz w:val="18"/>
                <w:szCs w:val="18"/>
                <w:color w:val="auto"/>
              </w:rPr>
              <w:t>common stockholders, basic and diluted</w:t>
            </w:r>
          </w:p>
        </w:tc>
        <w:tc>
          <w:tcPr>
            <w:tcW w:w="240" w:type="dxa"/>
            <w:vAlign w:val="bottom"/>
            <w:vMerge w:val="continue"/>
            <w:shd w:val="clear" w:color="auto" w:fill="CFF0FC"/>
          </w:tcPr>
          <w:p>
            <w:pPr>
              <w:spacing w:after="0"/>
              <w:rPr>
                <w:sz w:val="18"/>
                <w:szCs w:val="18"/>
                <w:color w:val="auto"/>
              </w:rPr>
            </w:pPr>
          </w:p>
        </w:tc>
        <w:tc>
          <w:tcPr>
            <w:tcW w:w="1140" w:type="dxa"/>
            <w:vAlign w:val="bottom"/>
            <w:gridSpan w:val="2"/>
            <w:vMerge w:val="continue"/>
            <w:shd w:val="clear" w:color="auto" w:fill="CFF0FC"/>
          </w:tcPr>
          <w:p>
            <w:pPr>
              <w:spacing w:after="0"/>
              <w:rPr>
                <w:sz w:val="18"/>
                <w:szCs w:val="18"/>
                <w:color w:val="auto"/>
              </w:rPr>
            </w:pPr>
          </w:p>
        </w:tc>
        <w:tc>
          <w:tcPr>
            <w:tcW w:w="240" w:type="dxa"/>
            <w:vAlign w:val="bottom"/>
            <w:vMerge w:val="continue"/>
            <w:shd w:val="clear" w:color="auto" w:fill="CFF0FC"/>
          </w:tcPr>
          <w:p>
            <w:pPr>
              <w:spacing w:after="0"/>
              <w:rPr>
                <w:sz w:val="18"/>
                <w:szCs w:val="18"/>
                <w:color w:val="auto"/>
              </w:rPr>
            </w:pPr>
          </w:p>
        </w:tc>
        <w:tc>
          <w:tcPr>
            <w:tcW w:w="1100" w:type="dxa"/>
            <w:vAlign w:val="bottom"/>
            <w:gridSpan w:val="2"/>
            <w:vMerge w:val="continue"/>
            <w:shd w:val="clear" w:color="auto" w:fill="CFF0FC"/>
          </w:tcPr>
          <w:p>
            <w:pPr>
              <w:spacing w:after="0"/>
              <w:rPr>
                <w:sz w:val="18"/>
                <w:szCs w:val="18"/>
                <w:color w:val="auto"/>
              </w:rPr>
            </w:pPr>
          </w:p>
        </w:tc>
        <w:tc>
          <w:tcPr>
            <w:tcW w:w="260" w:type="dxa"/>
            <w:vAlign w:val="bottom"/>
            <w:vMerge w:val="continue"/>
            <w:shd w:val="clear" w:color="auto" w:fill="CFF0FC"/>
          </w:tcPr>
          <w:p>
            <w:pPr>
              <w:spacing w:after="0"/>
              <w:rPr>
                <w:sz w:val="18"/>
                <w:szCs w:val="18"/>
                <w:color w:val="auto"/>
              </w:rPr>
            </w:pPr>
          </w:p>
        </w:tc>
        <w:tc>
          <w:tcPr>
            <w:tcW w:w="1160" w:type="dxa"/>
            <w:vAlign w:val="bottom"/>
            <w:gridSpan w:val="2"/>
            <w:vMerge w:val="continue"/>
            <w:shd w:val="clear" w:color="auto" w:fill="CFF0FC"/>
          </w:tcPr>
          <w:p>
            <w:pPr>
              <w:spacing w:after="0"/>
              <w:rPr>
                <w:sz w:val="18"/>
                <w:szCs w:val="18"/>
                <w:color w:val="auto"/>
              </w:rPr>
            </w:pPr>
          </w:p>
        </w:tc>
        <w:tc>
          <w:tcPr>
            <w:tcW w:w="280" w:type="dxa"/>
            <w:vAlign w:val="bottom"/>
            <w:vMerge w:val="continue"/>
            <w:shd w:val="clear" w:color="auto" w:fill="CFF0FC"/>
          </w:tcPr>
          <w:p>
            <w:pPr>
              <w:spacing w:after="0"/>
              <w:rPr>
                <w:sz w:val="18"/>
                <w:szCs w:val="18"/>
                <w:color w:val="auto"/>
              </w:rPr>
            </w:pPr>
          </w:p>
        </w:tc>
        <w:tc>
          <w:tcPr>
            <w:tcW w:w="1060" w:type="dxa"/>
            <w:vAlign w:val="bottom"/>
            <w:gridSpan w:val="2"/>
            <w:vMerge w:val="continue"/>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5760" w:type="dxa"/>
            <w:vAlign w:val="bottom"/>
            <w:tcBorders>
              <w:top w:val="single" w:sz="8" w:color="CFF0FC"/>
            </w:tcBorders>
            <w:shd w:val="clear" w:color="auto" w:fill="CFF0FC"/>
          </w:tcPr>
          <w:p>
            <w:pPr>
              <w:spacing w:after="0" w:line="20" w:lineRule="exact"/>
              <w:rPr>
                <w:sz w:val="1"/>
                <w:szCs w:val="1"/>
                <w:color w:val="auto"/>
              </w:rPr>
            </w:pPr>
          </w:p>
        </w:tc>
        <w:tc>
          <w:tcPr>
            <w:tcW w:w="240" w:type="dxa"/>
            <w:vAlign w:val="bottom"/>
            <w:tcBorders>
              <w:top w:val="single" w:sz="8" w:color="auto"/>
            </w:tcBorders>
            <w:shd w:val="clear" w:color="auto" w:fill="000000"/>
          </w:tcPr>
          <w:p>
            <w:pPr>
              <w:spacing w:after="0" w:line="20" w:lineRule="exact"/>
              <w:rPr>
                <w:sz w:val="1"/>
                <w:szCs w:val="1"/>
                <w:color w:val="auto"/>
              </w:rPr>
            </w:pPr>
          </w:p>
        </w:tc>
        <w:tc>
          <w:tcPr>
            <w:tcW w:w="880" w:type="dxa"/>
            <w:vAlign w:val="bottom"/>
            <w:tcBorders>
              <w:top w:val="single" w:sz="8" w:color="auto"/>
            </w:tcBorders>
            <w:shd w:val="clear" w:color="auto" w:fill="000000"/>
          </w:tcPr>
          <w:p>
            <w:pPr>
              <w:spacing w:after="0" w:line="20" w:lineRule="exact"/>
              <w:rPr>
                <w:sz w:val="1"/>
                <w:szCs w:val="1"/>
                <w:color w:val="auto"/>
              </w:rPr>
            </w:pPr>
          </w:p>
        </w:tc>
        <w:tc>
          <w:tcPr>
            <w:tcW w:w="260" w:type="dxa"/>
            <w:vAlign w:val="bottom"/>
            <w:tcBorders>
              <w:top w:val="single" w:sz="8" w:color="CFF0FC"/>
            </w:tcBorders>
            <w:shd w:val="clear" w:color="auto" w:fill="CFF0FC"/>
          </w:tcPr>
          <w:p>
            <w:pPr>
              <w:spacing w:after="0" w:line="20" w:lineRule="exact"/>
              <w:rPr>
                <w:sz w:val="1"/>
                <w:szCs w:val="1"/>
                <w:color w:val="auto"/>
              </w:rPr>
            </w:pPr>
          </w:p>
        </w:tc>
        <w:tc>
          <w:tcPr>
            <w:tcW w:w="240" w:type="dxa"/>
            <w:vAlign w:val="bottom"/>
            <w:tcBorders>
              <w:top w:val="single" w:sz="8" w:color="auto"/>
            </w:tcBorders>
            <w:shd w:val="clear" w:color="auto" w:fill="000000"/>
          </w:tcPr>
          <w:p>
            <w:pPr>
              <w:spacing w:after="0" w:line="20" w:lineRule="exact"/>
              <w:rPr>
                <w:sz w:val="1"/>
                <w:szCs w:val="1"/>
                <w:color w:val="auto"/>
              </w:rPr>
            </w:pPr>
          </w:p>
        </w:tc>
        <w:tc>
          <w:tcPr>
            <w:tcW w:w="860" w:type="dxa"/>
            <w:vAlign w:val="bottom"/>
            <w:tcBorders>
              <w:top w:val="single" w:sz="8" w:color="auto"/>
            </w:tcBorders>
            <w:shd w:val="clear" w:color="auto" w:fill="000000"/>
          </w:tcPr>
          <w:p>
            <w:pPr>
              <w:spacing w:after="0" w:line="20" w:lineRule="exact"/>
              <w:rPr>
                <w:sz w:val="1"/>
                <w:szCs w:val="1"/>
                <w:color w:val="auto"/>
              </w:rPr>
            </w:pPr>
          </w:p>
        </w:tc>
        <w:tc>
          <w:tcPr>
            <w:tcW w:w="240" w:type="dxa"/>
            <w:vAlign w:val="bottom"/>
            <w:tcBorders>
              <w:top w:val="single" w:sz="8" w:color="CFF0FC"/>
            </w:tcBorders>
            <w:shd w:val="clear" w:color="auto" w:fill="CFF0FC"/>
          </w:tcPr>
          <w:p>
            <w:pPr>
              <w:spacing w:after="0" w:line="20" w:lineRule="exact"/>
              <w:rPr>
                <w:sz w:val="1"/>
                <w:szCs w:val="1"/>
                <w:color w:val="auto"/>
              </w:rPr>
            </w:pPr>
          </w:p>
        </w:tc>
        <w:tc>
          <w:tcPr>
            <w:tcW w:w="260" w:type="dxa"/>
            <w:vAlign w:val="bottom"/>
            <w:tcBorders>
              <w:top w:val="single" w:sz="8" w:color="auto"/>
            </w:tcBorders>
            <w:shd w:val="clear" w:color="auto" w:fill="000000"/>
          </w:tcPr>
          <w:p>
            <w:pPr>
              <w:spacing w:after="0" w:line="20" w:lineRule="exact"/>
              <w:rPr>
                <w:sz w:val="1"/>
                <w:szCs w:val="1"/>
                <w:color w:val="auto"/>
              </w:rPr>
            </w:pPr>
          </w:p>
        </w:tc>
        <w:tc>
          <w:tcPr>
            <w:tcW w:w="940" w:type="dxa"/>
            <w:vAlign w:val="bottom"/>
            <w:tcBorders>
              <w:top w:val="single" w:sz="8" w:color="auto"/>
            </w:tcBorders>
            <w:shd w:val="clear" w:color="auto" w:fill="000000"/>
          </w:tcPr>
          <w:p>
            <w:pPr>
              <w:spacing w:after="0" w:line="20" w:lineRule="exact"/>
              <w:rPr>
                <w:sz w:val="1"/>
                <w:szCs w:val="1"/>
                <w:color w:val="auto"/>
              </w:rPr>
            </w:pPr>
          </w:p>
        </w:tc>
        <w:tc>
          <w:tcPr>
            <w:tcW w:w="220" w:type="dxa"/>
            <w:vAlign w:val="bottom"/>
            <w:tcBorders>
              <w:top w:val="single" w:sz="8" w:color="CFF0FC"/>
            </w:tcBorders>
            <w:shd w:val="clear" w:color="auto" w:fill="CFF0FC"/>
          </w:tcPr>
          <w:p>
            <w:pPr>
              <w:spacing w:after="0" w:line="20" w:lineRule="exact"/>
              <w:rPr>
                <w:sz w:val="1"/>
                <w:szCs w:val="1"/>
                <w:color w:val="auto"/>
              </w:rPr>
            </w:pPr>
          </w:p>
        </w:tc>
        <w:tc>
          <w:tcPr>
            <w:tcW w:w="280" w:type="dxa"/>
            <w:vAlign w:val="bottom"/>
            <w:tcBorders>
              <w:top w:val="single" w:sz="8" w:color="auto"/>
            </w:tcBorders>
            <w:shd w:val="clear" w:color="auto" w:fill="000000"/>
          </w:tcPr>
          <w:p>
            <w:pPr>
              <w:spacing w:after="0" w:line="20" w:lineRule="exact"/>
              <w:rPr>
                <w:sz w:val="1"/>
                <w:szCs w:val="1"/>
                <w:color w:val="auto"/>
              </w:rPr>
            </w:pPr>
          </w:p>
        </w:tc>
        <w:tc>
          <w:tcPr>
            <w:tcW w:w="960" w:type="dxa"/>
            <w:vAlign w:val="bottom"/>
            <w:tcBorders>
              <w:top w:val="single" w:sz="8" w:color="auto"/>
            </w:tcBorders>
            <w:shd w:val="clear" w:color="auto" w:fill="000000"/>
          </w:tcPr>
          <w:p>
            <w:pPr>
              <w:spacing w:after="0" w:line="20" w:lineRule="exact"/>
              <w:rPr>
                <w:sz w:val="1"/>
                <w:szCs w:val="1"/>
                <w:color w:val="auto"/>
              </w:rPr>
            </w:pPr>
          </w:p>
        </w:tc>
        <w:tc>
          <w:tcPr>
            <w:tcW w:w="100" w:type="dxa"/>
            <w:vAlign w:val="bottom"/>
            <w:tcBorders>
              <w:top w:val="single" w:sz="8" w:color="CFF0FC"/>
            </w:tcBorders>
            <w:shd w:val="clear" w:color="auto" w:fill="CFF0FC"/>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4363085</wp:posOffset>
            </wp:positionH>
            <wp:positionV relativeFrom="paragraph">
              <wp:posOffset>-24765</wp:posOffset>
            </wp:positionV>
            <wp:extent cx="76835" cy="8255"/>
            <wp:wrapNone/>
            <wp:docPr id="210" name="Picture 2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0"/>
                    <pic:cNvPicPr>
                      <a:picLocks noChangeAspect="1" noChangeArrowheads="1"/>
                    </pic:cNvPicPr>
                  </pic:nvPicPr>
                  <pic:blipFill>
                    <a:blip r:embed="rId217">
                      <a:extLst>
                        <a:ext uri="{28A0092B-C50C-407E-A947-70E740481C1C}"/>
                      </a:extLst>
                    </a:blip>
                    <a:srcRect/>
                    <a:stretch>
                      <a:fillRect/>
                    </a:stretch>
                  </pic:blipFill>
                  <pic:spPr bwMode="auto">
                    <a:xfrm>
                      <a:off x="0" y="0"/>
                      <a:ext cx="76835" cy="8255"/>
                    </a:xfrm>
                    <a:prstGeom prst="rect">
                      <a:avLst/>
                    </a:prstGeom>
                    <a:noFill/>
                  </pic:spPr>
                </pic:pic>
              </a:graphicData>
            </a:graphic>
          </wp:anchor>
        </w:drawing>
        <w:drawing>
          <wp:anchor simplePos="0" relativeHeight="251657728" behindDoc="1" locked="0" layoutInCell="0" allowOverlap="1">
            <wp:simplePos x="0" y="0"/>
            <wp:positionH relativeFrom="column">
              <wp:posOffset>4363085</wp:posOffset>
            </wp:positionH>
            <wp:positionV relativeFrom="paragraph">
              <wp:posOffset>-7620</wp:posOffset>
            </wp:positionV>
            <wp:extent cx="76835" cy="8255"/>
            <wp:wrapNone/>
            <wp:docPr id="211" name="Picture 2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1"/>
                    <pic:cNvPicPr>
                      <a:picLocks noChangeAspect="1" noChangeArrowheads="1"/>
                    </pic:cNvPicPr>
                  </pic:nvPicPr>
                  <pic:blipFill>
                    <a:blip r:embed="rId218">
                      <a:extLst>
                        <a:ext uri="{28A0092B-C50C-407E-A947-70E740481C1C}"/>
                      </a:extLst>
                    </a:blip>
                    <a:srcRect/>
                    <a:stretch>
                      <a:fillRect/>
                    </a:stretch>
                  </pic:blipFill>
                  <pic:spPr bwMode="auto">
                    <a:xfrm>
                      <a:off x="0" y="0"/>
                      <a:ext cx="76835" cy="8255"/>
                    </a:xfrm>
                    <a:prstGeom prst="rect">
                      <a:avLst/>
                    </a:prstGeom>
                    <a:noFill/>
                  </pic:spPr>
                </pic:pic>
              </a:graphicData>
            </a:graphic>
          </wp:anchor>
        </w:drawing>
        <w:drawing>
          <wp:anchor simplePos="0" relativeHeight="251657728" behindDoc="1" locked="0" layoutInCell="0" allowOverlap="1">
            <wp:simplePos x="0" y="0"/>
            <wp:positionH relativeFrom="column">
              <wp:posOffset>5236845</wp:posOffset>
            </wp:positionH>
            <wp:positionV relativeFrom="paragraph">
              <wp:posOffset>-24765</wp:posOffset>
            </wp:positionV>
            <wp:extent cx="68580" cy="8255"/>
            <wp:wrapNone/>
            <wp:docPr id="212" name="Picture 2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2"/>
                    <pic:cNvPicPr>
                      <a:picLocks noChangeAspect="1" noChangeArrowheads="1"/>
                    </pic:cNvPicPr>
                  </pic:nvPicPr>
                  <pic:blipFill>
                    <a:blip r:embed="rId219">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5236845</wp:posOffset>
            </wp:positionH>
            <wp:positionV relativeFrom="paragraph">
              <wp:posOffset>-7620</wp:posOffset>
            </wp:positionV>
            <wp:extent cx="68580" cy="8255"/>
            <wp:wrapNone/>
            <wp:docPr id="213" name="Picture 2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3"/>
                    <pic:cNvPicPr>
                      <a:picLocks noChangeAspect="1" noChangeArrowheads="1"/>
                    </pic:cNvPicPr>
                  </pic:nvPicPr>
                  <pic:blipFill>
                    <a:blip r:embed="rId220">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6144260</wp:posOffset>
            </wp:positionH>
            <wp:positionV relativeFrom="paragraph">
              <wp:posOffset>-24765</wp:posOffset>
            </wp:positionV>
            <wp:extent cx="68580" cy="8255"/>
            <wp:wrapNone/>
            <wp:docPr id="214" name="Picture 2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4"/>
                    <pic:cNvPicPr>
                      <a:picLocks noChangeAspect="1" noChangeArrowheads="1"/>
                    </pic:cNvPicPr>
                  </pic:nvPicPr>
                  <pic:blipFill>
                    <a:blip r:embed="rId221">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6144260</wp:posOffset>
            </wp:positionH>
            <wp:positionV relativeFrom="paragraph">
              <wp:posOffset>-7620</wp:posOffset>
            </wp:positionV>
            <wp:extent cx="68580" cy="8255"/>
            <wp:wrapNone/>
            <wp:docPr id="215" name="Picture 2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5"/>
                    <pic:cNvPicPr>
                      <a:picLocks noChangeAspect="1" noChangeArrowheads="1"/>
                    </pic:cNvPicPr>
                  </pic:nvPicPr>
                  <pic:blipFill>
                    <a:blip r:embed="rId222">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-24765</wp:posOffset>
            </wp:positionV>
            <wp:extent cx="68580" cy="8255"/>
            <wp:wrapNone/>
            <wp:docPr id="216" name="Picture 2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6"/>
                    <pic:cNvPicPr>
                      <a:picLocks noChangeAspect="1" noChangeArrowheads="1"/>
                    </pic:cNvPicPr>
                  </pic:nvPicPr>
                  <pic:blipFill>
                    <a:blip r:embed="rId223">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-7620</wp:posOffset>
            </wp:positionV>
            <wp:extent cx="68580" cy="8255"/>
            <wp:wrapNone/>
            <wp:docPr id="217" name="Picture 2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7"/>
                    <pic:cNvPicPr>
                      <a:picLocks noChangeAspect="1" noChangeArrowheads="1"/>
                    </pic:cNvPicPr>
                  </pic:nvPicPr>
                  <pic:blipFill>
                    <a:blip r:embed="rId224">
                      <a:extLst>
                        <a:ext uri="{28A0092B-C50C-407E-A947-70E740481C1C}"/>
                      </a:extLst>
                    </a:blip>
                    <a:srcRect/>
                    <a:stretch>
                      <a:fillRect/>
                    </a:stretch>
                  </pic:blipFill>
                  <pic:spPr bwMode="auto">
                    <a:xfrm>
                      <a:off x="0" y="0"/>
                      <a:ext cx="68580" cy="8255"/>
                    </a:xfrm>
                    <a:prstGeom prst="rect">
                      <a:avLst/>
                    </a:prstGeom>
                    <a:noFill/>
                  </pic:spPr>
                </pic:pic>
              </a:graphicData>
            </a:graphic>
          </wp:anchor>
        </w:drawing>
      </w:r>
    </w:p>
    <w:p>
      <w:pPr>
        <w:spacing w:after="0" w:line="168" w:lineRule="exact"/>
        <w:rPr>
          <w:sz w:val="20"/>
          <w:szCs w:val="20"/>
          <w:color w:val="auto"/>
        </w:rPr>
      </w:pPr>
    </w:p>
    <w:p>
      <w:pPr>
        <w:ind w:right="180" w:firstLine="509"/>
        <w:spacing w:after="0" w:line="277" w:lineRule="auto"/>
        <w:rPr>
          <w:sz w:val="20"/>
          <w:szCs w:val="20"/>
          <w:color w:val="auto"/>
        </w:rPr>
      </w:pPr>
      <w:r>
        <w:rPr>
          <w:rFonts w:ascii="Arial" w:cs="Arial" w:eastAsia="Arial" w:hAnsi="Arial"/>
          <w:sz w:val="18"/>
          <w:szCs w:val="18"/>
          <w:color w:val="auto"/>
        </w:rPr>
        <w:t>The following potential common shares were excluded from the calculation of diluted net loss per share because their effect would have been anti-dilutive for the periods presented (in thousands):</w:t>
      </w:r>
    </w:p>
    <w:p>
      <w:pPr>
        <w:spacing w:after="0" w:line="138"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7660" w:type="dxa"/>
            <w:vAlign w:val="bottom"/>
          </w:tcPr>
          <w:p>
            <w:pPr>
              <w:spacing w:after="0"/>
              <w:rPr>
                <w:sz w:val="18"/>
                <w:szCs w:val="18"/>
                <w:color w:val="auto"/>
              </w:rPr>
            </w:pPr>
          </w:p>
        </w:tc>
        <w:tc>
          <w:tcPr>
            <w:tcW w:w="2760" w:type="dxa"/>
            <w:vAlign w:val="bottom"/>
            <w:gridSpan w:val="4"/>
          </w:tcPr>
          <w:p>
            <w:pPr>
              <w:jc w:val="right"/>
              <w:ind w:right="250"/>
              <w:spacing w:after="0"/>
              <w:rPr>
                <w:sz w:val="20"/>
                <w:szCs w:val="20"/>
                <w:color w:val="auto"/>
              </w:rPr>
            </w:pPr>
            <w:r>
              <w:rPr>
                <w:rFonts w:ascii="Arial" w:cs="Arial" w:eastAsia="Arial" w:hAnsi="Arial"/>
                <w:sz w:val="18"/>
                <w:szCs w:val="18"/>
                <w:b w:val="1"/>
                <w:bCs w:val="1"/>
                <w:color w:val="auto"/>
              </w:rPr>
              <w:t>As of September 30,</w:t>
            </w:r>
          </w:p>
        </w:tc>
        <w:tc>
          <w:tcPr>
            <w:tcW w:w="560" w:type="dxa"/>
            <w:vAlign w:val="bottom"/>
          </w:tcPr>
          <w:p>
            <w:pPr>
              <w:spacing w:after="0"/>
              <w:rPr>
                <w:sz w:val="18"/>
                <w:szCs w:val="18"/>
                <w:color w:val="auto"/>
              </w:rPr>
            </w:pPr>
          </w:p>
        </w:tc>
        <w:tc>
          <w:tcPr>
            <w:tcW w:w="260" w:type="dxa"/>
            <w:vAlign w:val="bottom"/>
          </w:tcPr>
          <w:p>
            <w:pPr>
              <w:spacing w:after="0"/>
              <w:rPr>
                <w:sz w:val="18"/>
                <w:szCs w:val="18"/>
                <w:color w:val="auto"/>
              </w:rPr>
            </w:pPr>
          </w:p>
        </w:tc>
      </w:tr>
      <w:tr>
        <w:trPr>
          <w:trHeight w:val="234"/>
        </w:trPr>
        <w:tc>
          <w:tcPr>
            <w:tcW w:w="7660" w:type="dxa"/>
            <w:vAlign w:val="bottom"/>
          </w:tcPr>
          <w:p>
            <w:pPr>
              <w:spacing w:after="0"/>
              <w:rPr>
                <w:sz w:val="20"/>
                <w:szCs w:val="20"/>
                <w:color w:val="auto"/>
              </w:rPr>
            </w:pP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2022</w:t>
            </w:r>
          </w:p>
        </w:tc>
        <w:tc>
          <w:tcPr>
            <w:tcW w:w="560" w:type="dxa"/>
            <w:vAlign w:val="bottom"/>
            <w:tcBorders>
              <w:bottom w:val="single" w:sz="8" w:color="auto"/>
            </w:tcBorders>
          </w:tcPr>
          <w:p>
            <w:pPr>
              <w:spacing w:after="0"/>
              <w:rPr>
                <w:sz w:val="20"/>
                <w:szCs w:val="20"/>
                <w:color w:val="auto"/>
              </w:rPr>
            </w:pPr>
          </w:p>
        </w:tc>
        <w:tc>
          <w:tcPr>
            <w:tcW w:w="220" w:type="dxa"/>
            <w:vAlign w:val="bottom"/>
          </w:tcPr>
          <w:p>
            <w:pPr>
              <w:spacing w:after="0"/>
              <w:rPr>
                <w:sz w:val="20"/>
                <w:szCs w:val="20"/>
                <w:color w:val="auto"/>
              </w:rPr>
            </w:pP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2021</w:t>
            </w:r>
          </w:p>
        </w:tc>
        <w:tc>
          <w:tcPr>
            <w:tcW w:w="560" w:type="dxa"/>
            <w:vAlign w:val="bottom"/>
            <w:tcBorders>
              <w:bottom w:val="single" w:sz="8" w:color="auto"/>
            </w:tcBorders>
          </w:tcPr>
          <w:p>
            <w:pPr>
              <w:spacing w:after="0"/>
              <w:rPr>
                <w:sz w:val="20"/>
                <w:szCs w:val="20"/>
                <w:color w:val="auto"/>
              </w:rPr>
            </w:pPr>
          </w:p>
        </w:tc>
        <w:tc>
          <w:tcPr>
            <w:tcW w:w="260" w:type="dxa"/>
            <w:vAlign w:val="bottom"/>
          </w:tcPr>
          <w:p>
            <w:pPr>
              <w:spacing w:after="0"/>
              <w:rPr>
                <w:sz w:val="20"/>
                <w:szCs w:val="20"/>
                <w:color w:val="auto"/>
              </w:rPr>
            </w:pPr>
          </w:p>
        </w:tc>
      </w:tr>
      <w:tr>
        <w:trPr>
          <w:trHeight w:val="209"/>
        </w:trPr>
        <w:tc>
          <w:tcPr>
            <w:tcW w:w="8640" w:type="dxa"/>
            <w:vAlign w:val="bottom"/>
            <w:gridSpan w:val="2"/>
          </w:tcPr>
          <w:p>
            <w:pPr>
              <w:spacing w:after="0"/>
              <w:rPr>
                <w:sz w:val="18"/>
                <w:szCs w:val="18"/>
                <w:color w:val="auto"/>
              </w:rPr>
            </w:pPr>
          </w:p>
        </w:tc>
        <w:tc>
          <w:tcPr>
            <w:tcW w:w="5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260" w:type="dxa"/>
            <w:vAlign w:val="bottom"/>
          </w:tcPr>
          <w:p>
            <w:pPr>
              <w:spacing w:after="0"/>
              <w:rPr>
                <w:sz w:val="18"/>
                <w:szCs w:val="18"/>
                <w:color w:val="auto"/>
              </w:rPr>
            </w:pPr>
          </w:p>
        </w:tc>
      </w:tr>
      <w:tr>
        <w:trPr>
          <w:trHeight w:val="216"/>
        </w:trPr>
        <w:tc>
          <w:tcPr>
            <w:tcW w:w="8640" w:type="dxa"/>
            <w:vAlign w:val="bottom"/>
            <w:gridSpan w:val="2"/>
            <w:shd w:val="clear" w:color="auto" w:fill="CFF0FC"/>
          </w:tcPr>
          <w:p>
            <w:pPr>
              <w:ind w:left="20"/>
              <w:spacing w:after="0"/>
              <w:rPr>
                <w:sz w:val="20"/>
                <w:szCs w:val="20"/>
                <w:color w:val="auto"/>
              </w:rPr>
            </w:pPr>
            <w:r>
              <w:rPr>
                <w:rFonts w:ascii="Arial" w:cs="Arial" w:eastAsia="Arial" w:hAnsi="Arial"/>
                <w:sz w:val="18"/>
                <w:szCs w:val="18"/>
                <w:color w:val="auto"/>
              </w:rPr>
              <w:t>Equity plan stock options outstanding</w:t>
            </w:r>
          </w:p>
        </w:tc>
        <w:tc>
          <w:tcPr>
            <w:tcW w:w="560" w:type="dxa"/>
            <w:vAlign w:val="bottom"/>
            <w:shd w:val="clear" w:color="auto" w:fill="CFF0FC"/>
          </w:tcPr>
          <w:p>
            <w:pPr>
              <w:jc w:val="right"/>
              <w:spacing w:after="0"/>
              <w:rPr>
                <w:sz w:val="20"/>
                <w:szCs w:val="20"/>
                <w:color w:val="auto"/>
              </w:rPr>
            </w:pPr>
            <w:r>
              <w:rPr>
                <w:rFonts w:ascii="Arial" w:cs="Arial" w:eastAsia="Arial" w:hAnsi="Arial"/>
                <w:sz w:val="18"/>
                <w:szCs w:val="18"/>
                <w:color w:val="auto"/>
                <w:w w:val="94"/>
              </w:rPr>
              <w:t>17,398</w:t>
            </w:r>
          </w:p>
        </w:tc>
        <w:tc>
          <w:tcPr>
            <w:tcW w:w="220" w:type="dxa"/>
            <w:vAlign w:val="bottom"/>
            <w:shd w:val="clear" w:color="auto" w:fill="CFF0FC"/>
          </w:tcPr>
          <w:p>
            <w:pPr>
              <w:spacing w:after="0"/>
              <w:rPr>
                <w:sz w:val="18"/>
                <w:szCs w:val="18"/>
                <w:color w:val="auto"/>
              </w:rPr>
            </w:pPr>
          </w:p>
        </w:tc>
        <w:tc>
          <w:tcPr>
            <w:tcW w:w="1000" w:type="dxa"/>
            <w:vAlign w:val="bottom"/>
            <w:shd w:val="clear" w:color="auto" w:fill="CFF0FC"/>
          </w:tcPr>
          <w:p>
            <w:pPr>
              <w:spacing w:after="0"/>
              <w:rPr>
                <w:sz w:val="18"/>
                <w:szCs w:val="18"/>
                <w:color w:val="auto"/>
              </w:rPr>
            </w:pPr>
          </w:p>
        </w:tc>
        <w:tc>
          <w:tcPr>
            <w:tcW w:w="560" w:type="dxa"/>
            <w:vAlign w:val="bottom"/>
            <w:shd w:val="clear" w:color="auto" w:fill="CFF0FC"/>
          </w:tcPr>
          <w:p>
            <w:pPr>
              <w:jc w:val="right"/>
              <w:spacing w:after="0"/>
              <w:rPr>
                <w:sz w:val="20"/>
                <w:szCs w:val="20"/>
                <w:color w:val="auto"/>
              </w:rPr>
            </w:pPr>
            <w:r>
              <w:rPr>
                <w:rFonts w:ascii="Arial" w:cs="Arial" w:eastAsia="Arial" w:hAnsi="Arial"/>
                <w:sz w:val="18"/>
                <w:szCs w:val="18"/>
                <w:color w:val="auto"/>
                <w:w w:val="94"/>
              </w:rPr>
              <w:t>23,613</w:t>
            </w:r>
          </w:p>
        </w:tc>
        <w:tc>
          <w:tcPr>
            <w:tcW w:w="260" w:type="dxa"/>
            <w:vAlign w:val="bottom"/>
            <w:shd w:val="clear" w:color="auto" w:fill="CFF0FC"/>
          </w:tcPr>
          <w:p>
            <w:pPr>
              <w:spacing w:after="0"/>
              <w:rPr>
                <w:sz w:val="18"/>
                <w:szCs w:val="18"/>
                <w:color w:val="auto"/>
              </w:rPr>
            </w:pPr>
          </w:p>
        </w:tc>
      </w:tr>
      <w:tr>
        <w:trPr>
          <w:trHeight w:val="216"/>
        </w:trPr>
        <w:tc>
          <w:tcPr>
            <w:tcW w:w="8640" w:type="dxa"/>
            <w:vAlign w:val="bottom"/>
            <w:gridSpan w:val="2"/>
          </w:tcPr>
          <w:p>
            <w:pPr>
              <w:ind w:left="20"/>
              <w:spacing w:after="0"/>
              <w:rPr>
                <w:sz w:val="20"/>
                <w:szCs w:val="20"/>
                <w:color w:val="auto"/>
              </w:rPr>
            </w:pPr>
            <w:r>
              <w:rPr>
                <w:rFonts w:ascii="Arial" w:cs="Arial" w:eastAsia="Arial" w:hAnsi="Arial"/>
                <w:sz w:val="18"/>
                <w:szCs w:val="18"/>
                <w:color w:val="auto"/>
              </w:rPr>
              <w:t>Equity plan stock options early exercised</w:t>
            </w:r>
          </w:p>
        </w:tc>
        <w:tc>
          <w:tcPr>
            <w:tcW w:w="560" w:type="dxa"/>
            <w:vAlign w:val="bottom"/>
          </w:tcPr>
          <w:p>
            <w:pPr>
              <w:jc w:val="right"/>
              <w:spacing w:after="0"/>
              <w:rPr>
                <w:sz w:val="20"/>
                <w:szCs w:val="20"/>
                <w:color w:val="auto"/>
              </w:rPr>
            </w:pPr>
            <w:r>
              <w:rPr>
                <w:rFonts w:ascii="Arial" w:cs="Arial" w:eastAsia="Arial" w:hAnsi="Arial"/>
                <w:sz w:val="18"/>
                <w:szCs w:val="18"/>
                <w:color w:val="auto"/>
              </w:rPr>
              <w:t>314</w:t>
            </w:r>
          </w:p>
        </w:tc>
        <w:tc>
          <w:tcPr>
            <w:tcW w:w="22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560" w:type="dxa"/>
            <w:vAlign w:val="bottom"/>
          </w:tcPr>
          <w:p>
            <w:pPr>
              <w:jc w:val="right"/>
              <w:spacing w:after="0"/>
              <w:rPr>
                <w:sz w:val="20"/>
                <w:szCs w:val="20"/>
                <w:color w:val="auto"/>
              </w:rPr>
            </w:pPr>
            <w:r>
              <w:rPr>
                <w:rFonts w:ascii="Arial" w:cs="Arial" w:eastAsia="Arial" w:hAnsi="Arial"/>
                <w:sz w:val="18"/>
                <w:szCs w:val="18"/>
                <w:color w:val="auto"/>
              </w:rPr>
              <w:t>1,054</w:t>
            </w:r>
          </w:p>
        </w:tc>
        <w:tc>
          <w:tcPr>
            <w:tcW w:w="260" w:type="dxa"/>
            <w:vAlign w:val="bottom"/>
          </w:tcPr>
          <w:p>
            <w:pPr>
              <w:spacing w:after="0"/>
              <w:rPr>
                <w:sz w:val="18"/>
                <w:szCs w:val="18"/>
                <w:color w:val="auto"/>
              </w:rPr>
            </w:pPr>
          </w:p>
        </w:tc>
      </w:tr>
      <w:tr>
        <w:trPr>
          <w:trHeight w:val="216"/>
        </w:trPr>
        <w:tc>
          <w:tcPr>
            <w:tcW w:w="8640" w:type="dxa"/>
            <w:vAlign w:val="bottom"/>
            <w:gridSpan w:val="2"/>
            <w:shd w:val="clear" w:color="auto" w:fill="CFF0FC"/>
          </w:tcPr>
          <w:p>
            <w:pPr>
              <w:ind w:left="20"/>
              <w:spacing w:after="0"/>
              <w:rPr>
                <w:sz w:val="20"/>
                <w:szCs w:val="20"/>
                <w:color w:val="auto"/>
              </w:rPr>
            </w:pPr>
            <w:r>
              <w:rPr>
                <w:rFonts w:ascii="Arial" w:cs="Arial" w:eastAsia="Arial" w:hAnsi="Arial"/>
                <w:sz w:val="18"/>
                <w:szCs w:val="18"/>
                <w:color w:val="auto"/>
              </w:rPr>
              <w:t>RSUs outstanding</w:t>
            </w:r>
          </w:p>
        </w:tc>
        <w:tc>
          <w:tcPr>
            <w:tcW w:w="5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9,086</w:t>
            </w:r>
          </w:p>
        </w:tc>
        <w:tc>
          <w:tcPr>
            <w:tcW w:w="220" w:type="dxa"/>
            <w:vAlign w:val="bottom"/>
            <w:shd w:val="clear" w:color="auto" w:fill="CFF0FC"/>
          </w:tcPr>
          <w:p>
            <w:pPr>
              <w:spacing w:after="0"/>
              <w:rPr>
                <w:sz w:val="18"/>
                <w:szCs w:val="18"/>
                <w:color w:val="auto"/>
              </w:rPr>
            </w:pPr>
          </w:p>
        </w:tc>
        <w:tc>
          <w:tcPr>
            <w:tcW w:w="1000" w:type="dxa"/>
            <w:vAlign w:val="bottom"/>
            <w:shd w:val="clear" w:color="auto" w:fill="CFF0FC"/>
          </w:tcPr>
          <w:p>
            <w:pPr>
              <w:spacing w:after="0"/>
              <w:rPr>
                <w:sz w:val="18"/>
                <w:szCs w:val="18"/>
                <w:color w:val="auto"/>
              </w:rPr>
            </w:pPr>
          </w:p>
        </w:tc>
        <w:tc>
          <w:tcPr>
            <w:tcW w:w="5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1,232</w:t>
            </w:r>
          </w:p>
        </w:tc>
        <w:tc>
          <w:tcPr>
            <w:tcW w:w="260" w:type="dxa"/>
            <w:vAlign w:val="bottom"/>
            <w:shd w:val="clear" w:color="auto" w:fill="CFF0FC"/>
          </w:tcPr>
          <w:p>
            <w:pPr>
              <w:spacing w:after="0"/>
              <w:rPr>
                <w:sz w:val="18"/>
                <w:szCs w:val="18"/>
                <w:color w:val="auto"/>
              </w:rPr>
            </w:pPr>
          </w:p>
        </w:tc>
      </w:tr>
      <w:tr>
        <w:trPr>
          <w:trHeight w:val="216"/>
        </w:trPr>
        <w:tc>
          <w:tcPr>
            <w:tcW w:w="8640" w:type="dxa"/>
            <w:vAlign w:val="bottom"/>
            <w:gridSpan w:val="2"/>
          </w:tcPr>
          <w:p>
            <w:pPr>
              <w:ind w:left="20"/>
              <w:spacing w:after="0"/>
              <w:rPr>
                <w:sz w:val="20"/>
                <w:szCs w:val="20"/>
                <w:color w:val="auto"/>
              </w:rPr>
            </w:pPr>
            <w:r>
              <w:rPr>
                <w:rFonts w:ascii="Arial" w:cs="Arial" w:eastAsia="Arial" w:hAnsi="Arial"/>
                <w:sz w:val="18"/>
                <w:szCs w:val="18"/>
                <w:color w:val="auto"/>
              </w:rPr>
              <w:t>Restricted shares</w:t>
            </w:r>
          </w:p>
        </w:tc>
        <w:tc>
          <w:tcPr>
            <w:tcW w:w="560" w:type="dxa"/>
            <w:vAlign w:val="bottom"/>
          </w:tcPr>
          <w:p>
            <w:pPr>
              <w:jc w:val="right"/>
              <w:spacing w:after="0"/>
              <w:rPr>
                <w:sz w:val="20"/>
                <w:szCs w:val="20"/>
                <w:color w:val="auto"/>
              </w:rPr>
            </w:pPr>
            <w:r>
              <w:rPr>
                <w:rFonts w:ascii="Arial" w:cs="Arial" w:eastAsia="Arial" w:hAnsi="Arial"/>
                <w:sz w:val="18"/>
                <w:szCs w:val="18"/>
                <w:color w:val="auto"/>
              </w:rPr>
              <w:t>271</w:t>
            </w:r>
          </w:p>
        </w:tc>
        <w:tc>
          <w:tcPr>
            <w:tcW w:w="22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560" w:type="dxa"/>
            <w:vAlign w:val="bottom"/>
          </w:tcPr>
          <w:p>
            <w:pPr>
              <w:jc w:val="right"/>
              <w:spacing w:after="0"/>
              <w:rPr>
                <w:sz w:val="20"/>
                <w:szCs w:val="20"/>
                <w:color w:val="auto"/>
              </w:rPr>
            </w:pPr>
            <w:r>
              <w:rPr>
                <w:rFonts w:ascii="Arial" w:cs="Arial" w:eastAsia="Arial" w:hAnsi="Arial"/>
                <w:sz w:val="18"/>
                <w:szCs w:val="18"/>
                <w:color w:val="auto"/>
              </w:rPr>
              <w:t>352</w:t>
            </w:r>
          </w:p>
        </w:tc>
        <w:tc>
          <w:tcPr>
            <w:tcW w:w="260" w:type="dxa"/>
            <w:vAlign w:val="bottom"/>
          </w:tcPr>
          <w:p>
            <w:pPr>
              <w:spacing w:after="0"/>
              <w:rPr>
                <w:sz w:val="18"/>
                <w:szCs w:val="18"/>
                <w:color w:val="auto"/>
              </w:rPr>
            </w:pPr>
          </w:p>
        </w:tc>
      </w:tr>
      <w:tr>
        <w:trPr>
          <w:trHeight w:val="216"/>
        </w:trPr>
        <w:tc>
          <w:tcPr>
            <w:tcW w:w="7660" w:type="dxa"/>
            <w:vAlign w:val="bottom"/>
            <w:tcBorders>
              <w:bottom w:val="single" w:sz="8" w:color="CFF0FC"/>
            </w:tcBorders>
            <w:shd w:val="clear" w:color="auto" w:fill="CFF0FC"/>
          </w:tcPr>
          <w:p>
            <w:pPr>
              <w:ind w:left="20"/>
              <w:spacing w:after="0"/>
              <w:rPr>
                <w:sz w:val="20"/>
                <w:szCs w:val="20"/>
                <w:color w:val="auto"/>
              </w:rPr>
            </w:pPr>
            <w:r>
              <w:rPr>
                <w:rFonts w:ascii="Arial" w:cs="Arial" w:eastAsia="Arial" w:hAnsi="Arial"/>
                <w:sz w:val="18"/>
                <w:szCs w:val="18"/>
                <w:color w:val="auto"/>
              </w:rPr>
              <w:t>Shares issuable pursuant to the ESPP</w:t>
            </w:r>
          </w:p>
        </w:tc>
        <w:tc>
          <w:tcPr>
            <w:tcW w:w="980" w:type="dxa"/>
            <w:vAlign w:val="bottom"/>
            <w:tcBorders>
              <w:bottom w:val="single" w:sz="8" w:color="auto"/>
            </w:tcBorders>
            <w:shd w:val="clear" w:color="auto" w:fill="CFF0FC"/>
          </w:tcPr>
          <w:p>
            <w:pPr>
              <w:spacing w:after="0"/>
              <w:rPr>
                <w:sz w:val="18"/>
                <w:szCs w:val="18"/>
                <w:color w:val="auto"/>
              </w:rPr>
            </w:pPr>
          </w:p>
        </w:tc>
        <w:tc>
          <w:tcPr>
            <w:tcW w:w="5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465</w:t>
            </w:r>
          </w:p>
        </w:tc>
        <w:tc>
          <w:tcPr>
            <w:tcW w:w="220" w:type="dxa"/>
            <w:vAlign w:val="bottom"/>
            <w:tcBorders>
              <w:bottom w:val="single" w:sz="8" w:color="CFF0FC"/>
            </w:tcBorders>
            <w:shd w:val="clear" w:color="auto" w:fill="CFF0FC"/>
          </w:tcPr>
          <w:p>
            <w:pPr>
              <w:spacing w:after="0"/>
              <w:rPr>
                <w:sz w:val="18"/>
                <w:szCs w:val="18"/>
                <w:color w:val="auto"/>
              </w:rPr>
            </w:pPr>
          </w:p>
        </w:tc>
        <w:tc>
          <w:tcPr>
            <w:tcW w:w="1000" w:type="dxa"/>
            <w:vAlign w:val="bottom"/>
            <w:tcBorders>
              <w:bottom w:val="single" w:sz="8" w:color="auto"/>
            </w:tcBorders>
            <w:shd w:val="clear" w:color="auto" w:fill="CFF0FC"/>
          </w:tcPr>
          <w:p>
            <w:pPr>
              <w:spacing w:after="0"/>
              <w:rPr>
                <w:sz w:val="18"/>
                <w:szCs w:val="18"/>
                <w:color w:val="auto"/>
              </w:rPr>
            </w:pPr>
          </w:p>
        </w:tc>
        <w:tc>
          <w:tcPr>
            <w:tcW w:w="5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260" w:type="dxa"/>
            <w:vAlign w:val="bottom"/>
            <w:tcBorders>
              <w:bottom w:val="single" w:sz="8" w:color="CFF0FC"/>
            </w:tcBorders>
            <w:shd w:val="clear" w:color="auto" w:fill="CFF0FC"/>
          </w:tcPr>
          <w:p>
            <w:pPr>
              <w:spacing w:after="0"/>
              <w:rPr>
                <w:sz w:val="18"/>
                <w:szCs w:val="18"/>
                <w:color w:val="auto"/>
              </w:rPr>
            </w:pPr>
          </w:p>
        </w:tc>
      </w:tr>
      <w:tr>
        <w:trPr>
          <w:trHeight w:val="209"/>
        </w:trPr>
        <w:tc>
          <w:tcPr>
            <w:tcW w:w="8640" w:type="dxa"/>
            <w:vAlign w:val="bottom"/>
            <w:gridSpan w:val="2"/>
          </w:tcPr>
          <w:p>
            <w:pPr>
              <w:ind w:left="200"/>
              <w:spacing w:after="0"/>
              <w:rPr>
                <w:sz w:val="20"/>
                <w:szCs w:val="20"/>
                <w:color w:val="auto"/>
              </w:rPr>
            </w:pPr>
            <w:r>
              <w:rPr>
                <w:rFonts w:ascii="Arial" w:cs="Arial" w:eastAsia="Arial" w:hAnsi="Arial"/>
                <w:sz w:val="18"/>
                <w:szCs w:val="18"/>
                <w:color w:val="auto"/>
              </w:rPr>
              <w:t>Total</w:t>
            </w:r>
          </w:p>
        </w:tc>
        <w:tc>
          <w:tcPr>
            <w:tcW w:w="560" w:type="dxa"/>
            <w:vAlign w:val="bottom"/>
          </w:tcPr>
          <w:p>
            <w:pPr>
              <w:jc w:val="right"/>
              <w:spacing w:after="0"/>
              <w:rPr>
                <w:sz w:val="20"/>
                <w:szCs w:val="20"/>
                <w:color w:val="auto"/>
              </w:rPr>
            </w:pPr>
            <w:r>
              <w:rPr>
                <w:rFonts w:ascii="Arial" w:cs="Arial" w:eastAsia="Arial" w:hAnsi="Arial"/>
                <w:sz w:val="18"/>
                <w:szCs w:val="18"/>
                <w:color w:val="auto"/>
                <w:w w:val="94"/>
              </w:rPr>
              <w:t>27,534</w:t>
            </w:r>
          </w:p>
        </w:tc>
        <w:tc>
          <w:tcPr>
            <w:tcW w:w="22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560" w:type="dxa"/>
            <w:vAlign w:val="bottom"/>
          </w:tcPr>
          <w:p>
            <w:pPr>
              <w:jc w:val="right"/>
              <w:spacing w:after="0"/>
              <w:rPr>
                <w:sz w:val="20"/>
                <w:szCs w:val="20"/>
                <w:color w:val="auto"/>
              </w:rPr>
            </w:pPr>
            <w:r>
              <w:rPr>
                <w:rFonts w:ascii="Arial" w:cs="Arial" w:eastAsia="Arial" w:hAnsi="Arial"/>
                <w:sz w:val="18"/>
                <w:szCs w:val="18"/>
                <w:color w:val="auto"/>
                <w:w w:val="94"/>
              </w:rPr>
              <w:t>26,251</w:t>
            </w:r>
          </w:p>
        </w:tc>
        <w:tc>
          <w:tcPr>
            <w:tcW w:w="260" w:type="dxa"/>
            <w:vAlign w:val="bottom"/>
          </w:tcPr>
          <w:p>
            <w:pPr>
              <w:spacing w:after="0"/>
              <w:rPr>
                <w:sz w:val="18"/>
                <w:szCs w:val="18"/>
                <w:color w:val="auto"/>
              </w:rPr>
            </w:pPr>
          </w:p>
        </w:tc>
      </w:tr>
      <w:tr>
        <w:trPr>
          <w:trHeight w:val="20"/>
        </w:trPr>
        <w:tc>
          <w:tcPr>
            <w:tcW w:w="7660" w:type="dxa"/>
            <w:vAlign w:val="bottom"/>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5836285</wp:posOffset>
            </wp:positionH>
            <wp:positionV relativeFrom="paragraph">
              <wp:posOffset>-170815</wp:posOffset>
            </wp:positionV>
            <wp:extent cx="68580" cy="171450"/>
            <wp:wrapNone/>
            <wp:docPr id="218" name="Picture 2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8"/>
                    <pic:cNvPicPr>
                      <a:picLocks noChangeAspect="1" noChangeArrowheads="1"/>
                    </pic:cNvPicPr>
                  </pic:nvPicPr>
                  <pic:blipFill>
                    <a:blip r:embed="rId225">
                      <a:extLst>
                        <a:ext uri="{28A0092B-C50C-407E-A947-70E740481C1C}"/>
                      </a:extLst>
                    </a:blip>
                    <a:srcRect/>
                    <a:stretch>
                      <a:fillRect/>
                    </a:stretch>
                  </pic:blipFill>
                  <pic:spPr bwMode="auto">
                    <a:xfrm>
                      <a:off x="0" y="0"/>
                      <a:ext cx="68580" cy="171450"/>
                    </a:xfrm>
                    <a:prstGeom prst="rect">
                      <a:avLst/>
                    </a:prstGeom>
                    <a:noFill/>
                  </pic:spPr>
                </pic:pic>
              </a:graphicData>
            </a:graphic>
          </wp:anchor>
        </w:drawing>
        <w:drawing>
          <wp:anchor simplePos="0" relativeHeight="251657728" behindDoc="1" locked="0" layoutInCell="0" allowOverlap="1">
            <wp:simplePos x="0" y="0"/>
            <wp:positionH relativeFrom="column">
              <wp:posOffset>6965950</wp:posOffset>
            </wp:positionH>
            <wp:positionV relativeFrom="paragraph">
              <wp:posOffset>-170815</wp:posOffset>
            </wp:positionV>
            <wp:extent cx="68580" cy="171450"/>
            <wp:wrapNone/>
            <wp:docPr id="219" name="Picture 2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9"/>
                    <pic:cNvPicPr>
                      <a:picLocks noChangeAspect="1" noChangeArrowheads="1"/>
                    </pic:cNvPicPr>
                  </pic:nvPicPr>
                  <pic:blipFill>
                    <a:blip r:embed="rId226">
                      <a:extLst>
                        <a:ext uri="{28A0092B-C50C-407E-A947-70E740481C1C}"/>
                      </a:extLst>
                    </a:blip>
                    <a:srcRect/>
                    <a:stretch>
                      <a:fillRect/>
                    </a:stretch>
                  </pic:blipFill>
                  <pic:spPr bwMode="auto">
                    <a:xfrm>
                      <a:off x="0" y="0"/>
                      <a:ext cx="68580" cy="171450"/>
                    </a:xfrm>
                    <a:prstGeom prst="rect">
                      <a:avLst/>
                    </a:prstGeom>
                    <a:noFill/>
                  </pic:spPr>
                </pic:pic>
              </a:graphicData>
            </a:graphic>
          </wp:anchor>
        </w:drawing>
      </w:r>
    </w:p>
    <w:p>
      <w:pPr>
        <w:spacing w:after="0" w:line="285" w:lineRule="exact"/>
        <w:rPr>
          <w:sz w:val="20"/>
          <w:szCs w:val="20"/>
          <w:color w:val="auto"/>
        </w:rPr>
      </w:pPr>
    </w:p>
    <w:p>
      <w:pPr>
        <w:ind w:left="520" w:hanging="512"/>
        <w:spacing w:after="0"/>
        <w:tabs>
          <w:tab w:leader="none" w:pos="520" w:val="left"/>
        </w:tabs>
        <w:numPr>
          <w:ilvl w:val="0"/>
          <w:numId w:val="24"/>
        </w:numPr>
        <w:rPr>
          <w:rFonts w:ascii="Arial" w:cs="Arial" w:eastAsia="Arial" w:hAnsi="Arial"/>
          <w:sz w:val="18"/>
          <w:szCs w:val="18"/>
          <w:b w:val="1"/>
          <w:bCs w:val="1"/>
          <w:color w:val="auto"/>
        </w:rPr>
      </w:pPr>
      <w:r>
        <w:rPr>
          <w:rFonts w:ascii="Arial" w:cs="Arial" w:eastAsia="Arial" w:hAnsi="Arial"/>
          <w:sz w:val="18"/>
          <w:szCs w:val="18"/>
          <w:b w:val="1"/>
          <w:bCs w:val="1"/>
          <w:color w:val="auto"/>
        </w:rPr>
        <w:t>Subsequent Events</w:t>
      </w:r>
    </w:p>
    <w:p>
      <w:pPr>
        <w:spacing w:after="0" w:line="107" w:lineRule="exact"/>
        <w:rPr>
          <w:sz w:val="20"/>
          <w:szCs w:val="20"/>
          <w:color w:val="auto"/>
        </w:rPr>
      </w:pPr>
    </w:p>
    <w:p>
      <w:pPr>
        <w:ind w:right="100" w:firstLine="509"/>
        <w:spacing w:after="0" w:line="247" w:lineRule="auto"/>
        <w:rPr>
          <w:sz w:val="20"/>
          <w:szCs w:val="20"/>
          <w:color w:val="auto"/>
        </w:rPr>
      </w:pPr>
      <w:r>
        <w:rPr>
          <w:rFonts w:ascii="Arial" w:cs="Arial" w:eastAsia="Arial" w:hAnsi="Arial"/>
          <w:sz w:val="18"/>
          <w:szCs w:val="18"/>
          <w:color w:val="auto"/>
        </w:rPr>
        <w:t>In October 2022, the Company granted RSUs representing 0.2 million shares of Class A common stock to certain of its employees with service-based vesting conditions. The service-based vesting condition for these awards is satisfied over three years for the majority of the RSUs granted. The grant date fair value of these RSUs granted in October 2022 was approximately $3.0 million.</w:t>
      </w:r>
    </w:p>
    <w:p>
      <w:pPr>
        <w:spacing w:after="0" w:line="8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61595</wp:posOffset>
            </wp:positionV>
            <wp:extent cx="7157720" cy="42545"/>
            <wp:wrapNone/>
            <wp:docPr id="220" name="Picture 2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0"/>
                    <pic:cNvPicPr>
                      <a:picLocks noChangeAspect="1" noChangeArrowheads="1"/>
                    </pic:cNvPicPr>
                  </pic:nvPicPr>
                  <pic:blipFill>
                    <a:blip r:embed="rId22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543" w:right="339" w:bottom="1440" w:gutter="0" w:footer="0" w:header="0"/>
        </w:sectPr>
      </w:pPr>
    </w:p>
    <w:bookmarkStart w:id="24" w:name="page25"/>
    <w:bookmarkEnd w:id="24"/>
    <w:p>
      <w:pPr>
        <w:spacing w:after="0"/>
        <w:rPr>
          <w:sz w:val="20"/>
          <w:szCs w:val="20"/>
          <w:color w:val="auto"/>
        </w:rPr>
      </w:pPr>
      <w:r>
        <w:rPr>
          <w:rFonts w:ascii="Arial" w:cs="Arial" w:eastAsia="Arial" w:hAnsi="Arial"/>
          <w:sz w:val="18"/>
          <w:szCs w:val="18"/>
          <w:b w:val="1"/>
          <w:bCs w:val="1"/>
          <w:color w:val="auto"/>
        </w:rPr>
        <w:t>Item 2. Management’s Discussion and Analysis of Financial Condition and Results of Operations.</w:t>
      </w:r>
    </w:p>
    <w:p>
      <w:pPr>
        <w:spacing w:after="0" w:line="121" w:lineRule="exact"/>
        <w:rPr>
          <w:sz w:val="20"/>
          <w:szCs w:val="20"/>
          <w:color w:val="auto"/>
        </w:rPr>
      </w:pPr>
    </w:p>
    <w:p>
      <w:pPr>
        <w:ind w:right="80" w:firstLine="509"/>
        <w:spacing w:after="0" w:line="259" w:lineRule="auto"/>
        <w:rPr>
          <w:sz w:val="20"/>
          <w:szCs w:val="20"/>
          <w:color w:val="auto"/>
        </w:rPr>
      </w:pPr>
      <w:r>
        <w:rPr>
          <w:rFonts w:ascii="Arial" w:cs="Arial" w:eastAsia="Arial" w:hAnsi="Arial"/>
          <w:sz w:val="17"/>
          <w:szCs w:val="17"/>
          <w:i w:val="1"/>
          <w:iCs w:val="1"/>
          <w:color w:val="auto"/>
        </w:rPr>
        <w:t>The following discussion and analysis of our financial condition and results of operations should be read in conjunction with our condensed consolidated financial statements and related notes appearing elsewhere in this Quarterly Report on Form 10-Q and our consolidated financial statements and related notes appearing in our Annual Report on Form 10-K for the year ended December 31, 2021 (the “2021 Form 10-K”). As discussed in the section titled “Special Note Regarding Forward-Looking Statements,” the following discussion and analysis contains forward-looking statements that involve risks and uncertainties, as well as assumptions that, if they never materialize or prove incorrect, could cause our results to differ materially from those expressed or implied by such forward-looking statements. Factors that could cause or contribute to such differences include, but are not limited to, those identified below, and those discussed in the section titled “Risk Factors” included under Part II, Item 1A below. Our historical results are not necessarily indicative of the results that may be expected for any period in the future.</w:t>
      </w:r>
    </w:p>
    <w:p>
      <w:pPr>
        <w:spacing w:after="0" w:line="173" w:lineRule="exact"/>
        <w:rPr>
          <w:sz w:val="20"/>
          <w:szCs w:val="20"/>
          <w:color w:val="auto"/>
        </w:rPr>
      </w:pPr>
    </w:p>
    <w:p>
      <w:pPr>
        <w:ind w:right="320" w:firstLine="509"/>
        <w:spacing w:after="0" w:line="261" w:lineRule="auto"/>
        <w:rPr>
          <w:sz w:val="20"/>
          <w:szCs w:val="20"/>
          <w:color w:val="auto"/>
        </w:rPr>
      </w:pPr>
      <w:r>
        <w:rPr>
          <w:rFonts w:ascii="Arial" w:cs="Arial" w:eastAsia="Arial" w:hAnsi="Arial"/>
          <w:sz w:val="18"/>
          <w:szCs w:val="18"/>
          <w:i w:val="1"/>
          <w:iCs w:val="1"/>
          <w:color w:val="auto"/>
        </w:rPr>
        <w:t>Unless the context otherwise requires, all references in this report to “Amplitude,” the “Company,” “we,” “our,” “us,” or similar terms refer to Amplitude, Inc. and its subsidiaries.</w:t>
      </w:r>
    </w:p>
    <w:p>
      <w:pPr>
        <w:spacing w:after="0" w:line="28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Overview</w:t>
      </w:r>
    </w:p>
    <w:p>
      <w:pPr>
        <w:spacing w:after="0" w:line="107" w:lineRule="exact"/>
        <w:rPr>
          <w:sz w:val="20"/>
          <w:szCs w:val="20"/>
          <w:color w:val="auto"/>
        </w:rPr>
      </w:pPr>
    </w:p>
    <w:p>
      <w:pPr>
        <w:ind w:right="100" w:firstLine="509"/>
        <w:spacing w:after="0" w:line="248" w:lineRule="auto"/>
        <w:rPr>
          <w:sz w:val="20"/>
          <w:szCs w:val="20"/>
          <w:color w:val="auto"/>
        </w:rPr>
      </w:pPr>
      <w:r>
        <w:rPr>
          <w:rFonts w:ascii="Arial" w:cs="Arial" w:eastAsia="Arial" w:hAnsi="Arial"/>
          <w:sz w:val="18"/>
          <w:szCs w:val="18"/>
          <w:color w:val="auto"/>
        </w:rPr>
        <w:t>Amplitude is a leading Digital Analytics Platform that provides self-service visibility into the entire customer journey. With Amplitude, organizations can build amazing product experiences, drive revenue growth, and win their categories. We work with more than 1,900 paying customers of various sizes and stages of digital maturity, across many industries, including the teams behind some of the most-beloved digital products in the world. We have experienced significant growth in recent years, with more than 700 employees in seven global offices.</w:t>
      </w:r>
    </w:p>
    <w:p>
      <w:pPr>
        <w:spacing w:after="0" w:line="183" w:lineRule="exact"/>
        <w:rPr>
          <w:sz w:val="20"/>
          <w:szCs w:val="20"/>
          <w:color w:val="auto"/>
        </w:rPr>
      </w:pPr>
    </w:p>
    <w:p>
      <w:pPr>
        <w:ind w:right="40" w:firstLine="509"/>
        <w:spacing w:after="0" w:line="244" w:lineRule="auto"/>
        <w:rPr>
          <w:sz w:val="20"/>
          <w:szCs w:val="20"/>
          <w:color w:val="auto"/>
        </w:rPr>
      </w:pPr>
      <w:r>
        <w:rPr>
          <w:rFonts w:ascii="Arial" w:cs="Arial" w:eastAsia="Arial" w:hAnsi="Arial"/>
          <w:sz w:val="18"/>
          <w:szCs w:val="18"/>
          <w:color w:val="auto"/>
        </w:rPr>
        <w:t>At the core of our Digital Analytics Platform is our Behavioral Graph, a proprietary, purpose-built behavioral database that is the largest of its kind. Our Behavioral Graph instantly finds patterns, makes recommendations, and connects customer actions along their journeys to the right business outcomes, like engagement, growth, and loyalty. We architected our Behavioral Graph to power numerous products, beginning with our core product analytics solution. Consistently ranked #1 in multiple categories by G2, Amplitude Analytics provides real-time product data so cross-functional teams can understand what is working and what is not. We have since expanded our offerings to include products that enable teams to build personalized product experiences, test product changes, and improve data quality across their technology stack. These expansions include Amplitude Experiment, a product experimentation platform, and Amplitude CDP.</w:t>
      </w:r>
    </w:p>
    <w:p>
      <w:pPr>
        <w:spacing w:after="0" w:line="30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Key Factors Affecting Our Performance</w:t>
      </w:r>
    </w:p>
    <w:p>
      <w:pPr>
        <w:spacing w:after="0" w:line="107" w:lineRule="exact"/>
        <w:rPr>
          <w:sz w:val="20"/>
          <w:szCs w:val="20"/>
          <w:color w:val="auto"/>
        </w:rPr>
      </w:pPr>
    </w:p>
    <w:p>
      <w:pPr>
        <w:ind w:right="40" w:firstLine="509"/>
        <w:spacing w:after="0" w:line="247" w:lineRule="auto"/>
        <w:rPr>
          <w:sz w:val="20"/>
          <w:szCs w:val="20"/>
          <w:color w:val="auto"/>
        </w:rPr>
      </w:pPr>
      <w:r>
        <w:rPr>
          <w:rFonts w:ascii="Arial" w:cs="Arial" w:eastAsia="Arial" w:hAnsi="Arial"/>
          <w:sz w:val="18"/>
          <w:szCs w:val="18"/>
          <w:color w:val="auto"/>
        </w:rPr>
        <w:t>We believe that the growth and future success of our business depends on many factors. While each of these factors presents significant opportunities for our business, they also pose important challenges that we must successfully address in order to sustain our growth and improve our results of operations.</w:t>
      </w:r>
    </w:p>
    <w:p>
      <w:pPr>
        <w:spacing w:after="0" w:line="30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Customer Acquisition and Expansion</w:t>
      </w:r>
    </w:p>
    <w:p>
      <w:pPr>
        <w:spacing w:after="0" w:line="103" w:lineRule="exact"/>
        <w:rPr>
          <w:sz w:val="20"/>
          <w:szCs w:val="20"/>
          <w:color w:val="auto"/>
        </w:rPr>
      </w:pPr>
    </w:p>
    <w:p>
      <w:pPr>
        <w:ind w:right="360" w:firstLine="509"/>
        <w:spacing w:after="0" w:line="248" w:lineRule="auto"/>
        <w:rPr>
          <w:sz w:val="20"/>
          <w:szCs w:val="20"/>
          <w:color w:val="auto"/>
        </w:rPr>
      </w:pPr>
      <w:r>
        <w:rPr>
          <w:rFonts w:ascii="Arial" w:cs="Arial" w:eastAsia="Arial" w:hAnsi="Arial"/>
          <w:sz w:val="18"/>
          <w:szCs w:val="18"/>
          <w:color w:val="auto"/>
        </w:rPr>
        <w:t>We believe that our Digital Analytics Platform can help businesses across industries, company size, and stages of digital maturity drive better business outcomes through optimizing the digital product experience of their customers. We are focused on continuing to acquire new customers and expanding our relationships with our existing installed base to support our long-term growth. We have invested, and expect to continue to invest, in our sales and marketing efforts to drive customer acquisition.</w:t>
      </w:r>
    </w:p>
    <w:p>
      <w:pPr>
        <w:spacing w:after="0" w:line="183" w:lineRule="exact"/>
        <w:rPr>
          <w:sz w:val="20"/>
          <w:szCs w:val="20"/>
          <w:color w:val="auto"/>
        </w:rPr>
      </w:pPr>
    </w:p>
    <w:p>
      <w:pPr>
        <w:jc w:val="both"/>
        <w:ind w:right="100" w:firstLine="509"/>
        <w:spacing w:after="0" w:line="255" w:lineRule="auto"/>
        <w:rPr>
          <w:sz w:val="20"/>
          <w:szCs w:val="20"/>
          <w:color w:val="auto"/>
        </w:rPr>
      </w:pPr>
      <w:r>
        <w:rPr>
          <w:rFonts w:ascii="Arial" w:cs="Arial" w:eastAsia="Arial" w:hAnsi="Arial"/>
          <w:sz w:val="18"/>
          <w:szCs w:val="18"/>
          <w:color w:val="auto"/>
        </w:rPr>
        <w:t>As of September 30, 2022 and 2021, we had 1,913 and 1,417 paying customers, respectively, representing an increase of 35% year-over-year. Our relationship with some of the world’s most beloved product-led companies has resulted in increased brand credibility and access to many attractive growth opportunities.</w:t>
      </w:r>
    </w:p>
    <w:p>
      <w:pPr>
        <w:spacing w:after="0" w:line="176" w:lineRule="exact"/>
        <w:rPr>
          <w:sz w:val="20"/>
          <w:szCs w:val="20"/>
          <w:color w:val="auto"/>
        </w:rPr>
      </w:pPr>
    </w:p>
    <w:p>
      <w:pPr>
        <w:ind w:right="120" w:firstLine="509"/>
        <w:spacing w:after="0" w:line="255" w:lineRule="auto"/>
        <w:rPr>
          <w:sz w:val="20"/>
          <w:szCs w:val="20"/>
          <w:color w:val="auto"/>
        </w:rPr>
      </w:pPr>
      <w:r>
        <w:rPr>
          <w:rFonts w:ascii="Arial" w:cs="Arial" w:eastAsia="Arial" w:hAnsi="Arial"/>
          <w:sz w:val="18"/>
          <w:szCs w:val="18"/>
          <w:color w:val="auto"/>
        </w:rPr>
        <w:t>We have been successful at efficiently growing our customer spend over time as evidenced by our dollar-based net retention rates. As of September 30, 2022 and 2021, our dollar-based net retention rate was 123% and 121%, respectively, for paying customers. We continue to increase the number of customers who have entered and grown into larger subscriptions with us.</w:t>
      </w:r>
    </w:p>
    <w:p>
      <w:pPr>
        <w:spacing w:after="0" w:line="28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Investments in Platform</w:t>
      </w:r>
    </w:p>
    <w:p>
      <w:pPr>
        <w:spacing w:after="0" w:line="117" w:lineRule="exact"/>
        <w:rPr>
          <w:sz w:val="20"/>
          <w:szCs w:val="20"/>
          <w:color w:val="auto"/>
        </w:rPr>
      </w:pPr>
    </w:p>
    <w:p>
      <w:pPr>
        <w:ind w:firstLine="509"/>
        <w:spacing w:after="0" w:line="245" w:lineRule="auto"/>
        <w:rPr>
          <w:sz w:val="20"/>
          <w:szCs w:val="20"/>
          <w:color w:val="auto"/>
        </w:rPr>
      </w:pPr>
      <w:r>
        <w:rPr>
          <w:rFonts w:ascii="Arial" w:cs="Arial" w:eastAsia="Arial" w:hAnsi="Arial"/>
          <w:sz w:val="18"/>
          <w:szCs w:val="18"/>
          <w:color w:val="auto"/>
        </w:rPr>
        <w:t>We believe that our customers will demand additional features and capabilities beyond our current platform offerings to assist them in optimizing their digital products. We have a history of, and will continue to invest significantly in, developing and delivering innovative products, features, and functionality targeted at our core customer base. In addition, we may choose to add new products and offerings or enhance our platform capabilities through acquisitions. In 2020, we acquired ClearBrain to bolster our predictive analytics capabilities, and in 2021, we acquired Iteratively, a software company that bolsters our ability to empower developers to</w:t>
      </w:r>
    </w:p>
    <w:p>
      <w:pPr>
        <w:spacing w:after="0" w:line="7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61595</wp:posOffset>
            </wp:positionV>
            <wp:extent cx="7157720" cy="42545"/>
            <wp:wrapNone/>
            <wp:docPr id="221" name="Picture 2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1"/>
                    <pic:cNvPicPr>
                      <a:picLocks noChangeAspect="1" noChangeArrowheads="1"/>
                    </pic:cNvPicPr>
                  </pic:nvPicPr>
                  <pic:blipFill>
                    <a:blip r:embed="rId22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647" w:right="339" w:bottom="1440" w:gutter="0" w:footer="0" w:header="0"/>
        </w:sectPr>
      </w:pPr>
    </w:p>
    <w:bookmarkStart w:id="25" w:name="page26"/>
    <w:bookmarkEnd w:id="25"/>
    <w:p>
      <w:pPr>
        <w:jc w:val="both"/>
        <w:ind w:right="100"/>
        <w:spacing w:after="0" w:line="255" w:lineRule="auto"/>
        <w:rPr>
          <w:sz w:val="20"/>
          <w:szCs w:val="20"/>
          <w:color w:val="auto"/>
        </w:rPr>
      </w:pPr>
      <w:r>
        <w:rPr>
          <w:rFonts w:ascii="Arial" w:cs="Arial" w:eastAsia="Arial" w:hAnsi="Arial"/>
          <w:sz w:val="18"/>
          <w:szCs w:val="18"/>
          <w:color w:val="auto"/>
        </w:rPr>
        <w:t>more quickly, easily, and accurately instrument data into our platform. Going forward, we may pursue both strategic partnerships and acquisitions that we believe will be complementary to our business, accelerate customer acquisition, increase usage of our platform, and/or expand our product offerings in our core markets.</w:t>
      </w:r>
    </w:p>
    <w:p>
      <w:pPr>
        <w:spacing w:after="0" w:line="28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Investing for Growth</w:t>
      </w:r>
    </w:p>
    <w:p>
      <w:pPr>
        <w:spacing w:after="0" w:line="117" w:lineRule="exact"/>
        <w:rPr>
          <w:sz w:val="20"/>
          <w:szCs w:val="20"/>
          <w:color w:val="auto"/>
        </w:rPr>
      </w:pPr>
    </w:p>
    <w:p>
      <w:pPr>
        <w:ind w:firstLine="509"/>
        <w:spacing w:after="0" w:line="242" w:lineRule="auto"/>
        <w:rPr>
          <w:sz w:val="20"/>
          <w:szCs w:val="20"/>
          <w:color w:val="auto"/>
        </w:rPr>
      </w:pPr>
      <w:r>
        <w:rPr>
          <w:rFonts w:ascii="Arial" w:cs="Arial" w:eastAsia="Arial" w:hAnsi="Arial"/>
          <w:sz w:val="18"/>
          <w:szCs w:val="18"/>
          <w:color w:val="auto"/>
        </w:rPr>
        <w:t>Our investment for growth encompasses multiple critical areas, including product expansion, our sales force, sales support, partner ecosystem, and our international presence. We continue to evolve our technology to ensure that we are best serving our customers’ needs. We believe this will lead to continued increased retention and positive customer referrals that will continue to generate expansion opportunities within our existing installed base and from new customers. We plan to continue to invest in our research and development organization to maintain and strengthen our market leadership position, and we believe that attracting the best engineering talent will continue to be critical to our long-term success. As we continue to invest in our platform, we expect our research and development expenses to continue to increase in dollar amount, and although we believe these expenses as a percentage of revenue will decrease over the longer term, we expect that these expenses as a percentage of revenue will increase in the short term as we invest in product innovation.</w:t>
      </w:r>
    </w:p>
    <w:p>
      <w:pPr>
        <w:spacing w:after="0" w:line="191" w:lineRule="exact"/>
        <w:rPr>
          <w:sz w:val="20"/>
          <w:szCs w:val="20"/>
          <w:color w:val="auto"/>
        </w:rPr>
      </w:pPr>
    </w:p>
    <w:p>
      <w:pPr>
        <w:ind w:right="160" w:firstLine="509"/>
        <w:spacing w:after="0" w:line="283" w:lineRule="auto"/>
        <w:rPr>
          <w:sz w:val="20"/>
          <w:szCs w:val="20"/>
          <w:color w:val="auto"/>
        </w:rPr>
      </w:pPr>
      <w:r>
        <w:rPr>
          <w:rFonts w:ascii="Arial" w:cs="Arial" w:eastAsia="Arial" w:hAnsi="Arial"/>
          <w:sz w:val="16"/>
          <w:szCs w:val="16"/>
          <w:color w:val="auto"/>
        </w:rPr>
        <w:t>We will continue to invest in expanding our sales force and associated sales support to pursue attractive growth opportunities and ensure customer success, particularly with larger enterprises where we have experienced significant traction to date. We also plan to invest in our channel partners, such as independent software vendors, and resellers, to extend our reach faster than we could do on our own. As we continue to invest in our sales efforts, we expect our sales and marketing expenses to continue to increase in dollar amount, and although we believe these expenses as a percentage of revenue will decrease over the longer term, we expect these expenses as a percentage of revenue will increase in the short term as we invest in sales growth.</w:t>
      </w:r>
    </w:p>
    <w:p>
      <w:pPr>
        <w:spacing w:after="0" w:line="169" w:lineRule="exact"/>
        <w:rPr>
          <w:sz w:val="20"/>
          <w:szCs w:val="20"/>
          <w:color w:val="auto"/>
        </w:rPr>
      </w:pPr>
    </w:p>
    <w:p>
      <w:pPr>
        <w:ind w:right="40" w:firstLine="509"/>
        <w:spacing w:after="0" w:line="244" w:lineRule="auto"/>
        <w:rPr>
          <w:sz w:val="20"/>
          <w:szCs w:val="20"/>
          <w:color w:val="auto"/>
        </w:rPr>
      </w:pPr>
      <w:r>
        <w:rPr>
          <w:rFonts w:ascii="Arial" w:cs="Arial" w:eastAsia="Arial" w:hAnsi="Arial"/>
          <w:sz w:val="18"/>
          <w:szCs w:val="18"/>
          <w:color w:val="auto"/>
        </w:rPr>
        <w:t>Finally, we see opportunities to expand offices and headcount internationally to better service targeted international markets where we believe we have significant opportunity to accelerate existing traction and success. For the three and nine months ended September 30, 2022, 39% and 38% of our revenue was generated outside the United States, respectively. As we seek to expand our business globally, we may be adversely affected by global economic and political instability. For example, as a result of the Russia-Ukraine conflict, we terminated certain relationships with customers in Russia and some of the businesses of our customers in the impacted regions have experienced disruptions that have affected their ability to pay for our services. See “Risk Factors–Risks Related to Our Business and Industry–Our operations are international in scope, and we plan further geographical expansion, creating a variety of operational challenges.”</w:t>
      </w:r>
    </w:p>
    <w:p>
      <w:pPr>
        <w:spacing w:after="0" w:line="7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61595</wp:posOffset>
            </wp:positionV>
            <wp:extent cx="7157720" cy="42545"/>
            <wp:wrapNone/>
            <wp:docPr id="222" name="Picture 2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2"/>
                    <pic:cNvPicPr>
                      <a:picLocks noChangeAspect="1" noChangeArrowheads="1"/>
                    </pic:cNvPicPr>
                  </pic:nvPicPr>
                  <pic:blipFill>
                    <a:blip r:embed="rId22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435" w:right="359" w:bottom="1440" w:gutter="0" w:footer="0" w:header="0"/>
        </w:sectPr>
      </w:pPr>
    </w:p>
    <w:bookmarkStart w:id="26" w:name="page27"/>
    <w:bookmarkEnd w:id="26"/>
    <w:p>
      <w:pPr>
        <w:spacing w:after="0"/>
        <w:rPr>
          <w:sz w:val="20"/>
          <w:szCs w:val="20"/>
          <w:color w:val="auto"/>
        </w:rPr>
      </w:pPr>
      <w:r>
        <w:rPr>
          <w:rFonts w:ascii="Arial" w:cs="Arial" w:eastAsia="Arial" w:hAnsi="Arial"/>
          <w:sz w:val="18"/>
          <w:szCs w:val="18"/>
          <w:b w:val="1"/>
          <w:bCs w:val="1"/>
          <w:color w:val="auto"/>
        </w:rPr>
        <w:t>Key Business Metrics</w:t>
      </w:r>
    </w:p>
    <w:p>
      <w:pPr>
        <w:spacing w:after="0" w:line="121" w:lineRule="exact"/>
        <w:rPr>
          <w:sz w:val="20"/>
          <w:szCs w:val="20"/>
          <w:color w:val="auto"/>
        </w:rPr>
      </w:pPr>
    </w:p>
    <w:p>
      <w:pPr>
        <w:ind w:right="280" w:firstLine="509"/>
        <w:spacing w:after="0" w:line="293" w:lineRule="auto"/>
        <w:rPr>
          <w:sz w:val="20"/>
          <w:szCs w:val="20"/>
          <w:color w:val="auto"/>
        </w:rPr>
      </w:pPr>
      <w:r>
        <w:rPr>
          <w:rFonts w:ascii="Arial" w:cs="Arial" w:eastAsia="Arial" w:hAnsi="Arial"/>
          <w:sz w:val="16"/>
          <w:szCs w:val="16"/>
          <w:color w:val="auto"/>
        </w:rPr>
        <w:t>We review a number of operating and financial metrics, including the following key metrics to evaluate our business, measure our performance, identify trends affecting our business, formulate business plans, and make strategic decisions. We are not aware of any uniform standards for calculating these key metrics, which may hinder comparability with other companies who may calculate similarly-titled metrics in a different way.</w:t>
      </w:r>
    </w:p>
    <w:p>
      <w:pPr>
        <w:spacing w:after="0" w:line="185"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5380" w:type="dxa"/>
            <w:vAlign w:val="bottom"/>
          </w:tcPr>
          <w:p>
            <w:pPr>
              <w:spacing w:after="0"/>
              <w:rPr>
                <w:sz w:val="20"/>
                <w:szCs w:val="20"/>
                <w:color w:val="auto"/>
              </w:rPr>
            </w:pPr>
          </w:p>
        </w:tc>
        <w:tc>
          <w:tcPr>
            <w:tcW w:w="1100" w:type="dxa"/>
            <w:vAlign w:val="bottom"/>
            <w:tcBorders>
              <w:bottom w:val="single" w:sz="8" w:color="auto"/>
            </w:tcBorders>
          </w:tcPr>
          <w:p>
            <w:pPr>
              <w:spacing w:after="0"/>
              <w:rPr>
                <w:sz w:val="20"/>
                <w:szCs w:val="20"/>
                <w:color w:val="auto"/>
              </w:rPr>
            </w:pPr>
          </w:p>
        </w:tc>
        <w:tc>
          <w:tcPr>
            <w:tcW w:w="2160" w:type="dxa"/>
            <w:vAlign w:val="bottom"/>
            <w:tcBorders>
              <w:bottom w:val="single" w:sz="8" w:color="auto"/>
            </w:tcBorders>
            <w:gridSpan w:val="3"/>
          </w:tcPr>
          <w:p>
            <w:pPr>
              <w:jc w:val="right"/>
              <w:ind w:right="560"/>
              <w:spacing w:after="0"/>
              <w:rPr>
                <w:sz w:val="20"/>
                <w:szCs w:val="20"/>
                <w:color w:val="auto"/>
              </w:rPr>
            </w:pPr>
            <w:r>
              <w:rPr>
                <w:rFonts w:ascii="Arial" w:cs="Arial" w:eastAsia="Arial" w:hAnsi="Arial"/>
                <w:sz w:val="18"/>
                <w:szCs w:val="18"/>
                <w:b w:val="1"/>
                <w:bCs w:val="1"/>
                <w:color w:val="auto"/>
                <w:w w:val="91"/>
              </w:rPr>
              <w:t>As of September 30,</w:t>
            </w:r>
          </w:p>
        </w:tc>
        <w:tc>
          <w:tcPr>
            <w:tcW w:w="600" w:type="dxa"/>
            <w:vAlign w:val="bottom"/>
            <w:tcBorders>
              <w:bottom w:val="single" w:sz="8" w:color="auto"/>
            </w:tcBorders>
          </w:tcPr>
          <w:p>
            <w:pPr>
              <w:spacing w:after="0"/>
              <w:rPr>
                <w:sz w:val="20"/>
                <w:szCs w:val="20"/>
                <w:color w:val="auto"/>
              </w:rPr>
            </w:pPr>
          </w:p>
        </w:tc>
        <w:tc>
          <w:tcPr>
            <w:tcW w:w="280" w:type="dxa"/>
            <w:vAlign w:val="bottom"/>
          </w:tcPr>
          <w:p>
            <w:pPr>
              <w:spacing w:after="0"/>
              <w:rPr>
                <w:sz w:val="20"/>
                <w:szCs w:val="20"/>
                <w:color w:val="auto"/>
              </w:rPr>
            </w:pPr>
          </w:p>
        </w:tc>
        <w:tc>
          <w:tcPr>
            <w:tcW w:w="1720" w:type="dxa"/>
            <w:vAlign w:val="bottom"/>
            <w:vMerge w:val="restart"/>
          </w:tcPr>
          <w:p>
            <w:pPr>
              <w:jc w:val="center"/>
              <w:spacing w:after="0"/>
              <w:rPr>
                <w:sz w:val="20"/>
                <w:szCs w:val="20"/>
                <w:color w:val="auto"/>
              </w:rPr>
            </w:pPr>
            <w:r>
              <w:rPr>
                <w:rFonts w:ascii="Arial" w:cs="Arial" w:eastAsia="Arial" w:hAnsi="Arial"/>
                <w:sz w:val="18"/>
                <w:szCs w:val="18"/>
                <w:b w:val="1"/>
                <w:bCs w:val="1"/>
                <w:color w:val="auto"/>
                <w:w w:val="93"/>
              </w:rPr>
              <w:t>YoY Growth</w:t>
            </w:r>
          </w:p>
        </w:tc>
        <w:tc>
          <w:tcPr>
            <w:tcW w:w="0" w:type="dxa"/>
            <w:vAlign w:val="bottom"/>
          </w:tcPr>
          <w:p>
            <w:pPr>
              <w:spacing w:after="0"/>
              <w:rPr>
                <w:sz w:val="1"/>
                <w:szCs w:val="1"/>
                <w:color w:val="auto"/>
              </w:rPr>
            </w:pPr>
          </w:p>
        </w:tc>
      </w:tr>
      <w:tr>
        <w:trPr>
          <w:trHeight w:val="209"/>
        </w:trPr>
        <w:tc>
          <w:tcPr>
            <w:tcW w:w="5380" w:type="dxa"/>
            <w:vAlign w:val="bottom"/>
          </w:tcPr>
          <w:p>
            <w:pPr>
              <w:spacing w:after="0"/>
              <w:rPr>
                <w:sz w:val="18"/>
                <w:szCs w:val="18"/>
                <w:color w:val="auto"/>
              </w:rPr>
            </w:pPr>
          </w:p>
        </w:tc>
        <w:tc>
          <w:tcPr>
            <w:tcW w:w="1100" w:type="dxa"/>
            <w:vAlign w:val="bottom"/>
          </w:tcPr>
          <w:p>
            <w:pPr>
              <w:jc w:val="right"/>
              <w:spacing w:after="0"/>
              <w:rPr>
                <w:sz w:val="20"/>
                <w:szCs w:val="20"/>
                <w:color w:val="auto"/>
              </w:rPr>
            </w:pPr>
            <w:r>
              <w:rPr>
                <w:rFonts w:ascii="Arial" w:cs="Arial" w:eastAsia="Arial" w:hAnsi="Arial"/>
                <w:sz w:val="18"/>
                <w:szCs w:val="18"/>
                <w:b w:val="1"/>
                <w:bCs w:val="1"/>
                <w:color w:val="auto"/>
              </w:rPr>
              <w:t>2022</w:t>
            </w:r>
          </w:p>
        </w:tc>
        <w:tc>
          <w:tcPr>
            <w:tcW w:w="2160" w:type="dxa"/>
            <w:vAlign w:val="bottom"/>
            <w:gridSpan w:val="3"/>
          </w:tcPr>
          <w:p>
            <w:pPr>
              <w:jc w:val="right"/>
              <w:ind w:right="180"/>
              <w:spacing w:after="0"/>
              <w:rPr>
                <w:sz w:val="20"/>
                <w:szCs w:val="20"/>
                <w:color w:val="auto"/>
              </w:rPr>
            </w:pPr>
            <w:r>
              <w:rPr>
                <w:rFonts w:ascii="Arial" w:cs="Arial" w:eastAsia="Arial" w:hAnsi="Arial"/>
                <w:sz w:val="18"/>
                <w:szCs w:val="18"/>
                <w:b w:val="1"/>
                <w:bCs w:val="1"/>
                <w:color w:val="auto"/>
              </w:rPr>
              <w:t>2021</w:t>
            </w:r>
          </w:p>
        </w:tc>
        <w:tc>
          <w:tcPr>
            <w:tcW w:w="6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72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5380" w:type="dxa"/>
            <w:vAlign w:val="bottom"/>
            <w:shd w:val="clear" w:color="auto" w:fill="CFF0FC"/>
          </w:tcPr>
          <w:p>
            <w:pPr>
              <w:ind w:left="20"/>
              <w:spacing w:after="0"/>
              <w:rPr>
                <w:sz w:val="20"/>
                <w:szCs w:val="20"/>
                <w:color w:val="auto"/>
              </w:rPr>
            </w:pPr>
            <w:r>
              <w:rPr>
                <w:rFonts w:ascii="Arial" w:cs="Arial" w:eastAsia="Arial" w:hAnsi="Arial"/>
                <w:sz w:val="18"/>
                <w:szCs w:val="18"/>
                <w:color w:val="auto"/>
              </w:rPr>
              <w:t>Paying Customers</w:t>
            </w:r>
          </w:p>
        </w:tc>
        <w:tc>
          <w:tcPr>
            <w:tcW w:w="1100" w:type="dxa"/>
            <w:vAlign w:val="bottom"/>
            <w:tcBorders>
              <w:top w:val="single" w:sz="8" w:color="auto"/>
            </w:tcBorders>
            <w:shd w:val="clear" w:color="auto" w:fill="CFF0FC"/>
          </w:tcPr>
          <w:p>
            <w:pPr>
              <w:spacing w:after="0"/>
              <w:rPr>
                <w:sz w:val="19"/>
                <w:szCs w:val="19"/>
                <w:color w:val="auto"/>
              </w:rPr>
            </w:pPr>
          </w:p>
        </w:tc>
        <w:tc>
          <w:tcPr>
            <w:tcW w:w="56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1,913</w:t>
            </w:r>
          </w:p>
        </w:tc>
        <w:tc>
          <w:tcPr>
            <w:tcW w:w="260" w:type="dxa"/>
            <w:vAlign w:val="bottom"/>
            <w:shd w:val="clear" w:color="auto" w:fill="CFF0FC"/>
          </w:tcPr>
          <w:p>
            <w:pPr>
              <w:spacing w:after="0"/>
              <w:rPr>
                <w:sz w:val="19"/>
                <w:szCs w:val="19"/>
                <w:color w:val="auto"/>
              </w:rPr>
            </w:pPr>
          </w:p>
        </w:tc>
        <w:tc>
          <w:tcPr>
            <w:tcW w:w="1340" w:type="dxa"/>
            <w:vAlign w:val="bottom"/>
            <w:tcBorders>
              <w:top w:val="single" w:sz="8" w:color="auto"/>
            </w:tcBorders>
            <w:shd w:val="clear" w:color="auto" w:fill="CFF0FC"/>
          </w:tcPr>
          <w:p>
            <w:pPr>
              <w:spacing w:after="0"/>
              <w:rPr>
                <w:sz w:val="19"/>
                <w:szCs w:val="19"/>
                <w:color w:val="auto"/>
              </w:rPr>
            </w:pPr>
          </w:p>
        </w:tc>
        <w:tc>
          <w:tcPr>
            <w:tcW w:w="60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1,417</w:t>
            </w:r>
          </w:p>
        </w:tc>
        <w:tc>
          <w:tcPr>
            <w:tcW w:w="280" w:type="dxa"/>
            <w:vAlign w:val="bottom"/>
            <w:shd w:val="clear" w:color="auto" w:fill="CFF0FC"/>
          </w:tcPr>
          <w:p>
            <w:pPr>
              <w:spacing w:after="0"/>
              <w:rPr>
                <w:sz w:val="19"/>
                <w:szCs w:val="19"/>
                <w:color w:val="auto"/>
              </w:rPr>
            </w:pPr>
          </w:p>
        </w:tc>
        <w:tc>
          <w:tcPr>
            <w:tcW w:w="1720" w:type="dxa"/>
            <w:vAlign w:val="bottom"/>
            <w:tcBorders>
              <w:top w:val="single" w:sz="8" w:color="auto"/>
            </w:tcBorders>
            <w:shd w:val="clear" w:color="auto" w:fill="CFF0FC"/>
          </w:tcPr>
          <w:p>
            <w:pPr>
              <w:jc w:val="right"/>
              <w:ind w:right="610"/>
              <w:spacing w:after="0"/>
              <w:rPr>
                <w:sz w:val="20"/>
                <w:szCs w:val="20"/>
                <w:color w:val="auto"/>
              </w:rPr>
            </w:pPr>
            <w:r>
              <w:rPr>
                <w:rFonts w:ascii="Arial" w:cs="Arial" w:eastAsia="Arial" w:hAnsi="Arial"/>
                <w:sz w:val="18"/>
                <w:szCs w:val="18"/>
                <w:color w:val="auto"/>
              </w:rPr>
              <w:t>35%</w:t>
            </w:r>
          </w:p>
        </w:tc>
        <w:tc>
          <w:tcPr>
            <w:tcW w:w="0" w:type="dxa"/>
            <w:vAlign w:val="bottom"/>
          </w:tcPr>
          <w:p>
            <w:pPr>
              <w:spacing w:after="0"/>
              <w:rPr>
                <w:sz w:val="1"/>
                <w:szCs w:val="1"/>
                <w:color w:val="auto"/>
              </w:rPr>
            </w:pPr>
          </w:p>
        </w:tc>
      </w:tr>
      <w:tr>
        <w:trPr>
          <w:trHeight w:val="230"/>
        </w:trPr>
        <w:tc>
          <w:tcPr>
            <w:tcW w:w="6480" w:type="dxa"/>
            <w:vAlign w:val="bottom"/>
            <w:gridSpan w:val="2"/>
          </w:tcPr>
          <w:p>
            <w:pPr>
              <w:ind w:left="20"/>
              <w:spacing w:after="0"/>
              <w:rPr>
                <w:sz w:val="20"/>
                <w:szCs w:val="20"/>
                <w:color w:val="auto"/>
              </w:rPr>
            </w:pPr>
            <w:r>
              <w:rPr>
                <w:rFonts w:ascii="Arial" w:cs="Arial" w:eastAsia="Arial" w:hAnsi="Arial"/>
                <w:sz w:val="18"/>
                <w:szCs w:val="18"/>
                <w:color w:val="auto"/>
              </w:rPr>
              <w:t>Dollar-Based Net Retention Rate</w:t>
            </w:r>
          </w:p>
        </w:tc>
        <w:tc>
          <w:tcPr>
            <w:tcW w:w="820" w:type="dxa"/>
            <w:vAlign w:val="bottom"/>
            <w:gridSpan w:val="2"/>
          </w:tcPr>
          <w:p>
            <w:pPr>
              <w:jc w:val="right"/>
              <w:ind w:right="100"/>
              <w:spacing w:after="0"/>
              <w:rPr>
                <w:sz w:val="20"/>
                <w:szCs w:val="20"/>
                <w:color w:val="auto"/>
              </w:rPr>
            </w:pPr>
            <w:r>
              <w:rPr>
                <w:rFonts w:ascii="Arial" w:cs="Arial" w:eastAsia="Arial" w:hAnsi="Arial"/>
                <w:sz w:val="18"/>
                <w:szCs w:val="18"/>
                <w:color w:val="auto"/>
              </w:rPr>
              <w:t>123 %</w:t>
            </w:r>
          </w:p>
        </w:tc>
        <w:tc>
          <w:tcPr>
            <w:tcW w:w="1340" w:type="dxa"/>
            <w:vAlign w:val="bottom"/>
          </w:tcPr>
          <w:p>
            <w:pPr>
              <w:spacing w:after="0"/>
              <w:rPr>
                <w:sz w:val="20"/>
                <w:szCs w:val="20"/>
                <w:color w:val="auto"/>
              </w:rPr>
            </w:pPr>
          </w:p>
        </w:tc>
        <w:tc>
          <w:tcPr>
            <w:tcW w:w="880" w:type="dxa"/>
            <w:vAlign w:val="bottom"/>
            <w:gridSpan w:val="2"/>
          </w:tcPr>
          <w:p>
            <w:pPr>
              <w:jc w:val="right"/>
              <w:ind w:right="120"/>
              <w:spacing w:after="0"/>
              <w:rPr>
                <w:sz w:val="20"/>
                <w:szCs w:val="20"/>
                <w:color w:val="auto"/>
              </w:rPr>
            </w:pPr>
            <w:r>
              <w:rPr>
                <w:rFonts w:ascii="Arial" w:cs="Arial" w:eastAsia="Arial" w:hAnsi="Arial"/>
                <w:sz w:val="18"/>
                <w:szCs w:val="18"/>
                <w:color w:val="auto"/>
              </w:rPr>
              <w:t>121 %</w:t>
            </w:r>
          </w:p>
        </w:tc>
        <w:tc>
          <w:tcPr>
            <w:tcW w:w="1720" w:type="dxa"/>
            <w:vAlign w:val="bottom"/>
          </w:tcPr>
          <w:p>
            <w:pPr>
              <w:spacing w:after="0"/>
              <w:rPr>
                <w:sz w:val="20"/>
                <w:szCs w:val="20"/>
                <w:color w:val="auto"/>
              </w:rPr>
            </w:pPr>
          </w:p>
        </w:tc>
        <w:tc>
          <w:tcPr>
            <w:tcW w:w="0" w:type="dxa"/>
            <w:vAlign w:val="bottom"/>
          </w:tcPr>
          <w:p>
            <w:pPr>
              <w:spacing w:after="0"/>
              <w:rPr>
                <w:sz w:val="1"/>
                <w:szCs w:val="1"/>
                <w:color w:val="auto"/>
              </w:rPr>
            </w:pPr>
          </w:p>
        </w:tc>
      </w:tr>
    </w:tbl>
    <w:p>
      <w:pPr>
        <w:spacing w:after="0" w:line="33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Paying Customers</w:t>
      </w:r>
    </w:p>
    <w:p>
      <w:pPr>
        <w:spacing w:after="0" w:line="103" w:lineRule="exact"/>
        <w:rPr>
          <w:sz w:val="20"/>
          <w:szCs w:val="20"/>
          <w:color w:val="auto"/>
        </w:rPr>
      </w:pPr>
    </w:p>
    <w:p>
      <w:pPr>
        <w:ind w:right="160" w:firstLine="509"/>
        <w:spacing w:after="0" w:line="248" w:lineRule="auto"/>
        <w:rPr>
          <w:sz w:val="20"/>
          <w:szCs w:val="20"/>
          <w:color w:val="auto"/>
        </w:rPr>
      </w:pPr>
      <w:r>
        <w:rPr>
          <w:rFonts w:ascii="Arial" w:cs="Arial" w:eastAsia="Arial" w:hAnsi="Arial"/>
          <w:sz w:val="18"/>
          <w:szCs w:val="18"/>
          <w:color w:val="auto"/>
        </w:rPr>
        <w:t>We believe our ability to grow the number of paying customers on our platform provides a key indicator of the demand for our platform, growth of our business, and our future business opportunities. Increasing awareness of our platform and its broad range of capabilities, coupled with the mainstream adoption of cloud-based technology, has expanded the diversity of our customer base to include organizations of different sizes across virtually all industries.</w:t>
      </w:r>
    </w:p>
    <w:p>
      <w:pPr>
        <w:spacing w:after="0" w:line="183" w:lineRule="exact"/>
        <w:rPr>
          <w:sz w:val="20"/>
          <w:szCs w:val="20"/>
          <w:color w:val="auto"/>
        </w:rPr>
      </w:pPr>
    </w:p>
    <w:p>
      <w:pPr>
        <w:ind w:right="40" w:firstLine="509"/>
        <w:spacing w:after="0" w:line="248" w:lineRule="auto"/>
        <w:rPr>
          <w:sz w:val="20"/>
          <w:szCs w:val="20"/>
          <w:color w:val="auto"/>
        </w:rPr>
      </w:pPr>
      <w:r>
        <w:rPr>
          <w:rFonts w:ascii="Arial" w:cs="Arial" w:eastAsia="Arial" w:hAnsi="Arial"/>
          <w:sz w:val="18"/>
          <w:szCs w:val="18"/>
          <w:color w:val="auto"/>
        </w:rPr>
        <w:t>For purposes of customer count, a customer is defined as an entity that has a unique Dunn &amp; Bradstreet Global Ultimate (“GULT”) Data Universal Numbering System (“DUNS”) number and an active subscription contract as of the measurement date. The DUNS number is a global standard for business identification and tracking. We make exceptions for holding companies, government entities, and other organizations for which the GULT, in our judgment, does not accurately represent the Amplitude customer or the DUNS does not exist.</w:t>
      </w:r>
    </w:p>
    <w:p>
      <w:pPr>
        <w:spacing w:after="0" w:line="30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Dollar-Based Net Retention Rate</w:t>
      </w:r>
    </w:p>
    <w:p>
      <w:pPr>
        <w:spacing w:after="0" w:line="103" w:lineRule="exact"/>
        <w:rPr>
          <w:sz w:val="20"/>
          <w:szCs w:val="20"/>
          <w:color w:val="auto"/>
        </w:rPr>
      </w:pPr>
    </w:p>
    <w:p>
      <w:pPr>
        <w:ind w:right="40" w:firstLine="509"/>
        <w:spacing w:after="0" w:line="282" w:lineRule="auto"/>
        <w:rPr>
          <w:sz w:val="20"/>
          <w:szCs w:val="20"/>
          <w:color w:val="auto"/>
        </w:rPr>
      </w:pPr>
      <w:r>
        <w:rPr>
          <w:rFonts w:ascii="Arial" w:cs="Arial" w:eastAsia="Arial" w:hAnsi="Arial"/>
          <w:sz w:val="16"/>
          <w:szCs w:val="16"/>
          <w:color w:val="auto"/>
        </w:rPr>
        <w:t>We calculate our dollar-based net retention rate to measure our ability to retain and expand Annual Recurring Revenue (“ARR”) from our customers and believe it is an indicator of the value our platform delivers to customers and our future business opportunities. Our dollar-based net retention rate compares our ARR from the same set of customers across comparable periods and reflects customer renewals, expansion, contraction, and attrition. We define ARR as the annual recurring revenue of subscription agreements at a point in time based on the terms of customers’ contracts. ARR should be viewed independently of revenue, and does not represent our U.S. GAAP revenue on an annualized basis, as it is an operating metric that can be impacted by contract start and end dates and renewal rates. ARR is not intended to be a replacement for or forecast of revenue.</w:t>
      </w:r>
    </w:p>
    <w:p>
      <w:pPr>
        <w:spacing w:after="0" w:line="159" w:lineRule="exact"/>
        <w:rPr>
          <w:sz w:val="20"/>
          <w:szCs w:val="20"/>
          <w:color w:val="auto"/>
        </w:rPr>
      </w:pPr>
    </w:p>
    <w:p>
      <w:pPr>
        <w:ind w:right="20" w:firstLine="509"/>
        <w:spacing w:after="0" w:line="243" w:lineRule="auto"/>
        <w:rPr>
          <w:sz w:val="20"/>
          <w:szCs w:val="20"/>
          <w:color w:val="auto"/>
        </w:rPr>
      </w:pPr>
      <w:r>
        <w:rPr>
          <w:rFonts w:ascii="Arial" w:cs="Arial" w:eastAsia="Arial" w:hAnsi="Arial"/>
          <w:sz w:val="18"/>
          <w:szCs w:val="18"/>
          <w:color w:val="auto"/>
        </w:rPr>
        <w:t>We calculate dollar-based net retention rate as of a period-end by starting with the ARR from the cohort of all customers as of 12 months prior to such period-end (the “Prior Period ARR”). We then calculate the ARR from these same customers as of the current period-end (the “Current Period ARR”). Current Period ARR includes any expansion and is net of contraction or attrition over the last 12 months, but excludes ARR from new customers as well as any overage charges in the current period. We then divide the total Current Period ARR by the total Prior Period ARR to arrive at the point-in-time dollar-based net retention rate. We then calculate the weighted average of the trailing 12-month point-in-time dollar-based net retention rates, to arrive at the dollar-based net retention rate.</w:t>
      </w:r>
    </w:p>
    <w:p>
      <w:pPr>
        <w:spacing w:after="0" w:line="30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Response to COVID-19</w:t>
      </w:r>
    </w:p>
    <w:p>
      <w:pPr>
        <w:spacing w:after="0" w:line="107" w:lineRule="exact"/>
        <w:rPr>
          <w:sz w:val="20"/>
          <w:szCs w:val="20"/>
          <w:color w:val="auto"/>
        </w:rPr>
      </w:pPr>
    </w:p>
    <w:p>
      <w:pPr>
        <w:ind w:right="80" w:firstLine="509"/>
        <w:spacing w:after="0" w:line="289" w:lineRule="auto"/>
        <w:rPr>
          <w:sz w:val="20"/>
          <w:szCs w:val="20"/>
          <w:color w:val="auto"/>
        </w:rPr>
      </w:pPr>
      <w:r>
        <w:rPr>
          <w:rFonts w:ascii="Arial" w:cs="Arial" w:eastAsia="Arial" w:hAnsi="Arial"/>
          <w:sz w:val="16"/>
          <w:szCs w:val="16"/>
          <w:color w:val="auto"/>
        </w:rPr>
        <w:t>The COVID-19 pandemic has had an adverse effect on the global economy, including the businesses of many of our customers and prospective customers and did, in the early stages of the pandemic, result in increased attrition from our smaller customers and those customers in the most impacted industries such as travel and entertainment. Overall, however, the COVID-19 pandemic has resulted in favorable trends for our business and the businesses of those customers who have been able to leverage digital analytics for their products as sales increasingly shifted online.</w:t>
      </w:r>
    </w:p>
    <w:p>
      <w:pPr>
        <w:spacing w:after="0" w:line="152" w:lineRule="exact"/>
        <w:rPr>
          <w:sz w:val="20"/>
          <w:szCs w:val="20"/>
          <w:color w:val="auto"/>
        </w:rPr>
      </w:pPr>
    </w:p>
    <w:p>
      <w:pPr>
        <w:ind w:right="160" w:firstLine="509"/>
        <w:spacing w:after="0" w:line="279" w:lineRule="auto"/>
        <w:rPr>
          <w:sz w:val="20"/>
          <w:szCs w:val="20"/>
          <w:color w:val="auto"/>
        </w:rPr>
      </w:pPr>
      <w:r>
        <w:rPr>
          <w:rFonts w:ascii="Arial" w:cs="Arial" w:eastAsia="Arial" w:hAnsi="Arial"/>
          <w:sz w:val="16"/>
          <w:szCs w:val="16"/>
          <w:color w:val="auto"/>
        </w:rPr>
        <w:t>Although we believe the COVID-19 pandemic has largely resulted in favorable trends for our business to date, we have experienced business disruptions, including requiring us to manage a significant majority of our workforce remotely and restrictions on our ability to travel to customers. Moreover, our existing and prospective customers have experienced and may continue to experience slowdowns in their businesses, including due to ongoing worldwide supply chain disruptions, which in turn has and may result in reduced demand for our platform, lengthening of sales cycles, loss of customers, and difficulties in collections. In addition, the pandemic has resulted in, and may continue to result in, significant disruption of global financial markets, which could limit our or our customers' ability to access capital on favorable terms or at all. The ongoing impact of the pandemic on our future business, financial condition, and results of operations depends on the pandemic’s duration and severity, which are difficult to assess or predict.</w:t>
      </w:r>
    </w:p>
    <w:p>
      <w:pPr>
        <w:spacing w:after="0" w:line="6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61595</wp:posOffset>
            </wp:positionV>
            <wp:extent cx="7157720" cy="42545"/>
            <wp:wrapNone/>
            <wp:docPr id="223" name="Picture 2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3"/>
                    <pic:cNvPicPr>
                      <a:picLocks noChangeAspect="1" noChangeArrowheads="1"/>
                    </pic:cNvPicPr>
                  </pic:nvPicPr>
                  <pic:blipFill>
                    <a:blip r:embed="rId23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647" w:right="339" w:bottom="1440" w:gutter="0" w:footer="0" w:header="0"/>
        </w:sectPr>
      </w:pPr>
    </w:p>
    <w:bookmarkStart w:id="27" w:name="page28"/>
    <w:bookmarkEnd w:id="27"/>
    <w:p>
      <w:pPr>
        <w:ind w:right="200"/>
        <w:spacing w:after="0" w:line="277" w:lineRule="auto"/>
        <w:rPr>
          <w:sz w:val="20"/>
          <w:szCs w:val="20"/>
          <w:color w:val="auto"/>
        </w:rPr>
      </w:pPr>
      <w:r>
        <w:rPr>
          <w:rFonts w:ascii="Arial" w:cs="Arial" w:eastAsia="Arial" w:hAnsi="Arial"/>
          <w:sz w:val="18"/>
          <w:szCs w:val="18"/>
          <w:color w:val="auto"/>
        </w:rPr>
        <w:t>See “Risk Factors” included under Part II, Item 1A of this Quarterly Report on Form 10-Q for further discussion of the impact of the COVID-19 pandemic on our business.</w:t>
      </w:r>
    </w:p>
    <w:p>
      <w:pPr>
        <w:spacing w:after="0" w:line="26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Non-GAAP Financial Measures</w:t>
      </w:r>
    </w:p>
    <w:p>
      <w:pPr>
        <w:spacing w:after="0" w:line="107" w:lineRule="exact"/>
        <w:rPr>
          <w:sz w:val="20"/>
          <w:szCs w:val="20"/>
          <w:color w:val="auto"/>
        </w:rPr>
      </w:pPr>
    </w:p>
    <w:p>
      <w:pPr>
        <w:ind w:right="280" w:firstLine="509"/>
        <w:spacing w:after="0" w:line="249" w:lineRule="auto"/>
        <w:rPr>
          <w:sz w:val="20"/>
          <w:szCs w:val="20"/>
          <w:color w:val="auto"/>
        </w:rPr>
      </w:pPr>
      <w:r>
        <w:rPr>
          <w:rFonts w:ascii="Arial" w:cs="Arial" w:eastAsia="Arial" w:hAnsi="Arial"/>
          <w:sz w:val="18"/>
          <w:szCs w:val="18"/>
          <w:color w:val="auto"/>
        </w:rPr>
        <w:t>The following table presents certain non-GAAP financial measures, along with the most directly comparable U.S. GAAP measure, for each period presented below. In addition to our results determined in accordance with U.S. GAAP, we believe these non-GAAP financial measures are useful in evaluating our operating performance. See below for a description of the non-GAAP financial measures and their limitations as an analytical tool. A reconciliation is also provided below for each non-GAAP financial measure to the most directly comparable financial measure stated in accordance with U.S. GAAP.</w:t>
      </w:r>
    </w:p>
    <w:p>
      <w:pPr>
        <w:spacing w:after="0" w:line="185"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462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2400" w:type="dxa"/>
            <w:vAlign w:val="bottom"/>
            <w:gridSpan w:val="3"/>
          </w:tcPr>
          <w:p>
            <w:pPr>
              <w:jc w:val="right"/>
              <w:ind w:right="150"/>
              <w:spacing w:after="0"/>
              <w:rPr>
                <w:sz w:val="20"/>
                <w:szCs w:val="20"/>
                <w:color w:val="auto"/>
              </w:rPr>
            </w:pPr>
            <w:r>
              <w:rPr>
                <w:rFonts w:ascii="Arial" w:cs="Arial" w:eastAsia="Arial" w:hAnsi="Arial"/>
                <w:sz w:val="18"/>
                <w:szCs w:val="18"/>
                <w:b w:val="1"/>
                <w:bCs w:val="1"/>
                <w:color w:val="auto"/>
              </w:rPr>
              <w:t>Three Months Ended</w:t>
            </w:r>
          </w:p>
        </w:tc>
        <w:tc>
          <w:tcPr>
            <w:tcW w:w="60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2860" w:type="dxa"/>
            <w:vAlign w:val="bottom"/>
            <w:gridSpan w:val="6"/>
          </w:tcPr>
          <w:p>
            <w:pPr>
              <w:jc w:val="right"/>
              <w:ind w:right="920"/>
              <w:spacing w:after="0"/>
              <w:rPr>
                <w:sz w:val="20"/>
                <w:szCs w:val="20"/>
                <w:color w:val="auto"/>
              </w:rPr>
            </w:pPr>
            <w:r>
              <w:rPr>
                <w:rFonts w:ascii="Arial" w:cs="Arial" w:eastAsia="Arial" w:hAnsi="Arial"/>
                <w:sz w:val="18"/>
                <w:szCs w:val="18"/>
                <w:b w:val="1"/>
                <w:bCs w:val="1"/>
                <w:color w:val="auto"/>
              </w:rPr>
              <w:t>Nine Months Ended</w:t>
            </w:r>
          </w:p>
        </w:tc>
      </w:tr>
      <w:tr>
        <w:trPr>
          <w:trHeight w:val="234"/>
        </w:trPr>
        <w:tc>
          <w:tcPr>
            <w:tcW w:w="4620" w:type="dxa"/>
            <w:vAlign w:val="bottom"/>
          </w:tcPr>
          <w:p>
            <w:pPr>
              <w:spacing w:after="0"/>
              <w:rPr>
                <w:sz w:val="20"/>
                <w:szCs w:val="20"/>
                <w:color w:val="auto"/>
              </w:rPr>
            </w:pPr>
          </w:p>
        </w:tc>
        <w:tc>
          <w:tcPr>
            <w:tcW w:w="300" w:type="dxa"/>
            <w:vAlign w:val="bottom"/>
            <w:tcBorders>
              <w:bottom w:val="single" w:sz="8" w:color="auto"/>
            </w:tcBorders>
          </w:tcPr>
          <w:p>
            <w:pPr>
              <w:spacing w:after="0"/>
              <w:rPr>
                <w:sz w:val="20"/>
                <w:szCs w:val="20"/>
                <w:color w:val="auto"/>
              </w:rPr>
            </w:pPr>
          </w:p>
        </w:tc>
        <w:tc>
          <w:tcPr>
            <w:tcW w:w="2400" w:type="dxa"/>
            <w:vAlign w:val="bottom"/>
            <w:tcBorders>
              <w:bottom w:val="single" w:sz="8" w:color="auto"/>
            </w:tcBorders>
            <w:gridSpan w:val="3"/>
          </w:tcPr>
          <w:p>
            <w:pPr>
              <w:jc w:val="right"/>
              <w:ind w:right="410"/>
              <w:spacing w:after="0"/>
              <w:rPr>
                <w:sz w:val="20"/>
                <w:szCs w:val="20"/>
                <w:color w:val="auto"/>
              </w:rPr>
            </w:pPr>
            <w:r>
              <w:rPr>
                <w:rFonts w:ascii="Arial" w:cs="Arial" w:eastAsia="Arial" w:hAnsi="Arial"/>
                <w:sz w:val="18"/>
                <w:szCs w:val="18"/>
                <w:b w:val="1"/>
                <w:bCs w:val="1"/>
                <w:color w:val="auto"/>
              </w:rPr>
              <w:t>September 30,</w:t>
            </w:r>
          </w:p>
        </w:tc>
        <w:tc>
          <w:tcPr>
            <w:tcW w:w="600" w:type="dxa"/>
            <w:vAlign w:val="bottom"/>
            <w:tcBorders>
              <w:bottom w:val="single" w:sz="8" w:color="auto"/>
            </w:tcBorders>
          </w:tcPr>
          <w:p>
            <w:pPr>
              <w:spacing w:after="0"/>
              <w:rPr>
                <w:sz w:val="20"/>
                <w:szCs w:val="20"/>
                <w:color w:val="auto"/>
              </w:rPr>
            </w:pPr>
          </w:p>
        </w:tc>
        <w:tc>
          <w:tcPr>
            <w:tcW w:w="260" w:type="dxa"/>
            <w:vAlign w:val="bottom"/>
          </w:tcPr>
          <w:p>
            <w:pPr>
              <w:spacing w:after="0"/>
              <w:rPr>
                <w:sz w:val="20"/>
                <w:szCs w:val="20"/>
                <w:color w:val="auto"/>
              </w:rPr>
            </w:pPr>
          </w:p>
        </w:tc>
        <w:tc>
          <w:tcPr>
            <w:tcW w:w="300" w:type="dxa"/>
            <w:vAlign w:val="bottom"/>
            <w:tcBorders>
              <w:bottom w:val="single" w:sz="8" w:color="auto"/>
            </w:tcBorders>
          </w:tcPr>
          <w:p>
            <w:pPr>
              <w:spacing w:after="0"/>
              <w:rPr>
                <w:sz w:val="20"/>
                <w:szCs w:val="20"/>
                <w:color w:val="auto"/>
              </w:rPr>
            </w:pPr>
          </w:p>
        </w:tc>
        <w:tc>
          <w:tcPr>
            <w:tcW w:w="1760" w:type="dxa"/>
            <w:vAlign w:val="bottom"/>
            <w:tcBorders>
              <w:bottom w:val="single" w:sz="8" w:color="auto"/>
            </w:tcBorders>
            <w:gridSpan w:val="3"/>
          </w:tcPr>
          <w:p>
            <w:pPr>
              <w:jc w:val="right"/>
              <w:spacing w:after="0"/>
              <w:rPr>
                <w:sz w:val="20"/>
                <w:szCs w:val="20"/>
                <w:color w:val="auto"/>
              </w:rPr>
            </w:pPr>
            <w:r>
              <w:rPr>
                <w:rFonts w:ascii="Arial" w:cs="Arial" w:eastAsia="Arial" w:hAnsi="Arial"/>
                <w:sz w:val="18"/>
                <w:szCs w:val="18"/>
                <w:b w:val="1"/>
                <w:bCs w:val="1"/>
                <w:color w:val="auto"/>
              </w:rPr>
              <w:t>September 30,</w:t>
            </w:r>
          </w:p>
        </w:tc>
        <w:tc>
          <w:tcPr>
            <w:tcW w:w="900" w:type="dxa"/>
            <w:vAlign w:val="bottom"/>
            <w:tcBorders>
              <w:bottom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100" w:type="dxa"/>
            <w:vAlign w:val="bottom"/>
          </w:tcPr>
          <w:p>
            <w:pPr>
              <w:spacing w:after="0"/>
              <w:rPr>
                <w:sz w:val="20"/>
                <w:szCs w:val="20"/>
                <w:color w:val="auto"/>
              </w:rPr>
            </w:pPr>
          </w:p>
        </w:tc>
      </w:tr>
      <w:tr>
        <w:trPr>
          <w:trHeight w:val="209"/>
        </w:trPr>
        <w:tc>
          <w:tcPr>
            <w:tcW w:w="4620" w:type="dxa"/>
            <w:vAlign w:val="bottom"/>
          </w:tcPr>
          <w:p>
            <w:pPr>
              <w:spacing w:after="0"/>
              <w:rPr>
                <w:sz w:val="18"/>
                <w:szCs w:val="18"/>
                <w:color w:val="auto"/>
              </w:rPr>
            </w:pPr>
          </w:p>
        </w:tc>
        <w:tc>
          <w:tcPr>
            <w:tcW w:w="300" w:type="dxa"/>
            <w:vAlign w:val="bottom"/>
            <w:tcBorders>
              <w:bottom w:val="single" w:sz="8" w:color="auto"/>
            </w:tcBorders>
          </w:tcPr>
          <w:p>
            <w:pPr>
              <w:spacing w:after="0"/>
              <w:rPr>
                <w:sz w:val="18"/>
                <w:szCs w:val="18"/>
                <w:color w:val="auto"/>
              </w:rPr>
            </w:pPr>
          </w:p>
        </w:tc>
        <w:tc>
          <w:tcPr>
            <w:tcW w:w="1060" w:type="dxa"/>
            <w:vAlign w:val="bottom"/>
            <w:tcBorders>
              <w:bottom w:val="single" w:sz="8" w:color="auto"/>
            </w:tcBorders>
          </w:tcPr>
          <w:p>
            <w:pPr>
              <w:jc w:val="right"/>
              <w:ind w:right="410"/>
              <w:spacing w:after="0"/>
              <w:rPr>
                <w:sz w:val="20"/>
                <w:szCs w:val="20"/>
                <w:color w:val="auto"/>
              </w:rPr>
            </w:pPr>
            <w:r>
              <w:rPr>
                <w:rFonts w:ascii="Arial" w:cs="Arial" w:eastAsia="Arial" w:hAnsi="Arial"/>
                <w:sz w:val="18"/>
                <w:szCs w:val="18"/>
                <w:b w:val="1"/>
                <w:bCs w:val="1"/>
                <w:color w:val="auto"/>
              </w:rPr>
              <w:t>2022</w:t>
            </w:r>
          </w:p>
        </w:tc>
        <w:tc>
          <w:tcPr>
            <w:tcW w:w="280" w:type="dxa"/>
            <w:vAlign w:val="bottom"/>
          </w:tcPr>
          <w:p>
            <w:pPr>
              <w:spacing w:after="0"/>
              <w:rPr>
                <w:sz w:val="18"/>
                <w:szCs w:val="18"/>
                <w:color w:val="auto"/>
              </w:rPr>
            </w:pP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2021</w:t>
            </w:r>
          </w:p>
        </w:tc>
        <w:tc>
          <w:tcPr>
            <w:tcW w:w="600" w:type="dxa"/>
            <w:vAlign w:val="bottom"/>
            <w:tcBorders>
              <w:bottom w:val="single" w:sz="8" w:color="auto"/>
            </w:tcBorders>
          </w:tcPr>
          <w:p>
            <w:pPr>
              <w:spacing w:after="0"/>
              <w:rPr>
                <w:sz w:val="18"/>
                <w:szCs w:val="18"/>
                <w:color w:val="auto"/>
              </w:rPr>
            </w:pPr>
          </w:p>
        </w:tc>
        <w:tc>
          <w:tcPr>
            <w:tcW w:w="260" w:type="dxa"/>
            <w:vAlign w:val="bottom"/>
          </w:tcPr>
          <w:p>
            <w:pPr>
              <w:spacing w:after="0"/>
              <w:rPr>
                <w:sz w:val="18"/>
                <w:szCs w:val="18"/>
                <w:color w:val="auto"/>
              </w:rPr>
            </w:pPr>
          </w:p>
        </w:tc>
        <w:tc>
          <w:tcPr>
            <w:tcW w:w="300" w:type="dxa"/>
            <w:vAlign w:val="bottom"/>
            <w:tcBorders>
              <w:bottom w:val="single" w:sz="8" w:color="auto"/>
            </w:tcBorders>
          </w:tcPr>
          <w:p>
            <w:pPr>
              <w:spacing w:after="0"/>
              <w:rPr>
                <w:sz w:val="18"/>
                <w:szCs w:val="18"/>
                <w:color w:val="auto"/>
              </w:rPr>
            </w:pPr>
          </w:p>
        </w:tc>
        <w:tc>
          <w:tcPr>
            <w:tcW w:w="1020" w:type="dxa"/>
            <w:vAlign w:val="bottom"/>
            <w:tcBorders>
              <w:bottom w:val="single" w:sz="8" w:color="auto"/>
            </w:tcBorders>
          </w:tcPr>
          <w:p>
            <w:pPr>
              <w:jc w:val="right"/>
              <w:ind w:right="390"/>
              <w:spacing w:after="0"/>
              <w:rPr>
                <w:sz w:val="20"/>
                <w:szCs w:val="20"/>
                <w:color w:val="auto"/>
              </w:rPr>
            </w:pPr>
            <w:r>
              <w:rPr>
                <w:rFonts w:ascii="Arial" w:cs="Arial" w:eastAsia="Arial" w:hAnsi="Arial"/>
                <w:sz w:val="18"/>
                <w:szCs w:val="18"/>
                <w:b w:val="1"/>
                <w:bCs w:val="1"/>
                <w:color w:val="auto"/>
              </w:rPr>
              <w:t>2022</w:t>
            </w:r>
          </w:p>
        </w:tc>
        <w:tc>
          <w:tcPr>
            <w:tcW w:w="260" w:type="dxa"/>
            <w:vAlign w:val="bottom"/>
          </w:tcPr>
          <w:p>
            <w:pPr>
              <w:spacing w:after="0"/>
              <w:rPr>
                <w:sz w:val="18"/>
                <w:szCs w:val="18"/>
                <w:color w:val="auto"/>
              </w:rPr>
            </w:pPr>
          </w:p>
        </w:tc>
        <w:tc>
          <w:tcPr>
            <w:tcW w:w="480" w:type="dxa"/>
            <w:vAlign w:val="bottom"/>
            <w:tcBorders>
              <w:bottom w:val="single" w:sz="8" w:color="auto"/>
            </w:tcBorders>
          </w:tcPr>
          <w:p>
            <w:pPr>
              <w:spacing w:after="0"/>
              <w:rPr>
                <w:sz w:val="18"/>
                <w:szCs w:val="18"/>
                <w:color w:val="auto"/>
              </w:rPr>
            </w:pPr>
          </w:p>
        </w:tc>
        <w:tc>
          <w:tcPr>
            <w:tcW w:w="900" w:type="dxa"/>
            <w:vAlign w:val="bottom"/>
            <w:tcBorders>
              <w:bottom w:val="single" w:sz="8" w:color="auto"/>
            </w:tcBorders>
          </w:tcPr>
          <w:p>
            <w:pPr>
              <w:jc w:val="right"/>
              <w:ind w:right="430"/>
              <w:spacing w:after="0"/>
              <w:rPr>
                <w:sz w:val="20"/>
                <w:szCs w:val="20"/>
                <w:color w:val="auto"/>
              </w:rPr>
            </w:pPr>
            <w:r>
              <w:rPr>
                <w:rFonts w:ascii="Arial" w:cs="Arial" w:eastAsia="Arial" w:hAnsi="Arial"/>
                <w:sz w:val="18"/>
                <w:szCs w:val="18"/>
                <w:b w:val="1"/>
                <w:bCs w:val="1"/>
                <w:color w:val="auto"/>
                <w:w w:val="89"/>
              </w:rPr>
              <w:t>2021</w:t>
            </w: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23"/>
        </w:trPr>
        <w:tc>
          <w:tcPr>
            <w:tcW w:w="46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6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3500" w:type="dxa"/>
            <w:vAlign w:val="bottom"/>
            <w:gridSpan w:val="6"/>
          </w:tcPr>
          <w:p>
            <w:pPr>
              <w:jc w:val="right"/>
              <w:ind w:right="600"/>
              <w:spacing w:after="0"/>
              <w:rPr>
                <w:sz w:val="20"/>
                <w:szCs w:val="20"/>
                <w:color w:val="auto"/>
              </w:rPr>
            </w:pPr>
            <w:r>
              <w:rPr>
                <w:rFonts w:ascii="Arial" w:cs="Arial" w:eastAsia="Arial" w:hAnsi="Arial"/>
                <w:sz w:val="18"/>
                <w:szCs w:val="18"/>
                <w:b w:val="1"/>
                <w:bCs w:val="1"/>
                <w:i w:val="1"/>
                <w:iCs w:val="1"/>
                <w:color w:val="auto"/>
                <w:w w:val="95"/>
              </w:rPr>
              <w:t>(in thousands, except percentages)</w:t>
            </w:r>
          </w:p>
        </w:tc>
        <w:tc>
          <w:tcPr>
            <w:tcW w:w="48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0" w:type="dxa"/>
            <w:vAlign w:val="bottom"/>
          </w:tcPr>
          <w:p>
            <w:pPr>
              <w:spacing w:after="0"/>
              <w:rPr>
                <w:sz w:val="19"/>
                <w:szCs w:val="19"/>
                <w:color w:val="auto"/>
              </w:rPr>
            </w:pPr>
          </w:p>
        </w:tc>
      </w:tr>
      <w:tr>
        <w:trPr>
          <w:trHeight w:val="229"/>
        </w:trPr>
        <w:tc>
          <w:tcPr>
            <w:tcW w:w="4620" w:type="dxa"/>
            <w:vAlign w:val="bottom"/>
            <w:shd w:val="clear" w:color="auto" w:fill="CFF0FC"/>
          </w:tcPr>
          <w:p>
            <w:pPr>
              <w:ind w:left="20"/>
              <w:spacing w:after="0"/>
              <w:rPr>
                <w:sz w:val="20"/>
                <w:szCs w:val="20"/>
                <w:color w:val="auto"/>
              </w:rPr>
            </w:pPr>
            <w:r>
              <w:rPr>
                <w:rFonts w:ascii="Arial" w:cs="Arial" w:eastAsia="Arial" w:hAnsi="Arial"/>
                <w:sz w:val="18"/>
                <w:szCs w:val="18"/>
                <w:color w:val="auto"/>
              </w:rPr>
              <w:t>Gross Profit</w:t>
            </w:r>
          </w:p>
        </w:tc>
        <w:tc>
          <w:tcPr>
            <w:tcW w:w="300" w:type="dxa"/>
            <w:vAlign w:val="bottom"/>
            <w:shd w:val="clear" w:color="auto" w:fill="CFF0FC"/>
          </w:tcPr>
          <w:p>
            <w:pPr>
              <w:jc w:val="right"/>
              <w:ind w:right="110"/>
              <w:spacing w:after="0"/>
              <w:rPr>
                <w:sz w:val="20"/>
                <w:szCs w:val="20"/>
                <w:color w:val="auto"/>
              </w:rPr>
            </w:pPr>
            <w:r>
              <w:rPr>
                <w:rFonts w:ascii="Arial" w:cs="Arial" w:eastAsia="Arial" w:hAnsi="Arial"/>
                <w:sz w:val="18"/>
                <w:szCs w:val="18"/>
                <w:color w:val="auto"/>
                <w:w w:val="79"/>
              </w:rPr>
              <w:t>$</w:t>
            </w:r>
          </w:p>
        </w:tc>
        <w:tc>
          <w:tcPr>
            <w:tcW w:w="10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43,538</w:t>
            </w:r>
          </w:p>
        </w:tc>
        <w:tc>
          <w:tcPr>
            <w:tcW w:w="280" w:type="dxa"/>
            <w:vAlign w:val="bottom"/>
            <w:shd w:val="clear" w:color="auto" w:fill="CFF0FC"/>
          </w:tcPr>
          <w:p>
            <w:pPr>
              <w:spacing w:after="0"/>
              <w:rPr>
                <w:sz w:val="19"/>
                <w:szCs w:val="19"/>
                <w:color w:val="auto"/>
              </w:rPr>
            </w:pPr>
          </w:p>
        </w:tc>
        <w:tc>
          <w:tcPr>
            <w:tcW w:w="1060" w:type="dxa"/>
            <w:vAlign w:val="bottom"/>
            <w:shd w:val="clear" w:color="auto" w:fill="CFF0FC"/>
          </w:tcPr>
          <w:p>
            <w:pPr>
              <w:jc w:val="right"/>
              <w:ind w:right="870"/>
              <w:spacing w:after="0"/>
              <w:rPr>
                <w:sz w:val="20"/>
                <w:szCs w:val="20"/>
                <w:color w:val="auto"/>
              </w:rPr>
            </w:pPr>
            <w:r>
              <w:rPr>
                <w:rFonts w:ascii="Arial" w:cs="Arial" w:eastAsia="Arial" w:hAnsi="Arial"/>
                <w:sz w:val="18"/>
                <w:szCs w:val="18"/>
                <w:color w:val="auto"/>
                <w:w w:val="79"/>
              </w:rPr>
              <w:t>$</w:t>
            </w:r>
          </w:p>
        </w:tc>
        <w:tc>
          <w:tcPr>
            <w:tcW w:w="6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31,491</w:t>
            </w:r>
          </w:p>
        </w:tc>
        <w:tc>
          <w:tcPr>
            <w:tcW w:w="260" w:type="dxa"/>
            <w:vAlign w:val="bottom"/>
            <w:shd w:val="clear" w:color="auto" w:fill="CFF0FC"/>
          </w:tcPr>
          <w:p>
            <w:pPr>
              <w:spacing w:after="0"/>
              <w:rPr>
                <w:sz w:val="19"/>
                <w:szCs w:val="19"/>
                <w:color w:val="auto"/>
              </w:rPr>
            </w:pPr>
          </w:p>
        </w:tc>
        <w:tc>
          <w:tcPr>
            <w:tcW w:w="300" w:type="dxa"/>
            <w:vAlign w:val="bottom"/>
            <w:shd w:val="clear" w:color="auto" w:fill="CFF0FC"/>
          </w:tcPr>
          <w:p>
            <w:pPr>
              <w:jc w:val="right"/>
              <w:ind w:right="110"/>
              <w:spacing w:after="0"/>
              <w:rPr>
                <w:sz w:val="20"/>
                <w:szCs w:val="20"/>
                <w:color w:val="auto"/>
              </w:rPr>
            </w:pPr>
            <w:r>
              <w:rPr>
                <w:rFonts w:ascii="Arial" w:cs="Arial" w:eastAsia="Arial" w:hAnsi="Arial"/>
                <w:sz w:val="18"/>
                <w:szCs w:val="18"/>
                <w:color w:val="auto"/>
                <w:w w:val="79"/>
              </w:rPr>
              <w:t>$</w:t>
            </w:r>
          </w:p>
        </w:tc>
        <w:tc>
          <w:tcPr>
            <w:tcW w:w="10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121,610</w:t>
            </w:r>
          </w:p>
        </w:tc>
        <w:tc>
          <w:tcPr>
            <w:tcW w:w="260" w:type="dxa"/>
            <w:vAlign w:val="bottom"/>
            <w:shd w:val="clear" w:color="auto" w:fill="CFF0FC"/>
          </w:tcPr>
          <w:p>
            <w:pPr>
              <w:spacing w:after="0"/>
              <w:rPr>
                <w:sz w:val="19"/>
                <w:szCs w:val="19"/>
                <w:color w:val="auto"/>
              </w:rPr>
            </w:pPr>
          </w:p>
        </w:tc>
        <w:tc>
          <w:tcPr>
            <w:tcW w:w="480" w:type="dxa"/>
            <w:vAlign w:val="bottom"/>
            <w:shd w:val="clear" w:color="auto" w:fill="CFF0FC"/>
          </w:tcPr>
          <w:p>
            <w:pPr>
              <w:jc w:val="right"/>
              <w:ind w:right="290"/>
              <w:spacing w:after="0"/>
              <w:rPr>
                <w:sz w:val="20"/>
                <w:szCs w:val="20"/>
                <w:color w:val="auto"/>
              </w:rPr>
            </w:pPr>
            <w:r>
              <w:rPr>
                <w:rFonts w:ascii="Arial" w:cs="Arial" w:eastAsia="Arial" w:hAnsi="Arial"/>
                <w:sz w:val="18"/>
                <w:szCs w:val="18"/>
                <w:color w:val="auto"/>
                <w:w w:val="79"/>
              </w:rPr>
              <w:t>$</w:t>
            </w:r>
          </w:p>
        </w:tc>
        <w:tc>
          <w:tcPr>
            <w:tcW w:w="9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81,465</w:t>
            </w:r>
          </w:p>
        </w:tc>
        <w:tc>
          <w:tcPr>
            <w:tcW w:w="100" w:type="dxa"/>
            <w:vAlign w:val="bottom"/>
            <w:shd w:val="clear" w:color="auto" w:fill="CFF0FC"/>
          </w:tcPr>
          <w:p>
            <w:pPr>
              <w:spacing w:after="0"/>
              <w:rPr>
                <w:sz w:val="19"/>
                <w:szCs w:val="19"/>
                <w:color w:val="auto"/>
              </w:rPr>
            </w:pPr>
          </w:p>
        </w:tc>
        <w:tc>
          <w:tcPr>
            <w:tcW w:w="100" w:type="dxa"/>
            <w:vAlign w:val="bottom"/>
          </w:tcPr>
          <w:p>
            <w:pPr>
              <w:spacing w:after="0"/>
              <w:rPr>
                <w:sz w:val="19"/>
                <w:szCs w:val="19"/>
                <w:color w:val="auto"/>
              </w:rPr>
            </w:pPr>
          </w:p>
        </w:tc>
      </w:tr>
      <w:tr>
        <w:trPr>
          <w:trHeight w:val="230"/>
        </w:trPr>
        <w:tc>
          <w:tcPr>
            <w:tcW w:w="4620" w:type="dxa"/>
            <w:vAlign w:val="bottom"/>
          </w:tcPr>
          <w:p>
            <w:pPr>
              <w:ind w:left="20"/>
              <w:spacing w:after="0"/>
              <w:rPr>
                <w:sz w:val="20"/>
                <w:szCs w:val="20"/>
                <w:color w:val="auto"/>
              </w:rPr>
            </w:pPr>
            <w:r>
              <w:rPr>
                <w:rFonts w:ascii="Arial" w:cs="Arial" w:eastAsia="Arial" w:hAnsi="Arial"/>
                <w:sz w:val="18"/>
                <w:szCs w:val="18"/>
                <w:color w:val="auto"/>
              </w:rPr>
              <w:t>Non-GAAP Gross Profit</w:t>
            </w:r>
          </w:p>
        </w:tc>
        <w:tc>
          <w:tcPr>
            <w:tcW w:w="300" w:type="dxa"/>
            <w:vAlign w:val="bottom"/>
          </w:tcPr>
          <w:p>
            <w:pPr>
              <w:jc w:val="right"/>
              <w:ind w:right="110"/>
              <w:spacing w:after="0"/>
              <w:rPr>
                <w:sz w:val="20"/>
                <w:szCs w:val="20"/>
                <w:color w:val="auto"/>
              </w:rPr>
            </w:pPr>
            <w:r>
              <w:rPr>
                <w:rFonts w:ascii="Arial" w:cs="Arial" w:eastAsia="Arial" w:hAnsi="Arial"/>
                <w:sz w:val="18"/>
                <w:szCs w:val="18"/>
                <w:color w:val="auto"/>
                <w:w w:val="79"/>
              </w:rPr>
              <w:t>$</w:t>
            </w:r>
          </w:p>
        </w:tc>
        <w:tc>
          <w:tcPr>
            <w:tcW w:w="1060" w:type="dxa"/>
            <w:vAlign w:val="bottom"/>
          </w:tcPr>
          <w:p>
            <w:pPr>
              <w:jc w:val="right"/>
              <w:spacing w:after="0"/>
              <w:rPr>
                <w:sz w:val="20"/>
                <w:szCs w:val="20"/>
                <w:color w:val="auto"/>
              </w:rPr>
            </w:pPr>
            <w:r>
              <w:rPr>
                <w:rFonts w:ascii="Arial" w:cs="Arial" w:eastAsia="Arial" w:hAnsi="Arial"/>
                <w:sz w:val="18"/>
                <w:szCs w:val="18"/>
                <w:color w:val="auto"/>
              </w:rPr>
              <w:t>45,865</w:t>
            </w:r>
          </w:p>
        </w:tc>
        <w:tc>
          <w:tcPr>
            <w:tcW w:w="280" w:type="dxa"/>
            <w:vAlign w:val="bottom"/>
          </w:tcPr>
          <w:p>
            <w:pPr>
              <w:spacing w:after="0"/>
              <w:rPr>
                <w:sz w:val="20"/>
                <w:szCs w:val="20"/>
                <w:color w:val="auto"/>
              </w:rPr>
            </w:pPr>
          </w:p>
        </w:tc>
        <w:tc>
          <w:tcPr>
            <w:tcW w:w="1060" w:type="dxa"/>
            <w:vAlign w:val="bottom"/>
          </w:tcPr>
          <w:p>
            <w:pPr>
              <w:jc w:val="right"/>
              <w:ind w:right="870"/>
              <w:spacing w:after="0"/>
              <w:rPr>
                <w:sz w:val="20"/>
                <w:szCs w:val="20"/>
                <w:color w:val="auto"/>
              </w:rPr>
            </w:pPr>
            <w:r>
              <w:rPr>
                <w:rFonts w:ascii="Arial" w:cs="Arial" w:eastAsia="Arial" w:hAnsi="Arial"/>
                <w:sz w:val="18"/>
                <w:szCs w:val="18"/>
                <w:color w:val="auto"/>
                <w:w w:val="79"/>
              </w:rPr>
              <w:t>$</w:t>
            </w:r>
          </w:p>
        </w:tc>
        <w:tc>
          <w:tcPr>
            <w:tcW w:w="600" w:type="dxa"/>
            <w:vAlign w:val="bottom"/>
          </w:tcPr>
          <w:p>
            <w:pPr>
              <w:jc w:val="right"/>
              <w:spacing w:after="0"/>
              <w:rPr>
                <w:sz w:val="20"/>
                <w:szCs w:val="20"/>
                <w:color w:val="auto"/>
              </w:rPr>
            </w:pPr>
            <w:r>
              <w:rPr>
                <w:rFonts w:ascii="Arial" w:cs="Arial" w:eastAsia="Arial" w:hAnsi="Arial"/>
                <w:sz w:val="18"/>
                <w:szCs w:val="18"/>
                <w:color w:val="auto"/>
              </w:rPr>
              <w:t>32,417</w:t>
            </w:r>
          </w:p>
        </w:tc>
        <w:tc>
          <w:tcPr>
            <w:tcW w:w="260" w:type="dxa"/>
            <w:vAlign w:val="bottom"/>
          </w:tcPr>
          <w:p>
            <w:pPr>
              <w:spacing w:after="0"/>
              <w:rPr>
                <w:sz w:val="20"/>
                <w:szCs w:val="20"/>
                <w:color w:val="auto"/>
              </w:rPr>
            </w:pPr>
          </w:p>
        </w:tc>
        <w:tc>
          <w:tcPr>
            <w:tcW w:w="300" w:type="dxa"/>
            <w:vAlign w:val="bottom"/>
          </w:tcPr>
          <w:p>
            <w:pPr>
              <w:jc w:val="right"/>
              <w:ind w:right="110"/>
              <w:spacing w:after="0"/>
              <w:rPr>
                <w:sz w:val="20"/>
                <w:szCs w:val="20"/>
                <w:color w:val="auto"/>
              </w:rPr>
            </w:pPr>
            <w:r>
              <w:rPr>
                <w:rFonts w:ascii="Arial" w:cs="Arial" w:eastAsia="Arial" w:hAnsi="Arial"/>
                <w:sz w:val="18"/>
                <w:szCs w:val="18"/>
                <w:color w:val="auto"/>
                <w:w w:val="79"/>
              </w:rPr>
              <w:t>$</w:t>
            </w:r>
          </w:p>
        </w:tc>
        <w:tc>
          <w:tcPr>
            <w:tcW w:w="1020" w:type="dxa"/>
            <w:vAlign w:val="bottom"/>
          </w:tcPr>
          <w:p>
            <w:pPr>
              <w:jc w:val="right"/>
              <w:spacing w:after="0"/>
              <w:rPr>
                <w:sz w:val="20"/>
                <w:szCs w:val="20"/>
                <w:color w:val="auto"/>
              </w:rPr>
            </w:pPr>
            <w:r>
              <w:rPr>
                <w:rFonts w:ascii="Arial" w:cs="Arial" w:eastAsia="Arial" w:hAnsi="Arial"/>
                <w:sz w:val="18"/>
                <w:szCs w:val="18"/>
                <w:color w:val="auto"/>
              </w:rPr>
              <w:t>127,511</w:t>
            </w:r>
          </w:p>
        </w:tc>
        <w:tc>
          <w:tcPr>
            <w:tcW w:w="260" w:type="dxa"/>
            <w:vAlign w:val="bottom"/>
          </w:tcPr>
          <w:p>
            <w:pPr>
              <w:spacing w:after="0"/>
              <w:rPr>
                <w:sz w:val="20"/>
                <w:szCs w:val="20"/>
                <w:color w:val="auto"/>
              </w:rPr>
            </w:pPr>
          </w:p>
        </w:tc>
        <w:tc>
          <w:tcPr>
            <w:tcW w:w="480" w:type="dxa"/>
            <w:vAlign w:val="bottom"/>
          </w:tcPr>
          <w:p>
            <w:pPr>
              <w:jc w:val="right"/>
              <w:ind w:right="290"/>
              <w:spacing w:after="0"/>
              <w:rPr>
                <w:sz w:val="20"/>
                <w:szCs w:val="20"/>
                <w:color w:val="auto"/>
              </w:rPr>
            </w:pPr>
            <w:r>
              <w:rPr>
                <w:rFonts w:ascii="Arial" w:cs="Arial" w:eastAsia="Arial" w:hAnsi="Arial"/>
                <w:sz w:val="18"/>
                <w:szCs w:val="18"/>
                <w:color w:val="auto"/>
                <w:w w:val="79"/>
              </w:rPr>
              <w:t>$</w:t>
            </w:r>
          </w:p>
        </w:tc>
        <w:tc>
          <w:tcPr>
            <w:tcW w:w="900" w:type="dxa"/>
            <w:vAlign w:val="bottom"/>
          </w:tcPr>
          <w:p>
            <w:pPr>
              <w:jc w:val="right"/>
              <w:spacing w:after="0"/>
              <w:rPr>
                <w:sz w:val="20"/>
                <w:szCs w:val="20"/>
                <w:color w:val="auto"/>
              </w:rPr>
            </w:pPr>
            <w:r>
              <w:rPr>
                <w:rFonts w:ascii="Arial" w:cs="Arial" w:eastAsia="Arial" w:hAnsi="Arial"/>
                <w:sz w:val="18"/>
                <w:szCs w:val="18"/>
                <w:color w:val="auto"/>
              </w:rPr>
              <w:t>83,525</w:t>
            </w:r>
          </w:p>
        </w:tc>
        <w:tc>
          <w:tcPr>
            <w:tcW w:w="100" w:type="dxa"/>
            <w:vAlign w:val="bottom"/>
          </w:tcPr>
          <w:p>
            <w:pPr>
              <w:spacing w:after="0"/>
              <w:rPr>
                <w:sz w:val="20"/>
                <w:szCs w:val="20"/>
                <w:color w:val="auto"/>
              </w:rPr>
            </w:pPr>
          </w:p>
        </w:tc>
        <w:tc>
          <w:tcPr>
            <w:tcW w:w="100" w:type="dxa"/>
            <w:vAlign w:val="bottom"/>
          </w:tcPr>
          <w:p>
            <w:pPr>
              <w:spacing w:after="0"/>
              <w:rPr>
                <w:sz w:val="20"/>
                <w:szCs w:val="20"/>
                <w:color w:val="auto"/>
              </w:rPr>
            </w:pPr>
          </w:p>
        </w:tc>
      </w:tr>
      <w:tr>
        <w:trPr>
          <w:trHeight w:val="458"/>
        </w:trPr>
        <w:tc>
          <w:tcPr>
            <w:tcW w:w="4620" w:type="dxa"/>
            <w:vAlign w:val="bottom"/>
          </w:tcPr>
          <w:p>
            <w:pPr>
              <w:ind w:left="20"/>
              <w:spacing w:after="0"/>
              <w:rPr>
                <w:sz w:val="20"/>
                <w:szCs w:val="20"/>
                <w:color w:val="auto"/>
              </w:rPr>
            </w:pPr>
            <w:r>
              <w:rPr>
                <w:rFonts w:ascii="Arial" w:cs="Arial" w:eastAsia="Arial" w:hAnsi="Arial"/>
                <w:sz w:val="18"/>
                <w:szCs w:val="18"/>
                <w:color w:val="auto"/>
              </w:rPr>
              <w:t>Gross Margin</w:t>
            </w:r>
          </w:p>
        </w:tc>
        <w:tc>
          <w:tcPr>
            <w:tcW w:w="300" w:type="dxa"/>
            <w:vAlign w:val="bottom"/>
          </w:tcPr>
          <w:p>
            <w:pPr>
              <w:spacing w:after="0"/>
              <w:rPr>
                <w:sz w:val="24"/>
                <w:szCs w:val="24"/>
                <w:color w:val="auto"/>
              </w:rPr>
            </w:pPr>
          </w:p>
        </w:tc>
        <w:tc>
          <w:tcPr>
            <w:tcW w:w="1340" w:type="dxa"/>
            <w:vAlign w:val="bottom"/>
            <w:gridSpan w:val="2"/>
          </w:tcPr>
          <w:p>
            <w:pPr>
              <w:jc w:val="right"/>
              <w:ind w:right="120"/>
              <w:spacing w:after="0"/>
              <w:rPr>
                <w:sz w:val="20"/>
                <w:szCs w:val="20"/>
                <w:color w:val="auto"/>
              </w:rPr>
            </w:pPr>
            <w:r>
              <w:rPr>
                <w:rFonts w:ascii="Arial" w:cs="Arial" w:eastAsia="Arial" w:hAnsi="Arial"/>
                <w:sz w:val="18"/>
                <w:szCs w:val="18"/>
                <w:color w:val="auto"/>
              </w:rPr>
              <w:t>71 %</w:t>
            </w:r>
          </w:p>
        </w:tc>
        <w:tc>
          <w:tcPr>
            <w:tcW w:w="1060" w:type="dxa"/>
            <w:vAlign w:val="bottom"/>
          </w:tcPr>
          <w:p>
            <w:pPr>
              <w:spacing w:after="0"/>
              <w:rPr>
                <w:sz w:val="24"/>
                <w:szCs w:val="24"/>
                <w:color w:val="auto"/>
              </w:rPr>
            </w:pPr>
          </w:p>
        </w:tc>
        <w:tc>
          <w:tcPr>
            <w:tcW w:w="860" w:type="dxa"/>
            <w:vAlign w:val="bottom"/>
            <w:gridSpan w:val="2"/>
          </w:tcPr>
          <w:p>
            <w:pPr>
              <w:jc w:val="right"/>
              <w:ind w:right="100"/>
              <w:spacing w:after="0"/>
              <w:rPr>
                <w:sz w:val="20"/>
                <w:szCs w:val="20"/>
                <w:color w:val="auto"/>
              </w:rPr>
            </w:pPr>
            <w:r>
              <w:rPr>
                <w:rFonts w:ascii="Arial" w:cs="Arial" w:eastAsia="Arial" w:hAnsi="Arial"/>
                <w:sz w:val="18"/>
                <w:szCs w:val="18"/>
                <w:color w:val="auto"/>
              </w:rPr>
              <w:t>69 %</w:t>
            </w:r>
          </w:p>
        </w:tc>
        <w:tc>
          <w:tcPr>
            <w:tcW w:w="300" w:type="dxa"/>
            <w:vAlign w:val="bottom"/>
          </w:tcPr>
          <w:p>
            <w:pPr>
              <w:spacing w:after="0"/>
              <w:rPr>
                <w:sz w:val="24"/>
                <w:szCs w:val="24"/>
                <w:color w:val="auto"/>
              </w:rPr>
            </w:pPr>
          </w:p>
        </w:tc>
        <w:tc>
          <w:tcPr>
            <w:tcW w:w="1280" w:type="dxa"/>
            <w:vAlign w:val="bottom"/>
            <w:gridSpan w:val="2"/>
          </w:tcPr>
          <w:p>
            <w:pPr>
              <w:jc w:val="right"/>
              <w:ind w:right="100"/>
              <w:spacing w:after="0"/>
              <w:rPr>
                <w:sz w:val="20"/>
                <w:szCs w:val="20"/>
                <w:color w:val="auto"/>
              </w:rPr>
            </w:pPr>
            <w:r>
              <w:rPr>
                <w:rFonts w:ascii="Arial" w:cs="Arial" w:eastAsia="Arial" w:hAnsi="Arial"/>
                <w:sz w:val="18"/>
                <w:szCs w:val="18"/>
                <w:color w:val="auto"/>
              </w:rPr>
              <w:t>70 %</w:t>
            </w:r>
          </w:p>
        </w:tc>
        <w:tc>
          <w:tcPr>
            <w:tcW w:w="480" w:type="dxa"/>
            <w:vAlign w:val="bottom"/>
          </w:tcPr>
          <w:p>
            <w:pPr>
              <w:spacing w:after="0"/>
              <w:rPr>
                <w:sz w:val="24"/>
                <w:szCs w:val="24"/>
                <w:color w:val="auto"/>
              </w:rPr>
            </w:pPr>
          </w:p>
        </w:tc>
        <w:tc>
          <w:tcPr>
            <w:tcW w:w="1100" w:type="dxa"/>
            <w:vAlign w:val="bottom"/>
            <w:gridSpan w:val="3"/>
          </w:tcPr>
          <w:p>
            <w:pPr>
              <w:jc w:val="right"/>
              <w:ind w:right="40"/>
              <w:spacing w:after="0"/>
              <w:rPr>
                <w:sz w:val="20"/>
                <w:szCs w:val="20"/>
                <w:color w:val="auto"/>
              </w:rPr>
            </w:pPr>
            <w:r>
              <w:rPr>
                <w:rFonts w:ascii="Arial" w:cs="Arial" w:eastAsia="Arial" w:hAnsi="Arial"/>
                <w:sz w:val="18"/>
                <w:szCs w:val="18"/>
                <w:color w:val="auto"/>
              </w:rPr>
              <w:t>69 %</w:t>
            </w:r>
          </w:p>
        </w:tc>
      </w:tr>
      <w:tr>
        <w:trPr>
          <w:trHeight w:val="230"/>
        </w:trPr>
        <w:tc>
          <w:tcPr>
            <w:tcW w:w="4620" w:type="dxa"/>
            <w:vAlign w:val="bottom"/>
          </w:tcPr>
          <w:p>
            <w:pPr>
              <w:ind w:left="20"/>
              <w:spacing w:after="0"/>
              <w:rPr>
                <w:sz w:val="20"/>
                <w:szCs w:val="20"/>
                <w:color w:val="auto"/>
              </w:rPr>
            </w:pPr>
            <w:r>
              <w:rPr>
                <w:rFonts w:ascii="Arial" w:cs="Arial" w:eastAsia="Arial" w:hAnsi="Arial"/>
                <w:sz w:val="18"/>
                <w:szCs w:val="18"/>
                <w:color w:val="auto"/>
              </w:rPr>
              <w:t>Non-GAAP Gross Margin</w:t>
            </w:r>
          </w:p>
        </w:tc>
        <w:tc>
          <w:tcPr>
            <w:tcW w:w="300" w:type="dxa"/>
            <w:vAlign w:val="bottom"/>
          </w:tcPr>
          <w:p>
            <w:pPr>
              <w:spacing w:after="0"/>
              <w:rPr>
                <w:sz w:val="20"/>
                <w:szCs w:val="20"/>
                <w:color w:val="auto"/>
              </w:rPr>
            </w:pPr>
          </w:p>
        </w:tc>
        <w:tc>
          <w:tcPr>
            <w:tcW w:w="1340" w:type="dxa"/>
            <w:vAlign w:val="bottom"/>
            <w:gridSpan w:val="2"/>
          </w:tcPr>
          <w:p>
            <w:pPr>
              <w:jc w:val="right"/>
              <w:ind w:right="120"/>
              <w:spacing w:after="0"/>
              <w:rPr>
                <w:sz w:val="20"/>
                <w:szCs w:val="20"/>
                <w:color w:val="auto"/>
              </w:rPr>
            </w:pPr>
            <w:r>
              <w:rPr>
                <w:rFonts w:ascii="Arial" w:cs="Arial" w:eastAsia="Arial" w:hAnsi="Arial"/>
                <w:sz w:val="18"/>
                <w:szCs w:val="18"/>
                <w:color w:val="auto"/>
              </w:rPr>
              <w:t>74 %</w:t>
            </w:r>
          </w:p>
        </w:tc>
        <w:tc>
          <w:tcPr>
            <w:tcW w:w="1060" w:type="dxa"/>
            <w:vAlign w:val="bottom"/>
          </w:tcPr>
          <w:p>
            <w:pPr>
              <w:spacing w:after="0"/>
              <w:rPr>
                <w:sz w:val="20"/>
                <w:szCs w:val="20"/>
                <w:color w:val="auto"/>
              </w:rPr>
            </w:pPr>
          </w:p>
        </w:tc>
        <w:tc>
          <w:tcPr>
            <w:tcW w:w="860" w:type="dxa"/>
            <w:vAlign w:val="bottom"/>
            <w:gridSpan w:val="2"/>
          </w:tcPr>
          <w:p>
            <w:pPr>
              <w:jc w:val="right"/>
              <w:ind w:right="100"/>
              <w:spacing w:after="0"/>
              <w:rPr>
                <w:sz w:val="20"/>
                <w:szCs w:val="20"/>
                <w:color w:val="auto"/>
              </w:rPr>
            </w:pPr>
            <w:r>
              <w:rPr>
                <w:rFonts w:ascii="Arial" w:cs="Arial" w:eastAsia="Arial" w:hAnsi="Arial"/>
                <w:sz w:val="18"/>
                <w:szCs w:val="18"/>
                <w:color w:val="auto"/>
              </w:rPr>
              <w:t>71 %</w:t>
            </w:r>
          </w:p>
        </w:tc>
        <w:tc>
          <w:tcPr>
            <w:tcW w:w="300" w:type="dxa"/>
            <w:vAlign w:val="bottom"/>
          </w:tcPr>
          <w:p>
            <w:pPr>
              <w:spacing w:after="0"/>
              <w:rPr>
                <w:sz w:val="20"/>
                <w:szCs w:val="20"/>
                <w:color w:val="auto"/>
              </w:rPr>
            </w:pPr>
          </w:p>
        </w:tc>
        <w:tc>
          <w:tcPr>
            <w:tcW w:w="1280" w:type="dxa"/>
            <w:vAlign w:val="bottom"/>
            <w:gridSpan w:val="2"/>
          </w:tcPr>
          <w:p>
            <w:pPr>
              <w:jc w:val="right"/>
              <w:ind w:right="100"/>
              <w:spacing w:after="0"/>
              <w:rPr>
                <w:sz w:val="20"/>
                <w:szCs w:val="20"/>
                <w:color w:val="auto"/>
              </w:rPr>
            </w:pPr>
            <w:r>
              <w:rPr>
                <w:rFonts w:ascii="Arial" w:cs="Arial" w:eastAsia="Arial" w:hAnsi="Arial"/>
                <w:sz w:val="18"/>
                <w:szCs w:val="18"/>
                <w:color w:val="auto"/>
              </w:rPr>
              <w:t>74 %</w:t>
            </w:r>
          </w:p>
        </w:tc>
        <w:tc>
          <w:tcPr>
            <w:tcW w:w="480" w:type="dxa"/>
            <w:vAlign w:val="bottom"/>
          </w:tcPr>
          <w:p>
            <w:pPr>
              <w:spacing w:after="0"/>
              <w:rPr>
                <w:sz w:val="20"/>
                <w:szCs w:val="20"/>
                <w:color w:val="auto"/>
              </w:rPr>
            </w:pPr>
          </w:p>
        </w:tc>
        <w:tc>
          <w:tcPr>
            <w:tcW w:w="1100" w:type="dxa"/>
            <w:vAlign w:val="bottom"/>
            <w:gridSpan w:val="3"/>
          </w:tcPr>
          <w:p>
            <w:pPr>
              <w:jc w:val="right"/>
              <w:ind w:right="40"/>
              <w:spacing w:after="0"/>
              <w:rPr>
                <w:sz w:val="20"/>
                <w:szCs w:val="20"/>
                <w:color w:val="auto"/>
              </w:rPr>
            </w:pPr>
            <w:r>
              <w:rPr>
                <w:rFonts w:ascii="Arial" w:cs="Arial" w:eastAsia="Arial" w:hAnsi="Arial"/>
                <w:sz w:val="18"/>
                <w:szCs w:val="18"/>
                <w:color w:val="auto"/>
              </w:rPr>
              <w:t>71 %</w:t>
            </w:r>
          </w:p>
        </w:tc>
      </w:tr>
      <w:tr>
        <w:trPr>
          <w:trHeight w:val="228"/>
        </w:trPr>
        <w:tc>
          <w:tcPr>
            <w:tcW w:w="46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340" w:type="dxa"/>
            <w:vAlign w:val="bottom"/>
            <w:gridSpan w:val="2"/>
          </w:tcPr>
          <w:p>
            <w:pPr>
              <w:spacing w:after="0"/>
              <w:rPr>
                <w:sz w:val="19"/>
                <w:szCs w:val="19"/>
                <w:color w:val="auto"/>
              </w:rPr>
            </w:pPr>
          </w:p>
        </w:tc>
        <w:tc>
          <w:tcPr>
            <w:tcW w:w="1060" w:type="dxa"/>
            <w:vAlign w:val="bottom"/>
          </w:tcPr>
          <w:p>
            <w:pPr>
              <w:spacing w:after="0"/>
              <w:rPr>
                <w:sz w:val="19"/>
                <w:szCs w:val="19"/>
                <w:color w:val="auto"/>
              </w:rPr>
            </w:pPr>
          </w:p>
        </w:tc>
        <w:tc>
          <w:tcPr>
            <w:tcW w:w="860" w:type="dxa"/>
            <w:vAlign w:val="bottom"/>
            <w:gridSpan w:val="2"/>
          </w:tcPr>
          <w:p>
            <w:pPr>
              <w:spacing w:after="0"/>
              <w:rPr>
                <w:sz w:val="19"/>
                <w:szCs w:val="19"/>
                <w:color w:val="auto"/>
              </w:rPr>
            </w:pPr>
          </w:p>
        </w:tc>
        <w:tc>
          <w:tcPr>
            <w:tcW w:w="300" w:type="dxa"/>
            <w:vAlign w:val="bottom"/>
          </w:tcPr>
          <w:p>
            <w:pPr>
              <w:spacing w:after="0"/>
              <w:rPr>
                <w:sz w:val="19"/>
                <w:szCs w:val="19"/>
                <w:color w:val="auto"/>
              </w:rPr>
            </w:pPr>
          </w:p>
        </w:tc>
        <w:tc>
          <w:tcPr>
            <w:tcW w:w="1280" w:type="dxa"/>
            <w:vAlign w:val="bottom"/>
            <w:gridSpan w:val="2"/>
          </w:tcPr>
          <w:p>
            <w:pPr>
              <w:spacing w:after="0"/>
              <w:rPr>
                <w:sz w:val="19"/>
                <w:szCs w:val="19"/>
                <w:color w:val="auto"/>
              </w:rPr>
            </w:pPr>
          </w:p>
        </w:tc>
        <w:tc>
          <w:tcPr>
            <w:tcW w:w="480" w:type="dxa"/>
            <w:vAlign w:val="bottom"/>
          </w:tcPr>
          <w:p>
            <w:pPr>
              <w:spacing w:after="0"/>
              <w:rPr>
                <w:sz w:val="19"/>
                <w:szCs w:val="19"/>
                <w:color w:val="auto"/>
              </w:rPr>
            </w:pPr>
          </w:p>
        </w:tc>
        <w:tc>
          <w:tcPr>
            <w:tcW w:w="1000" w:type="dxa"/>
            <w:vAlign w:val="bottom"/>
            <w:gridSpan w:val="2"/>
          </w:tcPr>
          <w:p>
            <w:pPr>
              <w:spacing w:after="0"/>
              <w:rPr>
                <w:sz w:val="19"/>
                <w:szCs w:val="19"/>
                <w:color w:val="auto"/>
              </w:rPr>
            </w:pPr>
          </w:p>
        </w:tc>
        <w:tc>
          <w:tcPr>
            <w:tcW w:w="100" w:type="dxa"/>
            <w:vAlign w:val="bottom"/>
          </w:tcPr>
          <w:p>
            <w:pPr>
              <w:spacing w:after="0"/>
              <w:rPr>
                <w:sz w:val="19"/>
                <w:szCs w:val="19"/>
                <w:color w:val="auto"/>
              </w:rPr>
            </w:pPr>
          </w:p>
        </w:tc>
      </w:tr>
      <w:tr>
        <w:trPr>
          <w:trHeight w:val="229"/>
        </w:trPr>
        <w:tc>
          <w:tcPr>
            <w:tcW w:w="4620" w:type="dxa"/>
            <w:vAlign w:val="bottom"/>
            <w:shd w:val="clear" w:color="auto" w:fill="CFF0FC"/>
          </w:tcPr>
          <w:p>
            <w:pPr>
              <w:ind w:left="20"/>
              <w:spacing w:after="0"/>
              <w:rPr>
                <w:sz w:val="20"/>
                <w:szCs w:val="20"/>
                <w:color w:val="auto"/>
              </w:rPr>
            </w:pPr>
            <w:r>
              <w:rPr>
                <w:rFonts w:ascii="Arial" w:cs="Arial" w:eastAsia="Arial" w:hAnsi="Arial"/>
                <w:sz w:val="18"/>
                <w:szCs w:val="18"/>
                <w:color w:val="auto"/>
              </w:rPr>
              <w:t>Loss from Operations</w:t>
            </w:r>
          </w:p>
        </w:tc>
        <w:tc>
          <w:tcPr>
            <w:tcW w:w="300" w:type="dxa"/>
            <w:vAlign w:val="bottom"/>
            <w:shd w:val="clear" w:color="auto" w:fill="CFF0FC"/>
          </w:tcPr>
          <w:p>
            <w:pPr>
              <w:jc w:val="right"/>
              <w:ind w:right="110"/>
              <w:spacing w:after="0"/>
              <w:rPr>
                <w:sz w:val="20"/>
                <w:szCs w:val="20"/>
                <w:color w:val="auto"/>
              </w:rPr>
            </w:pPr>
            <w:r>
              <w:rPr>
                <w:rFonts w:ascii="Arial" w:cs="Arial" w:eastAsia="Arial" w:hAnsi="Arial"/>
                <w:sz w:val="18"/>
                <w:szCs w:val="18"/>
                <w:color w:val="auto"/>
                <w:w w:val="79"/>
              </w:rPr>
              <w:t>$</w:t>
            </w:r>
          </w:p>
        </w:tc>
        <w:tc>
          <w:tcPr>
            <w:tcW w:w="1340" w:type="dxa"/>
            <w:vAlign w:val="bottom"/>
            <w:gridSpan w:val="2"/>
            <w:shd w:val="clear" w:color="auto" w:fill="CFF0FC"/>
          </w:tcPr>
          <w:p>
            <w:pPr>
              <w:jc w:val="right"/>
              <w:ind w:right="200"/>
              <w:spacing w:after="0"/>
              <w:rPr>
                <w:sz w:val="20"/>
                <w:szCs w:val="20"/>
                <w:color w:val="auto"/>
              </w:rPr>
            </w:pPr>
            <w:r>
              <w:rPr>
                <w:rFonts w:ascii="Arial" w:cs="Arial" w:eastAsia="Arial" w:hAnsi="Arial"/>
                <w:sz w:val="18"/>
                <w:szCs w:val="18"/>
                <w:color w:val="auto"/>
              </w:rPr>
              <w:t>(24,190 )</w:t>
            </w:r>
          </w:p>
        </w:tc>
        <w:tc>
          <w:tcPr>
            <w:tcW w:w="1060" w:type="dxa"/>
            <w:vAlign w:val="bottom"/>
            <w:shd w:val="clear" w:color="auto" w:fill="CFF0FC"/>
          </w:tcPr>
          <w:p>
            <w:pPr>
              <w:jc w:val="right"/>
              <w:ind w:right="870"/>
              <w:spacing w:after="0"/>
              <w:rPr>
                <w:sz w:val="20"/>
                <w:szCs w:val="20"/>
                <w:color w:val="auto"/>
              </w:rPr>
            </w:pPr>
            <w:r>
              <w:rPr>
                <w:rFonts w:ascii="Arial" w:cs="Arial" w:eastAsia="Arial" w:hAnsi="Arial"/>
                <w:sz w:val="18"/>
                <w:szCs w:val="18"/>
                <w:color w:val="auto"/>
                <w:w w:val="79"/>
              </w:rPr>
              <w:t>$</w:t>
            </w:r>
          </w:p>
        </w:tc>
        <w:tc>
          <w:tcPr>
            <w:tcW w:w="860" w:type="dxa"/>
            <w:vAlign w:val="bottom"/>
            <w:gridSpan w:val="2"/>
            <w:shd w:val="clear" w:color="auto" w:fill="CFF0FC"/>
          </w:tcPr>
          <w:p>
            <w:pPr>
              <w:jc w:val="right"/>
              <w:ind w:right="180"/>
              <w:spacing w:after="0"/>
              <w:rPr>
                <w:sz w:val="20"/>
                <w:szCs w:val="20"/>
                <w:color w:val="auto"/>
              </w:rPr>
            </w:pPr>
            <w:r>
              <w:rPr>
                <w:rFonts w:ascii="Arial" w:cs="Arial" w:eastAsia="Arial" w:hAnsi="Arial"/>
                <w:sz w:val="18"/>
                <w:szCs w:val="18"/>
                <w:color w:val="auto"/>
                <w:w w:val="91"/>
              </w:rPr>
              <w:t>(36,768 )</w:t>
            </w:r>
          </w:p>
        </w:tc>
        <w:tc>
          <w:tcPr>
            <w:tcW w:w="300" w:type="dxa"/>
            <w:vAlign w:val="bottom"/>
            <w:shd w:val="clear" w:color="auto" w:fill="CFF0FC"/>
          </w:tcPr>
          <w:p>
            <w:pPr>
              <w:jc w:val="right"/>
              <w:ind w:right="110"/>
              <w:spacing w:after="0"/>
              <w:rPr>
                <w:sz w:val="20"/>
                <w:szCs w:val="20"/>
                <w:color w:val="auto"/>
              </w:rPr>
            </w:pPr>
            <w:r>
              <w:rPr>
                <w:rFonts w:ascii="Arial" w:cs="Arial" w:eastAsia="Arial" w:hAnsi="Arial"/>
                <w:sz w:val="18"/>
                <w:szCs w:val="18"/>
                <w:color w:val="auto"/>
                <w:w w:val="79"/>
              </w:rPr>
              <w:t>$</w:t>
            </w:r>
          </w:p>
        </w:tc>
        <w:tc>
          <w:tcPr>
            <w:tcW w:w="1280" w:type="dxa"/>
            <w:vAlign w:val="bottom"/>
            <w:gridSpan w:val="2"/>
            <w:shd w:val="clear" w:color="auto" w:fill="CFF0FC"/>
          </w:tcPr>
          <w:p>
            <w:pPr>
              <w:jc w:val="right"/>
              <w:ind w:right="180"/>
              <w:spacing w:after="0"/>
              <w:rPr>
                <w:sz w:val="20"/>
                <w:szCs w:val="20"/>
                <w:color w:val="auto"/>
              </w:rPr>
            </w:pPr>
            <w:r>
              <w:rPr>
                <w:rFonts w:ascii="Arial" w:cs="Arial" w:eastAsia="Arial" w:hAnsi="Arial"/>
                <w:sz w:val="18"/>
                <w:szCs w:val="18"/>
                <w:color w:val="auto"/>
              </w:rPr>
              <w:t>(70,764 )</w:t>
            </w:r>
          </w:p>
        </w:tc>
        <w:tc>
          <w:tcPr>
            <w:tcW w:w="480" w:type="dxa"/>
            <w:vAlign w:val="bottom"/>
            <w:shd w:val="clear" w:color="auto" w:fill="CFF0FC"/>
          </w:tcPr>
          <w:p>
            <w:pPr>
              <w:jc w:val="right"/>
              <w:ind w:right="290"/>
              <w:spacing w:after="0"/>
              <w:rPr>
                <w:sz w:val="20"/>
                <w:szCs w:val="20"/>
                <w:color w:val="auto"/>
              </w:rPr>
            </w:pPr>
            <w:r>
              <w:rPr>
                <w:rFonts w:ascii="Arial" w:cs="Arial" w:eastAsia="Arial" w:hAnsi="Arial"/>
                <w:sz w:val="18"/>
                <w:szCs w:val="18"/>
                <w:color w:val="auto"/>
                <w:w w:val="79"/>
              </w:rPr>
              <w:t>$</w:t>
            </w:r>
          </w:p>
        </w:tc>
        <w:tc>
          <w:tcPr>
            <w:tcW w:w="1000" w:type="dxa"/>
            <w:vAlign w:val="bottom"/>
            <w:gridSpan w:val="2"/>
            <w:shd w:val="clear" w:color="auto" w:fill="CFF0FC"/>
          </w:tcPr>
          <w:p>
            <w:pPr>
              <w:jc w:val="right"/>
              <w:ind w:right="40"/>
              <w:spacing w:after="0"/>
              <w:rPr>
                <w:sz w:val="20"/>
                <w:szCs w:val="20"/>
                <w:color w:val="auto"/>
              </w:rPr>
            </w:pPr>
            <w:r>
              <w:rPr>
                <w:rFonts w:ascii="Arial" w:cs="Arial" w:eastAsia="Arial" w:hAnsi="Arial"/>
                <w:sz w:val="18"/>
                <w:szCs w:val="18"/>
                <w:color w:val="auto"/>
              </w:rPr>
              <w:t>(52,664 )</w:t>
            </w:r>
          </w:p>
        </w:tc>
        <w:tc>
          <w:tcPr>
            <w:tcW w:w="100" w:type="dxa"/>
            <w:vAlign w:val="bottom"/>
          </w:tcPr>
          <w:p>
            <w:pPr>
              <w:spacing w:after="0"/>
              <w:rPr>
                <w:sz w:val="19"/>
                <w:szCs w:val="19"/>
                <w:color w:val="auto"/>
              </w:rPr>
            </w:pPr>
          </w:p>
        </w:tc>
      </w:tr>
      <w:tr>
        <w:trPr>
          <w:trHeight w:val="230"/>
        </w:trPr>
        <w:tc>
          <w:tcPr>
            <w:tcW w:w="4620" w:type="dxa"/>
            <w:vAlign w:val="bottom"/>
          </w:tcPr>
          <w:p>
            <w:pPr>
              <w:ind w:left="20"/>
              <w:spacing w:after="0"/>
              <w:rPr>
                <w:sz w:val="20"/>
                <w:szCs w:val="20"/>
                <w:color w:val="auto"/>
              </w:rPr>
            </w:pPr>
            <w:r>
              <w:rPr>
                <w:rFonts w:ascii="Arial" w:cs="Arial" w:eastAsia="Arial" w:hAnsi="Arial"/>
                <w:sz w:val="18"/>
                <w:szCs w:val="18"/>
                <w:color w:val="auto"/>
              </w:rPr>
              <w:t>Non-GAAP Loss from Operations</w:t>
            </w:r>
          </w:p>
        </w:tc>
        <w:tc>
          <w:tcPr>
            <w:tcW w:w="300" w:type="dxa"/>
            <w:vAlign w:val="bottom"/>
          </w:tcPr>
          <w:p>
            <w:pPr>
              <w:jc w:val="right"/>
              <w:ind w:right="110"/>
              <w:spacing w:after="0"/>
              <w:rPr>
                <w:sz w:val="20"/>
                <w:szCs w:val="20"/>
                <w:color w:val="auto"/>
              </w:rPr>
            </w:pPr>
            <w:r>
              <w:rPr>
                <w:rFonts w:ascii="Arial" w:cs="Arial" w:eastAsia="Arial" w:hAnsi="Arial"/>
                <w:sz w:val="18"/>
                <w:szCs w:val="18"/>
                <w:color w:val="auto"/>
                <w:w w:val="79"/>
              </w:rPr>
              <w:t>$</w:t>
            </w:r>
          </w:p>
        </w:tc>
        <w:tc>
          <w:tcPr>
            <w:tcW w:w="1340" w:type="dxa"/>
            <w:vAlign w:val="bottom"/>
            <w:gridSpan w:val="2"/>
          </w:tcPr>
          <w:p>
            <w:pPr>
              <w:jc w:val="right"/>
              <w:ind w:right="200"/>
              <w:spacing w:after="0"/>
              <w:rPr>
                <w:sz w:val="20"/>
                <w:szCs w:val="20"/>
                <w:color w:val="auto"/>
              </w:rPr>
            </w:pPr>
            <w:r>
              <w:rPr>
                <w:rFonts w:ascii="Arial" w:cs="Arial" w:eastAsia="Arial" w:hAnsi="Arial"/>
                <w:sz w:val="18"/>
                <w:szCs w:val="18"/>
                <w:color w:val="auto"/>
              </w:rPr>
              <w:t>(4,863 )</w:t>
            </w:r>
          </w:p>
        </w:tc>
        <w:tc>
          <w:tcPr>
            <w:tcW w:w="1060" w:type="dxa"/>
            <w:vAlign w:val="bottom"/>
          </w:tcPr>
          <w:p>
            <w:pPr>
              <w:jc w:val="right"/>
              <w:ind w:right="870"/>
              <w:spacing w:after="0"/>
              <w:rPr>
                <w:sz w:val="20"/>
                <w:szCs w:val="20"/>
                <w:color w:val="auto"/>
              </w:rPr>
            </w:pPr>
            <w:r>
              <w:rPr>
                <w:rFonts w:ascii="Arial" w:cs="Arial" w:eastAsia="Arial" w:hAnsi="Arial"/>
                <w:sz w:val="18"/>
                <w:szCs w:val="18"/>
                <w:color w:val="auto"/>
                <w:w w:val="79"/>
              </w:rPr>
              <w:t>$</w:t>
            </w:r>
          </w:p>
        </w:tc>
        <w:tc>
          <w:tcPr>
            <w:tcW w:w="860" w:type="dxa"/>
            <w:vAlign w:val="bottom"/>
            <w:gridSpan w:val="2"/>
          </w:tcPr>
          <w:p>
            <w:pPr>
              <w:jc w:val="right"/>
              <w:ind w:right="180"/>
              <w:spacing w:after="0"/>
              <w:rPr>
                <w:sz w:val="20"/>
                <w:szCs w:val="20"/>
                <w:color w:val="auto"/>
              </w:rPr>
            </w:pPr>
            <w:r>
              <w:rPr>
                <w:rFonts w:ascii="Arial" w:cs="Arial" w:eastAsia="Arial" w:hAnsi="Arial"/>
                <w:sz w:val="18"/>
                <w:szCs w:val="18"/>
                <w:color w:val="auto"/>
              </w:rPr>
              <w:t>(2,285 )</w:t>
            </w:r>
          </w:p>
        </w:tc>
        <w:tc>
          <w:tcPr>
            <w:tcW w:w="300" w:type="dxa"/>
            <w:vAlign w:val="bottom"/>
          </w:tcPr>
          <w:p>
            <w:pPr>
              <w:jc w:val="right"/>
              <w:ind w:right="110"/>
              <w:spacing w:after="0"/>
              <w:rPr>
                <w:sz w:val="20"/>
                <w:szCs w:val="20"/>
                <w:color w:val="auto"/>
              </w:rPr>
            </w:pPr>
            <w:r>
              <w:rPr>
                <w:rFonts w:ascii="Arial" w:cs="Arial" w:eastAsia="Arial" w:hAnsi="Arial"/>
                <w:sz w:val="18"/>
                <w:szCs w:val="18"/>
                <w:color w:val="auto"/>
                <w:w w:val="79"/>
              </w:rPr>
              <w:t>$</w:t>
            </w:r>
          </w:p>
        </w:tc>
        <w:tc>
          <w:tcPr>
            <w:tcW w:w="1280" w:type="dxa"/>
            <w:vAlign w:val="bottom"/>
            <w:gridSpan w:val="2"/>
          </w:tcPr>
          <w:p>
            <w:pPr>
              <w:jc w:val="right"/>
              <w:ind w:right="180"/>
              <w:spacing w:after="0"/>
              <w:rPr>
                <w:sz w:val="20"/>
                <w:szCs w:val="20"/>
                <w:color w:val="auto"/>
              </w:rPr>
            </w:pPr>
            <w:r>
              <w:rPr>
                <w:rFonts w:ascii="Arial" w:cs="Arial" w:eastAsia="Arial" w:hAnsi="Arial"/>
                <w:sz w:val="18"/>
                <w:szCs w:val="18"/>
                <w:color w:val="auto"/>
              </w:rPr>
              <w:t>(21,588 )</w:t>
            </w:r>
          </w:p>
        </w:tc>
        <w:tc>
          <w:tcPr>
            <w:tcW w:w="480" w:type="dxa"/>
            <w:vAlign w:val="bottom"/>
          </w:tcPr>
          <w:p>
            <w:pPr>
              <w:jc w:val="right"/>
              <w:ind w:right="290"/>
              <w:spacing w:after="0"/>
              <w:rPr>
                <w:sz w:val="20"/>
                <w:szCs w:val="20"/>
                <w:color w:val="auto"/>
              </w:rPr>
            </w:pPr>
            <w:r>
              <w:rPr>
                <w:rFonts w:ascii="Arial" w:cs="Arial" w:eastAsia="Arial" w:hAnsi="Arial"/>
                <w:sz w:val="18"/>
                <w:szCs w:val="18"/>
                <w:color w:val="auto"/>
                <w:w w:val="79"/>
              </w:rPr>
              <w:t>$</w:t>
            </w:r>
          </w:p>
        </w:tc>
        <w:tc>
          <w:tcPr>
            <w:tcW w:w="1000" w:type="dxa"/>
            <w:vAlign w:val="bottom"/>
            <w:gridSpan w:val="2"/>
          </w:tcPr>
          <w:p>
            <w:pPr>
              <w:jc w:val="right"/>
              <w:ind w:right="40"/>
              <w:spacing w:after="0"/>
              <w:rPr>
                <w:sz w:val="20"/>
                <w:szCs w:val="20"/>
                <w:color w:val="auto"/>
              </w:rPr>
            </w:pPr>
            <w:r>
              <w:rPr>
                <w:rFonts w:ascii="Arial" w:cs="Arial" w:eastAsia="Arial" w:hAnsi="Arial"/>
                <w:sz w:val="18"/>
                <w:szCs w:val="18"/>
                <w:color w:val="auto"/>
              </w:rPr>
              <w:t>(9,677 )</w:t>
            </w:r>
          </w:p>
        </w:tc>
        <w:tc>
          <w:tcPr>
            <w:tcW w:w="100" w:type="dxa"/>
            <w:vAlign w:val="bottom"/>
          </w:tcPr>
          <w:p>
            <w:pPr>
              <w:spacing w:after="0"/>
              <w:rPr>
                <w:sz w:val="20"/>
                <w:szCs w:val="20"/>
                <w:color w:val="auto"/>
              </w:rPr>
            </w:pPr>
          </w:p>
        </w:tc>
      </w:tr>
      <w:tr>
        <w:trPr>
          <w:trHeight w:val="458"/>
        </w:trPr>
        <w:tc>
          <w:tcPr>
            <w:tcW w:w="4620" w:type="dxa"/>
            <w:vAlign w:val="bottom"/>
          </w:tcPr>
          <w:p>
            <w:pPr>
              <w:ind w:left="20"/>
              <w:spacing w:after="0"/>
              <w:rPr>
                <w:sz w:val="20"/>
                <w:szCs w:val="20"/>
                <w:color w:val="auto"/>
              </w:rPr>
            </w:pPr>
            <w:r>
              <w:rPr>
                <w:rFonts w:ascii="Arial" w:cs="Arial" w:eastAsia="Arial" w:hAnsi="Arial"/>
                <w:sz w:val="18"/>
                <w:szCs w:val="18"/>
                <w:color w:val="auto"/>
              </w:rPr>
              <w:t>Loss from Operations Margin</w:t>
            </w:r>
          </w:p>
        </w:tc>
        <w:tc>
          <w:tcPr>
            <w:tcW w:w="300" w:type="dxa"/>
            <w:vAlign w:val="bottom"/>
          </w:tcPr>
          <w:p>
            <w:pPr>
              <w:spacing w:after="0"/>
              <w:rPr>
                <w:sz w:val="24"/>
                <w:szCs w:val="24"/>
                <w:color w:val="auto"/>
              </w:rPr>
            </w:pPr>
          </w:p>
        </w:tc>
        <w:tc>
          <w:tcPr>
            <w:tcW w:w="1340" w:type="dxa"/>
            <w:vAlign w:val="bottom"/>
            <w:gridSpan w:val="2"/>
          </w:tcPr>
          <w:p>
            <w:pPr>
              <w:jc w:val="right"/>
              <w:ind w:right="60"/>
              <w:spacing w:after="0"/>
              <w:rPr>
                <w:sz w:val="20"/>
                <w:szCs w:val="20"/>
                <w:color w:val="auto"/>
              </w:rPr>
            </w:pPr>
            <w:r>
              <w:rPr>
                <w:rFonts w:ascii="Arial" w:cs="Arial" w:eastAsia="Arial" w:hAnsi="Arial"/>
                <w:sz w:val="18"/>
                <w:szCs w:val="18"/>
                <w:color w:val="auto"/>
              </w:rPr>
              <w:t>(39 )%</w:t>
            </w:r>
          </w:p>
        </w:tc>
        <w:tc>
          <w:tcPr>
            <w:tcW w:w="1060" w:type="dxa"/>
            <w:vAlign w:val="bottom"/>
          </w:tcPr>
          <w:p>
            <w:pPr>
              <w:spacing w:after="0"/>
              <w:rPr>
                <w:sz w:val="24"/>
                <w:szCs w:val="24"/>
                <w:color w:val="auto"/>
              </w:rPr>
            </w:pPr>
          </w:p>
        </w:tc>
        <w:tc>
          <w:tcPr>
            <w:tcW w:w="860" w:type="dxa"/>
            <w:vAlign w:val="bottom"/>
            <w:gridSpan w:val="2"/>
          </w:tcPr>
          <w:p>
            <w:pPr>
              <w:jc w:val="right"/>
              <w:ind w:right="40"/>
              <w:spacing w:after="0"/>
              <w:rPr>
                <w:sz w:val="20"/>
                <w:szCs w:val="20"/>
                <w:color w:val="auto"/>
              </w:rPr>
            </w:pPr>
            <w:r>
              <w:rPr>
                <w:rFonts w:ascii="Arial" w:cs="Arial" w:eastAsia="Arial" w:hAnsi="Arial"/>
                <w:sz w:val="18"/>
                <w:szCs w:val="18"/>
                <w:color w:val="auto"/>
              </w:rPr>
              <w:t>(81 )%</w:t>
            </w:r>
          </w:p>
        </w:tc>
        <w:tc>
          <w:tcPr>
            <w:tcW w:w="300" w:type="dxa"/>
            <w:vAlign w:val="bottom"/>
          </w:tcPr>
          <w:p>
            <w:pPr>
              <w:spacing w:after="0"/>
              <w:rPr>
                <w:sz w:val="24"/>
                <w:szCs w:val="24"/>
                <w:color w:val="auto"/>
              </w:rPr>
            </w:pPr>
          </w:p>
        </w:tc>
        <w:tc>
          <w:tcPr>
            <w:tcW w:w="1280" w:type="dxa"/>
            <w:vAlign w:val="bottom"/>
            <w:gridSpan w:val="2"/>
          </w:tcPr>
          <w:p>
            <w:pPr>
              <w:jc w:val="right"/>
              <w:ind w:right="40"/>
              <w:spacing w:after="0"/>
              <w:rPr>
                <w:sz w:val="20"/>
                <w:szCs w:val="20"/>
                <w:color w:val="auto"/>
              </w:rPr>
            </w:pPr>
            <w:r>
              <w:rPr>
                <w:rFonts w:ascii="Arial" w:cs="Arial" w:eastAsia="Arial" w:hAnsi="Arial"/>
                <w:sz w:val="18"/>
                <w:szCs w:val="18"/>
                <w:color w:val="auto"/>
              </w:rPr>
              <w:t>(41 )%</w:t>
            </w:r>
          </w:p>
        </w:tc>
        <w:tc>
          <w:tcPr>
            <w:tcW w:w="480" w:type="dxa"/>
            <w:vAlign w:val="bottom"/>
          </w:tcPr>
          <w:p>
            <w:pPr>
              <w:spacing w:after="0"/>
              <w:rPr>
                <w:sz w:val="24"/>
                <w:szCs w:val="24"/>
                <w:color w:val="auto"/>
              </w:rPr>
            </w:pPr>
          </w:p>
        </w:tc>
        <w:tc>
          <w:tcPr>
            <w:tcW w:w="1100" w:type="dxa"/>
            <w:vAlign w:val="bottom"/>
            <w:gridSpan w:val="3"/>
          </w:tcPr>
          <w:p>
            <w:pPr>
              <w:jc w:val="right"/>
              <w:spacing w:after="0"/>
              <w:rPr>
                <w:sz w:val="20"/>
                <w:szCs w:val="20"/>
                <w:color w:val="auto"/>
              </w:rPr>
            </w:pPr>
            <w:r>
              <w:rPr>
                <w:rFonts w:ascii="Arial" w:cs="Arial" w:eastAsia="Arial" w:hAnsi="Arial"/>
                <w:sz w:val="18"/>
                <w:szCs w:val="18"/>
                <w:color w:val="auto"/>
              </w:rPr>
              <w:t>(45 )%</w:t>
            </w:r>
          </w:p>
        </w:tc>
      </w:tr>
      <w:tr>
        <w:trPr>
          <w:trHeight w:val="230"/>
        </w:trPr>
        <w:tc>
          <w:tcPr>
            <w:tcW w:w="4620" w:type="dxa"/>
            <w:vAlign w:val="bottom"/>
          </w:tcPr>
          <w:p>
            <w:pPr>
              <w:ind w:left="20"/>
              <w:spacing w:after="0"/>
              <w:rPr>
                <w:sz w:val="20"/>
                <w:szCs w:val="20"/>
                <w:color w:val="auto"/>
              </w:rPr>
            </w:pPr>
            <w:r>
              <w:rPr>
                <w:rFonts w:ascii="Arial" w:cs="Arial" w:eastAsia="Arial" w:hAnsi="Arial"/>
                <w:sz w:val="18"/>
                <w:szCs w:val="18"/>
                <w:color w:val="auto"/>
              </w:rPr>
              <w:t>Non-GAAP Loss from Operations Margin</w:t>
            </w:r>
          </w:p>
        </w:tc>
        <w:tc>
          <w:tcPr>
            <w:tcW w:w="300" w:type="dxa"/>
            <w:vAlign w:val="bottom"/>
          </w:tcPr>
          <w:p>
            <w:pPr>
              <w:spacing w:after="0"/>
              <w:rPr>
                <w:sz w:val="20"/>
                <w:szCs w:val="20"/>
                <w:color w:val="auto"/>
              </w:rPr>
            </w:pPr>
          </w:p>
        </w:tc>
        <w:tc>
          <w:tcPr>
            <w:tcW w:w="1340" w:type="dxa"/>
            <w:vAlign w:val="bottom"/>
            <w:gridSpan w:val="2"/>
          </w:tcPr>
          <w:p>
            <w:pPr>
              <w:jc w:val="right"/>
              <w:ind w:right="60"/>
              <w:spacing w:after="0"/>
              <w:rPr>
                <w:sz w:val="20"/>
                <w:szCs w:val="20"/>
                <w:color w:val="auto"/>
              </w:rPr>
            </w:pPr>
            <w:r>
              <w:rPr>
                <w:rFonts w:ascii="Arial" w:cs="Arial" w:eastAsia="Arial" w:hAnsi="Arial"/>
                <w:sz w:val="18"/>
                <w:szCs w:val="18"/>
                <w:color w:val="auto"/>
              </w:rPr>
              <w:t>(8 )%</w:t>
            </w:r>
          </w:p>
        </w:tc>
        <w:tc>
          <w:tcPr>
            <w:tcW w:w="1060" w:type="dxa"/>
            <w:vAlign w:val="bottom"/>
          </w:tcPr>
          <w:p>
            <w:pPr>
              <w:spacing w:after="0"/>
              <w:rPr>
                <w:sz w:val="20"/>
                <w:szCs w:val="20"/>
                <w:color w:val="auto"/>
              </w:rPr>
            </w:pPr>
          </w:p>
        </w:tc>
        <w:tc>
          <w:tcPr>
            <w:tcW w:w="860" w:type="dxa"/>
            <w:vAlign w:val="bottom"/>
            <w:gridSpan w:val="2"/>
          </w:tcPr>
          <w:p>
            <w:pPr>
              <w:jc w:val="right"/>
              <w:ind w:right="40"/>
              <w:spacing w:after="0"/>
              <w:rPr>
                <w:sz w:val="20"/>
                <w:szCs w:val="20"/>
                <w:color w:val="auto"/>
              </w:rPr>
            </w:pPr>
            <w:r>
              <w:rPr>
                <w:rFonts w:ascii="Arial" w:cs="Arial" w:eastAsia="Arial" w:hAnsi="Arial"/>
                <w:sz w:val="18"/>
                <w:szCs w:val="18"/>
                <w:color w:val="auto"/>
              </w:rPr>
              <w:t>(5 )%</w:t>
            </w:r>
          </w:p>
        </w:tc>
        <w:tc>
          <w:tcPr>
            <w:tcW w:w="300" w:type="dxa"/>
            <w:vAlign w:val="bottom"/>
          </w:tcPr>
          <w:p>
            <w:pPr>
              <w:spacing w:after="0"/>
              <w:rPr>
                <w:sz w:val="20"/>
                <w:szCs w:val="20"/>
                <w:color w:val="auto"/>
              </w:rPr>
            </w:pPr>
          </w:p>
        </w:tc>
        <w:tc>
          <w:tcPr>
            <w:tcW w:w="1280" w:type="dxa"/>
            <w:vAlign w:val="bottom"/>
            <w:gridSpan w:val="2"/>
          </w:tcPr>
          <w:p>
            <w:pPr>
              <w:jc w:val="right"/>
              <w:ind w:right="40"/>
              <w:spacing w:after="0"/>
              <w:rPr>
                <w:sz w:val="20"/>
                <w:szCs w:val="20"/>
                <w:color w:val="auto"/>
              </w:rPr>
            </w:pPr>
            <w:r>
              <w:rPr>
                <w:rFonts w:ascii="Arial" w:cs="Arial" w:eastAsia="Arial" w:hAnsi="Arial"/>
                <w:sz w:val="18"/>
                <w:szCs w:val="18"/>
                <w:color w:val="auto"/>
              </w:rPr>
              <w:t>(12 )%</w:t>
            </w:r>
          </w:p>
        </w:tc>
        <w:tc>
          <w:tcPr>
            <w:tcW w:w="480" w:type="dxa"/>
            <w:vAlign w:val="bottom"/>
          </w:tcPr>
          <w:p>
            <w:pPr>
              <w:spacing w:after="0"/>
              <w:rPr>
                <w:sz w:val="20"/>
                <w:szCs w:val="20"/>
                <w:color w:val="auto"/>
              </w:rPr>
            </w:pPr>
          </w:p>
        </w:tc>
        <w:tc>
          <w:tcPr>
            <w:tcW w:w="1100" w:type="dxa"/>
            <w:vAlign w:val="bottom"/>
            <w:gridSpan w:val="3"/>
          </w:tcPr>
          <w:p>
            <w:pPr>
              <w:jc w:val="right"/>
              <w:spacing w:after="0"/>
              <w:rPr>
                <w:sz w:val="20"/>
                <w:szCs w:val="20"/>
                <w:color w:val="auto"/>
              </w:rPr>
            </w:pPr>
            <w:r>
              <w:rPr>
                <w:rFonts w:ascii="Arial" w:cs="Arial" w:eastAsia="Arial" w:hAnsi="Arial"/>
                <w:sz w:val="18"/>
                <w:szCs w:val="18"/>
                <w:color w:val="auto"/>
              </w:rPr>
              <w:t>(8 )%</w:t>
            </w:r>
          </w:p>
        </w:tc>
      </w:tr>
      <w:tr>
        <w:trPr>
          <w:trHeight w:val="228"/>
        </w:trPr>
        <w:tc>
          <w:tcPr>
            <w:tcW w:w="46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340" w:type="dxa"/>
            <w:vAlign w:val="bottom"/>
            <w:gridSpan w:val="2"/>
          </w:tcPr>
          <w:p>
            <w:pPr>
              <w:spacing w:after="0"/>
              <w:rPr>
                <w:sz w:val="19"/>
                <w:szCs w:val="19"/>
                <w:color w:val="auto"/>
              </w:rPr>
            </w:pPr>
          </w:p>
        </w:tc>
        <w:tc>
          <w:tcPr>
            <w:tcW w:w="1060" w:type="dxa"/>
            <w:vAlign w:val="bottom"/>
          </w:tcPr>
          <w:p>
            <w:pPr>
              <w:spacing w:after="0"/>
              <w:rPr>
                <w:sz w:val="19"/>
                <w:szCs w:val="19"/>
                <w:color w:val="auto"/>
              </w:rPr>
            </w:pPr>
          </w:p>
        </w:tc>
        <w:tc>
          <w:tcPr>
            <w:tcW w:w="860" w:type="dxa"/>
            <w:vAlign w:val="bottom"/>
            <w:gridSpan w:val="2"/>
          </w:tcPr>
          <w:p>
            <w:pPr>
              <w:spacing w:after="0"/>
              <w:rPr>
                <w:sz w:val="19"/>
                <w:szCs w:val="19"/>
                <w:color w:val="auto"/>
              </w:rPr>
            </w:pPr>
          </w:p>
        </w:tc>
        <w:tc>
          <w:tcPr>
            <w:tcW w:w="300" w:type="dxa"/>
            <w:vAlign w:val="bottom"/>
          </w:tcPr>
          <w:p>
            <w:pPr>
              <w:spacing w:after="0"/>
              <w:rPr>
                <w:sz w:val="19"/>
                <w:szCs w:val="19"/>
                <w:color w:val="auto"/>
              </w:rPr>
            </w:pPr>
          </w:p>
        </w:tc>
        <w:tc>
          <w:tcPr>
            <w:tcW w:w="1280" w:type="dxa"/>
            <w:vAlign w:val="bottom"/>
            <w:gridSpan w:val="2"/>
          </w:tcPr>
          <w:p>
            <w:pPr>
              <w:spacing w:after="0"/>
              <w:rPr>
                <w:sz w:val="19"/>
                <w:szCs w:val="19"/>
                <w:color w:val="auto"/>
              </w:rPr>
            </w:pPr>
          </w:p>
        </w:tc>
        <w:tc>
          <w:tcPr>
            <w:tcW w:w="480" w:type="dxa"/>
            <w:vAlign w:val="bottom"/>
          </w:tcPr>
          <w:p>
            <w:pPr>
              <w:spacing w:after="0"/>
              <w:rPr>
                <w:sz w:val="19"/>
                <w:szCs w:val="19"/>
                <w:color w:val="auto"/>
              </w:rPr>
            </w:pPr>
          </w:p>
        </w:tc>
        <w:tc>
          <w:tcPr>
            <w:tcW w:w="1000" w:type="dxa"/>
            <w:vAlign w:val="bottom"/>
            <w:gridSpan w:val="2"/>
          </w:tcPr>
          <w:p>
            <w:pPr>
              <w:spacing w:after="0"/>
              <w:rPr>
                <w:sz w:val="19"/>
                <w:szCs w:val="19"/>
                <w:color w:val="auto"/>
              </w:rPr>
            </w:pPr>
          </w:p>
        </w:tc>
        <w:tc>
          <w:tcPr>
            <w:tcW w:w="100" w:type="dxa"/>
            <w:vAlign w:val="bottom"/>
          </w:tcPr>
          <w:p>
            <w:pPr>
              <w:spacing w:after="0"/>
              <w:rPr>
                <w:sz w:val="19"/>
                <w:szCs w:val="19"/>
                <w:color w:val="auto"/>
              </w:rPr>
            </w:pPr>
          </w:p>
        </w:tc>
      </w:tr>
      <w:tr>
        <w:trPr>
          <w:trHeight w:val="229"/>
        </w:trPr>
        <w:tc>
          <w:tcPr>
            <w:tcW w:w="4620" w:type="dxa"/>
            <w:vAlign w:val="bottom"/>
            <w:shd w:val="clear" w:color="auto" w:fill="CFF0FC"/>
          </w:tcPr>
          <w:p>
            <w:pPr>
              <w:ind w:left="20"/>
              <w:spacing w:after="0"/>
              <w:rPr>
                <w:sz w:val="20"/>
                <w:szCs w:val="20"/>
                <w:color w:val="auto"/>
              </w:rPr>
            </w:pPr>
            <w:r>
              <w:rPr>
                <w:rFonts w:ascii="Arial" w:cs="Arial" w:eastAsia="Arial" w:hAnsi="Arial"/>
                <w:sz w:val="18"/>
                <w:szCs w:val="18"/>
                <w:color w:val="auto"/>
              </w:rPr>
              <w:t>Net Cash Used in Operating Activities</w:t>
            </w:r>
          </w:p>
        </w:tc>
        <w:tc>
          <w:tcPr>
            <w:tcW w:w="300" w:type="dxa"/>
            <w:vAlign w:val="bottom"/>
            <w:shd w:val="clear" w:color="auto" w:fill="CFF0FC"/>
          </w:tcPr>
          <w:p>
            <w:pPr>
              <w:jc w:val="right"/>
              <w:ind w:right="110"/>
              <w:spacing w:after="0"/>
              <w:rPr>
                <w:sz w:val="20"/>
                <w:szCs w:val="20"/>
                <w:color w:val="auto"/>
              </w:rPr>
            </w:pPr>
            <w:r>
              <w:rPr>
                <w:rFonts w:ascii="Arial" w:cs="Arial" w:eastAsia="Arial" w:hAnsi="Arial"/>
                <w:sz w:val="18"/>
                <w:szCs w:val="18"/>
                <w:color w:val="auto"/>
                <w:w w:val="79"/>
              </w:rPr>
              <w:t>$</w:t>
            </w:r>
          </w:p>
        </w:tc>
        <w:tc>
          <w:tcPr>
            <w:tcW w:w="1340" w:type="dxa"/>
            <w:vAlign w:val="bottom"/>
            <w:gridSpan w:val="2"/>
            <w:shd w:val="clear" w:color="auto" w:fill="CFF0FC"/>
          </w:tcPr>
          <w:p>
            <w:pPr>
              <w:jc w:val="right"/>
              <w:ind w:right="200"/>
              <w:spacing w:after="0"/>
              <w:rPr>
                <w:sz w:val="20"/>
                <w:szCs w:val="20"/>
                <w:color w:val="auto"/>
              </w:rPr>
            </w:pPr>
            <w:r>
              <w:rPr>
                <w:rFonts w:ascii="Arial" w:cs="Arial" w:eastAsia="Arial" w:hAnsi="Arial"/>
                <w:sz w:val="18"/>
                <w:szCs w:val="18"/>
                <w:color w:val="auto"/>
              </w:rPr>
              <w:t>(3,139 )</w:t>
            </w:r>
          </w:p>
        </w:tc>
        <w:tc>
          <w:tcPr>
            <w:tcW w:w="1060" w:type="dxa"/>
            <w:vAlign w:val="bottom"/>
            <w:shd w:val="clear" w:color="auto" w:fill="CFF0FC"/>
          </w:tcPr>
          <w:p>
            <w:pPr>
              <w:jc w:val="right"/>
              <w:ind w:right="870"/>
              <w:spacing w:after="0"/>
              <w:rPr>
                <w:sz w:val="20"/>
                <w:szCs w:val="20"/>
                <w:color w:val="auto"/>
              </w:rPr>
            </w:pPr>
            <w:r>
              <w:rPr>
                <w:rFonts w:ascii="Arial" w:cs="Arial" w:eastAsia="Arial" w:hAnsi="Arial"/>
                <w:sz w:val="18"/>
                <w:szCs w:val="18"/>
                <w:color w:val="auto"/>
                <w:w w:val="79"/>
              </w:rPr>
              <w:t>$</w:t>
            </w:r>
          </w:p>
        </w:tc>
        <w:tc>
          <w:tcPr>
            <w:tcW w:w="860" w:type="dxa"/>
            <w:vAlign w:val="bottom"/>
            <w:gridSpan w:val="2"/>
            <w:shd w:val="clear" w:color="auto" w:fill="CFF0FC"/>
          </w:tcPr>
          <w:p>
            <w:pPr>
              <w:jc w:val="right"/>
              <w:ind w:right="180"/>
              <w:spacing w:after="0"/>
              <w:rPr>
                <w:sz w:val="20"/>
                <w:szCs w:val="20"/>
                <w:color w:val="auto"/>
              </w:rPr>
            </w:pPr>
            <w:r>
              <w:rPr>
                <w:rFonts w:ascii="Arial" w:cs="Arial" w:eastAsia="Arial" w:hAnsi="Arial"/>
                <w:sz w:val="18"/>
                <w:szCs w:val="18"/>
                <w:color w:val="auto"/>
                <w:w w:val="91"/>
              </w:rPr>
              <w:t>(15,086 )</w:t>
            </w:r>
          </w:p>
        </w:tc>
        <w:tc>
          <w:tcPr>
            <w:tcW w:w="300" w:type="dxa"/>
            <w:vAlign w:val="bottom"/>
            <w:shd w:val="clear" w:color="auto" w:fill="CFF0FC"/>
          </w:tcPr>
          <w:p>
            <w:pPr>
              <w:jc w:val="right"/>
              <w:ind w:right="110"/>
              <w:spacing w:after="0"/>
              <w:rPr>
                <w:sz w:val="20"/>
                <w:szCs w:val="20"/>
                <w:color w:val="auto"/>
              </w:rPr>
            </w:pPr>
            <w:r>
              <w:rPr>
                <w:rFonts w:ascii="Arial" w:cs="Arial" w:eastAsia="Arial" w:hAnsi="Arial"/>
                <w:sz w:val="18"/>
                <w:szCs w:val="18"/>
                <w:color w:val="auto"/>
                <w:w w:val="79"/>
              </w:rPr>
              <w:t>$</w:t>
            </w:r>
          </w:p>
        </w:tc>
        <w:tc>
          <w:tcPr>
            <w:tcW w:w="1280" w:type="dxa"/>
            <w:vAlign w:val="bottom"/>
            <w:gridSpan w:val="2"/>
            <w:shd w:val="clear" w:color="auto" w:fill="CFF0FC"/>
          </w:tcPr>
          <w:p>
            <w:pPr>
              <w:jc w:val="right"/>
              <w:ind w:right="180"/>
              <w:spacing w:after="0"/>
              <w:rPr>
                <w:sz w:val="20"/>
                <w:szCs w:val="20"/>
                <w:color w:val="auto"/>
              </w:rPr>
            </w:pPr>
            <w:r>
              <w:rPr>
                <w:rFonts w:ascii="Arial" w:cs="Arial" w:eastAsia="Arial" w:hAnsi="Arial"/>
                <w:sz w:val="18"/>
                <w:szCs w:val="18"/>
                <w:color w:val="auto"/>
              </w:rPr>
              <w:t>(786 )</w:t>
            </w:r>
          </w:p>
        </w:tc>
        <w:tc>
          <w:tcPr>
            <w:tcW w:w="480" w:type="dxa"/>
            <w:vAlign w:val="bottom"/>
            <w:shd w:val="clear" w:color="auto" w:fill="CFF0FC"/>
          </w:tcPr>
          <w:p>
            <w:pPr>
              <w:jc w:val="right"/>
              <w:ind w:right="290"/>
              <w:spacing w:after="0"/>
              <w:rPr>
                <w:sz w:val="20"/>
                <w:szCs w:val="20"/>
                <w:color w:val="auto"/>
              </w:rPr>
            </w:pPr>
            <w:r>
              <w:rPr>
                <w:rFonts w:ascii="Arial" w:cs="Arial" w:eastAsia="Arial" w:hAnsi="Arial"/>
                <w:sz w:val="18"/>
                <w:szCs w:val="18"/>
                <w:color w:val="auto"/>
                <w:w w:val="79"/>
              </w:rPr>
              <w:t>$</w:t>
            </w:r>
          </w:p>
        </w:tc>
        <w:tc>
          <w:tcPr>
            <w:tcW w:w="1000" w:type="dxa"/>
            <w:vAlign w:val="bottom"/>
            <w:gridSpan w:val="2"/>
            <w:shd w:val="clear" w:color="auto" w:fill="CFF0FC"/>
          </w:tcPr>
          <w:p>
            <w:pPr>
              <w:jc w:val="right"/>
              <w:ind w:right="40"/>
              <w:spacing w:after="0"/>
              <w:rPr>
                <w:sz w:val="20"/>
                <w:szCs w:val="20"/>
                <w:color w:val="auto"/>
              </w:rPr>
            </w:pPr>
            <w:r>
              <w:rPr>
                <w:rFonts w:ascii="Arial" w:cs="Arial" w:eastAsia="Arial" w:hAnsi="Arial"/>
                <w:sz w:val="18"/>
                <w:szCs w:val="18"/>
                <w:color w:val="auto"/>
              </w:rPr>
              <w:t>(20,609 )</w:t>
            </w:r>
          </w:p>
        </w:tc>
        <w:tc>
          <w:tcPr>
            <w:tcW w:w="100" w:type="dxa"/>
            <w:vAlign w:val="bottom"/>
          </w:tcPr>
          <w:p>
            <w:pPr>
              <w:spacing w:after="0"/>
              <w:rPr>
                <w:sz w:val="19"/>
                <w:szCs w:val="19"/>
                <w:color w:val="auto"/>
              </w:rPr>
            </w:pPr>
          </w:p>
        </w:tc>
      </w:tr>
      <w:tr>
        <w:trPr>
          <w:trHeight w:val="230"/>
        </w:trPr>
        <w:tc>
          <w:tcPr>
            <w:tcW w:w="4620" w:type="dxa"/>
            <w:vAlign w:val="bottom"/>
          </w:tcPr>
          <w:p>
            <w:pPr>
              <w:ind w:left="20"/>
              <w:spacing w:after="0"/>
              <w:rPr>
                <w:sz w:val="20"/>
                <w:szCs w:val="20"/>
                <w:color w:val="auto"/>
              </w:rPr>
            </w:pPr>
            <w:r>
              <w:rPr>
                <w:rFonts w:ascii="Arial" w:cs="Arial" w:eastAsia="Arial" w:hAnsi="Arial"/>
                <w:sz w:val="18"/>
                <w:szCs w:val="18"/>
                <w:color w:val="auto"/>
              </w:rPr>
              <w:t>Free Cash Flow</w:t>
            </w:r>
          </w:p>
        </w:tc>
        <w:tc>
          <w:tcPr>
            <w:tcW w:w="300" w:type="dxa"/>
            <w:vAlign w:val="bottom"/>
          </w:tcPr>
          <w:p>
            <w:pPr>
              <w:jc w:val="right"/>
              <w:ind w:right="110"/>
              <w:spacing w:after="0"/>
              <w:rPr>
                <w:sz w:val="20"/>
                <w:szCs w:val="20"/>
                <w:color w:val="auto"/>
              </w:rPr>
            </w:pPr>
            <w:r>
              <w:rPr>
                <w:rFonts w:ascii="Arial" w:cs="Arial" w:eastAsia="Arial" w:hAnsi="Arial"/>
                <w:sz w:val="18"/>
                <w:szCs w:val="18"/>
                <w:color w:val="auto"/>
                <w:w w:val="79"/>
              </w:rPr>
              <w:t>$</w:t>
            </w:r>
          </w:p>
        </w:tc>
        <w:tc>
          <w:tcPr>
            <w:tcW w:w="1340" w:type="dxa"/>
            <w:vAlign w:val="bottom"/>
            <w:gridSpan w:val="2"/>
          </w:tcPr>
          <w:p>
            <w:pPr>
              <w:jc w:val="right"/>
              <w:ind w:right="200"/>
              <w:spacing w:after="0"/>
              <w:rPr>
                <w:sz w:val="20"/>
                <w:szCs w:val="20"/>
                <w:color w:val="auto"/>
              </w:rPr>
            </w:pPr>
            <w:r>
              <w:rPr>
                <w:rFonts w:ascii="Arial" w:cs="Arial" w:eastAsia="Arial" w:hAnsi="Arial"/>
                <w:sz w:val="18"/>
                <w:szCs w:val="18"/>
                <w:color w:val="auto"/>
              </w:rPr>
              <w:t>(3,886 )</w:t>
            </w:r>
          </w:p>
        </w:tc>
        <w:tc>
          <w:tcPr>
            <w:tcW w:w="1060" w:type="dxa"/>
            <w:vAlign w:val="bottom"/>
          </w:tcPr>
          <w:p>
            <w:pPr>
              <w:jc w:val="right"/>
              <w:ind w:right="870"/>
              <w:spacing w:after="0"/>
              <w:rPr>
                <w:sz w:val="20"/>
                <w:szCs w:val="20"/>
                <w:color w:val="auto"/>
              </w:rPr>
            </w:pPr>
            <w:r>
              <w:rPr>
                <w:rFonts w:ascii="Arial" w:cs="Arial" w:eastAsia="Arial" w:hAnsi="Arial"/>
                <w:sz w:val="18"/>
                <w:szCs w:val="18"/>
                <w:color w:val="auto"/>
                <w:w w:val="79"/>
              </w:rPr>
              <w:t>$</w:t>
            </w:r>
          </w:p>
        </w:tc>
        <w:tc>
          <w:tcPr>
            <w:tcW w:w="860" w:type="dxa"/>
            <w:vAlign w:val="bottom"/>
            <w:gridSpan w:val="2"/>
          </w:tcPr>
          <w:p>
            <w:pPr>
              <w:jc w:val="right"/>
              <w:ind w:right="180"/>
              <w:spacing w:after="0"/>
              <w:rPr>
                <w:sz w:val="20"/>
                <w:szCs w:val="20"/>
                <w:color w:val="auto"/>
              </w:rPr>
            </w:pPr>
            <w:r>
              <w:rPr>
                <w:rFonts w:ascii="Arial" w:cs="Arial" w:eastAsia="Arial" w:hAnsi="Arial"/>
                <w:sz w:val="18"/>
                <w:szCs w:val="18"/>
                <w:color w:val="auto"/>
                <w:w w:val="91"/>
              </w:rPr>
              <w:t>(15,782 )</w:t>
            </w:r>
          </w:p>
        </w:tc>
        <w:tc>
          <w:tcPr>
            <w:tcW w:w="300" w:type="dxa"/>
            <w:vAlign w:val="bottom"/>
          </w:tcPr>
          <w:p>
            <w:pPr>
              <w:jc w:val="right"/>
              <w:ind w:right="110"/>
              <w:spacing w:after="0"/>
              <w:rPr>
                <w:sz w:val="20"/>
                <w:szCs w:val="20"/>
                <w:color w:val="auto"/>
              </w:rPr>
            </w:pPr>
            <w:r>
              <w:rPr>
                <w:rFonts w:ascii="Arial" w:cs="Arial" w:eastAsia="Arial" w:hAnsi="Arial"/>
                <w:sz w:val="18"/>
                <w:szCs w:val="18"/>
                <w:color w:val="auto"/>
                <w:w w:val="79"/>
              </w:rPr>
              <w:t>$</w:t>
            </w:r>
          </w:p>
        </w:tc>
        <w:tc>
          <w:tcPr>
            <w:tcW w:w="1280" w:type="dxa"/>
            <w:vAlign w:val="bottom"/>
            <w:gridSpan w:val="2"/>
          </w:tcPr>
          <w:p>
            <w:pPr>
              <w:jc w:val="right"/>
              <w:ind w:right="180"/>
              <w:spacing w:after="0"/>
              <w:rPr>
                <w:sz w:val="20"/>
                <w:szCs w:val="20"/>
                <w:color w:val="auto"/>
              </w:rPr>
            </w:pPr>
            <w:r>
              <w:rPr>
                <w:rFonts w:ascii="Arial" w:cs="Arial" w:eastAsia="Arial" w:hAnsi="Arial"/>
                <w:sz w:val="18"/>
                <w:szCs w:val="18"/>
                <w:color w:val="auto"/>
              </w:rPr>
              <w:t>(5,321 )</w:t>
            </w:r>
          </w:p>
        </w:tc>
        <w:tc>
          <w:tcPr>
            <w:tcW w:w="480" w:type="dxa"/>
            <w:vAlign w:val="bottom"/>
          </w:tcPr>
          <w:p>
            <w:pPr>
              <w:jc w:val="right"/>
              <w:ind w:right="290"/>
              <w:spacing w:after="0"/>
              <w:rPr>
                <w:sz w:val="20"/>
                <w:szCs w:val="20"/>
                <w:color w:val="auto"/>
              </w:rPr>
            </w:pPr>
            <w:r>
              <w:rPr>
                <w:rFonts w:ascii="Arial" w:cs="Arial" w:eastAsia="Arial" w:hAnsi="Arial"/>
                <w:sz w:val="18"/>
                <w:szCs w:val="18"/>
                <w:color w:val="auto"/>
                <w:w w:val="79"/>
              </w:rPr>
              <w:t>$</w:t>
            </w:r>
          </w:p>
        </w:tc>
        <w:tc>
          <w:tcPr>
            <w:tcW w:w="1000" w:type="dxa"/>
            <w:vAlign w:val="bottom"/>
            <w:gridSpan w:val="2"/>
          </w:tcPr>
          <w:p>
            <w:pPr>
              <w:jc w:val="right"/>
              <w:ind w:right="40"/>
              <w:spacing w:after="0"/>
              <w:rPr>
                <w:sz w:val="20"/>
                <w:szCs w:val="20"/>
                <w:color w:val="auto"/>
              </w:rPr>
            </w:pPr>
            <w:r>
              <w:rPr>
                <w:rFonts w:ascii="Arial" w:cs="Arial" w:eastAsia="Arial" w:hAnsi="Arial"/>
                <w:sz w:val="18"/>
                <w:szCs w:val="18"/>
                <w:color w:val="auto"/>
              </w:rPr>
              <w:t>(22,691 )</w:t>
            </w:r>
          </w:p>
        </w:tc>
        <w:tc>
          <w:tcPr>
            <w:tcW w:w="100" w:type="dxa"/>
            <w:vAlign w:val="bottom"/>
          </w:tcPr>
          <w:p>
            <w:pPr>
              <w:spacing w:after="0"/>
              <w:rPr>
                <w:sz w:val="20"/>
                <w:szCs w:val="20"/>
                <w:color w:val="auto"/>
              </w:rPr>
            </w:pPr>
          </w:p>
        </w:tc>
      </w:tr>
      <w:tr>
        <w:trPr>
          <w:trHeight w:val="458"/>
        </w:trPr>
        <w:tc>
          <w:tcPr>
            <w:tcW w:w="4620" w:type="dxa"/>
            <w:vAlign w:val="bottom"/>
          </w:tcPr>
          <w:p>
            <w:pPr>
              <w:ind w:left="20"/>
              <w:spacing w:after="0"/>
              <w:rPr>
                <w:sz w:val="20"/>
                <w:szCs w:val="20"/>
                <w:color w:val="auto"/>
              </w:rPr>
            </w:pPr>
            <w:r>
              <w:rPr>
                <w:rFonts w:ascii="Arial" w:cs="Arial" w:eastAsia="Arial" w:hAnsi="Arial"/>
                <w:sz w:val="18"/>
                <w:szCs w:val="18"/>
                <w:color w:val="auto"/>
              </w:rPr>
              <w:t>Net Cash Used in Operating Activities Margin</w:t>
            </w:r>
          </w:p>
        </w:tc>
        <w:tc>
          <w:tcPr>
            <w:tcW w:w="300" w:type="dxa"/>
            <w:vAlign w:val="bottom"/>
          </w:tcPr>
          <w:p>
            <w:pPr>
              <w:spacing w:after="0"/>
              <w:rPr>
                <w:sz w:val="24"/>
                <w:szCs w:val="24"/>
                <w:color w:val="auto"/>
              </w:rPr>
            </w:pPr>
          </w:p>
        </w:tc>
        <w:tc>
          <w:tcPr>
            <w:tcW w:w="1340" w:type="dxa"/>
            <w:vAlign w:val="bottom"/>
            <w:gridSpan w:val="2"/>
          </w:tcPr>
          <w:p>
            <w:pPr>
              <w:jc w:val="right"/>
              <w:ind w:right="60"/>
              <w:spacing w:after="0"/>
              <w:rPr>
                <w:sz w:val="20"/>
                <w:szCs w:val="20"/>
                <w:color w:val="auto"/>
              </w:rPr>
            </w:pPr>
            <w:r>
              <w:rPr>
                <w:rFonts w:ascii="Arial" w:cs="Arial" w:eastAsia="Arial" w:hAnsi="Arial"/>
                <w:sz w:val="18"/>
                <w:szCs w:val="18"/>
                <w:color w:val="auto"/>
              </w:rPr>
              <w:t>(5 )%</w:t>
            </w:r>
          </w:p>
        </w:tc>
        <w:tc>
          <w:tcPr>
            <w:tcW w:w="1060" w:type="dxa"/>
            <w:vAlign w:val="bottom"/>
          </w:tcPr>
          <w:p>
            <w:pPr>
              <w:spacing w:after="0"/>
              <w:rPr>
                <w:sz w:val="24"/>
                <w:szCs w:val="24"/>
                <w:color w:val="auto"/>
              </w:rPr>
            </w:pPr>
          </w:p>
        </w:tc>
        <w:tc>
          <w:tcPr>
            <w:tcW w:w="860" w:type="dxa"/>
            <w:vAlign w:val="bottom"/>
            <w:gridSpan w:val="2"/>
          </w:tcPr>
          <w:p>
            <w:pPr>
              <w:jc w:val="right"/>
              <w:ind w:right="40"/>
              <w:spacing w:after="0"/>
              <w:rPr>
                <w:sz w:val="20"/>
                <w:szCs w:val="20"/>
                <w:color w:val="auto"/>
              </w:rPr>
            </w:pPr>
            <w:r>
              <w:rPr>
                <w:rFonts w:ascii="Arial" w:cs="Arial" w:eastAsia="Arial" w:hAnsi="Arial"/>
                <w:sz w:val="18"/>
                <w:szCs w:val="18"/>
                <w:color w:val="auto"/>
              </w:rPr>
              <w:t>(33 )%</w:t>
            </w:r>
          </w:p>
        </w:tc>
        <w:tc>
          <w:tcPr>
            <w:tcW w:w="300" w:type="dxa"/>
            <w:vAlign w:val="bottom"/>
          </w:tcPr>
          <w:p>
            <w:pPr>
              <w:spacing w:after="0"/>
              <w:rPr>
                <w:sz w:val="24"/>
                <w:szCs w:val="24"/>
                <w:color w:val="auto"/>
              </w:rPr>
            </w:pPr>
          </w:p>
        </w:tc>
        <w:tc>
          <w:tcPr>
            <w:tcW w:w="1280" w:type="dxa"/>
            <w:vAlign w:val="bottom"/>
            <w:gridSpan w:val="2"/>
          </w:tcPr>
          <w:p>
            <w:pPr>
              <w:jc w:val="right"/>
              <w:ind w:right="40"/>
              <w:spacing w:after="0"/>
              <w:rPr>
                <w:sz w:val="20"/>
                <w:szCs w:val="20"/>
                <w:color w:val="auto"/>
              </w:rPr>
            </w:pPr>
            <w:r>
              <w:rPr>
                <w:rFonts w:ascii="Arial" w:cs="Arial" w:eastAsia="Arial" w:hAnsi="Arial"/>
                <w:sz w:val="18"/>
                <w:szCs w:val="18"/>
                <w:color w:val="auto"/>
              </w:rPr>
              <w:t>(0 )%</w:t>
            </w:r>
          </w:p>
        </w:tc>
        <w:tc>
          <w:tcPr>
            <w:tcW w:w="480" w:type="dxa"/>
            <w:vAlign w:val="bottom"/>
          </w:tcPr>
          <w:p>
            <w:pPr>
              <w:spacing w:after="0"/>
              <w:rPr>
                <w:sz w:val="24"/>
                <w:szCs w:val="24"/>
                <w:color w:val="auto"/>
              </w:rPr>
            </w:pPr>
          </w:p>
        </w:tc>
        <w:tc>
          <w:tcPr>
            <w:tcW w:w="1100" w:type="dxa"/>
            <w:vAlign w:val="bottom"/>
            <w:gridSpan w:val="3"/>
          </w:tcPr>
          <w:p>
            <w:pPr>
              <w:jc w:val="right"/>
              <w:spacing w:after="0"/>
              <w:rPr>
                <w:sz w:val="20"/>
                <w:szCs w:val="20"/>
                <w:color w:val="auto"/>
              </w:rPr>
            </w:pPr>
            <w:r>
              <w:rPr>
                <w:rFonts w:ascii="Arial" w:cs="Arial" w:eastAsia="Arial" w:hAnsi="Arial"/>
                <w:sz w:val="18"/>
                <w:szCs w:val="18"/>
                <w:color w:val="auto"/>
              </w:rPr>
              <w:t>(17 )%</w:t>
            </w:r>
          </w:p>
        </w:tc>
      </w:tr>
      <w:tr>
        <w:trPr>
          <w:trHeight w:val="230"/>
        </w:trPr>
        <w:tc>
          <w:tcPr>
            <w:tcW w:w="4620" w:type="dxa"/>
            <w:vAlign w:val="bottom"/>
          </w:tcPr>
          <w:p>
            <w:pPr>
              <w:ind w:left="20"/>
              <w:spacing w:after="0"/>
              <w:rPr>
                <w:sz w:val="20"/>
                <w:szCs w:val="20"/>
                <w:color w:val="auto"/>
              </w:rPr>
            </w:pPr>
            <w:r>
              <w:rPr>
                <w:rFonts w:ascii="Arial" w:cs="Arial" w:eastAsia="Arial" w:hAnsi="Arial"/>
                <w:sz w:val="18"/>
                <w:szCs w:val="18"/>
                <w:color w:val="auto"/>
              </w:rPr>
              <w:t>Free Cash Flow Margin</w:t>
            </w:r>
          </w:p>
        </w:tc>
        <w:tc>
          <w:tcPr>
            <w:tcW w:w="300" w:type="dxa"/>
            <w:vAlign w:val="bottom"/>
          </w:tcPr>
          <w:p>
            <w:pPr>
              <w:spacing w:after="0"/>
              <w:rPr>
                <w:sz w:val="20"/>
                <w:szCs w:val="20"/>
                <w:color w:val="auto"/>
              </w:rPr>
            </w:pPr>
          </w:p>
        </w:tc>
        <w:tc>
          <w:tcPr>
            <w:tcW w:w="1340" w:type="dxa"/>
            <w:vAlign w:val="bottom"/>
            <w:gridSpan w:val="2"/>
          </w:tcPr>
          <w:p>
            <w:pPr>
              <w:jc w:val="right"/>
              <w:ind w:right="60"/>
              <w:spacing w:after="0"/>
              <w:rPr>
                <w:sz w:val="20"/>
                <w:szCs w:val="20"/>
                <w:color w:val="auto"/>
              </w:rPr>
            </w:pPr>
            <w:r>
              <w:rPr>
                <w:rFonts w:ascii="Arial" w:cs="Arial" w:eastAsia="Arial" w:hAnsi="Arial"/>
                <w:sz w:val="18"/>
                <w:szCs w:val="18"/>
                <w:color w:val="auto"/>
              </w:rPr>
              <w:t>(6 )%</w:t>
            </w:r>
          </w:p>
        </w:tc>
        <w:tc>
          <w:tcPr>
            <w:tcW w:w="1060" w:type="dxa"/>
            <w:vAlign w:val="bottom"/>
          </w:tcPr>
          <w:p>
            <w:pPr>
              <w:spacing w:after="0"/>
              <w:rPr>
                <w:sz w:val="20"/>
                <w:szCs w:val="20"/>
                <w:color w:val="auto"/>
              </w:rPr>
            </w:pPr>
          </w:p>
        </w:tc>
        <w:tc>
          <w:tcPr>
            <w:tcW w:w="860" w:type="dxa"/>
            <w:vAlign w:val="bottom"/>
            <w:gridSpan w:val="2"/>
          </w:tcPr>
          <w:p>
            <w:pPr>
              <w:jc w:val="right"/>
              <w:ind w:right="40"/>
              <w:spacing w:after="0"/>
              <w:rPr>
                <w:sz w:val="20"/>
                <w:szCs w:val="20"/>
                <w:color w:val="auto"/>
              </w:rPr>
            </w:pPr>
            <w:r>
              <w:rPr>
                <w:rFonts w:ascii="Arial" w:cs="Arial" w:eastAsia="Arial" w:hAnsi="Arial"/>
                <w:sz w:val="18"/>
                <w:szCs w:val="18"/>
                <w:color w:val="auto"/>
              </w:rPr>
              <w:t>(35 )%</w:t>
            </w:r>
          </w:p>
        </w:tc>
        <w:tc>
          <w:tcPr>
            <w:tcW w:w="300" w:type="dxa"/>
            <w:vAlign w:val="bottom"/>
          </w:tcPr>
          <w:p>
            <w:pPr>
              <w:spacing w:after="0"/>
              <w:rPr>
                <w:sz w:val="20"/>
                <w:szCs w:val="20"/>
                <w:color w:val="auto"/>
              </w:rPr>
            </w:pPr>
          </w:p>
        </w:tc>
        <w:tc>
          <w:tcPr>
            <w:tcW w:w="1280" w:type="dxa"/>
            <w:vAlign w:val="bottom"/>
            <w:gridSpan w:val="2"/>
          </w:tcPr>
          <w:p>
            <w:pPr>
              <w:jc w:val="right"/>
              <w:ind w:right="40"/>
              <w:spacing w:after="0"/>
              <w:rPr>
                <w:sz w:val="20"/>
                <w:szCs w:val="20"/>
                <w:color w:val="auto"/>
              </w:rPr>
            </w:pPr>
            <w:r>
              <w:rPr>
                <w:rFonts w:ascii="Arial" w:cs="Arial" w:eastAsia="Arial" w:hAnsi="Arial"/>
                <w:sz w:val="18"/>
                <w:szCs w:val="18"/>
                <w:color w:val="auto"/>
              </w:rPr>
              <w:t>(3 )%</w:t>
            </w:r>
          </w:p>
        </w:tc>
        <w:tc>
          <w:tcPr>
            <w:tcW w:w="480" w:type="dxa"/>
            <w:vAlign w:val="bottom"/>
          </w:tcPr>
          <w:p>
            <w:pPr>
              <w:spacing w:after="0"/>
              <w:rPr>
                <w:sz w:val="20"/>
                <w:szCs w:val="20"/>
                <w:color w:val="auto"/>
              </w:rPr>
            </w:pPr>
          </w:p>
        </w:tc>
        <w:tc>
          <w:tcPr>
            <w:tcW w:w="1100" w:type="dxa"/>
            <w:vAlign w:val="bottom"/>
            <w:gridSpan w:val="3"/>
          </w:tcPr>
          <w:p>
            <w:pPr>
              <w:jc w:val="right"/>
              <w:spacing w:after="0"/>
              <w:rPr>
                <w:sz w:val="20"/>
                <w:szCs w:val="20"/>
                <w:color w:val="auto"/>
              </w:rPr>
            </w:pPr>
            <w:r>
              <w:rPr>
                <w:rFonts w:ascii="Arial" w:cs="Arial" w:eastAsia="Arial" w:hAnsi="Arial"/>
                <w:sz w:val="18"/>
                <w:szCs w:val="18"/>
                <w:color w:val="auto"/>
              </w:rPr>
              <w:t>(19 )%</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-2037715</wp:posOffset>
            </wp:positionV>
            <wp:extent cx="7132320" cy="145415"/>
            <wp:wrapNone/>
            <wp:docPr id="224" name="Picture 2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4"/>
                    <pic:cNvPicPr>
                      <a:picLocks noChangeAspect="1" noChangeArrowheads="1"/>
                    </pic:cNvPicPr>
                  </pic:nvPicPr>
                  <pic:blipFill>
                    <a:blip r:embed="rId231">
                      <a:extLst>
                        <a:ext uri="{28A0092B-C50C-407E-A947-70E740481C1C}"/>
                      </a:extLst>
                    </a:blip>
                    <a:srcRect/>
                    <a:stretch>
                      <a:fillRect/>
                    </a:stretch>
                  </pic:blipFill>
                  <pic:spPr bwMode="auto">
                    <a:xfrm>
                      <a:off x="0" y="0"/>
                      <a:ext cx="7132320" cy="14541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-1164590</wp:posOffset>
            </wp:positionV>
            <wp:extent cx="7132320" cy="145415"/>
            <wp:wrapNone/>
            <wp:docPr id="225" name="Picture 2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5"/>
                    <pic:cNvPicPr>
                      <a:picLocks noChangeAspect="1" noChangeArrowheads="1"/>
                    </pic:cNvPicPr>
                  </pic:nvPicPr>
                  <pic:blipFill>
                    <a:blip r:embed="rId232">
                      <a:extLst>
                        <a:ext uri="{28A0092B-C50C-407E-A947-70E740481C1C}"/>
                      </a:extLst>
                    </a:blip>
                    <a:srcRect/>
                    <a:stretch>
                      <a:fillRect/>
                    </a:stretch>
                  </pic:blipFill>
                  <pic:spPr bwMode="auto">
                    <a:xfrm>
                      <a:off x="0" y="0"/>
                      <a:ext cx="7132320" cy="14541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-290830</wp:posOffset>
            </wp:positionV>
            <wp:extent cx="7132320" cy="145415"/>
            <wp:wrapNone/>
            <wp:docPr id="226" name="Picture 2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6"/>
                    <pic:cNvPicPr>
                      <a:picLocks noChangeAspect="1" noChangeArrowheads="1"/>
                    </pic:cNvPicPr>
                  </pic:nvPicPr>
                  <pic:blipFill>
                    <a:blip r:embed="rId233">
                      <a:extLst>
                        <a:ext uri="{28A0092B-C50C-407E-A947-70E740481C1C}"/>
                      </a:extLst>
                    </a:blip>
                    <a:srcRect/>
                    <a:stretch>
                      <a:fillRect/>
                    </a:stretch>
                  </pic:blipFill>
                  <pic:spPr bwMode="auto">
                    <a:xfrm>
                      <a:off x="0" y="0"/>
                      <a:ext cx="7132320" cy="145415"/>
                    </a:xfrm>
                    <a:prstGeom prst="rect">
                      <a:avLst/>
                    </a:prstGeom>
                    <a:noFill/>
                  </pic:spPr>
                </pic:pic>
              </a:graphicData>
            </a:graphic>
          </wp:anchor>
        </w:drawing>
      </w:r>
    </w:p>
    <w:p>
      <w:pPr>
        <w:spacing w:after="0" w:line="28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Non-GAAP Gross Profit, Non-GAAP Gross Margin, Non-GAAP Loss from Operations, and Non-GAAP Loss from Operations Margin</w:t>
      </w:r>
    </w:p>
    <w:p>
      <w:pPr>
        <w:spacing w:after="0" w:line="117" w:lineRule="exact"/>
        <w:rPr>
          <w:sz w:val="20"/>
          <w:szCs w:val="20"/>
          <w:color w:val="auto"/>
        </w:rPr>
      </w:pPr>
    </w:p>
    <w:p>
      <w:pPr>
        <w:jc w:val="both"/>
        <w:ind w:right="300" w:firstLine="509"/>
        <w:spacing w:after="0" w:line="269" w:lineRule="auto"/>
        <w:rPr>
          <w:sz w:val="20"/>
          <w:szCs w:val="20"/>
          <w:color w:val="auto"/>
        </w:rPr>
      </w:pPr>
      <w:r>
        <w:rPr>
          <w:rFonts w:ascii="Arial" w:cs="Arial" w:eastAsia="Arial" w:hAnsi="Arial"/>
          <w:sz w:val="17"/>
          <w:szCs w:val="17"/>
          <w:color w:val="auto"/>
        </w:rPr>
        <w:t>We define non-GAAP gross profit and non-GAAP gross margin as U.S. GAAP gross profit and U.S. GAAP gross margin, respectively, excluding stock-based compensation expense and related employer payroll taxes, amortization of acquired intangible assets, and non-recurring costs, such as Direct Listing costs. Non-GAAP gross margin is calculated as non-GAAP gross profit divided by total revenue.</w:t>
      </w:r>
    </w:p>
    <w:p>
      <w:pPr>
        <w:spacing w:after="0" w:line="165" w:lineRule="exact"/>
        <w:rPr>
          <w:sz w:val="20"/>
          <w:szCs w:val="20"/>
          <w:color w:val="auto"/>
        </w:rPr>
      </w:pPr>
    </w:p>
    <w:p>
      <w:pPr>
        <w:ind w:right="180" w:firstLine="509"/>
        <w:spacing w:after="0" w:line="248" w:lineRule="auto"/>
        <w:rPr>
          <w:sz w:val="20"/>
          <w:szCs w:val="20"/>
          <w:color w:val="auto"/>
        </w:rPr>
      </w:pPr>
      <w:r>
        <w:rPr>
          <w:rFonts w:ascii="Arial" w:cs="Arial" w:eastAsia="Arial" w:hAnsi="Arial"/>
          <w:sz w:val="18"/>
          <w:szCs w:val="18"/>
          <w:color w:val="auto"/>
        </w:rPr>
        <w:t>We define non-GAAP loss from operations and non-GAAP loss from operations margin as U.S. GAAP loss from operations and U.S. GAAP loss from operations margin, respectively, excluding stock-based compensation expense and related employer payroll taxes, amortization of acquired intangible assets, and non-recurring costs, such as Direct Listing costs. Non-GAAP loss from operations margin is calculated as non-GAAP loss from operations divided by total revenue.</w:t>
      </w:r>
    </w:p>
    <w:p>
      <w:pPr>
        <w:spacing w:after="0" w:line="196" w:lineRule="exact"/>
        <w:rPr>
          <w:sz w:val="20"/>
          <w:szCs w:val="20"/>
          <w:color w:val="auto"/>
        </w:rPr>
      </w:pPr>
    </w:p>
    <w:p>
      <w:pPr>
        <w:ind w:right="180" w:firstLine="509"/>
        <w:spacing w:after="0" w:line="279" w:lineRule="auto"/>
        <w:rPr>
          <w:sz w:val="20"/>
          <w:szCs w:val="20"/>
          <w:color w:val="auto"/>
        </w:rPr>
      </w:pPr>
      <w:r>
        <w:rPr>
          <w:rFonts w:ascii="Arial" w:cs="Arial" w:eastAsia="Arial" w:hAnsi="Arial"/>
          <w:sz w:val="16"/>
          <w:szCs w:val="16"/>
          <w:color w:val="auto"/>
        </w:rPr>
        <w:t>We exclude stock-based compensation expense and related employer payroll taxes, which is a non-cash expense, from certain of our non-GAAP financial measures because we believe that excluding this item provides meaningful supplemental information regarding operational performance. We exclude amortization of intangible assets, which is a non-cash expense, related to business combinations from certain of our non-GAAP financial measures because such expenses are related to business combinations and have no direct correlation to the operation of our business. Although we exclude these expenses from certain non-GAAP financial measures, the revenue from acquired companies subsequent to the date of acquisition is reflected in these measures and the acquired intangible assets contribute to our revenue generation. We exclude non-recurring costs from certain of our non-GAAP financial measures because such expenses do not repeat period over period and are not reflective of the ongoing operation of our business.</w:t>
      </w:r>
    </w:p>
    <w:p>
      <w:pPr>
        <w:spacing w:after="0" w:line="256" w:lineRule="exact"/>
        <w:rPr>
          <w:sz w:val="20"/>
          <w:szCs w:val="20"/>
          <w:color w:val="auto"/>
        </w:rPr>
      </w:pPr>
    </w:p>
    <w:p>
      <w:pPr>
        <w:jc w:val="center"/>
        <w:ind w:right="100"/>
        <w:spacing w:after="0"/>
        <w:rPr>
          <w:sz w:val="20"/>
          <w:szCs w:val="20"/>
          <w:color w:val="auto"/>
        </w:rPr>
      </w:pPr>
      <w:r>
        <w:rPr>
          <w:rFonts w:ascii="Arial" w:cs="Arial" w:eastAsia="Arial" w:hAnsi="Arial"/>
          <w:sz w:val="18"/>
          <w:szCs w:val="18"/>
          <w:color w:val="auto"/>
        </w:rPr>
        <w:t>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227" name="Picture 2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7"/>
                    <pic:cNvPicPr>
                      <a:picLocks noChangeAspect="1" noChangeArrowheads="1"/>
                    </pic:cNvPicPr>
                  </pic:nvPicPr>
                  <pic:blipFill>
                    <a:blip r:embed="rId23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340"/>
          </w:cols>
          <w:pgMar w:left="320" w:top="543" w:right="239" w:bottom="1440" w:gutter="0" w:footer="0" w:header="0"/>
        </w:sectPr>
      </w:pPr>
    </w:p>
    <w:bookmarkStart w:id="28" w:name="page29"/>
    <w:bookmarkEnd w:id="28"/>
    <w:p>
      <w:pPr>
        <w:ind w:right="240" w:firstLine="509"/>
        <w:spacing w:after="0" w:line="277" w:lineRule="auto"/>
        <w:rPr>
          <w:sz w:val="20"/>
          <w:szCs w:val="20"/>
          <w:color w:val="auto"/>
        </w:rPr>
      </w:pPr>
      <w:r>
        <w:rPr>
          <w:rFonts w:ascii="Arial" w:cs="Arial" w:eastAsia="Arial" w:hAnsi="Arial"/>
          <w:sz w:val="17"/>
          <w:szCs w:val="17"/>
          <w:color w:val="auto"/>
        </w:rPr>
        <w:t>We use non-GAAP gross margin and non-GAAP loss from operations margin in conjunction with traditional U.S. GAAP measures to evaluate our financial performance. We believe that non-GAAP gross margin and non-GAAP loss from operations margin provide our management and investors consistency and comparability with our past financial performance and facilitates period-to-period comparisons of operations.</w:t>
      </w:r>
    </w:p>
    <w:p>
      <w:pPr>
        <w:spacing w:after="0" w:line="26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Free Cash Flow and Free Cash Flow Margin</w:t>
      </w:r>
    </w:p>
    <w:p>
      <w:pPr>
        <w:spacing w:after="0" w:line="117" w:lineRule="exact"/>
        <w:rPr>
          <w:sz w:val="20"/>
          <w:szCs w:val="20"/>
          <w:color w:val="auto"/>
        </w:rPr>
      </w:pPr>
    </w:p>
    <w:p>
      <w:pPr>
        <w:jc w:val="both"/>
        <w:ind w:right="100" w:firstLine="509"/>
        <w:spacing w:after="0" w:line="268" w:lineRule="auto"/>
        <w:rPr>
          <w:sz w:val="20"/>
          <w:szCs w:val="20"/>
          <w:color w:val="auto"/>
        </w:rPr>
      </w:pPr>
      <w:r>
        <w:rPr>
          <w:rFonts w:ascii="Arial" w:cs="Arial" w:eastAsia="Arial" w:hAnsi="Arial"/>
          <w:sz w:val="17"/>
          <w:szCs w:val="17"/>
          <w:color w:val="auto"/>
        </w:rPr>
        <w:t>We define free cash flow as net cash used in operating activities, less cash used for purchases of property and equipment and capitalized internal-use software costs. Free cash flow margin is calculated as free cash flow divided by total revenue. We believe that free cash flow and free cash flow margin are useful indicators of liquidity that provide information to management and investors, even if negative, about the amount of cash used in our operations other than that used for investments in property and equipment and capitalized internal-use software costs.</w:t>
      </w:r>
    </w:p>
    <w:p>
      <w:pPr>
        <w:spacing w:after="0" w:line="27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Limitations and Reconciliations of Non-GAAP Financial Measures</w:t>
      </w:r>
    </w:p>
    <w:p>
      <w:pPr>
        <w:spacing w:after="0" w:line="103" w:lineRule="exact"/>
        <w:rPr>
          <w:sz w:val="20"/>
          <w:szCs w:val="20"/>
          <w:color w:val="auto"/>
        </w:rPr>
      </w:pPr>
    </w:p>
    <w:p>
      <w:pPr>
        <w:ind w:right="120" w:firstLine="509"/>
        <w:spacing w:after="0" w:line="259" w:lineRule="auto"/>
        <w:rPr>
          <w:sz w:val="20"/>
          <w:szCs w:val="20"/>
          <w:color w:val="auto"/>
        </w:rPr>
      </w:pPr>
      <w:r>
        <w:rPr>
          <w:rFonts w:ascii="Arial" w:cs="Arial" w:eastAsia="Arial" w:hAnsi="Arial"/>
          <w:sz w:val="17"/>
          <w:szCs w:val="17"/>
          <w:color w:val="auto"/>
        </w:rPr>
        <w:t>Non-GAAP financial measures are presented for supplemental informational purposes only. Non-GAAP financial measures have limitations as analytical tools and should not be considered in isolation or as substitutes for financial information presented under U.S. GAAP. There are a number of limitations related to the use of non-GAAP financial measures versus comparable financial measures determined under U.S. GAAP. For example, other companies in our industry may calculate these non-GAAP financial measures differently or may use other measures to evaluate their performance. In addition, free cash flow does not reflect our future contractual commitments and the total increase or decrease of our cash balance for a given period. All of these limitations could reduce the usefulness of these non-GAAP financial measures as analytical tools. Investors are encouraged to review the related U.S. GAAP financial measures and the reconciliations of these non-GAAP financial measures to their most directly comparable U.S. GAAP financial measures and to not rely on any single financial measure to evaluate our business.</w:t>
      </w:r>
    </w:p>
    <w:p>
      <w:pPr>
        <w:spacing w:after="0" w:line="187" w:lineRule="exact"/>
        <w:rPr>
          <w:sz w:val="20"/>
          <w:szCs w:val="20"/>
          <w:color w:val="auto"/>
        </w:rPr>
      </w:pPr>
    </w:p>
    <w:p>
      <w:pPr>
        <w:ind w:left="520"/>
        <w:spacing w:after="0"/>
        <w:rPr>
          <w:sz w:val="20"/>
          <w:szCs w:val="20"/>
          <w:color w:val="auto"/>
        </w:rPr>
      </w:pPr>
      <w:r>
        <w:rPr>
          <w:rFonts w:ascii="Arial" w:cs="Arial" w:eastAsia="Arial" w:hAnsi="Arial"/>
          <w:sz w:val="17"/>
          <w:szCs w:val="17"/>
          <w:color w:val="auto"/>
        </w:rPr>
        <w:t>The following tables reconcile the most directly comparable U.S. GAAP financial measure to each of these non-GAAP financial measures.</w:t>
      </w:r>
    </w:p>
    <w:p>
      <w:pPr>
        <w:spacing w:after="0" w:line="330"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4620" w:type="dxa"/>
            <w:vAlign w:val="bottom"/>
          </w:tcPr>
          <w:p>
            <w:pPr>
              <w:spacing w:after="0"/>
              <w:rPr>
                <w:sz w:val="20"/>
                <w:szCs w:val="20"/>
                <w:color w:val="auto"/>
              </w:rPr>
            </w:pPr>
            <w:r>
              <w:rPr>
                <w:rFonts w:ascii="Arial" w:cs="Arial" w:eastAsia="Arial" w:hAnsi="Arial"/>
                <w:sz w:val="18"/>
                <w:szCs w:val="18"/>
                <w:b w:val="1"/>
                <w:bCs w:val="1"/>
                <w:i w:val="1"/>
                <w:iCs w:val="1"/>
                <w:color w:val="auto"/>
              </w:rPr>
              <w:t>Non-GAAP Gross Profit and Gross Margin</w:t>
            </w:r>
          </w:p>
        </w:tc>
        <w:tc>
          <w:tcPr>
            <w:tcW w:w="300" w:type="dxa"/>
            <w:vAlign w:val="bottom"/>
          </w:tcPr>
          <w:p>
            <w:pPr>
              <w:spacing w:after="0"/>
              <w:rPr>
                <w:sz w:val="20"/>
                <w:szCs w:val="20"/>
                <w:color w:val="auto"/>
              </w:rPr>
            </w:pPr>
          </w:p>
        </w:tc>
        <w:tc>
          <w:tcPr>
            <w:tcW w:w="106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080" w:type="dxa"/>
            <w:vAlign w:val="bottom"/>
          </w:tcPr>
          <w:p>
            <w:pPr>
              <w:spacing w:after="0"/>
              <w:rPr>
                <w:sz w:val="20"/>
                <w:szCs w:val="20"/>
                <w:color w:val="auto"/>
              </w:rPr>
            </w:pPr>
          </w:p>
        </w:tc>
        <w:tc>
          <w:tcPr>
            <w:tcW w:w="58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04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9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60" w:type="dxa"/>
            <w:vAlign w:val="bottom"/>
          </w:tcPr>
          <w:p>
            <w:pPr>
              <w:spacing w:after="0"/>
              <w:rPr>
                <w:sz w:val="20"/>
                <w:szCs w:val="20"/>
                <w:color w:val="auto"/>
              </w:rPr>
            </w:pPr>
          </w:p>
        </w:tc>
      </w:tr>
      <w:tr>
        <w:trPr>
          <w:trHeight w:val="373"/>
        </w:trPr>
        <w:tc>
          <w:tcPr>
            <w:tcW w:w="46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2420" w:type="dxa"/>
            <w:vAlign w:val="bottom"/>
            <w:gridSpan w:val="3"/>
          </w:tcPr>
          <w:p>
            <w:pPr>
              <w:jc w:val="right"/>
              <w:ind w:right="170"/>
              <w:spacing w:after="0"/>
              <w:rPr>
                <w:sz w:val="20"/>
                <w:szCs w:val="20"/>
                <w:color w:val="auto"/>
              </w:rPr>
            </w:pPr>
            <w:r>
              <w:rPr>
                <w:rFonts w:ascii="Arial" w:cs="Arial" w:eastAsia="Arial" w:hAnsi="Arial"/>
                <w:sz w:val="18"/>
                <w:szCs w:val="18"/>
                <w:b w:val="1"/>
                <w:bCs w:val="1"/>
                <w:color w:val="auto"/>
              </w:rPr>
              <w:t>Three Months Ended</w:t>
            </w:r>
          </w:p>
        </w:tc>
        <w:tc>
          <w:tcPr>
            <w:tcW w:w="58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2820" w:type="dxa"/>
            <w:vAlign w:val="bottom"/>
            <w:gridSpan w:val="6"/>
          </w:tcPr>
          <w:p>
            <w:pPr>
              <w:jc w:val="right"/>
              <w:ind w:right="860"/>
              <w:spacing w:after="0"/>
              <w:rPr>
                <w:sz w:val="20"/>
                <w:szCs w:val="20"/>
                <w:color w:val="auto"/>
              </w:rPr>
            </w:pPr>
            <w:r>
              <w:rPr>
                <w:rFonts w:ascii="Arial" w:cs="Arial" w:eastAsia="Arial" w:hAnsi="Arial"/>
                <w:sz w:val="18"/>
                <w:szCs w:val="18"/>
                <w:b w:val="1"/>
                <w:bCs w:val="1"/>
                <w:color w:val="auto"/>
              </w:rPr>
              <w:t>Nine Months Ended</w:t>
            </w:r>
          </w:p>
        </w:tc>
      </w:tr>
      <w:tr>
        <w:trPr>
          <w:trHeight w:val="234"/>
        </w:trPr>
        <w:tc>
          <w:tcPr>
            <w:tcW w:w="4620" w:type="dxa"/>
            <w:vAlign w:val="bottom"/>
          </w:tcPr>
          <w:p>
            <w:pPr>
              <w:spacing w:after="0"/>
              <w:rPr>
                <w:sz w:val="20"/>
                <w:szCs w:val="20"/>
                <w:color w:val="auto"/>
              </w:rPr>
            </w:pPr>
          </w:p>
        </w:tc>
        <w:tc>
          <w:tcPr>
            <w:tcW w:w="300" w:type="dxa"/>
            <w:vAlign w:val="bottom"/>
            <w:tcBorders>
              <w:bottom w:val="single" w:sz="8" w:color="auto"/>
            </w:tcBorders>
          </w:tcPr>
          <w:p>
            <w:pPr>
              <w:spacing w:after="0"/>
              <w:rPr>
                <w:sz w:val="20"/>
                <w:szCs w:val="20"/>
                <w:color w:val="auto"/>
              </w:rPr>
            </w:pPr>
          </w:p>
        </w:tc>
        <w:tc>
          <w:tcPr>
            <w:tcW w:w="2420" w:type="dxa"/>
            <w:vAlign w:val="bottom"/>
            <w:tcBorders>
              <w:bottom w:val="single" w:sz="8" w:color="auto"/>
            </w:tcBorders>
            <w:gridSpan w:val="3"/>
          </w:tcPr>
          <w:p>
            <w:pPr>
              <w:jc w:val="right"/>
              <w:ind w:right="430"/>
              <w:spacing w:after="0"/>
              <w:rPr>
                <w:sz w:val="20"/>
                <w:szCs w:val="20"/>
                <w:color w:val="auto"/>
              </w:rPr>
            </w:pPr>
            <w:r>
              <w:rPr>
                <w:rFonts w:ascii="Arial" w:cs="Arial" w:eastAsia="Arial" w:hAnsi="Arial"/>
                <w:sz w:val="18"/>
                <w:szCs w:val="18"/>
                <w:b w:val="1"/>
                <w:bCs w:val="1"/>
                <w:color w:val="auto"/>
              </w:rPr>
              <w:t>September 30,</w:t>
            </w:r>
          </w:p>
        </w:tc>
        <w:tc>
          <w:tcPr>
            <w:tcW w:w="580" w:type="dxa"/>
            <w:vAlign w:val="bottom"/>
            <w:tcBorders>
              <w:bottom w:val="single" w:sz="8" w:color="auto"/>
            </w:tcBorders>
          </w:tcPr>
          <w:p>
            <w:pPr>
              <w:spacing w:after="0"/>
              <w:rPr>
                <w:sz w:val="20"/>
                <w:szCs w:val="20"/>
                <w:color w:val="auto"/>
              </w:rPr>
            </w:pPr>
          </w:p>
        </w:tc>
        <w:tc>
          <w:tcPr>
            <w:tcW w:w="280" w:type="dxa"/>
            <w:vAlign w:val="bottom"/>
          </w:tcPr>
          <w:p>
            <w:pPr>
              <w:spacing w:after="0"/>
              <w:rPr>
                <w:sz w:val="20"/>
                <w:szCs w:val="20"/>
                <w:color w:val="auto"/>
              </w:rPr>
            </w:pPr>
          </w:p>
        </w:tc>
        <w:tc>
          <w:tcPr>
            <w:tcW w:w="280" w:type="dxa"/>
            <w:vAlign w:val="bottom"/>
            <w:tcBorders>
              <w:bottom w:val="single" w:sz="8" w:color="auto"/>
            </w:tcBorders>
          </w:tcPr>
          <w:p>
            <w:pPr>
              <w:spacing w:after="0"/>
              <w:rPr>
                <w:sz w:val="20"/>
                <w:szCs w:val="20"/>
                <w:color w:val="auto"/>
              </w:rPr>
            </w:pPr>
          </w:p>
        </w:tc>
        <w:tc>
          <w:tcPr>
            <w:tcW w:w="1760" w:type="dxa"/>
            <w:vAlign w:val="bottom"/>
            <w:tcBorders>
              <w:bottom w:val="single" w:sz="8" w:color="auto"/>
            </w:tcBorders>
            <w:gridSpan w:val="3"/>
          </w:tcPr>
          <w:p>
            <w:pPr>
              <w:jc w:val="right"/>
              <w:spacing w:after="0"/>
              <w:rPr>
                <w:sz w:val="20"/>
                <w:szCs w:val="20"/>
                <w:color w:val="auto"/>
              </w:rPr>
            </w:pPr>
            <w:r>
              <w:rPr>
                <w:rFonts w:ascii="Arial" w:cs="Arial" w:eastAsia="Arial" w:hAnsi="Arial"/>
                <w:sz w:val="18"/>
                <w:szCs w:val="18"/>
                <w:b w:val="1"/>
                <w:bCs w:val="1"/>
                <w:color w:val="auto"/>
              </w:rPr>
              <w:t>September 30,</w:t>
            </w:r>
          </w:p>
        </w:tc>
        <w:tc>
          <w:tcPr>
            <w:tcW w:w="900" w:type="dxa"/>
            <w:vAlign w:val="bottom"/>
            <w:tcBorders>
              <w:bottom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60" w:type="dxa"/>
            <w:vAlign w:val="bottom"/>
          </w:tcPr>
          <w:p>
            <w:pPr>
              <w:spacing w:after="0"/>
              <w:rPr>
                <w:sz w:val="20"/>
                <w:szCs w:val="20"/>
                <w:color w:val="auto"/>
              </w:rPr>
            </w:pPr>
          </w:p>
        </w:tc>
      </w:tr>
      <w:tr>
        <w:trPr>
          <w:trHeight w:val="209"/>
        </w:trPr>
        <w:tc>
          <w:tcPr>
            <w:tcW w:w="4620" w:type="dxa"/>
            <w:vAlign w:val="bottom"/>
          </w:tcPr>
          <w:p>
            <w:pPr>
              <w:spacing w:after="0"/>
              <w:rPr>
                <w:sz w:val="18"/>
                <w:szCs w:val="18"/>
                <w:color w:val="auto"/>
              </w:rPr>
            </w:pPr>
          </w:p>
        </w:tc>
        <w:tc>
          <w:tcPr>
            <w:tcW w:w="300" w:type="dxa"/>
            <w:vAlign w:val="bottom"/>
            <w:tcBorders>
              <w:bottom w:val="single" w:sz="8" w:color="auto"/>
            </w:tcBorders>
          </w:tcPr>
          <w:p>
            <w:pPr>
              <w:spacing w:after="0"/>
              <w:rPr>
                <w:sz w:val="18"/>
                <w:szCs w:val="18"/>
                <w:color w:val="auto"/>
              </w:rPr>
            </w:pPr>
          </w:p>
        </w:tc>
        <w:tc>
          <w:tcPr>
            <w:tcW w:w="1060" w:type="dxa"/>
            <w:vAlign w:val="bottom"/>
            <w:tcBorders>
              <w:bottom w:val="single" w:sz="8" w:color="auto"/>
            </w:tcBorders>
          </w:tcPr>
          <w:p>
            <w:pPr>
              <w:jc w:val="right"/>
              <w:ind w:right="410"/>
              <w:spacing w:after="0"/>
              <w:rPr>
                <w:sz w:val="20"/>
                <w:szCs w:val="20"/>
                <w:color w:val="auto"/>
              </w:rPr>
            </w:pPr>
            <w:r>
              <w:rPr>
                <w:rFonts w:ascii="Arial" w:cs="Arial" w:eastAsia="Arial" w:hAnsi="Arial"/>
                <w:sz w:val="18"/>
                <w:szCs w:val="18"/>
                <w:b w:val="1"/>
                <w:bCs w:val="1"/>
                <w:color w:val="auto"/>
              </w:rPr>
              <w:t>2022</w:t>
            </w:r>
          </w:p>
        </w:tc>
        <w:tc>
          <w:tcPr>
            <w:tcW w:w="280" w:type="dxa"/>
            <w:vAlign w:val="bottom"/>
          </w:tcPr>
          <w:p>
            <w:pPr>
              <w:spacing w:after="0"/>
              <w:rPr>
                <w:sz w:val="18"/>
                <w:szCs w:val="18"/>
                <w:color w:val="auto"/>
              </w:rPr>
            </w:pP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2021</w:t>
            </w:r>
          </w:p>
        </w:tc>
        <w:tc>
          <w:tcPr>
            <w:tcW w:w="580" w:type="dxa"/>
            <w:vAlign w:val="bottom"/>
            <w:tcBorders>
              <w:bottom w:val="single" w:sz="8" w:color="auto"/>
            </w:tcBorders>
          </w:tcPr>
          <w:p>
            <w:pPr>
              <w:spacing w:after="0"/>
              <w:rPr>
                <w:sz w:val="18"/>
                <w:szCs w:val="18"/>
                <w:color w:val="auto"/>
              </w:rPr>
            </w:pPr>
          </w:p>
        </w:tc>
        <w:tc>
          <w:tcPr>
            <w:tcW w:w="280" w:type="dxa"/>
            <w:vAlign w:val="bottom"/>
          </w:tcPr>
          <w:p>
            <w:pPr>
              <w:spacing w:after="0"/>
              <w:rPr>
                <w:sz w:val="18"/>
                <w:szCs w:val="18"/>
                <w:color w:val="auto"/>
              </w:rPr>
            </w:pPr>
          </w:p>
        </w:tc>
        <w:tc>
          <w:tcPr>
            <w:tcW w:w="280" w:type="dxa"/>
            <w:vAlign w:val="bottom"/>
            <w:tcBorders>
              <w:bottom w:val="single" w:sz="8" w:color="auto"/>
            </w:tcBorders>
          </w:tcPr>
          <w:p>
            <w:pPr>
              <w:spacing w:after="0"/>
              <w:rPr>
                <w:sz w:val="18"/>
                <w:szCs w:val="18"/>
                <w:color w:val="auto"/>
              </w:rPr>
            </w:pPr>
          </w:p>
        </w:tc>
        <w:tc>
          <w:tcPr>
            <w:tcW w:w="1040" w:type="dxa"/>
            <w:vAlign w:val="bottom"/>
            <w:tcBorders>
              <w:bottom w:val="single" w:sz="8" w:color="auto"/>
            </w:tcBorders>
          </w:tcPr>
          <w:p>
            <w:pPr>
              <w:jc w:val="right"/>
              <w:ind w:right="390"/>
              <w:spacing w:after="0"/>
              <w:rPr>
                <w:sz w:val="20"/>
                <w:szCs w:val="20"/>
                <w:color w:val="auto"/>
              </w:rPr>
            </w:pPr>
            <w:r>
              <w:rPr>
                <w:rFonts w:ascii="Arial" w:cs="Arial" w:eastAsia="Arial" w:hAnsi="Arial"/>
                <w:sz w:val="18"/>
                <w:szCs w:val="18"/>
                <w:b w:val="1"/>
                <w:bCs w:val="1"/>
                <w:color w:val="auto"/>
              </w:rPr>
              <w:t>2022</w:t>
            </w:r>
          </w:p>
        </w:tc>
        <w:tc>
          <w:tcPr>
            <w:tcW w:w="260" w:type="dxa"/>
            <w:vAlign w:val="bottom"/>
          </w:tcPr>
          <w:p>
            <w:pPr>
              <w:spacing w:after="0"/>
              <w:rPr>
                <w:sz w:val="18"/>
                <w:szCs w:val="18"/>
                <w:color w:val="auto"/>
              </w:rPr>
            </w:pPr>
          </w:p>
        </w:tc>
        <w:tc>
          <w:tcPr>
            <w:tcW w:w="460" w:type="dxa"/>
            <w:vAlign w:val="bottom"/>
            <w:tcBorders>
              <w:bottom w:val="single" w:sz="8" w:color="auto"/>
            </w:tcBorders>
          </w:tcPr>
          <w:p>
            <w:pPr>
              <w:spacing w:after="0"/>
              <w:rPr>
                <w:sz w:val="18"/>
                <w:szCs w:val="18"/>
                <w:color w:val="auto"/>
              </w:rPr>
            </w:pPr>
          </w:p>
        </w:tc>
        <w:tc>
          <w:tcPr>
            <w:tcW w:w="900" w:type="dxa"/>
            <w:vAlign w:val="bottom"/>
            <w:tcBorders>
              <w:bottom w:val="single" w:sz="8" w:color="auto"/>
            </w:tcBorders>
          </w:tcPr>
          <w:p>
            <w:pPr>
              <w:jc w:val="right"/>
              <w:ind w:right="410"/>
              <w:spacing w:after="0"/>
              <w:rPr>
                <w:sz w:val="20"/>
                <w:szCs w:val="20"/>
                <w:color w:val="auto"/>
              </w:rPr>
            </w:pPr>
            <w:r>
              <w:rPr>
                <w:rFonts w:ascii="Arial" w:cs="Arial" w:eastAsia="Arial" w:hAnsi="Arial"/>
                <w:sz w:val="18"/>
                <w:szCs w:val="18"/>
                <w:b w:val="1"/>
                <w:bCs w:val="1"/>
                <w:color w:val="auto"/>
                <w:w w:val="94"/>
              </w:rPr>
              <w:t>2021</w:t>
            </w:r>
          </w:p>
        </w:tc>
        <w:tc>
          <w:tcPr>
            <w:tcW w:w="100" w:type="dxa"/>
            <w:vAlign w:val="bottom"/>
          </w:tcPr>
          <w:p>
            <w:pPr>
              <w:spacing w:after="0"/>
              <w:rPr>
                <w:sz w:val="18"/>
                <w:szCs w:val="18"/>
                <w:color w:val="auto"/>
              </w:rPr>
            </w:pPr>
          </w:p>
        </w:tc>
        <w:tc>
          <w:tcPr>
            <w:tcW w:w="60" w:type="dxa"/>
            <w:vAlign w:val="bottom"/>
          </w:tcPr>
          <w:p>
            <w:pPr>
              <w:spacing w:after="0"/>
              <w:rPr>
                <w:sz w:val="18"/>
                <w:szCs w:val="18"/>
                <w:color w:val="auto"/>
              </w:rPr>
            </w:pPr>
          </w:p>
        </w:tc>
      </w:tr>
      <w:tr>
        <w:trPr>
          <w:trHeight w:val="223"/>
        </w:trPr>
        <w:tc>
          <w:tcPr>
            <w:tcW w:w="46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6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3520" w:type="dxa"/>
            <w:vAlign w:val="bottom"/>
            <w:gridSpan w:val="6"/>
          </w:tcPr>
          <w:p>
            <w:pPr>
              <w:jc w:val="right"/>
              <w:ind w:right="620"/>
              <w:spacing w:after="0"/>
              <w:rPr>
                <w:sz w:val="20"/>
                <w:szCs w:val="20"/>
                <w:color w:val="auto"/>
              </w:rPr>
            </w:pPr>
            <w:r>
              <w:rPr>
                <w:rFonts w:ascii="Arial" w:cs="Arial" w:eastAsia="Arial" w:hAnsi="Arial"/>
                <w:sz w:val="18"/>
                <w:szCs w:val="18"/>
                <w:b w:val="1"/>
                <w:bCs w:val="1"/>
                <w:i w:val="1"/>
                <w:iCs w:val="1"/>
                <w:color w:val="auto"/>
                <w:w w:val="95"/>
              </w:rPr>
              <w:t>(in thousands, except percentages)</w:t>
            </w:r>
          </w:p>
        </w:tc>
        <w:tc>
          <w:tcPr>
            <w:tcW w:w="46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60" w:type="dxa"/>
            <w:vAlign w:val="bottom"/>
          </w:tcPr>
          <w:p>
            <w:pPr>
              <w:spacing w:after="0"/>
              <w:rPr>
                <w:sz w:val="19"/>
                <w:szCs w:val="19"/>
                <w:color w:val="auto"/>
              </w:rPr>
            </w:pPr>
          </w:p>
        </w:tc>
      </w:tr>
      <w:tr>
        <w:trPr>
          <w:trHeight w:val="229"/>
        </w:trPr>
        <w:tc>
          <w:tcPr>
            <w:tcW w:w="4620" w:type="dxa"/>
            <w:vAlign w:val="bottom"/>
            <w:shd w:val="clear" w:color="auto" w:fill="CFF0FC"/>
          </w:tcPr>
          <w:p>
            <w:pPr>
              <w:ind w:left="20"/>
              <w:spacing w:after="0"/>
              <w:rPr>
                <w:sz w:val="20"/>
                <w:szCs w:val="20"/>
                <w:color w:val="auto"/>
              </w:rPr>
            </w:pPr>
            <w:r>
              <w:rPr>
                <w:rFonts w:ascii="Arial" w:cs="Arial" w:eastAsia="Arial" w:hAnsi="Arial"/>
                <w:sz w:val="18"/>
                <w:szCs w:val="18"/>
                <w:color w:val="auto"/>
              </w:rPr>
              <w:t>Gross profit</w:t>
            </w:r>
          </w:p>
        </w:tc>
        <w:tc>
          <w:tcPr>
            <w:tcW w:w="300" w:type="dxa"/>
            <w:vAlign w:val="bottom"/>
            <w:shd w:val="clear" w:color="auto" w:fill="CFF0FC"/>
          </w:tcPr>
          <w:p>
            <w:pPr>
              <w:jc w:val="right"/>
              <w:ind w:right="110"/>
              <w:spacing w:after="0"/>
              <w:rPr>
                <w:sz w:val="20"/>
                <w:szCs w:val="20"/>
                <w:color w:val="auto"/>
              </w:rPr>
            </w:pPr>
            <w:r>
              <w:rPr>
                <w:rFonts w:ascii="Arial" w:cs="Arial" w:eastAsia="Arial" w:hAnsi="Arial"/>
                <w:sz w:val="18"/>
                <w:szCs w:val="18"/>
                <w:color w:val="auto"/>
                <w:w w:val="79"/>
              </w:rPr>
              <w:t>$</w:t>
            </w:r>
          </w:p>
        </w:tc>
        <w:tc>
          <w:tcPr>
            <w:tcW w:w="10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43,538</w:t>
            </w:r>
          </w:p>
        </w:tc>
        <w:tc>
          <w:tcPr>
            <w:tcW w:w="280" w:type="dxa"/>
            <w:vAlign w:val="bottom"/>
            <w:shd w:val="clear" w:color="auto" w:fill="CFF0FC"/>
          </w:tcPr>
          <w:p>
            <w:pPr>
              <w:spacing w:after="0"/>
              <w:rPr>
                <w:sz w:val="19"/>
                <w:szCs w:val="19"/>
                <w:color w:val="auto"/>
              </w:rPr>
            </w:pPr>
          </w:p>
        </w:tc>
        <w:tc>
          <w:tcPr>
            <w:tcW w:w="1080" w:type="dxa"/>
            <w:vAlign w:val="bottom"/>
            <w:shd w:val="clear" w:color="auto" w:fill="CFF0FC"/>
          </w:tcPr>
          <w:p>
            <w:pPr>
              <w:jc w:val="right"/>
              <w:ind w:right="890"/>
              <w:spacing w:after="0"/>
              <w:rPr>
                <w:sz w:val="20"/>
                <w:szCs w:val="20"/>
                <w:color w:val="auto"/>
              </w:rPr>
            </w:pPr>
            <w:r>
              <w:rPr>
                <w:rFonts w:ascii="Arial" w:cs="Arial" w:eastAsia="Arial" w:hAnsi="Arial"/>
                <w:sz w:val="18"/>
                <w:szCs w:val="18"/>
                <w:color w:val="auto"/>
                <w:w w:val="79"/>
              </w:rPr>
              <w:t>$</w:t>
            </w:r>
          </w:p>
        </w:tc>
        <w:tc>
          <w:tcPr>
            <w:tcW w:w="580" w:type="dxa"/>
            <w:vAlign w:val="bottom"/>
            <w:shd w:val="clear" w:color="auto" w:fill="CFF0FC"/>
          </w:tcPr>
          <w:p>
            <w:pPr>
              <w:jc w:val="right"/>
              <w:spacing w:after="0"/>
              <w:rPr>
                <w:sz w:val="20"/>
                <w:szCs w:val="20"/>
                <w:color w:val="auto"/>
              </w:rPr>
            </w:pPr>
            <w:r>
              <w:rPr>
                <w:rFonts w:ascii="Arial" w:cs="Arial" w:eastAsia="Arial" w:hAnsi="Arial"/>
                <w:sz w:val="18"/>
                <w:szCs w:val="18"/>
                <w:color w:val="auto"/>
                <w:w w:val="98"/>
              </w:rPr>
              <w:t>31,491</w:t>
            </w:r>
          </w:p>
        </w:tc>
        <w:tc>
          <w:tcPr>
            <w:tcW w:w="280" w:type="dxa"/>
            <w:vAlign w:val="bottom"/>
            <w:shd w:val="clear" w:color="auto" w:fill="CFF0FC"/>
          </w:tcPr>
          <w:p>
            <w:pPr>
              <w:spacing w:after="0"/>
              <w:rPr>
                <w:sz w:val="19"/>
                <w:szCs w:val="19"/>
                <w:color w:val="auto"/>
              </w:rPr>
            </w:pPr>
          </w:p>
        </w:tc>
        <w:tc>
          <w:tcPr>
            <w:tcW w:w="280" w:type="dxa"/>
            <w:vAlign w:val="bottom"/>
            <w:shd w:val="clear" w:color="auto" w:fill="CFF0FC"/>
          </w:tcPr>
          <w:p>
            <w:pPr>
              <w:jc w:val="right"/>
              <w:ind w:right="90"/>
              <w:spacing w:after="0"/>
              <w:rPr>
                <w:sz w:val="20"/>
                <w:szCs w:val="20"/>
                <w:color w:val="auto"/>
              </w:rPr>
            </w:pPr>
            <w:r>
              <w:rPr>
                <w:rFonts w:ascii="Arial" w:cs="Arial" w:eastAsia="Arial" w:hAnsi="Arial"/>
                <w:sz w:val="18"/>
                <w:szCs w:val="18"/>
                <w:color w:val="auto"/>
                <w:w w:val="79"/>
              </w:rPr>
              <w:t>$</w:t>
            </w:r>
          </w:p>
        </w:tc>
        <w:tc>
          <w:tcPr>
            <w:tcW w:w="10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121,610</w:t>
            </w:r>
          </w:p>
        </w:tc>
        <w:tc>
          <w:tcPr>
            <w:tcW w:w="260" w:type="dxa"/>
            <w:vAlign w:val="bottom"/>
            <w:shd w:val="clear" w:color="auto" w:fill="CFF0FC"/>
          </w:tcPr>
          <w:p>
            <w:pPr>
              <w:spacing w:after="0"/>
              <w:rPr>
                <w:sz w:val="19"/>
                <w:szCs w:val="19"/>
                <w:color w:val="auto"/>
              </w:rPr>
            </w:pPr>
          </w:p>
        </w:tc>
        <w:tc>
          <w:tcPr>
            <w:tcW w:w="460" w:type="dxa"/>
            <w:vAlign w:val="bottom"/>
            <w:shd w:val="clear" w:color="auto" w:fill="CFF0FC"/>
          </w:tcPr>
          <w:p>
            <w:pPr>
              <w:jc w:val="right"/>
              <w:ind w:right="270"/>
              <w:spacing w:after="0"/>
              <w:rPr>
                <w:sz w:val="20"/>
                <w:szCs w:val="20"/>
                <w:color w:val="auto"/>
              </w:rPr>
            </w:pPr>
            <w:r>
              <w:rPr>
                <w:rFonts w:ascii="Arial" w:cs="Arial" w:eastAsia="Arial" w:hAnsi="Arial"/>
                <w:sz w:val="18"/>
                <w:szCs w:val="18"/>
                <w:color w:val="auto"/>
                <w:w w:val="79"/>
              </w:rPr>
              <w:t>$</w:t>
            </w:r>
          </w:p>
        </w:tc>
        <w:tc>
          <w:tcPr>
            <w:tcW w:w="9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81,465</w:t>
            </w:r>
          </w:p>
        </w:tc>
        <w:tc>
          <w:tcPr>
            <w:tcW w:w="100" w:type="dxa"/>
            <w:vAlign w:val="bottom"/>
            <w:shd w:val="clear" w:color="auto" w:fill="CFF0FC"/>
          </w:tcPr>
          <w:p>
            <w:pPr>
              <w:spacing w:after="0"/>
              <w:rPr>
                <w:sz w:val="19"/>
                <w:szCs w:val="19"/>
                <w:color w:val="auto"/>
              </w:rPr>
            </w:pPr>
          </w:p>
        </w:tc>
        <w:tc>
          <w:tcPr>
            <w:tcW w:w="60" w:type="dxa"/>
            <w:vAlign w:val="bottom"/>
          </w:tcPr>
          <w:p>
            <w:pPr>
              <w:spacing w:after="0"/>
              <w:rPr>
                <w:sz w:val="19"/>
                <w:szCs w:val="19"/>
                <w:color w:val="auto"/>
              </w:rPr>
            </w:pPr>
          </w:p>
        </w:tc>
      </w:tr>
      <w:tr>
        <w:trPr>
          <w:trHeight w:val="179"/>
        </w:trPr>
        <w:tc>
          <w:tcPr>
            <w:tcW w:w="4620" w:type="dxa"/>
            <w:vAlign w:val="bottom"/>
          </w:tcPr>
          <w:p>
            <w:pPr>
              <w:ind w:left="460"/>
              <w:spacing w:after="0" w:line="179" w:lineRule="exact"/>
              <w:rPr>
                <w:sz w:val="20"/>
                <w:szCs w:val="20"/>
                <w:color w:val="auto"/>
              </w:rPr>
            </w:pPr>
            <w:r>
              <w:rPr>
                <w:rFonts w:ascii="Arial" w:cs="Arial" w:eastAsia="Arial" w:hAnsi="Arial"/>
                <w:sz w:val="18"/>
                <w:szCs w:val="18"/>
                <w:color w:val="auto"/>
              </w:rPr>
              <w:t>Add:</w:t>
            </w:r>
          </w:p>
        </w:tc>
        <w:tc>
          <w:tcPr>
            <w:tcW w:w="300" w:type="dxa"/>
            <w:vAlign w:val="bottom"/>
          </w:tcPr>
          <w:p>
            <w:pPr>
              <w:spacing w:after="0"/>
              <w:rPr>
                <w:sz w:val="15"/>
                <w:szCs w:val="15"/>
                <w:color w:val="auto"/>
              </w:rPr>
            </w:pPr>
          </w:p>
        </w:tc>
        <w:tc>
          <w:tcPr>
            <w:tcW w:w="106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108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104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9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0" w:type="dxa"/>
            <w:vAlign w:val="bottom"/>
          </w:tcPr>
          <w:p>
            <w:pPr>
              <w:spacing w:after="0"/>
              <w:rPr>
                <w:sz w:val="15"/>
                <w:szCs w:val="15"/>
                <w:color w:val="auto"/>
              </w:rPr>
            </w:pPr>
          </w:p>
        </w:tc>
      </w:tr>
      <w:tr>
        <w:trPr>
          <w:trHeight w:val="279"/>
        </w:trPr>
        <w:tc>
          <w:tcPr>
            <w:tcW w:w="4620" w:type="dxa"/>
            <w:vAlign w:val="bottom"/>
          </w:tcPr>
          <w:p>
            <w:pPr>
              <w:ind w:left="20"/>
              <w:spacing w:after="0"/>
              <w:rPr>
                <w:sz w:val="20"/>
                <w:szCs w:val="20"/>
                <w:color w:val="auto"/>
              </w:rPr>
            </w:pPr>
            <w:r>
              <w:rPr>
                <w:rFonts w:ascii="Arial" w:cs="Arial" w:eastAsia="Arial" w:hAnsi="Arial"/>
                <w:sz w:val="18"/>
                <w:szCs w:val="18"/>
                <w:color w:val="auto"/>
              </w:rPr>
              <w:t>Stock-based compensation expense</w:t>
            </w:r>
            <w:r>
              <w:rPr>
                <w:rFonts w:ascii="Arial" w:cs="Arial" w:eastAsia="Arial" w:hAnsi="Arial"/>
                <w:sz w:val="24"/>
                <w:szCs w:val="24"/>
                <w:color w:val="auto"/>
                <w:vertAlign w:val="superscript"/>
              </w:rPr>
              <w:t>(1)</w:t>
            </w:r>
          </w:p>
        </w:tc>
        <w:tc>
          <w:tcPr>
            <w:tcW w:w="300" w:type="dxa"/>
            <w:vAlign w:val="bottom"/>
          </w:tcPr>
          <w:p>
            <w:pPr>
              <w:jc w:val="right"/>
              <w:ind w:right="110"/>
              <w:spacing w:after="0"/>
              <w:rPr>
                <w:sz w:val="20"/>
                <w:szCs w:val="20"/>
                <w:color w:val="auto"/>
              </w:rPr>
            </w:pPr>
            <w:r>
              <w:rPr>
                <w:rFonts w:ascii="Arial" w:cs="Arial" w:eastAsia="Arial" w:hAnsi="Arial"/>
                <w:sz w:val="18"/>
                <w:szCs w:val="18"/>
                <w:color w:val="auto"/>
                <w:w w:val="79"/>
              </w:rPr>
              <w:t>$</w:t>
            </w:r>
          </w:p>
        </w:tc>
        <w:tc>
          <w:tcPr>
            <w:tcW w:w="1060" w:type="dxa"/>
            <w:vAlign w:val="bottom"/>
          </w:tcPr>
          <w:p>
            <w:pPr>
              <w:jc w:val="right"/>
              <w:spacing w:after="0"/>
              <w:rPr>
                <w:sz w:val="20"/>
                <w:szCs w:val="20"/>
                <w:color w:val="auto"/>
              </w:rPr>
            </w:pPr>
            <w:r>
              <w:rPr>
                <w:rFonts w:ascii="Arial" w:cs="Arial" w:eastAsia="Arial" w:hAnsi="Arial"/>
                <w:sz w:val="18"/>
                <w:szCs w:val="18"/>
                <w:color w:val="auto"/>
              </w:rPr>
              <w:t>1,793</w:t>
            </w:r>
          </w:p>
        </w:tc>
        <w:tc>
          <w:tcPr>
            <w:tcW w:w="280" w:type="dxa"/>
            <w:vAlign w:val="bottom"/>
          </w:tcPr>
          <w:p>
            <w:pPr>
              <w:spacing w:after="0"/>
              <w:rPr>
                <w:sz w:val="24"/>
                <w:szCs w:val="24"/>
                <w:color w:val="auto"/>
              </w:rPr>
            </w:pPr>
          </w:p>
        </w:tc>
        <w:tc>
          <w:tcPr>
            <w:tcW w:w="1080" w:type="dxa"/>
            <w:vAlign w:val="bottom"/>
          </w:tcPr>
          <w:p>
            <w:pPr>
              <w:jc w:val="right"/>
              <w:ind w:right="890"/>
              <w:spacing w:after="0"/>
              <w:rPr>
                <w:sz w:val="20"/>
                <w:szCs w:val="20"/>
                <w:color w:val="auto"/>
              </w:rPr>
            </w:pPr>
            <w:r>
              <w:rPr>
                <w:rFonts w:ascii="Arial" w:cs="Arial" w:eastAsia="Arial" w:hAnsi="Arial"/>
                <w:sz w:val="18"/>
                <w:szCs w:val="18"/>
                <w:color w:val="auto"/>
                <w:w w:val="79"/>
              </w:rPr>
              <w:t>$</w:t>
            </w:r>
          </w:p>
        </w:tc>
        <w:tc>
          <w:tcPr>
            <w:tcW w:w="580" w:type="dxa"/>
            <w:vAlign w:val="bottom"/>
          </w:tcPr>
          <w:p>
            <w:pPr>
              <w:jc w:val="right"/>
              <w:spacing w:after="0"/>
              <w:rPr>
                <w:sz w:val="20"/>
                <w:szCs w:val="20"/>
                <w:color w:val="auto"/>
              </w:rPr>
            </w:pPr>
            <w:r>
              <w:rPr>
                <w:rFonts w:ascii="Arial" w:cs="Arial" w:eastAsia="Arial" w:hAnsi="Arial"/>
                <w:sz w:val="18"/>
                <w:szCs w:val="18"/>
                <w:color w:val="auto"/>
              </w:rPr>
              <w:t>426</w:t>
            </w:r>
          </w:p>
        </w:tc>
        <w:tc>
          <w:tcPr>
            <w:tcW w:w="280" w:type="dxa"/>
            <w:vAlign w:val="bottom"/>
          </w:tcPr>
          <w:p>
            <w:pPr>
              <w:spacing w:after="0"/>
              <w:rPr>
                <w:sz w:val="24"/>
                <w:szCs w:val="24"/>
                <w:color w:val="auto"/>
              </w:rPr>
            </w:pPr>
          </w:p>
        </w:tc>
        <w:tc>
          <w:tcPr>
            <w:tcW w:w="280" w:type="dxa"/>
            <w:vAlign w:val="bottom"/>
          </w:tcPr>
          <w:p>
            <w:pPr>
              <w:jc w:val="right"/>
              <w:ind w:right="90"/>
              <w:spacing w:after="0"/>
              <w:rPr>
                <w:sz w:val="20"/>
                <w:szCs w:val="20"/>
                <w:color w:val="auto"/>
              </w:rPr>
            </w:pPr>
            <w:r>
              <w:rPr>
                <w:rFonts w:ascii="Arial" w:cs="Arial" w:eastAsia="Arial" w:hAnsi="Arial"/>
                <w:sz w:val="18"/>
                <w:szCs w:val="18"/>
                <w:color w:val="auto"/>
                <w:w w:val="79"/>
              </w:rPr>
              <w:t>$</w:t>
            </w:r>
          </w:p>
        </w:tc>
        <w:tc>
          <w:tcPr>
            <w:tcW w:w="1040" w:type="dxa"/>
            <w:vAlign w:val="bottom"/>
          </w:tcPr>
          <w:p>
            <w:pPr>
              <w:jc w:val="right"/>
              <w:spacing w:after="0"/>
              <w:rPr>
                <w:sz w:val="20"/>
                <w:szCs w:val="20"/>
                <w:color w:val="auto"/>
              </w:rPr>
            </w:pPr>
            <w:r>
              <w:rPr>
                <w:rFonts w:ascii="Arial" w:cs="Arial" w:eastAsia="Arial" w:hAnsi="Arial"/>
                <w:sz w:val="18"/>
                <w:szCs w:val="18"/>
                <w:color w:val="auto"/>
              </w:rPr>
              <w:t>4,384</w:t>
            </w:r>
          </w:p>
        </w:tc>
        <w:tc>
          <w:tcPr>
            <w:tcW w:w="260" w:type="dxa"/>
            <w:vAlign w:val="bottom"/>
          </w:tcPr>
          <w:p>
            <w:pPr>
              <w:spacing w:after="0"/>
              <w:rPr>
                <w:sz w:val="24"/>
                <w:szCs w:val="24"/>
                <w:color w:val="auto"/>
              </w:rPr>
            </w:pPr>
          </w:p>
        </w:tc>
        <w:tc>
          <w:tcPr>
            <w:tcW w:w="460" w:type="dxa"/>
            <w:vAlign w:val="bottom"/>
          </w:tcPr>
          <w:p>
            <w:pPr>
              <w:jc w:val="right"/>
              <w:ind w:right="270"/>
              <w:spacing w:after="0"/>
              <w:rPr>
                <w:sz w:val="20"/>
                <w:szCs w:val="20"/>
                <w:color w:val="auto"/>
              </w:rPr>
            </w:pPr>
            <w:r>
              <w:rPr>
                <w:rFonts w:ascii="Arial" w:cs="Arial" w:eastAsia="Arial" w:hAnsi="Arial"/>
                <w:sz w:val="18"/>
                <w:szCs w:val="18"/>
                <w:color w:val="auto"/>
                <w:w w:val="79"/>
              </w:rPr>
              <w:t>$</w:t>
            </w:r>
          </w:p>
        </w:tc>
        <w:tc>
          <w:tcPr>
            <w:tcW w:w="900" w:type="dxa"/>
            <w:vAlign w:val="bottom"/>
          </w:tcPr>
          <w:p>
            <w:pPr>
              <w:jc w:val="right"/>
              <w:spacing w:after="0"/>
              <w:rPr>
                <w:sz w:val="20"/>
                <w:szCs w:val="20"/>
                <w:color w:val="auto"/>
              </w:rPr>
            </w:pPr>
            <w:r>
              <w:rPr>
                <w:rFonts w:ascii="Arial" w:cs="Arial" w:eastAsia="Arial" w:hAnsi="Arial"/>
                <w:sz w:val="18"/>
                <w:szCs w:val="18"/>
                <w:color w:val="auto"/>
              </w:rPr>
              <w:t>909</w:t>
            </w:r>
          </w:p>
        </w:tc>
        <w:tc>
          <w:tcPr>
            <w:tcW w:w="100" w:type="dxa"/>
            <w:vAlign w:val="bottom"/>
          </w:tcPr>
          <w:p>
            <w:pPr>
              <w:spacing w:after="0"/>
              <w:rPr>
                <w:sz w:val="24"/>
                <w:szCs w:val="24"/>
                <w:color w:val="auto"/>
              </w:rPr>
            </w:pPr>
          </w:p>
        </w:tc>
        <w:tc>
          <w:tcPr>
            <w:tcW w:w="60" w:type="dxa"/>
            <w:vAlign w:val="bottom"/>
          </w:tcPr>
          <w:p>
            <w:pPr>
              <w:spacing w:after="0"/>
              <w:rPr>
                <w:sz w:val="24"/>
                <w:szCs w:val="24"/>
                <w:color w:val="auto"/>
              </w:rPr>
            </w:pPr>
          </w:p>
        </w:tc>
      </w:tr>
      <w:tr>
        <w:trPr>
          <w:trHeight w:val="229"/>
        </w:trPr>
        <w:tc>
          <w:tcPr>
            <w:tcW w:w="4620" w:type="dxa"/>
            <w:vAlign w:val="bottom"/>
          </w:tcPr>
          <w:p>
            <w:pPr>
              <w:ind w:left="20"/>
              <w:spacing w:after="0"/>
              <w:rPr>
                <w:sz w:val="20"/>
                <w:szCs w:val="20"/>
                <w:color w:val="auto"/>
              </w:rPr>
            </w:pPr>
            <w:r>
              <w:rPr>
                <w:rFonts w:ascii="Arial" w:cs="Arial" w:eastAsia="Arial" w:hAnsi="Arial"/>
                <w:sz w:val="18"/>
                <w:szCs w:val="18"/>
                <w:color w:val="auto"/>
              </w:rPr>
              <w:t>Acquired intangible assets amortization</w:t>
            </w:r>
          </w:p>
        </w:tc>
        <w:tc>
          <w:tcPr>
            <w:tcW w:w="300" w:type="dxa"/>
            <w:vAlign w:val="bottom"/>
          </w:tcPr>
          <w:p>
            <w:pPr>
              <w:jc w:val="right"/>
              <w:ind w:right="110"/>
              <w:spacing w:after="0"/>
              <w:rPr>
                <w:sz w:val="20"/>
                <w:szCs w:val="20"/>
                <w:color w:val="auto"/>
              </w:rPr>
            </w:pPr>
            <w:r>
              <w:rPr>
                <w:rFonts w:ascii="Arial" w:cs="Arial" w:eastAsia="Arial" w:hAnsi="Arial"/>
                <w:sz w:val="18"/>
                <w:szCs w:val="18"/>
                <w:color w:val="auto"/>
                <w:w w:val="79"/>
              </w:rPr>
              <w:t>$</w:t>
            </w:r>
          </w:p>
        </w:tc>
        <w:tc>
          <w:tcPr>
            <w:tcW w:w="1060" w:type="dxa"/>
            <w:vAlign w:val="bottom"/>
          </w:tcPr>
          <w:p>
            <w:pPr>
              <w:jc w:val="right"/>
              <w:spacing w:after="0"/>
              <w:rPr>
                <w:sz w:val="20"/>
                <w:szCs w:val="20"/>
                <w:color w:val="auto"/>
              </w:rPr>
            </w:pPr>
            <w:r>
              <w:rPr>
                <w:rFonts w:ascii="Arial" w:cs="Arial" w:eastAsia="Arial" w:hAnsi="Arial"/>
                <w:sz w:val="18"/>
                <w:szCs w:val="18"/>
                <w:color w:val="auto"/>
              </w:rPr>
              <w:t>534</w:t>
            </w:r>
          </w:p>
        </w:tc>
        <w:tc>
          <w:tcPr>
            <w:tcW w:w="280" w:type="dxa"/>
            <w:vAlign w:val="bottom"/>
          </w:tcPr>
          <w:p>
            <w:pPr>
              <w:spacing w:after="0"/>
              <w:rPr>
                <w:sz w:val="19"/>
                <w:szCs w:val="19"/>
                <w:color w:val="auto"/>
              </w:rPr>
            </w:pPr>
          </w:p>
        </w:tc>
        <w:tc>
          <w:tcPr>
            <w:tcW w:w="1080" w:type="dxa"/>
            <w:vAlign w:val="bottom"/>
          </w:tcPr>
          <w:p>
            <w:pPr>
              <w:jc w:val="right"/>
              <w:ind w:right="890"/>
              <w:spacing w:after="0"/>
              <w:rPr>
                <w:sz w:val="20"/>
                <w:szCs w:val="20"/>
                <w:color w:val="auto"/>
              </w:rPr>
            </w:pPr>
            <w:r>
              <w:rPr>
                <w:rFonts w:ascii="Arial" w:cs="Arial" w:eastAsia="Arial" w:hAnsi="Arial"/>
                <w:sz w:val="18"/>
                <w:szCs w:val="18"/>
                <w:color w:val="auto"/>
                <w:w w:val="79"/>
              </w:rPr>
              <w:t>$</w:t>
            </w:r>
          </w:p>
        </w:tc>
        <w:tc>
          <w:tcPr>
            <w:tcW w:w="580" w:type="dxa"/>
            <w:vAlign w:val="bottom"/>
          </w:tcPr>
          <w:p>
            <w:pPr>
              <w:jc w:val="right"/>
              <w:spacing w:after="0"/>
              <w:rPr>
                <w:sz w:val="20"/>
                <w:szCs w:val="20"/>
                <w:color w:val="auto"/>
              </w:rPr>
            </w:pPr>
            <w:r>
              <w:rPr>
                <w:rFonts w:ascii="Arial" w:cs="Arial" w:eastAsia="Arial" w:hAnsi="Arial"/>
                <w:sz w:val="18"/>
                <w:szCs w:val="18"/>
                <w:color w:val="auto"/>
              </w:rPr>
              <w:t>500</w:t>
            </w:r>
          </w:p>
        </w:tc>
        <w:tc>
          <w:tcPr>
            <w:tcW w:w="280" w:type="dxa"/>
            <w:vAlign w:val="bottom"/>
          </w:tcPr>
          <w:p>
            <w:pPr>
              <w:spacing w:after="0"/>
              <w:rPr>
                <w:sz w:val="19"/>
                <w:szCs w:val="19"/>
                <w:color w:val="auto"/>
              </w:rPr>
            </w:pPr>
          </w:p>
        </w:tc>
        <w:tc>
          <w:tcPr>
            <w:tcW w:w="280" w:type="dxa"/>
            <w:vAlign w:val="bottom"/>
          </w:tcPr>
          <w:p>
            <w:pPr>
              <w:jc w:val="right"/>
              <w:ind w:right="90"/>
              <w:spacing w:after="0"/>
              <w:rPr>
                <w:sz w:val="20"/>
                <w:szCs w:val="20"/>
                <w:color w:val="auto"/>
              </w:rPr>
            </w:pPr>
            <w:r>
              <w:rPr>
                <w:rFonts w:ascii="Arial" w:cs="Arial" w:eastAsia="Arial" w:hAnsi="Arial"/>
                <w:sz w:val="18"/>
                <w:szCs w:val="18"/>
                <w:color w:val="auto"/>
                <w:w w:val="79"/>
              </w:rPr>
              <w:t>$</w:t>
            </w:r>
          </w:p>
        </w:tc>
        <w:tc>
          <w:tcPr>
            <w:tcW w:w="1040" w:type="dxa"/>
            <w:vAlign w:val="bottom"/>
          </w:tcPr>
          <w:p>
            <w:pPr>
              <w:jc w:val="right"/>
              <w:spacing w:after="0"/>
              <w:rPr>
                <w:sz w:val="20"/>
                <w:szCs w:val="20"/>
                <w:color w:val="auto"/>
              </w:rPr>
            </w:pPr>
            <w:r>
              <w:rPr>
                <w:rFonts w:ascii="Arial" w:cs="Arial" w:eastAsia="Arial" w:hAnsi="Arial"/>
                <w:sz w:val="18"/>
                <w:szCs w:val="18"/>
                <w:color w:val="auto"/>
              </w:rPr>
              <w:t>1,517</w:t>
            </w:r>
          </w:p>
        </w:tc>
        <w:tc>
          <w:tcPr>
            <w:tcW w:w="260" w:type="dxa"/>
            <w:vAlign w:val="bottom"/>
          </w:tcPr>
          <w:p>
            <w:pPr>
              <w:spacing w:after="0"/>
              <w:rPr>
                <w:sz w:val="19"/>
                <w:szCs w:val="19"/>
                <w:color w:val="auto"/>
              </w:rPr>
            </w:pPr>
          </w:p>
        </w:tc>
        <w:tc>
          <w:tcPr>
            <w:tcW w:w="460" w:type="dxa"/>
            <w:vAlign w:val="bottom"/>
          </w:tcPr>
          <w:p>
            <w:pPr>
              <w:jc w:val="right"/>
              <w:ind w:right="270"/>
              <w:spacing w:after="0"/>
              <w:rPr>
                <w:sz w:val="20"/>
                <w:szCs w:val="20"/>
                <w:color w:val="auto"/>
              </w:rPr>
            </w:pPr>
            <w:r>
              <w:rPr>
                <w:rFonts w:ascii="Arial" w:cs="Arial" w:eastAsia="Arial" w:hAnsi="Arial"/>
                <w:sz w:val="18"/>
                <w:szCs w:val="18"/>
                <w:color w:val="auto"/>
                <w:w w:val="79"/>
              </w:rPr>
              <w:t>$</w:t>
            </w:r>
          </w:p>
        </w:tc>
        <w:tc>
          <w:tcPr>
            <w:tcW w:w="900" w:type="dxa"/>
            <w:vAlign w:val="bottom"/>
          </w:tcPr>
          <w:p>
            <w:pPr>
              <w:jc w:val="right"/>
              <w:spacing w:after="0"/>
              <w:rPr>
                <w:sz w:val="20"/>
                <w:szCs w:val="20"/>
                <w:color w:val="auto"/>
              </w:rPr>
            </w:pPr>
            <w:r>
              <w:rPr>
                <w:rFonts w:ascii="Arial" w:cs="Arial" w:eastAsia="Arial" w:hAnsi="Arial"/>
                <w:sz w:val="18"/>
                <w:szCs w:val="18"/>
                <w:color w:val="auto"/>
              </w:rPr>
              <w:t>1,151</w:t>
            </w:r>
          </w:p>
        </w:tc>
        <w:tc>
          <w:tcPr>
            <w:tcW w:w="100" w:type="dxa"/>
            <w:vAlign w:val="bottom"/>
          </w:tcPr>
          <w:p>
            <w:pPr>
              <w:spacing w:after="0"/>
              <w:rPr>
                <w:sz w:val="19"/>
                <w:szCs w:val="19"/>
                <w:color w:val="auto"/>
              </w:rPr>
            </w:pPr>
          </w:p>
        </w:tc>
        <w:tc>
          <w:tcPr>
            <w:tcW w:w="60" w:type="dxa"/>
            <w:vAlign w:val="bottom"/>
          </w:tcPr>
          <w:p>
            <w:pPr>
              <w:spacing w:after="0"/>
              <w:rPr>
                <w:sz w:val="19"/>
                <w:szCs w:val="19"/>
                <w:color w:val="auto"/>
              </w:rPr>
            </w:pPr>
          </w:p>
        </w:tc>
      </w:tr>
      <w:tr>
        <w:trPr>
          <w:trHeight w:val="229"/>
        </w:trPr>
        <w:tc>
          <w:tcPr>
            <w:tcW w:w="4620" w:type="dxa"/>
            <w:vAlign w:val="bottom"/>
            <w:shd w:val="clear" w:color="auto" w:fill="CFF0FC"/>
          </w:tcPr>
          <w:p>
            <w:pPr>
              <w:ind w:left="20"/>
              <w:spacing w:after="0"/>
              <w:rPr>
                <w:sz w:val="20"/>
                <w:szCs w:val="20"/>
                <w:color w:val="auto"/>
              </w:rPr>
            </w:pPr>
            <w:r>
              <w:rPr>
                <w:rFonts w:ascii="Arial" w:cs="Arial" w:eastAsia="Arial" w:hAnsi="Arial"/>
                <w:sz w:val="18"/>
                <w:szCs w:val="18"/>
                <w:color w:val="auto"/>
              </w:rPr>
              <w:t>Non-GAAP Gross Profit</w:t>
            </w:r>
          </w:p>
        </w:tc>
        <w:tc>
          <w:tcPr>
            <w:tcW w:w="300" w:type="dxa"/>
            <w:vAlign w:val="bottom"/>
            <w:shd w:val="clear" w:color="auto" w:fill="CFF0FC"/>
          </w:tcPr>
          <w:p>
            <w:pPr>
              <w:jc w:val="right"/>
              <w:ind w:right="110"/>
              <w:spacing w:after="0"/>
              <w:rPr>
                <w:sz w:val="20"/>
                <w:szCs w:val="20"/>
                <w:color w:val="auto"/>
              </w:rPr>
            </w:pPr>
            <w:r>
              <w:rPr>
                <w:rFonts w:ascii="Arial" w:cs="Arial" w:eastAsia="Arial" w:hAnsi="Arial"/>
                <w:sz w:val="18"/>
                <w:szCs w:val="18"/>
                <w:color w:val="auto"/>
                <w:w w:val="79"/>
              </w:rPr>
              <w:t>$</w:t>
            </w:r>
          </w:p>
        </w:tc>
        <w:tc>
          <w:tcPr>
            <w:tcW w:w="10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45,865</w:t>
            </w:r>
          </w:p>
        </w:tc>
        <w:tc>
          <w:tcPr>
            <w:tcW w:w="280" w:type="dxa"/>
            <w:vAlign w:val="bottom"/>
            <w:shd w:val="clear" w:color="auto" w:fill="CFF0FC"/>
          </w:tcPr>
          <w:p>
            <w:pPr>
              <w:spacing w:after="0"/>
              <w:rPr>
                <w:sz w:val="19"/>
                <w:szCs w:val="19"/>
                <w:color w:val="auto"/>
              </w:rPr>
            </w:pPr>
          </w:p>
        </w:tc>
        <w:tc>
          <w:tcPr>
            <w:tcW w:w="1080" w:type="dxa"/>
            <w:vAlign w:val="bottom"/>
            <w:shd w:val="clear" w:color="auto" w:fill="CFF0FC"/>
          </w:tcPr>
          <w:p>
            <w:pPr>
              <w:jc w:val="right"/>
              <w:ind w:right="890"/>
              <w:spacing w:after="0"/>
              <w:rPr>
                <w:sz w:val="20"/>
                <w:szCs w:val="20"/>
                <w:color w:val="auto"/>
              </w:rPr>
            </w:pPr>
            <w:r>
              <w:rPr>
                <w:rFonts w:ascii="Arial" w:cs="Arial" w:eastAsia="Arial" w:hAnsi="Arial"/>
                <w:sz w:val="18"/>
                <w:szCs w:val="18"/>
                <w:color w:val="auto"/>
                <w:w w:val="79"/>
              </w:rPr>
              <w:t>$</w:t>
            </w:r>
          </w:p>
        </w:tc>
        <w:tc>
          <w:tcPr>
            <w:tcW w:w="580" w:type="dxa"/>
            <w:vAlign w:val="bottom"/>
            <w:shd w:val="clear" w:color="auto" w:fill="CFF0FC"/>
          </w:tcPr>
          <w:p>
            <w:pPr>
              <w:jc w:val="right"/>
              <w:spacing w:after="0"/>
              <w:rPr>
                <w:sz w:val="20"/>
                <w:szCs w:val="20"/>
                <w:color w:val="auto"/>
              </w:rPr>
            </w:pPr>
            <w:r>
              <w:rPr>
                <w:rFonts w:ascii="Arial" w:cs="Arial" w:eastAsia="Arial" w:hAnsi="Arial"/>
                <w:sz w:val="18"/>
                <w:szCs w:val="18"/>
                <w:color w:val="auto"/>
                <w:w w:val="98"/>
              </w:rPr>
              <w:t>32,417</w:t>
            </w:r>
          </w:p>
        </w:tc>
        <w:tc>
          <w:tcPr>
            <w:tcW w:w="280" w:type="dxa"/>
            <w:vAlign w:val="bottom"/>
            <w:shd w:val="clear" w:color="auto" w:fill="CFF0FC"/>
          </w:tcPr>
          <w:p>
            <w:pPr>
              <w:spacing w:after="0"/>
              <w:rPr>
                <w:sz w:val="19"/>
                <w:szCs w:val="19"/>
                <w:color w:val="auto"/>
              </w:rPr>
            </w:pPr>
          </w:p>
        </w:tc>
        <w:tc>
          <w:tcPr>
            <w:tcW w:w="280" w:type="dxa"/>
            <w:vAlign w:val="bottom"/>
            <w:shd w:val="clear" w:color="auto" w:fill="CFF0FC"/>
          </w:tcPr>
          <w:p>
            <w:pPr>
              <w:jc w:val="right"/>
              <w:ind w:right="90"/>
              <w:spacing w:after="0"/>
              <w:rPr>
                <w:sz w:val="20"/>
                <w:szCs w:val="20"/>
                <w:color w:val="auto"/>
              </w:rPr>
            </w:pPr>
            <w:r>
              <w:rPr>
                <w:rFonts w:ascii="Arial" w:cs="Arial" w:eastAsia="Arial" w:hAnsi="Arial"/>
                <w:sz w:val="18"/>
                <w:szCs w:val="18"/>
                <w:color w:val="auto"/>
                <w:w w:val="79"/>
              </w:rPr>
              <w:t>$</w:t>
            </w:r>
          </w:p>
        </w:tc>
        <w:tc>
          <w:tcPr>
            <w:tcW w:w="10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127,511</w:t>
            </w:r>
          </w:p>
        </w:tc>
        <w:tc>
          <w:tcPr>
            <w:tcW w:w="260" w:type="dxa"/>
            <w:vAlign w:val="bottom"/>
            <w:shd w:val="clear" w:color="auto" w:fill="CFF0FC"/>
          </w:tcPr>
          <w:p>
            <w:pPr>
              <w:spacing w:after="0"/>
              <w:rPr>
                <w:sz w:val="19"/>
                <w:szCs w:val="19"/>
                <w:color w:val="auto"/>
              </w:rPr>
            </w:pPr>
          </w:p>
        </w:tc>
        <w:tc>
          <w:tcPr>
            <w:tcW w:w="460" w:type="dxa"/>
            <w:vAlign w:val="bottom"/>
            <w:shd w:val="clear" w:color="auto" w:fill="CFF0FC"/>
          </w:tcPr>
          <w:p>
            <w:pPr>
              <w:jc w:val="right"/>
              <w:ind w:right="270"/>
              <w:spacing w:after="0"/>
              <w:rPr>
                <w:sz w:val="20"/>
                <w:szCs w:val="20"/>
                <w:color w:val="auto"/>
              </w:rPr>
            </w:pPr>
            <w:r>
              <w:rPr>
                <w:rFonts w:ascii="Arial" w:cs="Arial" w:eastAsia="Arial" w:hAnsi="Arial"/>
                <w:sz w:val="18"/>
                <w:szCs w:val="18"/>
                <w:color w:val="auto"/>
                <w:w w:val="79"/>
              </w:rPr>
              <w:t>$</w:t>
            </w:r>
          </w:p>
        </w:tc>
        <w:tc>
          <w:tcPr>
            <w:tcW w:w="9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83,525</w:t>
            </w:r>
          </w:p>
        </w:tc>
        <w:tc>
          <w:tcPr>
            <w:tcW w:w="100" w:type="dxa"/>
            <w:vAlign w:val="bottom"/>
            <w:shd w:val="clear" w:color="auto" w:fill="CFF0FC"/>
          </w:tcPr>
          <w:p>
            <w:pPr>
              <w:spacing w:after="0"/>
              <w:rPr>
                <w:sz w:val="19"/>
                <w:szCs w:val="19"/>
                <w:color w:val="auto"/>
              </w:rPr>
            </w:pPr>
          </w:p>
        </w:tc>
        <w:tc>
          <w:tcPr>
            <w:tcW w:w="60" w:type="dxa"/>
            <w:vAlign w:val="bottom"/>
          </w:tcPr>
          <w:p>
            <w:pPr>
              <w:spacing w:after="0"/>
              <w:rPr>
                <w:sz w:val="19"/>
                <w:szCs w:val="19"/>
                <w:color w:val="auto"/>
              </w:rPr>
            </w:pPr>
          </w:p>
        </w:tc>
      </w:tr>
      <w:tr>
        <w:trPr>
          <w:trHeight w:val="230"/>
        </w:trPr>
        <w:tc>
          <w:tcPr>
            <w:tcW w:w="4620" w:type="dxa"/>
            <w:vAlign w:val="bottom"/>
          </w:tcPr>
          <w:p>
            <w:pPr>
              <w:ind w:left="20"/>
              <w:spacing w:after="0"/>
              <w:rPr>
                <w:sz w:val="20"/>
                <w:szCs w:val="20"/>
                <w:color w:val="auto"/>
              </w:rPr>
            </w:pPr>
            <w:r>
              <w:rPr>
                <w:rFonts w:ascii="Arial" w:cs="Arial" w:eastAsia="Arial" w:hAnsi="Arial"/>
                <w:sz w:val="18"/>
                <w:szCs w:val="18"/>
                <w:color w:val="auto"/>
              </w:rPr>
              <w:t>Non-GAAP Gross Margin</w:t>
            </w:r>
          </w:p>
        </w:tc>
        <w:tc>
          <w:tcPr>
            <w:tcW w:w="300" w:type="dxa"/>
            <w:vAlign w:val="bottom"/>
          </w:tcPr>
          <w:p>
            <w:pPr>
              <w:spacing w:after="0"/>
              <w:rPr>
                <w:sz w:val="20"/>
                <w:szCs w:val="20"/>
                <w:color w:val="auto"/>
              </w:rPr>
            </w:pPr>
          </w:p>
        </w:tc>
        <w:tc>
          <w:tcPr>
            <w:tcW w:w="1340" w:type="dxa"/>
            <w:vAlign w:val="bottom"/>
            <w:gridSpan w:val="2"/>
          </w:tcPr>
          <w:p>
            <w:pPr>
              <w:jc w:val="right"/>
              <w:ind w:right="120"/>
              <w:spacing w:after="0"/>
              <w:rPr>
                <w:sz w:val="20"/>
                <w:szCs w:val="20"/>
                <w:color w:val="auto"/>
              </w:rPr>
            </w:pPr>
            <w:r>
              <w:rPr>
                <w:rFonts w:ascii="Arial" w:cs="Arial" w:eastAsia="Arial" w:hAnsi="Arial"/>
                <w:sz w:val="18"/>
                <w:szCs w:val="18"/>
                <w:color w:val="auto"/>
              </w:rPr>
              <w:t>74 %</w:t>
            </w:r>
          </w:p>
        </w:tc>
        <w:tc>
          <w:tcPr>
            <w:tcW w:w="1080" w:type="dxa"/>
            <w:vAlign w:val="bottom"/>
          </w:tcPr>
          <w:p>
            <w:pPr>
              <w:spacing w:after="0"/>
              <w:rPr>
                <w:sz w:val="20"/>
                <w:szCs w:val="20"/>
                <w:color w:val="auto"/>
              </w:rPr>
            </w:pPr>
          </w:p>
        </w:tc>
        <w:tc>
          <w:tcPr>
            <w:tcW w:w="860" w:type="dxa"/>
            <w:vAlign w:val="bottom"/>
            <w:gridSpan w:val="2"/>
          </w:tcPr>
          <w:p>
            <w:pPr>
              <w:jc w:val="right"/>
              <w:ind w:right="120"/>
              <w:spacing w:after="0"/>
              <w:rPr>
                <w:sz w:val="20"/>
                <w:szCs w:val="20"/>
                <w:color w:val="auto"/>
              </w:rPr>
            </w:pPr>
            <w:r>
              <w:rPr>
                <w:rFonts w:ascii="Arial" w:cs="Arial" w:eastAsia="Arial" w:hAnsi="Arial"/>
                <w:sz w:val="18"/>
                <w:szCs w:val="18"/>
                <w:color w:val="auto"/>
              </w:rPr>
              <w:t>71 %</w:t>
            </w:r>
          </w:p>
        </w:tc>
        <w:tc>
          <w:tcPr>
            <w:tcW w:w="280" w:type="dxa"/>
            <w:vAlign w:val="bottom"/>
          </w:tcPr>
          <w:p>
            <w:pPr>
              <w:spacing w:after="0"/>
              <w:rPr>
                <w:sz w:val="20"/>
                <w:szCs w:val="20"/>
                <w:color w:val="auto"/>
              </w:rPr>
            </w:pPr>
          </w:p>
        </w:tc>
        <w:tc>
          <w:tcPr>
            <w:tcW w:w="1300" w:type="dxa"/>
            <w:vAlign w:val="bottom"/>
            <w:gridSpan w:val="2"/>
          </w:tcPr>
          <w:p>
            <w:pPr>
              <w:jc w:val="right"/>
              <w:ind w:right="100"/>
              <w:spacing w:after="0"/>
              <w:rPr>
                <w:sz w:val="20"/>
                <w:szCs w:val="20"/>
                <w:color w:val="auto"/>
              </w:rPr>
            </w:pPr>
            <w:r>
              <w:rPr>
                <w:rFonts w:ascii="Arial" w:cs="Arial" w:eastAsia="Arial" w:hAnsi="Arial"/>
                <w:sz w:val="18"/>
                <w:szCs w:val="18"/>
                <w:color w:val="auto"/>
              </w:rPr>
              <w:t>74 %</w:t>
            </w:r>
          </w:p>
        </w:tc>
        <w:tc>
          <w:tcPr>
            <w:tcW w:w="460" w:type="dxa"/>
            <w:vAlign w:val="bottom"/>
          </w:tcPr>
          <w:p>
            <w:pPr>
              <w:spacing w:after="0"/>
              <w:rPr>
                <w:sz w:val="20"/>
                <w:szCs w:val="20"/>
                <w:color w:val="auto"/>
              </w:rPr>
            </w:pPr>
          </w:p>
        </w:tc>
        <w:tc>
          <w:tcPr>
            <w:tcW w:w="1060" w:type="dxa"/>
            <w:vAlign w:val="bottom"/>
            <w:gridSpan w:val="3"/>
          </w:tcPr>
          <w:p>
            <w:pPr>
              <w:jc w:val="right"/>
              <w:spacing w:after="0"/>
              <w:rPr>
                <w:sz w:val="20"/>
                <w:szCs w:val="20"/>
                <w:color w:val="auto"/>
              </w:rPr>
            </w:pPr>
            <w:r>
              <w:rPr>
                <w:rFonts w:ascii="Arial" w:cs="Arial" w:eastAsia="Arial" w:hAnsi="Arial"/>
                <w:sz w:val="18"/>
                <w:szCs w:val="18"/>
                <w:color w:val="auto"/>
              </w:rPr>
              <w:t>71 %</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-582295</wp:posOffset>
            </wp:positionV>
            <wp:extent cx="7132320" cy="145415"/>
            <wp:wrapNone/>
            <wp:docPr id="228" name="Picture 2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8"/>
                    <pic:cNvPicPr>
                      <a:picLocks noChangeAspect="1" noChangeArrowheads="1"/>
                    </pic:cNvPicPr>
                  </pic:nvPicPr>
                  <pic:blipFill>
                    <a:blip r:embed="rId235">
                      <a:extLst>
                        <a:ext uri="{28A0092B-C50C-407E-A947-70E740481C1C}"/>
                      </a:extLst>
                    </a:blip>
                    <a:srcRect/>
                    <a:stretch>
                      <a:fillRect/>
                    </a:stretch>
                  </pic:blipFill>
                  <pic:spPr bwMode="auto">
                    <a:xfrm>
                      <a:off x="0" y="0"/>
                      <a:ext cx="7132320" cy="145415"/>
                    </a:xfrm>
                    <a:prstGeom prst="rect">
                      <a:avLst/>
                    </a:prstGeom>
                    <a:noFill/>
                  </pic:spPr>
                </pic:pic>
              </a:graphicData>
            </a:graphic>
          </wp:anchor>
        </w:drawing>
      </w:r>
    </w:p>
    <w:p>
      <w:pPr>
        <w:spacing w:after="0" w:line="122" w:lineRule="exact"/>
        <w:rPr>
          <w:sz w:val="20"/>
          <w:szCs w:val="20"/>
          <w:color w:val="auto"/>
        </w:rPr>
      </w:pPr>
    </w:p>
    <w:p>
      <w:pPr>
        <w:ind w:left="500" w:hanging="373"/>
        <w:spacing w:after="0"/>
        <w:tabs>
          <w:tab w:leader="none" w:pos="500" w:val="left"/>
        </w:tabs>
        <w:numPr>
          <w:ilvl w:val="0"/>
          <w:numId w:val="25"/>
        </w:numPr>
        <w:rPr>
          <w:rFonts w:ascii="Arial" w:cs="Arial" w:eastAsia="Arial" w:hAnsi="Arial"/>
          <w:sz w:val="14"/>
          <w:szCs w:val="14"/>
          <w:color w:val="auto"/>
        </w:rPr>
      </w:pPr>
      <w:r>
        <w:rPr>
          <w:rFonts w:ascii="Arial" w:cs="Arial" w:eastAsia="Arial" w:hAnsi="Arial"/>
          <w:sz w:val="14"/>
          <w:szCs w:val="14"/>
          <w:color w:val="auto"/>
        </w:rPr>
        <w:t>Stock-based compensation expense-related charges include employer payroll tax-related expenses on employee stock transactions.</w:t>
      </w:r>
    </w:p>
    <w:p>
      <w:pPr>
        <w:spacing w:after="0" w:line="113" w:lineRule="exact"/>
        <w:rPr>
          <w:sz w:val="20"/>
          <w:szCs w:val="20"/>
          <w:color w:val="auto"/>
        </w:rPr>
      </w:pPr>
    </w:p>
    <w:p>
      <w:pPr>
        <w:jc w:val="center"/>
        <w:ind w:right="60"/>
        <w:spacing w:after="0"/>
        <w:rPr>
          <w:sz w:val="20"/>
          <w:szCs w:val="20"/>
          <w:color w:val="auto"/>
        </w:rPr>
      </w:pPr>
      <w:r>
        <w:rPr>
          <w:rFonts w:ascii="Arial" w:cs="Arial" w:eastAsia="Arial" w:hAnsi="Arial"/>
          <w:sz w:val="18"/>
          <w:szCs w:val="18"/>
          <w:color w:val="auto"/>
        </w:rPr>
        <w:t>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61595</wp:posOffset>
            </wp:positionV>
            <wp:extent cx="7157720" cy="42545"/>
            <wp:wrapNone/>
            <wp:docPr id="229" name="Picture 2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9"/>
                    <pic:cNvPicPr>
                      <a:picLocks noChangeAspect="1" noChangeArrowheads="1"/>
                    </pic:cNvPicPr>
                  </pic:nvPicPr>
                  <pic:blipFill>
                    <a:blip r:embed="rId23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300"/>
          </w:cols>
          <w:pgMar w:left="320" w:top="543" w:right="279" w:bottom="1440" w:gutter="0" w:footer="0" w:header="0"/>
        </w:sectPr>
      </w:pPr>
    </w:p>
    <w:bookmarkStart w:id="29" w:name="page30"/>
    <w:bookmarkEnd w:id="29"/>
    <w:tbl>
      <w:tblPr>
        <w:tblLayout w:type="fixed"/>
        <w:tblInd w:w="0" w:type="dxa"/>
        <w:tblCellMar>
          <w:top w:w="0" w:type="dxa"/>
          <w:left w:w="0" w:type="dxa"/>
          <w:bottom w:w="0" w:type="dxa"/>
          <w:right w:w="0" w:type="dxa"/>
        </w:tblCellMar>
      </w:tblPr>
      <w:tr>
        <w:trPr>
          <w:trHeight w:val="230"/>
        </w:trPr>
        <w:tc>
          <w:tcPr>
            <w:tcW w:w="6260" w:type="dxa"/>
            <w:vAlign w:val="bottom"/>
            <w:gridSpan w:val="4"/>
          </w:tcPr>
          <w:p>
            <w:pPr>
              <w:spacing w:after="0"/>
              <w:rPr>
                <w:sz w:val="20"/>
                <w:szCs w:val="20"/>
                <w:color w:val="auto"/>
              </w:rPr>
            </w:pPr>
            <w:r>
              <w:rPr>
                <w:rFonts w:ascii="Arial" w:cs="Arial" w:eastAsia="Arial" w:hAnsi="Arial"/>
                <w:sz w:val="18"/>
                <w:szCs w:val="18"/>
                <w:b w:val="1"/>
                <w:bCs w:val="1"/>
                <w:i w:val="1"/>
                <w:iCs w:val="1"/>
                <w:color w:val="auto"/>
              </w:rPr>
              <w:t>Non-GAAP Loss From Operations and Loss From Operations Margin</w:t>
            </w:r>
          </w:p>
        </w:tc>
        <w:tc>
          <w:tcPr>
            <w:tcW w:w="1060" w:type="dxa"/>
            <w:vAlign w:val="bottom"/>
          </w:tcPr>
          <w:p>
            <w:pPr>
              <w:spacing w:after="0"/>
              <w:rPr>
                <w:sz w:val="20"/>
                <w:szCs w:val="20"/>
                <w:color w:val="auto"/>
              </w:rPr>
            </w:pPr>
          </w:p>
        </w:tc>
        <w:tc>
          <w:tcPr>
            <w:tcW w:w="60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02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480" w:type="dxa"/>
            <w:vAlign w:val="bottom"/>
          </w:tcPr>
          <w:p>
            <w:pPr>
              <w:spacing w:after="0"/>
              <w:rPr>
                <w:sz w:val="20"/>
                <w:szCs w:val="20"/>
                <w:color w:val="auto"/>
              </w:rPr>
            </w:pPr>
          </w:p>
        </w:tc>
        <w:tc>
          <w:tcPr>
            <w:tcW w:w="9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00" w:type="dxa"/>
            <w:vAlign w:val="bottom"/>
          </w:tcPr>
          <w:p>
            <w:pPr>
              <w:spacing w:after="0"/>
              <w:rPr>
                <w:sz w:val="20"/>
                <w:szCs w:val="20"/>
                <w:color w:val="auto"/>
              </w:rPr>
            </w:pPr>
          </w:p>
        </w:tc>
      </w:tr>
      <w:tr>
        <w:trPr>
          <w:trHeight w:val="413"/>
        </w:trPr>
        <w:tc>
          <w:tcPr>
            <w:tcW w:w="46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2400" w:type="dxa"/>
            <w:vAlign w:val="bottom"/>
            <w:gridSpan w:val="3"/>
          </w:tcPr>
          <w:p>
            <w:pPr>
              <w:jc w:val="right"/>
              <w:ind w:right="150"/>
              <w:spacing w:after="0"/>
              <w:rPr>
                <w:sz w:val="20"/>
                <w:szCs w:val="20"/>
                <w:color w:val="auto"/>
              </w:rPr>
            </w:pPr>
            <w:r>
              <w:rPr>
                <w:rFonts w:ascii="Arial" w:cs="Arial" w:eastAsia="Arial" w:hAnsi="Arial"/>
                <w:sz w:val="18"/>
                <w:szCs w:val="18"/>
                <w:b w:val="1"/>
                <w:bCs w:val="1"/>
                <w:color w:val="auto"/>
              </w:rPr>
              <w:t>Three Months Ended</w:t>
            </w:r>
          </w:p>
        </w:tc>
        <w:tc>
          <w:tcPr>
            <w:tcW w:w="6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2860" w:type="dxa"/>
            <w:vAlign w:val="bottom"/>
            <w:gridSpan w:val="6"/>
          </w:tcPr>
          <w:p>
            <w:pPr>
              <w:jc w:val="right"/>
              <w:ind w:right="920"/>
              <w:spacing w:after="0"/>
              <w:rPr>
                <w:sz w:val="20"/>
                <w:szCs w:val="20"/>
                <w:color w:val="auto"/>
              </w:rPr>
            </w:pPr>
            <w:r>
              <w:rPr>
                <w:rFonts w:ascii="Arial" w:cs="Arial" w:eastAsia="Arial" w:hAnsi="Arial"/>
                <w:sz w:val="18"/>
                <w:szCs w:val="18"/>
                <w:b w:val="1"/>
                <w:bCs w:val="1"/>
                <w:color w:val="auto"/>
              </w:rPr>
              <w:t>Nine Months Ended</w:t>
            </w:r>
          </w:p>
        </w:tc>
      </w:tr>
      <w:tr>
        <w:trPr>
          <w:trHeight w:val="234"/>
        </w:trPr>
        <w:tc>
          <w:tcPr>
            <w:tcW w:w="4620" w:type="dxa"/>
            <w:vAlign w:val="bottom"/>
          </w:tcPr>
          <w:p>
            <w:pPr>
              <w:spacing w:after="0"/>
              <w:rPr>
                <w:sz w:val="20"/>
                <w:szCs w:val="20"/>
                <w:color w:val="auto"/>
              </w:rPr>
            </w:pPr>
          </w:p>
        </w:tc>
        <w:tc>
          <w:tcPr>
            <w:tcW w:w="300" w:type="dxa"/>
            <w:vAlign w:val="bottom"/>
            <w:tcBorders>
              <w:bottom w:val="single" w:sz="8" w:color="auto"/>
            </w:tcBorders>
          </w:tcPr>
          <w:p>
            <w:pPr>
              <w:spacing w:after="0"/>
              <w:rPr>
                <w:sz w:val="20"/>
                <w:szCs w:val="20"/>
                <w:color w:val="auto"/>
              </w:rPr>
            </w:pPr>
          </w:p>
        </w:tc>
        <w:tc>
          <w:tcPr>
            <w:tcW w:w="2400" w:type="dxa"/>
            <w:vAlign w:val="bottom"/>
            <w:tcBorders>
              <w:bottom w:val="single" w:sz="8" w:color="auto"/>
            </w:tcBorders>
            <w:gridSpan w:val="3"/>
          </w:tcPr>
          <w:p>
            <w:pPr>
              <w:jc w:val="right"/>
              <w:ind w:right="410"/>
              <w:spacing w:after="0"/>
              <w:rPr>
                <w:sz w:val="20"/>
                <w:szCs w:val="20"/>
                <w:color w:val="auto"/>
              </w:rPr>
            </w:pPr>
            <w:r>
              <w:rPr>
                <w:rFonts w:ascii="Arial" w:cs="Arial" w:eastAsia="Arial" w:hAnsi="Arial"/>
                <w:sz w:val="18"/>
                <w:szCs w:val="18"/>
                <w:b w:val="1"/>
                <w:bCs w:val="1"/>
                <w:color w:val="auto"/>
              </w:rPr>
              <w:t>September 30,</w:t>
            </w:r>
          </w:p>
        </w:tc>
        <w:tc>
          <w:tcPr>
            <w:tcW w:w="600" w:type="dxa"/>
            <w:vAlign w:val="bottom"/>
            <w:tcBorders>
              <w:bottom w:val="single" w:sz="8" w:color="auto"/>
            </w:tcBorders>
          </w:tcPr>
          <w:p>
            <w:pPr>
              <w:spacing w:after="0"/>
              <w:rPr>
                <w:sz w:val="20"/>
                <w:szCs w:val="20"/>
                <w:color w:val="auto"/>
              </w:rPr>
            </w:pPr>
          </w:p>
        </w:tc>
        <w:tc>
          <w:tcPr>
            <w:tcW w:w="260" w:type="dxa"/>
            <w:vAlign w:val="bottom"/>
          </w:tcPr>
          <w:p>
            <w:pPr>
              <w:spacing w:after="0"/>
              <w:rPr>
                <w:sz w:val="20"/>
                <w:szCs w:val="20"/>
                <w:color w:val="auto"/>
              </w:rPr>
            </w:pPr>
          </w:p>
        </w:tc>
        <w:tc>
          <w:tcPr>
            <w:tcW w:w="300" w:type="dxa"/>
            <w:vAlign w:val="bottom"/>
            <w:tcBorders>
              <w:bottom w:val="single" w:sz="8" w:color="auto"/>
            </w:tcBorders>
          </w:tcPr>
          <w:p>
            <w:pPr>
              <w:spacing w:after="0"/>
              <w:rPr>
                <w:sz w:val="20"/>
                <w:szCs w:val="20"/>
                <w:color w:val="auto"/>
              </w:rPr>
            </w:pPr>
          </w:p>
        </w:tc>
        <w:tc>
          <w:tcPr>
            <w:tcW w:w="1760" w:type="dxa"/>
            <w:vAlign w:val="bottom"/>
            <w:tcBorders>
              <w:bottom w:val="single" w:sz="8" w:color="auto"/>
            </w:tcBorders>
            <w:gridSpan w:val="3"/>
          </w:tcPr>
          <w:p>
            <w:pPr>
              <w:jc w:val="right"/>
              <w:spacing w:after="0"/>
              <w:rPr>
                <w:sz w:val="20"/>
                <w:szCs w:val="20"/>
                <w:color w:val="auto"/>
              </w:rPr>
            </w:pPr>
            <w:r>
              <w:rPr>
                <w:rFonts w:ascii="Arial" w:cs="Arial" w:eastAsia="Arial" w:hAnsi="Arial"/>
                <w:sz w:val="18"/>
                <w:szCs w:val="18"/>
                <w:b w:val="1"/>
                <w:bCs w:val="1"/>
                <w:color w:val="auto"/>
              </w:rPr>
              <w:t>September 30,</w:t>
            </w:r>
          </w:p>
        </w:tc>
        <w:tc>
          <w:tcPr>
            <w:tcW w:w="900" w:type="dxa"/>
            <w:vAlign w:val="bottom"/>
            <w:tcBorders>
              <w:bottom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100" w:type="dxa"/>
            <w:vAlign w:val="bottom"/>
          </w:tcPr>
          <w:p>
            <w:pPr>
              <w:spacing w:after="0"/>
              <w:rPr>
                <w:sz w:val="20"/>
                <w:szCs w:val="20"/>
                <w:color w:val="auto"/>
              </w:rPr>
            </w:pPr>
          </w:p>
        </w:tc>
      </w:tr>
      <w:tr>
        <w:trPr>
          <w:trHeight w:val="209"/>
        </w:trPr>
        <w:tc>
          <w:tcPr>
            <w:tcW w:w="4620" w:type="dxa"/>
            <w:vAlign w:val="bottom"/>
          </w:tcPr>
          <w:p>
            <w:pPr>
              <w:spacing w:after="0"/>
              <w:rPr>
                <w:sz w:val="18"/>
                <w:szCs w:val="18"/>
                <w:color w:val="auto"/>
              </w:rPr>
            </w:pPr>
          </w:p>
        </w:tc>
        <w:tc>
          <w:tcPr>
            <w:tcW w:w="300" w:type="dxa"/>
            <w:vAlign w:val="bottom"/>
            <w:tcBorders>
              <w:bottom w:val="single" w:sz="8" w:color="auto"/>
            </w:tcBorders>
          </w:tcPr>
          <w:p>
            <w:pPr>
              <w:spacing w:after="0"/>
              <w:rPr>
                <w:sz w:val="18"/>
                <w:szCs w:val="18"/>
                <w:color w:val="auto"/>
              </w:rPr>
            </w:pPr>
          </w:p>
        </w:tc>
        <w:tc>
          <w:tcPr>
            <w:tcW w:w="1060" w:type="dxa"/>
            <w:vAlign w:val="bottom"/>
            <w:tcBorders>
              <w:bottom w:val="single" w:sz="8" w:color="auto"/>
            </w:tcBorders>
          </w:tcPr>
          <w:p>
            <w:pPr>
              <w:jc w:val="right"/>
              <w:ind w:right="410"/>
              <w:spacing w:after="0"/>
              <w:rPr>
                <w:sz w:val="20"/>
                <w:szCs w:val="20"/>
                <w:color w:val="auto"/>
              </w:rPr>
            </w:pPr>
            <w:r>
              <w:rPr>
                <w:rFonts w:ascii="Arial" w:cs="Arial" w:eastAsia="Arial" w:hAnsi="Arial"/>
                <w:sz w:val="18"/>
                <w:szCs w:val="18"/>
                <w:b w:val="1"/>
                <w:bCs w:val="1"/>
                <w:color w:val="auto"/>
              </w:rPr>
              <w:t>2022</w:t>
            </w:r>
          </w:p>
        </w:tc>
        <w:tc>
          <w:tcPr>
            <w:tcW w:w="280" w:type="dxa"/>
            <w:vAlign w:val="bottom"/>
          </w:tcPr>
          <w:p>
            <w:pPr>
              <w:spacing w:after="0"/>
              <w:rPr>
                <w:sz w:val="18"/>
                <w:szCs w:val="18"/>
                <w:color w:val="auto"/>
              </w:rPr>
            </w:pP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2021</w:t>
            </w:r>
          </w:p>
        </w:tc>
        <w:tc>
          <w:tcPr>
            <w:tcW w:w="600" w:type="dxa"/>
            <w:vAlign w:val="bottom"/>
            <w:tcBorders>
              <w:bottom w:val="single" w:sz="8" w:color="auto"/>
            </w:tcBorders>
          </w:tcPr>
          <w:p>
            <w:pPr>
              <w:spacing w:after="0"/>
              <w:rPr>
                <w:sz w:val="18"/>
                <w:szCs w:val="18"/>
                <w:color w:val="auto"/>
              </w:rPr>
            </w:pPr>
          </w:p>
        </w:tc>
        <w:tc>
          <w:tcPr>
            <w:tcW w:w="260" w:type="dxa"/>
            <w:vAlign w:val="bottom"/>
          </w:tcPr>
          <w:p>
            <w:pPr>
              <w:spacing w:after="0"/>
              <w:rPr>
                <w:sz w:val="18"/>
                <w:szCs w:val="18"/>
                <w:color w:val="auto"/>
              </w:rPr>
            </w:pPr>
          </w:p>
        </w:tc>
        <w:tc>
          <w:tcPr>
            <w:tcW w:w="300" w:type="dxa"/>
            <w:vAlign w:val="bottom"/>
            <w:tcBorders>
              <w:bottom w:val="single" w:sz="8" w:color="auto"/>
            </w:tcBorders>
          </w:tcPr>
          <w:p>
            <w:pPr>
              <w:spacing w:after="0"/>
              <w:rPr>
                <w:sz w:val="18"/>
                <w:szCs w:val="18"/>
                <w:color w:val="auto"/>
              </w:rPr>
            </w:pPr>
          </w:p>
        </w:tc>
        <w:tc>
          <w:tcPr>
            <w:tcW w:w="1020" w:type="dxa"/>
            <w:vAlign w:val="bottom"/>
            <w:tcBorders>
              <w:bottom w:val="single" w:sz="8" w:color="auto"/>
            </w:tcBorders>
          </w:tcPr>
          <w:p>
            <w:pPr>
              <w:jc w:val="right"/>
              <w:ind w:right="390"/>
              <w:spacing w:after="0"/>
              <w:rPr>
                <w:sz w:val="20"/>
                <w:szCs w:val="20"/>
                <w:color w:val="auto"/>
              </w:rPr>
            </w:pPr>
            <w:r>
              <w:rPr>
                <w:rFonts w:ascii="Arial" w:cs="Arial" w:eastAsia="Arial" w:hAnsi="Arial"/>
                <w:sz w:val="18"/>
                <w:szCs w:val="18"/>
                <w:b w:val="1"/>
                <w:bCs w:val="1"/>
                <w:color w:val="auto"/>
              </w:rPr>
              <w:t>2022</w:t>
            </w:r>
          </w:p>
        </w:tc>
        <w:tc>
          <w:tcPr>
            <w:tcW w:w="260" w:type="dxa"/>
            <w:vAlign w:val="bottom"/>
          </w:tcPr>
          <w:p>
            <w:pPr>
              <w:spacing w:after="0"/>
              <w:rPr>
                <w:sz w:val="18"/>
                <w:szCs w:val="18"/>
                <w:color w:val="auto"/>
              </w:rPr>
            </w:pPr>
          </w:p>
        </w:tc>
        <w:tc>
          <w:tcPr>
            <w:tcW w:w="480" w:type="dxa"/>
            <w:vAlign w:val="bottom"/>
            <w:tcBorders>
              <w:bottom w:val="single" w:sz="8" w:color="auto"/>
            </w:tcBorders>
          </w:tcPr>
          <w:p>
            <w:pPr>
              <w:spacing w:after="0"/>
              <w:rPr>
                <w:sz w:val="18"/>
                <w:szCs w:val="18"/>
                <w:color w:val="auto"/>
              </w:rPr>
            </w:pPr>
          </w:p>
        </w:tc>
        <w:tc>
          <w:tcPr>
            <w:tcW w:w="900" w:type="dxa"/>
            <w:vAlign w:val="bottom"/>
            <w:tcBorders>
              <w:bottom w:val="single" w:sz="8" w:color="auto"/>
            </w:tcBorders>
          </w:tcPr>
          <w:p>
            <w:pPr>
              <w:jc w:val="right"/>
              <w:ind w:right="430"/>
              <w:spacing w:after="0"/>
              <w:rPr>
                <w:sz w:val="20"/>
                <w:szCs w:val="20"/>
                <w:color w:val="auto"/>
              </w:rPr>
            </w:pPr>
            <w:r>
              <w:rPr>
                <w:rFonts w:ascii="Arial" w:cs="Arial" w:eastAsia="Arial" w:hAnsi="Arial"/>
                <w:sz w:val="18"/>
                <w:szCs w:val="18"/>
                <w:b w:val="1"/>
                <w:bCs w:val="1"/>
                <w:color w:val="auto"/>
                <w:w w:val="89"/>
              </w:rPr>
              <w:t>2021</w:t>
            </w: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23"/>
        </w:trPr>
        <w:tc>
          <w:tcPr>
            <w:tcW w:w="46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6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3500" w:type="dxa"/>
            <w:vAlign w:val="bottom"/>
            <w:gridSpan w:val="6"/>
          </w:tcPr>
          <w:p>
            <w:pPr>
              <w:jc w:val="right"/>
              <w:ind w:right="600"/>
              <w:spacing w:after="0"/>
              <w:rPr>
                <w:sz w:val="20"/>
                <w:szCs w:val="20"/>
                <w:color w:val="auto"/>
              </w:rPr>
            </w:pPr>
            <w:r>
              <w:rPr>
                <w:rFonts w:ascii="Arial" w:cs="Arial" w:eastAsia="Arial" w:hAnsi="Arial"/>
                <w:sz w:val="18"/>
                <w:szCs w:val="18"/>
                <w:b w:val="1"/>
                <w:bCs w:val="1"/>
                <w:i w:val="1"/>
                <w:iCs w:val="1"/>
                <w:color w:val="auto"/>
                <w:w w:val="95"/>
              </w:rPr>
              <w:t>(in thousands, except percentages)</w:t>
            </w:r>
          </w:p>
        </w:tc>
        <w:tc>
          <w:tcPr>
            <w:tcW w:w="48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0" w:type="dxa"/>
            <w:vAlign w:val="bottom"/>
          </w:tcPr>
          <w:p>
            <w:pPr>
              <w:spacing w:after="0"/>
              <w:rPr>
                <w:sz w:val="19"/>
                <w:szCs w:val="19"/>
                <w:color w:val="auto"/>
              </w:rPr>
            </w:pPr>
          </w:p>
        </w:tc>
      </w:tr>
      <w:tr>
        <w:trPr>
          <w:trHeight w:val="229"/>
        </w:trPr>
        <w:tc>
          <w:tcPr>
            <w:tcW w:w="4620" w:type="dxa"/>
            <w:vAlign w:val="bottom"/>
            <w:shd w:val="clear" w:color="auto" w:fill="CFF0FC"/>
          </w:tcPr>
          <w:p>
            <w:pPr>
              <w:ind w:left="20"/>
              <w:spacing w:after="0"/>
              <w:rPr>
                <w:sz w:val="20"/>
                <w:szCs w:val="20"/>
                <w:color w:val="auto"/>
              </w:rPr>
            </w:pPr>
            <w:r>
              <w:rPr>
                <w:rFonts w:ascii="Arial" w:cs="Arial" w:eastAsia="Arial" w:hAnsi="Arial"/>
                <w:sz w:val="18"/>
                <w:szCs w:val="18"/>
                <w:color w:val="auto"/>
              </w:rPr>
              <w:t>Loss from operations</w:t>
            </w:r>
          </w:p>
        </w:tc>
        <w:tc>
          <w:tcPr>
            <w:tcW w:w="300" w:type="dxa"/>
            <w:vAlign w:val="bottom"/>
            <w:shd w:val="clear" w:color="auto" w:fill="CFF0FC"/>
          </w:tcPr>
          <w:p>
            <w:pPr>
              <w:jc w:val="right"/>
              <w:ind w:right="110"/>
              <w:spacing w:after="0"/>
              <w:rPr>
                <w:sz w:val="20"/>
                <w:szCs w:val="20"/>
                <w:color w:val="auto"/>
              </w:rPr>
            </w:pPr>
            <w:r>
              <w:rPr>
                <w:rFonts w:ascii="Arial" w:cs="Arial" w:eastAsia="Arial" w:hAnsi="Arial"/>
                <w:sz w:val="18"/>
                <w:szCs w:val="18"/>
                <w:color w:val="auto"/>
                <w:w w:val="79"/>
              </w:rPr>
              <w:t>$</w:t>
            </w:r>
          </w:p>
        </w:tc>
        <w:tc>
          <w:tcPr>
            <w:tcW w:w="1340" w:type="dxa"/>
            <w:vAlign w:val="bottom"/>
            <w:gridSpan w:val="2"/>
            <w:shd w:val="clear" w:color="auto" w:fill="CFF0FC"/>
          </w:tcPr>
          <w:p>
            <w:pPr>
              <w:jc w:val="right"/>
              <w:ind w:right="200"/>
              <w:spacing w:after="0"/>
              <w:rPr>
                <w:sz w:val="20"/>
                <w:szCs w:val="20"/>
                <w:color w:val="auto"/>
              </w:rPr>
            </w:pPr>
            <w:r>
              <w:rPr>
                <w:rFonts w:ascii="Arial" w:cs="Arial" w:eastAsia="Arial" w:hAnsi="Arial"/>
                <w:sz w:val="18"/>
                <w:szCs w:val="18"/>
                <w:color w:val="auto"/>
              </w:rPr>
              <w:t>(24,190 )</w:t>
            </w:r>
          </w:p>
        </w:tc>
        <w:tc>
          <w:tcPr>
            <w:tcW w:w="1060" w:type="dxa"/>
            <w:vAlign w:val="bottom"/>
            <w:shd w:val="clear" w:color="auto" w:fill="CFF0FC"/>
          </w:tcPr>
          <w:p>
            <w:pPr>
              <w:jc w:val="right"/>
              <w:ind w:right="870"/>
              <w:spacing w:after="0"/>
              <w:rPr>
                <w:sz w:val="20"/>
                <w:szCs w:val="20"/>
                <w:color w:val="auto"/>
              </w:rPr>
            </w:pPr>
            <w:r>
              <w:rPr>
                <w:rFonts w:ascii="Arial" w:cs="Arial" w:eastAsia="Arial" w:hAnsi="Arial"/>
                <w:sz w:val="18"/>
                <w:szCs w:val="18"/>
                <w:color w:val="auto"/>
                <w:w w:val="79"/>
              </w:rPr>
              <w:t>$</w:t>
            </w:r>
          </w:p>
        </w:tc>
        <w:tc>
          <w:tcPr>
            <w:tcW w:w="860" w:type="dxa"/>
            <w:vAlign w:val="bottom"/>
            <w:gridSpan w:val="2"/>
            <w:shd w:val="clear" w:color="auto" w:fill="CFF0FC"/>
          </w:tcPr>
          <w:p>
            <w:pPr>
              <w:jc w:val="right"/>
              <w:ind w:right="180"/>
              <w:spacing w:after="0"/>
              <w:rPr>
                <w:sz w:val="20"/>
                <w:szCs w:val="20"/>
                <w:color w:val="auto"/>
              </w:rPr>
            </w:pPr>
            <w:r>
              <w:rPr>
                <w:rFonts w:ascii="Arial" w:cs="Arial" w:eastAsia="Arial" w:hAnsi="Arial"/>
                <w:sz w:val="18"/>
                <w:szCs w:val="18"/>
                <w:color w:val="auto"/>
                <w:w w:val="91"/>
              </w:rPr>
              <w:t>(36,768 )</w:t>
            </w:r>
          </w:p>
        </w:tc>
        <w:tc>
          <w:tcPr>
            <w:tcW w:w="300" w:type="dxa"/>
            <w:vAlign w:val="bottom"/>
            <w:shd w:val="clear" w:color="auto" w:fill="CFF0FC"/>
          </w:tcPr>
          <w:p>
            <w:pPr>
              <w:jc w:val="right"/>
              <w:ind w:right="110"/>
              <w:spacing w:after="0"/>
              <w:rPr>
                <w:sz w:val="20"/>
                <w:szCs w:val="20"/>
                <w:color w:val="auto"/>
              </w:rPr>
            </w:pPr>
            <w:r>
              <w:rPr>
                <w:rFonts w:ascii="Arial" w:cs="Arial" w:eastAsia="Arial" w:hAnsi="Arial"/>
                <w:sz w:val="18"/>
                <w:szCs w:val="18"/>
                <w:color w:val="auto"/>
                <w:w w:val="79"/>
              </w:rPr>
              <w:t>$</w:t>
            </w:r>
          </w:p>
        </w:tc>
        <w:tc>
          <w:tcPr>
            <w:tcW w:w="1280" w:type="dxa"/>
            <w:vAlign w:val="bottom"/>
            <w:gridSpan w:val="2"/>
            <w:shd w:val="clear" w:color="auto" w:fill="CFF0FC"/>
          </w:tcPr>
          <w:p>
            <w:pPr>
              <w:jc w:val="right"/>
              <w:ind w:right="180"/>
              <w:spacing w:after="0"/>
              <w:rPr>
                <w:sz w:val="20"/>
                <w:szCs w:val="20"/>
                <w:color w:val="auto"/>
              </w:rPr>
            </w:pPr>
            <w:r>
              <w:rPr>
                <w:rFonts w:ascii="Arial" w:cs="Arial" w:eastAsia="Arial" w:hAnsi="Arial"/>
                <w:sz w:val="18"/>
                <w:szCs w:val="18"/>
                <w:color w:val="auto"/>
              </w:rPr>
              <w:t>(70,764 )</w:t>
            </w:r>
          </w:p>
        </w:tc>
        <w:tc>
          <w:tcPr>
            <w:tcW w:w="480" w:type="dxa"/>
            <w:vAlign w:val="bottom"/>
            <w:shd w:val="clear" w:color="auto" w:fill="CFF0FC"/>
          </w:tcPr>
          <w:p>
            <w:pPr>
              <w:jc w:val="right"/>
              <w:ind w:right="290"/>
              <w:spacing w:after="0"/>
              <w:rPr>
                <w:sz w:val="20"/>
                <w:szCs w:val="20"/>
                <w:color w:val="auto"/>
              </w:rPr>
            </w:pPr>
            <w:r>
              <w:rPr>
                <w:rFonts w:ascii="Arial" w:cs="Arial" w:eastAsia="Arial" w:hAnsi="Arial"/>
                <w:sz w:val="18"/>
                <w:szCs w:val="18"/>
                <w:color w:val="auto"/>
                <w:w w:val="79"/>
              </w:rPr>
              <w:t>$</w:t>
            </w:r>
          </w:p>
        </w:tc>
        <w:tc>
          <w:tcPr>
            <w:tcW w:w="1000" w:type="dxa"/>
            <w:vAlign w:val="bottom"/>
            <w:gridSpan w:val="2"/>
            <w:shd w:val="clear" w:color="auto" w:fill="CFF0FC"/>
          </w:tcPr>
          <w:p>
            <w:pPr>
              <w:jc w:val="right"/>
              <w:ind w:right="40"/>
              <w:spacing w:after="0"/>
              <w:rPr>
                <w:sz w:val="20"/>
                <w:szCs w:val="20"/>
                <w:color w:val="auto"/>
              </w:rPr>
            </w:pPr>
            <w:r>
              <w:rPr>
                <w:rFonts w:ascii="Arial" w:cs="Arial" w:eastAsia="Arial" w:hAnsi="Arial"/>
                <w:sz w:val="18"/>
                <w:szCs w:val="18"/>
                <w:color w:val="auto"/>
              </w:rPr>
              <w:t>(52,664 )</w:t>
            </w:r>
          </w:p>
        </w:tc>
        <w:tc>
          <w:tcPr>
            <w:tcW w:w="100" w:type="dxa"/>
            <w:vAlign w:val="bottom"/>
          </w:tcPr>
          <w:p>
            <w:pPr>
              <w:spacing w:after="0"/>
              <w:rPr>
                <w:sz w:val="19"/>
                <w:szCs w:val="19"/>
                <w:color w:val="auto"/>
              </w:rPr>
            </w:pPr>
          </w:p>
        </w:tc>
      </w:tr>
      <w:tr>
        <w:trPr>
          <w:trHeight w:val="229"/>
        </w:trPr>
        <w:tc>
          <w:tcPr>
            <w:tcW w:w="4620" w:type="dxa"/>
            <w:vAlign w:val="bottom"/>
          </w:tcPr>
          <w:p>
            <w:pPr>
              <w:ind w:left="460"/>
              <w:spacing w:after="0"/>
              <w:rPr>
                <w:sz w:val="20"/>
                <w:szCs w:val="20"/>
                <w:color w:val="auto"/>
              </w:rPr>
            </w:pPr>
            <w:r>
              <w:rPr>
                <w:rFonts w:ascii="Arial" w:cs="Arial" w:eastAsia="Arial" w:hAnsi="Arial"/>
                <w:sz w:val="18"/>
                <w:szCs w:val="18"/>
                <w:color w:val="auto"/>
              </w:rPr>
              <w:t>Add:</w:t>
            </w:r>
          </w:p>
        </w:tc>
        <w:tc>
          <w:tcPr>
            <w:tcW w:w="300" w:type="dxa"/>
            <w:vAlign w:val="bottom"/>
          </w:tcPr>
          <w:p>
            <w:pPr>
              <w:spacing w:after="0"/>
              <w:rPr>
                <w:sz w:val="19"/>
                <w:szCs w:val="19"/>
                <w:color w:val="auto"/>
              </w:rPr>
            </w:pPr>
          </w:p>
        </w:tc>
        <w:tc>
          <w:tcPr>
            <w:tcW w:w="106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06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0" w:type="dxa"/>
            <w:vAlign w:val="bottom"/>
          </w:tcPr>
          <w:p>
            <w:pPr>
              <w:spacing w:after="0"/>
              <w:rPr>
                <w:sz w:val="19"/>
                <w:szCs w:val="19"/>
                <w:color w:val="auto"/>
              </w:rPr>
            </w:pPr>
          </w:p>
        </w:tc>
      </w:tr>
      <w:tr>
        <w:trPr>
          <w:trHeight w:val="229"/>
        </w:trPr>
        <w:tc>
          <w:tcPr>
            <w:tcW w:w="4620" w:type="dxa"/>
            <w:vAlign w:val="bottom"/>
            <w:shd w:val="clear" w:color="auto" w:fill="CFF0FC"/>
          </w:tcPr>
          <w:p>
            <w:pPr>
              <w:ind w:left="20"/>
              <w:spacing w:after="0" w:line="229" w:lineRule="exact"/>
              <w:rPr>
                <w:sz w:val="20"/>
                <w:szCs w:val="20"/>
                <w:color w:val="auto"/>
              </w:rPr>
            </w:pPr>
            <w:r>
              <w:rPr>
                <w:rFonts w:ascii="Arial" w:cs="Arial" w:eastAsia="Arial" w:hAnsi="Arial"/>
                <w:sz w:val="18"/>
                <w:szCs w:val="18"/>
                <w:color w:val="auto"/>
              </w:rPr>
              <w:t>Stock-based compensation expense</w:t>
            </w:r>
            <w:r>
              <w:rPr>
                <w:rFonts w:ascii="Arial" w:cs="Arial" w:eastAsia="Arial" w:hAnsi="Arial"/>
                <w:sz w:val="24"/>
                <w:szCs w:val="24"/>
                <w:color w:val="auto"/>
                <w:vertAlign w:val="superscript"/>
              </w:rPr>
              <w:t>(1)</w:t>
            </w:r>
          </w:p>
        </w:tc>
        <w:tc>
          <w:tcPr>
            <w:tcW w:w="300" w:type="dxa"/>
            <w:vAlign w:val="bottom"/>
            <w:shd w:val="clear" w:color="auto" w:fill="CFF0FC"/>
          </w:tcPr>
          <w:p>
            <w:pPr>
              <w:jc w:val="right"/>
              <w:ind w:right="110"/>
              <w:spacing w:after="0"/>
              <w:rPr>
                <w:sz w:val="20"/>
                <w:szCs w:val="20"/>
                <w:color w:val="auto"/>
              </w:rPr>
            </w:pPr>
            <w:r>
              <w:rPr>
                <w:rFonts w:ascii="Arial" w:cs="Arial" w:eastAsia="Arial" w:hAnsi="Arial"/>
                <w:sz w:val="18"/>
                <w:szCs w:val="18"/>
                <w:color w:val="auto"/>
                <w:w w:val="79"/>
              </w:rPr>
              <w:t>$</w:t>
            </w:r>
          </w:p>
        </w:tc>
        <w:tc>
          <w:tcPr>
            <w:tcW w:w="10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18,793</w:t>
            </w:r>
          </w:p>
        </w:tc>
        <w:tc>
          <w:tcPr>
            <w:tcW w:w="280" w:type="dxa"/>
            <w:vAlign w:val="bottom"/>
            <w:shd w:val="clear" w:color="auto" w:fill="CFF0FC"/>
          </w:tcPr>
          <w:p>
            <w:pPr>
              <w:spacing w:after="0"/>
              <w:rPr>
                <w:sz w:val="19"/>
                <w:szCs w:val="19"/>
                <w:color w:val="auto"/>
              </w:rPr>
            </w:pPr>
          </w:p>
        </w:tc>
        <w:tc>
          <w:tcPr>
            <w:tcW w:w="1060" w:type="dxa"/>
            <w:vAlign w:val="bottom"/>
            <w:shd w:val="clear" w:color="auto" w:fill="CFF0FC"/>
          </w:tcPr>
          <w:p>
            <w:pPr>
              <w:jc w:val="right"/>
              <w:ind w:right="870"/>
              <w:spacing w:after="0"/>
              <w:rPr>
                <w:sz w:val="20"/>
                <w:szCs w:val="20"/>
                <w:color w:val="auto"/>
              </w:rPr>
            </w:pPr>
            <w:r>
              <w:rPr>
                <w:rFonts w:ascii="Arial" w:cs="Arial" w:eastAsia="Arial" w:hAnsi="Arial"/>
                <w:sz w:val="18"/>
                <w:szCs w:val="18"/>
                <w:color w:val="auto"/>
                <w:w w:val="79"/>
              </w:rPr>
              <w:t>$</w:t>
            </w:r>
          </w:p>
        </w:tc>
        <w:tc>
          <w:tcPr>
            <w:tcW w:w="6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17,931</w:t>
            </w:r>
          </w:p>
        </w:tc>
        <w:tc>
          <w:tcPr>
            <w:tcW w:w="260" w:type="dxa"/>
            <w:vAlign w:val="bottom"/>
            <w:shd w:val="clear" w:color="auto" w:fill="CFF0FC"/>
          </w:tcPr>
          <w:p>
            <w:pPr>
              <w:spacing w:after="0"/>
              <w:rPr>
                <w:sz w:val="19"/>
                <w:szCs w:val="19"/>
                <w:color w:val="auto"/>
              </w:rPr>
            </w:pPr>
          </w:p>
        </w:tc>
        <w:tc>
          <w:tcPr>
            <w:tcW w:w="300" w:type="dxa"/>
            <w:vAlign w:val="bottom"/>
            <w:shd w:val="clear" w:color="auto" w:fill="CFF0FC"/>
          </w:tcPr>
          <w:p>
            <w:pPr>
              <w:jc w:val="right"/>
              <w:ind w:right="110"/>
              <w:spacing w:after="0"/>
              <w:rPr>
                <w:sz w:val="20"/>
                <w:szCs w:val="20"/>
                <w:color w:val="auto"/>
              </w:rPr>
            </w:pPr>
            <w:r>
              <w:rPr>
                <w:rFonts w:ascii="Arial" w:cs="Arial" w:eastAsia="Arial" w:hAnsi="Arial"/>
                <w:sz w:val="18"/>
                <w:szCs w:val="18"/>
                <w:color w:val="auto"/>
                <w:w w:val="79"/>
              </w:rPr>
              <w:t>$</w:t>
            </w:r>
          </w:p>
        </w:tc>
        <w:tc>
          <w:tcPr>
            <w:tcW w:w="10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47,659</w:t>
            </w:r>
          </w:p>
        </w:tc>
        <w:tc>
          <w:tcPr>
            <w:tcW w:w="260" w:type="dxa"/>
            <w:vAlign w:val="bottom"/>
            <w:shd w:val="clear" w:color="auto" w:fill="CFF0FC"/>
          </w:tcPr>
          <w:p>
            <w:pPr>
              <w:spacing w:after="0"/>
              <w:rPr>
                <w:sz w:val="19"/>
                <w:szCs w:val="19"/>
                <w:color w:val="auto"/>
              </w:rPr>
            </w:pPr>
          </w:p>
        </w:tc>
        <w:tc>
          <w:tcPr>
            <w:tcW w:w="480" w:type="dxa"/>
            <w:vAlign w:val="bottom"/>
            <w:shd w:val="clear" w:color="auto" w:fill="CFF0FC"/>
          </w:tcPr>
          <w:p>
            <w:pPr>
              <w:jc w:val="right"/>
              <w:ind w:right="290"/>
              <w:spacing w:after="0"/>
              <w:rPr>
                <w:sz w:val="20"/>
                <w:szCs w:val="20"/>
                <w:color w:val="auto"/>
              </w:rPr>
            </w:pPr>
            <w:r>
              <w:rPr>
                <w:rFonts w:ascii="Arial" w:cs="Arial" w:eastAsia="Arial" w:hAnsi="Arial"/>
                <w:sz w:val="18"/>
                <w:szCs w:val="18"/>
                <w:color w:val="auto"/>
                <w:w w:val="79"/>
              </w:rPr>
              <w:t>$</w:t>
            </w:r>
          </w:p>
        </w:tc>
        <w:tc>
          <w:tcPr>
            <w:tcW w:w="9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23,645</w:t>
            </w:r>
          </w:p>
        </w:tc>
        <w:tc>
          <w:tcPr>
            <w:tcW w:w="100" w:type="dxa"/>
            <w:vAlign w:val="bottom"/>
            <w:shd w:val="clear" w:color="auto" w:fill="CFF0FC"/>
          </w:tcPr>
          <w:p>
            <w:pPr>
              <w:spacing w:after="0"/>
              <w:rPr>
                <w:sz w:val="19"/>
                <w:szCs w:val="19"/>
                <w:color w:val="auto"/>
              </w:rPr>
            </w:pPr>
          </w:p>
        </w:tc>
        <w:tc>
          <w:tcPr>
            <w:tcW w:w="100" w:type="dxa"/>
            <w:vAlign w:val="bottom"/>
          </w:tcPr>
          <w:p>
            <w:pPr>
              <w:spacing w:after="0"/>
              <w:rPr>
                <w:sz w:val="19"/>
                <w:szCs w:val="19"/>
                <w:color w:val="auto"/>
              </w:rPr>
            </w:pPr>
          </w:p>
        </w:tc>
      </w:tr>
      <w:tr>
        <w:trPr>
          <w:trHeight w:val="229"/>
        </w:trPr>
        <w:tc>
          <w:tcPr>
            <w:tcW w:w="4620" w:type="dxa"/>
            <w:vAlign w:val="bottom"/>
          </w:tcPr>
          <w:p>
            <w:pPr>
              <w:ind w:left="20"/>
              <w:spacing w:after="0"/>
              <w:rPr>
                <w:sz w:val="20"/>
                <w:szCs w:val="20"/>
                <w:color w:val="auto"/>
              </w:rPr>
            </w:pPr>
            <w:r>
              <w:rPr>
                <w:rFonts w:ascii="Arial" w:cs="Arial" w:eastAsia="Arial" w:hAnsi="Arial"/>
                <w:sz w:val="18"/>
                <w:szCs w:val="18"/>
                <w:color w:val="auto"/>
              </w:rPr>
              <w:t>Acquired intangible assets amortization</w:t>
            </w:r>
          </w:p>
        </w:tc>
        <w:tc>
          <w:tcPr>
            <w:tcW w:w="300" w:type="dxa"/>
            <w:vAlign w:val="bottom"/>
          </w:tcPr>
          <w:p>
            <w:pPr>
              <w:jc w:val="right"/>
              <w:ind w:right="110"/>
              <w:spacing w:after="0"/>
              <w:rPr>
                <w:sz w:val="20"/>
                <w:szCs w:val="20"/>
                <w:color w:val="auto"/>
              </w:rPr>
            </w:pPr>
            <w:r>
              <w:rPr>
                <w:rFonts w:ascii="Arial" w:cs="Arial" w:eastAsia="Arial" w:hAnsi="Arial"/>
                <w:sz w:val="18"/>
                <w:szCs w:val="18"/>
                <w:color w:val="auto"/>
                <w:w w:val="79"/>
              </w:rPr>
              <w:t>$</w:t>
            </w:r>
          </w:p>
        </w:tc>
        <w:tc>
          <w:tcPr>
            <w:tcW w:w="1060" w:type="dxa"/>
            <w:vAlign w:val="bottom"/>
          </w:tcPr>
          <w:p>
            <w:pPr>
              <w:jc w:val="right"/>
              <w:spacing w:after="0"/>
              <w:rPr>
                <w:sz w:val="20"/>
                <w:szCs w:val="20"/>
                <w:color w:val="auto"/>
              </w:rPr>
            </w:pPr>
            <w:r>
              <w:rPr>
                <w:rFonts w:ascii="Arial" w:cs="Arial" w:eastAsia="Arial" w:hAnsi="Arial"/>
                <w:sz w:val="18"/>
                <w:szCs w:val="18"/>
                <w:color w:val="auto"/>
              </w:rPr>
              <w:t>534</w:t>
            </w:r>
          </w:p>
        </w:tc>
        <w:tc>
          <w:tcPr>
            <w:tcW w:w="280" w:type="dxa"/>
            <w:vAlign w:val="bottom"/>
          </w:tcPr>
          <w:p>
            <w:pPr>
              <w:spacing w:after="0"/>
              <w:rPr>
                <w:sz w:val="19"/>
                <w:szCs w:val="19"/>
                <w:color w:val="auto"/>
              </w:rPr>
            </w:pPr>
          </w:p>
        </w:tc>
        <w:tc>
          <w:tcPr>
            <w:tcW w:w="1060" w:type="dxa"/>
            <w:vAlign w:val="bottom"/>
          </w:tcPr>
          <w:p>
            <w:pPr>
              <w:jc w:val="right"/>
              <w:ind w:right="870"/>
              <w:spacing w:after="0"/>
              <w:rPr>
                <w:sz w:val="20"/>
                <w:szCs w:val="20"/>
                <w:color w:val="auto"/>
              </w:rPr>
            </w:pPr>
            <w:r>
              <w:rPr>
                <w:rFonts w:ascii="Arial" w:cs="Arial" w:eastAsia="Arial" w:hAnsi="Arial"/>
                <w:sz w:val="18"/>
                <w:szCs w:val="18"/>
                <w:color w:val="auto"/>
                <w:w w:val="79"/>
              </w:rPr>
              <w:t>$</w:t>
            </w:r>
          </w:p>
        </w:tc>
        <w:tc>
          <w:tcPr>
            <w:tcW w:w="600" w:type="dxa"/>
            <w:vAlign w:val="bottom"/>
          </w:tcPr>
          <w:p>
            <w:pPr>
              <w:jc w:val="right"/>
              <w:spacing w:after="0"/>
              <w:rPr>
                <w:sz w:val="20"/>
                <w:szCs w:val="20"/>
                <w:color w:val="auto"/>
              </w:rPr>
            </w:pPr>
            <w:r>
              <w:rPr>
                <w:rFonts w:ascii="Arial" w:cs="Arial" w:eastAsia="Arial" w:hAnsi="Arial"/>
                <w:sz w:val="18"/>
                <w:szCs w:val="18"/>
                <w:color w:val="auto"/>
              </w:rPr>
              <w:t>500</w:t>
            </w:r>
          </w:p>
        </w:tc>
        <w:tc>
          <w:tcPr>
            <w:tcW w:w="260" w:type="dxa"/>
            <w:vAlign w:val="bottom"/>
          </w:tcPr>
          <w:p>
            <w:pPr>
              <w:spacing w:after="0"/>
              <w:rPr>
                <w:sz w:val="19"/>
                <w:szCs w:val="19"/>
                <w:color w:val="auto"/>
              </w:rPr>
            </w:pPr>
          </w:p>
        </w:tc>
        <w:tc>
          <w:tcPr>
            <w:tcW w:w="300" w:type="dxa"/>
            <w:vAlign w:val="bottom"/>
          </w:tcPr>
          <w:p>
            <w:pPr>
              <w:jc w:val="right"/>
              <w:ind w:right="110"/>
              <w:spacing w:after="0"/>
              <w:rPr>
                <w:sz w:val="20"/>
                <w:szCs w:val="20"/>
                <w:color w:val="auto"/>
              </w:rPr>
            </w:pPr>
            <w:r>
              <w:rPr>
                <w:rFonts w:ascii="Arial" w:cs="Arial" w:eastAsia="Arial" w:hAnsi="Arial"/>
                <w:sz w:val="18"/>
                <w:szCs w:val="18"/>
                <w:color w:val="auto"/>
                <w:w w:val="79"/>
              </w:rPr>
              <w:t>$</w:t>
            </w:r>
          </w:p>
        </w:tc>
        <w:tc>
          <w:tcPr>
            <w:tcW w:w="1020" w:type="dxa"/>
            <w:vAlign w:val="bottom"/>
          </w:tcPr>
          <w:p>
            <w:pPr>
              <w:jc w:val="right"/>
              <w:spacing w:after="0"/>
              <w:rPr>
                <w:sz w:val="20"/>
                <w:szCs w:val="20"/>
                <w:color w:val="auto"/>
              </w:rPr>
            </w:pPr>
            <w:r>
              <w:rPr>
                <w:rFonts w:ascii="Arial" w:cs="Arial" w:eastAsia="Arial" w:hAnsi="Arial"/>
                <w:sz w:val="18"/>
                <w:szCs w:val="18"/>
                <w:color w:val="auto"/>
              </w:rPr>
              <w:t>1,517</w:t>
            </w:r>
          </w:p>
        </w:tc>
        <w:tc>
          <w:tcPr>
            <w:tcW w:w="260" w:type="dxa"/>
            <w:vAlign w:val="bottom"/>
          </w:tcPr>
          <w:p>
            <w:pPr>
              <w:spacing w:after="0"/>
              <w:rPr>
                <w:sz w:val="19"/>
                <w:szCs w:val="19"/>
                <w:color w:val="auto"/>
              </w:rPr>
            </w:pPr>
          </w:p>
        </w:tc>
        <w:tc>
          <w:tcPr>
            <w:tcW w:w="480" w:type="dxa"/>
            <w:vAlign w:val="bottom"/>
          </w:tcPr>
          <w:p>
            <w:pPr>
              <w:jc w:val="right"/>
              <w:ind w:right="290"/>
              <w:spacing w:after="0"/>
              <w:rPr>
                <w:sz w:val="20"/>
                <w:szCs w:val="20"/>
                <w:color w:val="auto"/>
              </w:rPr>
            </w:pPr>
            <w:r>
              <w:rPr>
                <w:rFonts w:ascii="Arial" w:cs="Arial" w:eastAsia="Arial" w:hAnsi="Arial"/>
                <w:sz w:val="18"/>
                <w:szCs w:val="18"/>
                <w:color w:val="auto"/>
                <w:w w:val="79"/>
              </w:rPr>
              <w:t>$</w:t>
            </w:r>
          </w:p>
        </w:tc>
        <w:tc>
          <w:tcPr>
            <w:tcW w:w="900" w:type="dxa"/>
            <w:vAlign w:val="bottom"/>
          </w:tcPr>
          <w:p>
            <w:pPr>
              <w:jc w:val="right"/>
              <w:spacing w:after="0"/>
              <w:rPr>
                <w:sz w:val="20"/>
                <w:szCs w:val="20"/>
                <w:color w:val="auto"/>
              </w:rPr>
            </w:pPr>
            <w:r>
              <w:rPr>
                <w:rFonts w:ascii="Arial" w:cs="Arial" w:eastAsia="Arial" w:hAnsi="Arial"/>
                <w:sz w:val="18"/>
                <w:szCs w:val="18"/>
                <w:color w:val="auto"/>
              </w:rPr>
              <w:t>1,151</w:t>
            </w:r>
          </w:p>
        </w:tc>
        <w:tc>
          <w:tcPr>
            <w:tcW w:w="100" w:type="dxa"/>
            <w:vAlign w:val="bottom"/>
          </w:tcPr>
          <w:p>
            <w:pPr>
              <w:spacing w:after="0"/>
              <w:rPr>
                <w:sz w:val="19"/>
                <w:szCs w:val="19"/>
                <w:color w:val="auto"/>
              </w:rPr>
            </w:pPr>
          </w:p>
        </w:tc>
        <w:tc>
          <w:tcPr>
            <w:tcW w:w="100" w:type="dxa"/>
            <w:vAlign w:val="bottom"/>
          </w:tcPr>
          <w:p>
            <w:pPr>
              <w:spacing w:after="0"/>
              <w:rPr>
                <w:sz w:val="19"/>
                <w:szCs w:val="19"/>
                <w:color w:val="auto"/>
              </w:rPr>
            </w:pPr>
          </w:p>
        </w:tc>
      </w:tr>
      <w:tr>
        <w:trPr>
          <w:trHeight w:val="229"/>
        </w:trPr>
        <w:tc>
          <w:tcPr>
            <w:tcW w:w="4620" w:type="dxa"/>
            <w:vAlign w:val="bottom"/>
            <w:shd w:val="clear" w:color="auto" w:fill="CFF0FC"/>
          </w:tcPr>
          <w:p>
            <w:pPr>
              <w:ind w:left="20"/>
              <w:spacing w:after="0"/>
              <w:rPr>
                <w:sz w:val="20"/>
                <w:szCs w:val="20"/>
                <w:color w:val="auto"/>
              </w:rPr>
            </w:pPr>
            <w:r>
              <w:rPr>
                <w:rFonts w:ascii="Arial" w:cs="Arial" w:eastAsia="Arial" w:hAnsi="Arial"/>
                <w:sz w:val="18"/>
                <w:szCs w:val="18"/>
                <w:color w:val="auto"/>
              </w:rPr>
              <w:t>Direct listing expenses</w:t>
            </w:r>
          </w:p>
        </w:tc>
        <w:tc>
          <w:tcPr>
            <w:tcW w:w="300" w:type="dxa"/>
            <w:vAlign w:val="bottom"/>
            <w:shd w:val="clear" w:color="auto" w:fill="CFF0FC"/>
          </w:tcPr>
          <w:p>
            <w:pPr>
              <w:jc w:val="right"/>
              <w:ind w:right="110"/>
              <w:spacing w:after="0"/>
              <w:rPr>
                <w:sz w:val="20"/>
                <w:szCs w:val="20"/>
                <w:color w:val="auto"/>
              </w:rPr>
            </w:pPr>
            <w:r>
              <w:rPr>
                <w:rFonts w:ascii="Arial" w:cs="Arial" w:eastAsia="Arial" w:hAnsi="Arial"/>
                <w:sz w:val="18"/>
                <w:szCs w:val="18"/>
                <w:color w:val="auto"/>
                <w:w w:val="79"/>
              </w:rPr>
              <w:t>$</w:t>
            </w:r>
          </w:p>
        </w:tc>
        <w:tc>
          <w:tcPr>
            <w:tcW w:w="1340" w:type="dxa"/>
            <w:vAlign w:val="bottom"/>
            <w:gridSpan w:val="2"/>
            <w:shd w:val="clear" w:color="auto" w:fill="CFF0FC"/>
          </w:tcPr>
          <w:p>
            <w:pPr>
              <w:jc w:val="right"/>
              <w:ind w:right="300"/>
              <w:spacing w:after="0"/>
              <w:rPr>
                <w:sz w:val="20"/>
                <w:szCs w:val="20"/>
                <w:color w:val="auto"/>
              </w:rPr>
            </w:pPr>
            <w:r>
              <w:rPr>
                <w:rFonts w:ascii="Arial" w:cs="Arial" w:eastAsia="Arial" w:hAnsi="Arial"/>
                <w:sz w:val="18"/>
                <w:szCs w:val="18"/>
                <w:color w:val="auto"/>
              </w:rPr>
              <w:t>—</w:t>
            </w:r>
          </w:p>
        </w:tc>
        <w:tc>
          <w:tcPr>
            <w:tcW w:w="1060" w:type="dxa"/>
            <w:vAlign w:val="bottom"/>
            <w:shd w:val="clear" w:color="auto" w:fill="CFF0FC"/>
          </w:tcPr>
          <w:p>
            <w:pPr>
              <w:jc w:val="right"/>
              <w:ind w:right="870"/>
              <w:spacing w:after="0"/>
              <w:rPr>
                <w:sz w:val="20"/>
                <w:szCs w:val="20"/>
                <w:color w:val="auto"/>
              </w:rPr>
            </w:pPr>
            <w:r>
              <w:rPr>
                <w:rFonts w:ascii="Arial" w:cs="Arial" w:eastAsia="Arial" w:hAnsi="Arial"/>
                <w:sz w:val="18"/>
                <w:szCs w:val="18"/>
                <w:color w:val="auto"/>
                <w:w w:val="79"/>
              </w:rPr>
              <w:t>$</w:t>
            </w:r>
          </w:p>
        </w:tc>
        <w:tc>
          <w:tcPr>
            <w:tcW w:w="6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16,052</w:t>
            </w:r>
          </w:p>
        </w:tc>
        <w:tc>
          <w:tcPr>
            <w:tcW w:w="260" w:type="dxa"/>
            <w:vAlign w:val="bottom"/>
            <w:shd w:val="clear" w:color="auto" w:fill="CFF0FC"/>
          </w:tcPr>
          <w:p>
            <w:pPr>
              <w:spacing w:after="0"/>
              <w:rPr>
                <w:sz w:val="19"/>
                <w:szCs w:val="19"/>
                <w:color w:val="auto"/>
              </w:rPr>
            </w:pPr>
          </w:p>
        </w:tc>
        <w:tc>
          <w:tcPr>
            <w:tcW w:w="300" w:type="dxa"/>
            <w:vAlign w:val="bottom"/>
            <w:shd w:val="clear" w:color="auto" w:fill="CFF0FC"/>
          </w:tcPr>
          <w:p>
            <w:pPr>
              <w:jc w:val="right"/>
              <w:ind w:right="110"/>
              <w:spacing w:after="0"/>
              <w:rPr>
                <w:sz w:val="20"/>
                <w:szCs w:val="20"/>
                <w:color w:val="auto"/>
              </w:rPr>
            </w:pPr>
            <w:r>
              <w:rPr>
                <w:rFonts w:ascii="Arial" w:cs="Arial" w:eastAsia="Arial" w:hAnsi="Arial"/>
                <w:sz w:val="18"/>
                <w:szCs w:val="18"/>
                <w:color w:val="auto"/>
                <w:w w:val="79"/>
              </w:rPr>
              <w:t>$</w:t>
            </w:r>
          </w:p>
        </w:tc>
        <w:tc>
          <w:tcPr>
            <w:tcW w:w="1280" w:type="dxa"/>
            <w:vAlign w:val="bottom"/>
            <w:gridSpan w:val="2"/>
            <w:shd w:val="clear" w:color="auto" w:fill="CFF0FC"/>
          </w:tcPr>
          <w:p>
            <w:pPr>
              <w:jc w:val="right"/>
              <w:ind w:right="280"/>
              <w:spacing w:after="0"/>
              <w:rPr>
                <w:sz w:val="20"/>
                <w:szCs w:val="20"/>
                <w:color w:val="auto"/>
              </w:rPr>
            </w:pPr>
            <w:r>
              <w:rPr>
                <w:rFonts w:ascii="Arial" w:cs="Arial" w:eastAsia="Arial" w:hAnsi="Arial"/>
                <w:sz w:val="18"/>
                <w:szCs w:val="18"/>
                <w:color w:val="auto"/>
              </w:rPr>
              <w:t>—</w:t>
            </w:r>
          </w:p>
        </w:tc>
        <w:tc>
          <w:tcPr>
            <w:tcW w:w="480" w:type="dxa"/>
            <w:vAlign w:val="bottom"/>
            <w:shd w:val="clear" w:color="auto" w:fill="CFF0FC"/>
          </w:tcPr>
          <w:p>
            <w:pPr>
              <w:jc w:val="right"/>
              <w:ind w:right="290"/>
              <w:spacing w:after="0"/>
              <w:rPr>
                <w:sz w:val="20"/>
                <w:szCs w:val="20"/>
                <w:color w:val="auto"/>
              </w:rPr>
            </w:pPr>
            <w:r>
              <w:rPr>
                <w:rFonts w:ascii="Arial" w:cs="Arial" w:eastAsia="Arial" w:hAnsi="Arial"/>
                <w:sz w:val="18"/>
                <w:szCs w:val="18"/>
                <w:color w:val="auto"/>
                <w:w w:val="79"/>
              </w:rPr>
              <w:t>$</w:t>
            </w:r>
          </w:p>
        </w:tc>
        <w:tc>
          <w:tcPr>
            <w:tcW w:w="9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18,191</w:t>
            </w:r>
          </w:p>
        </w:tc>
        <w:tc>
          <w:tcPr>
            <w:tcW w:w="100" w:type="dxa"/>
            <w:vAlign w:val="bottom"/>
            <w:shd w:val="clear" w:color="auto" w:fill="CFF0FC"/>
          </w:tcPr>
          <w:p>
            <w:pPr>
              <w:spacing w:after="0"/>
              <w:rPr>
                <w:sz w:val="19"/>
                <w:szCs w:val="19"/>
                <w:color w:val="auto"/>
              </w:rPr>
            </w:pPr>
          </w:p>
        </w:tc>
        <w:tc>
          <w:tcPr>
            <w:tcW w:w="100" w:type="dxa"/>
            <w:vAlign w:val="bottom"/>
          </w:tcPr>
          <w:p>
            <w:pPr>
              <w:spacing w:after="0"/>
              <w:rPr>
                <w:sz w:val="19"/>
                <w:szCs w:val="19"/>
                <w:color w:val="auto"/>
              </w:rPr>
            </w:pPr>
          </w:p>
        </w:tc>
      </w:tr>
      <w:tr>
        <w:trPr>
          <w:trHeight w:val="229"/>
        </w:trPr>
        <w:tc>
          <w:tcPr>
            <w:tcW w:w="4620" w:type="dxa"/>
            <w:vAlign w:val="bottom"/>
          </w:tcPr>
          <w:p>
            <w:pPr>
              <w:ind w:left="20"/>
              <w:spacing w:after="0"/>
              <w:rPr>
                <w:sz w:val="20"/>
                <w:szCs w:val="20"/>
                <w:color w:val="auto"/>
              </w:rPr>
            </w:pPr>
            <w:r>
              <w:rPr>
                <w:rFonts w:ascii="Arial" w:cs="Arial" w:eastAsia="Arial" w:hAnsi="Arial"/>
                <w:sz w:val="18"/>
                <w:szCs w:val="18"/>
                <w:color w:val="auto"/>
              </w:rPr>
              <w:t>Non-GAAP Loss from Operations</w:t>
            </w:r>
          </w:p>
        </w:tc>
        <w:tc>
          <w:tcPr>
            <w:tcW w:w="300" w:type="dxa"/>
            <w:vAlign w:val="bottom"/>
          </w:tcPr>
          <w:p>
            <w:pPr>
              <w:jc w:val="right"/>
              <w:ind w:right="110"/>
              <w:spacing w:after="0"/>
              <w:rPr>
                <w:sz w:val="20"/>
                <w:szCs w:val="20"/>
                <w:color w:val="auto"/>
              </w:rPr>
            </w:pPr>
            <w:r>
              <w:rPr>
                <w:rFonts w:ascii="Arial" w:cs="Arial" w:eastAsia="Arial" w:hAnsi="Arial"/>
                <w:sz w:val="18"/>
                <w:szCs w:val="18"/>
                <w:color w:val="auto"/>
                <w:w w:val="79"/>
              </w:rPr>
              <w:t>$</w:t>
            </w:r>
          </w:p>
        </w:tc>
        <w:tc>
          <w:tcPr>
            <w:tcW w:w="1340" w:type="dxa"/>
            <w:vAlign w:val="bottom"/>
            <w:gridSpan w:val="2"/>
          </w:tcPr>
          <w:p>
            <w:pPr>
              <w:jc w:val="right"/>
              <w:ind w:right="200"/>
              <w:spacing w:after="0"/>
              <w:rPr>
                <w:sz w:val="20"/>
                <w:szCs w:val="20"/>
                <w:color w:val="auto"/>
              </w:rPr>
            </w:pPr>
            <w:r>
              <w:rPr>
                <w:rFonts w:ascii="Arial" w:cs="Arial" w:eastAsia="Arial" w:hAnsi="Arial"/>
                <w:sz w:val="18"/>
                <w:szCs w:val="18"/>
                <w:color w:val="auto"/>
              </w:rPr>
              <w:t>(4,863 )</w:t>
            </w:r>
          </w:p>
        </w:tc>
        <w:tc>
          <w:tcPr>
            <w:tcW w:w="1060" w:type="dxa"/>
            <w:vAlign w:val="bottom"/>
          </w:tcPr>
          <w:p>
            <w:pPr>
              <w:jc w:val="right"/>
              <w:ind w:right="870"/>
              <w:spacing w:after="0"/>
              <w:rPr>
                <w:sz w:val="20"/>
                <w:szCs w:val="20"/>
                <w:color w:val="auto"/>
              </w:rPr>
            </w:pPr>
            <w:r>
              <w:rPr>
                <w:rFonts w:ascii="Arial" w:cs="Arial" w:eastAsia="Arial" w:hAnsi="Arial"/>
                <w:sz w:val="18"/>
                <w:szCs w:val="18"/>
                <w:color w:val="auto"/>
                <w:w w:val="79"/>
              </w:rPr>
              <w:t>$</w:t>
            </w:r>
          </w:p>
        </w:tc>
        <w:tc>
          <w:tcPr>
            <w:tcW w:w="860" w:type="dxa"/>
            <w:vAlign w:val="bottom"/>
            <w:gridSpan w:val="2"/>
          </w:tcPr>
          <w:p>
            <w:pPr>
              <w:jc w:val="right"/>
              <w:ind w:right="180"/>
              <w:spacing w:after="0"/>
              <w:rPr>
                <w:sz w:val="20"/>
                <w:szCs w:val="20"/>
                <w:color w:val="auto"/>
              </w:rPr>
            </w:pPr>
            <w:r>
              <w:rPr>
                <w:rFonts w:ascii="Arial" w:cs="Arial" w:eastAsia="Arial" w:hAnsi="Arial"/>
                <w:sz w:val="18"/>
                <w:szCs w:val="18"/>
                <w:color w:val="auto"/>
              </w:rPr>
              <w:t>(2,285 )</w:t>
            </w:r>
          </w:p>
        </w:tc>
        <w:tc>
          <w:tcPr>
            <w:tcW w:w="300" w:type="dxa"/>
            <w:vAlign w:val="bottom"/>
          </w:tcPr>
          <w:p>
            <w:pPr>
              <w:jc w:val="right"/>
              <w:ind w:right="110"/>
              <w:spacing w:after="0"/>
              <w:rPr>
                <w:sz w:val="20"/>
                <w:szCs w:val="20"/>
                <w:color w:val="auto"/>
              </w:rPr>
            </w:pPr>
            <w:r>
              <w:rPr>
                <w:rFonts w:ascii="Arial" w:cs="Arial" w:eastAsia="Arial" w:hAnsi="Arial"/>
                <w:sz w:val="18"/>
                <w:szCs w:val="18"/>
                <w:color w:val="auto"/>
                <w:w w:val="79"/>
              </w:rPr>
              <w:t>$</w:t>
            </w:r>
          </w:p>
        </w:tc>
        <w:tc>
          <w:tcPr>
            <w:tcW w:w="1280" w:type="dxa"/>
            <w:vAlign w:val="bottom"/>
            <w:gridSpan w:val="2"/>
          </w:tcPr>
          <w:p>
            <w:pPr>
              <w:jc w:val="right"/>
              <w:ind w:right="180"/>
              <w:spacing w:after="0"/>
              <w:rPr>
                <w:sz w:val="20"/>
                <w:szCs w:val="20"/>
                <w:color w:val="auto"/>
              </w:rPr>
            </w:pPr>
            <w:r>
              <w:rPr>
                <w:rFonts w:ascii="Arial" w:cs="Arial" w:eastAsia="Arial" w:hAnsi="Arial"/>
                <w:sz w:val="18"/>
                <w:szCs w:val="18"/>
                <w:color w:val="auto"/>
              </w:rPr>
              <w:t>(21,588 )</w:t>
            </w:r>
          </w:p>
        </w:tc>
        <w:tc>
          <w:tcPr>
            <w:tcW w:w="480" w:type="dxa"/>
            <w:vAlign w:val="bottom"/>
          </w:tcPr>
          <w:p>
            <w:pPr>
              <w:jc w:val="right"/>
              <w:ind w:right="290"/>
              <w:spacing w:after="0"/>
              <w:rPr>
                <w:sz w:val="20"/>
                <w:szCs w:val="20"/>
                <w:color w:val="auto"/>
              </w:rPr>
            </w:pPr>
            <w:r>
              <w:rPr>
                <w:rFonts w:ascii="Arial" w:cs="Arial" w:eastAsia="Arial" w:hAnsi="Arial"/>
                <w:sz w:val="18"/>
                <w:szCs w:val="18"/>
                <w:color w:val="auto"/>
                <w:w w:val="79"/>
              </w:rPr>
              <w:t>$</w:t>
            </w:r>
          </w:p>
        </w:tc>
        <w:tc>
          <w:tcPr>
            <w:tcW w:w="1000" w:type="dxa"/>
            <w:vAlign w:val="bottom"/>
            <w:gridSpan w:val="2"/>
          </w:tcPr>
          <w:p>
            <w:pPr>
              <w:jc w:val="right"/>
              <w:ind w:right="40"/>
              <w:spacing w:after="0"/>
              <w:rPr>
                <w:sz w:val="20"/>
                <w:szCs w:val="20"/>
                <w:color w:val="auto"/>
              </w:rPr>
            </w:pPr>
            <w:r>
              <w:rPr>
                <w:rFonts w:ascii="Arial" w:cs="Arial" w:eastAsia="Arial" w:hAnsi="Arial"/>
                <w:sz w:val="18"/>
                <w:szCs w:val="18"/>
                <w:color w:val="auto"/>
              </w:rPr>
              <w:t>(9,677 )</w:t>
            </w:r>
          </w:p>
        </w:tc>
        <w:tc>
          <w:tcPr>
            <w:tcW w:w="100" w:type="dxa"/>
            <w:vAlign w:val="bottom"/>
          </w:tcPr>
          <w:p>
            <w:pPr>
              <w:spacing w:after="0"/>
              <w:rPr>
                <w:sz w:val="19"/>
                <w:szCs w:val="19"/>
                <w:color w:val="auto"/>
              </w:rPr>
            </w:pPr>
          </w:p>
        </w:tc>
      </w:tr>
      <w:tr>
        <w:trPr>
          <w:trHeight w:val="229"/>
        </w:trPr>
        <w:tc>
          <w:tcPr>
            <w:tcW w:w="4620" w:type="dxa"/>
            <w:vAlign w:val="bottom"/>
          </w:tcPr>
          <w:p>
            <w:pPr>
              <w:ind w:left="20"/>
              <w:spacing w:after="0"/>
              <w:rPr>
                <w:sz w:val="20"/>
                <w:szCs w:val="20"/>
                <w:color w:val="auto"/>
              </w:rPr>
            </w:pPr>
            <w:r>
              <w:rPr>
                <w:rFonts w:ascii="Arial" w:cs="Arial" w:eastAsia="Arial" w:hAnsi="Arial"/>
                <w:sz w:val="18"/>
                <w:szCs w:val="18"/>
                <w:color w:val="auto"/>
              </w:rPr>
              <w:t>Non-GAAP Loss from Operations Margin</w:t>
            </w:r>
          </w:p>
        </w:tc>
        <w:tc>
          <w:tcPr>
            <w:tcW w:w="300" w:type="dxa"/>
            <w:vAlign w:val="bottom"/>
          </w:tcPr>
          <w:p>
            <w:pPr>
              <w:spacing w:after="0"/>
              <w:rPr>
                <w:sz w:val="19"/>
                <w:szCs w:val="19"/>
                <w:color w:val="auto"/>
              </w:rPr>
            </w:pPr>
          </w:p>
        </w:tc>
        <w:tc>
          <w:tcPr>
            <w:tcW w:w="1340" w:type="dxa"/>
            <w:vAlign w:val="bottom"/>
            <w:gridSpan w:val="2"/>
          </w:tcPr>
          <w:p>
            <w:pPr>
              <w:jc w:val="right"/>
              <w:ind w:right="60"/>
              <w:spacing w:after="0"/>
              <w:rPr>
                <w:sz w:val="20"/>
                <w:szCs w:val="20"/>
                <w:color w:val="auto"/>
              </w:rPr>
            </w:pPr>
            <w:r>
              <w:rPr>
                <w:rFonts w:ascii="Arial" w:cs="Arial" w:eastAsia="Arial" w:hAnsi="Arial"/>
                <w:sz w:val="18"/>
                <w:szCs w:val="18"/>
                <w:color w:val="auto"/>
              </w:rPr>
              <w:t>(8 )%</w:t>
            </w:r>
          </w:p>
        </w:tc>
        <w:tc>
          <w:tcPr>
            <w:tcW w:w="1060" w:type="dxa"/>
            <w:vAlign w:val="bottom"/>
          </w:tcPr>
          <w:p>
            <w:pPr>
              <w:spacing w:after="0"/>
              <w:rPr>
                <w:sz w:val="19"/>
                <w:szCs w:val="19"/>
                <w:color w:val="auto"/>
              </w:rPr>
            </w:pPr>
          </w:p>
        </w:tc>
        <w:tc>
          <w:tcPr>
            <w:tcW w:w="860" w:type="dxa"/>
            <w:vAlign w:val="bottom"/>
            <w:gridSpan w:val="2"/>
          </w:tcPr>
          <w:p>
            <w:pPr>
              <w:jc w:val="right"/>
              <w:ind w:right="40"/>
              <w:spacing w:after="0"/>
              <w:rPr>
                <w:sz w:val="20"/>
                <w:szCs w:val="20"/>
                <w:color w:val="auto"/>
              </w:rPr>
            </w:pPr>
            <w:r>
              <w:rPr>
                <w:rFonts w:ascii="Arial" w:cs="Arial" w:eastAsia="Arial" w:hAnsi="Arial"/>
                <w:sz w:val="18"/>
                <w:szCs w:val="18"/>
                <w:color w:val="auto"/>
              </w:rPr>
              <w:t>(5 )%</w:t>
            </w:r>
          </w:p>
        </w:tc>
        <w:tc>
          <w:tcPr>
            <w:tcW w:w="300" w:type="dxa"/>
            <w:vAlign w:val="bottom"/>
          </w:tcPr>
          <w:p>
            <w:pPr>
              <w:spacing w:after="0"/>
              <w:rPr>
                <w:sz w:val="19"/>
                <w:szCs w:val="19"/>
                <w:color w:val="auto"/>
              </w:rPr>
            </w:pPr>
          </w:p>
        </w:tc>
        <w:tc>
          <w:tcPr>
            <w:tcW w:w="1280" w:type="dxa"/>
            <w:vAlign w:val="bottom"/>
            <w:gridSpan w:val="2"/>
          </w:tcPr>
          <w:p>
            <w:pPr>
              <w:jc w:val="right"/>
              <w:ind w:right="40"/>
              <w:spacing w:after="0"/>
              <w:rPr>
                <w:sz w:val="20"/>
                <w:szCs w:val="20"/>
                <w:color w:val="auto"/>
              </w:rPr>
            </w:pPr>
            <w:r>
              <w:rPr>
                <w:rFonts w:ascii="Arial" w:cs="Arial" w:eastAsia="Arial" w:hAnsi="Arial"/>
                <w:sz w:val="18"/>
                <w:szCs w:val="18"/>
                <w:color w:val="auto"/>
              </w:rPr>
              <w:t>(12 )%</w:t>
            </w:r>
          </w:p>
        </w:tc>
        <w:tc>
          <w:tcPr>
            <w:tcW w:w="480" w:type="dxa"/>
            <w:vAlign w:val="bottom"/>
          </w:tcPr>
          <w:p>
            <w:pPr>
              <w:spacing w:after="0"/>
              <w:rPr>
                <w:sz w:val="19"/>
                <w:szCs w:val="19"/>
                <w:color w:val="auto"/>
              </w:rPr>
            </w:pPr>
          </w:p>
        </w:tc>
        <w:tc>
          <w:tcPr>
            <w:tcW w:w="1100" w:type="dxa"/>
            <w:vAlign w:val="bottom"/>
            <w:gridSpan w:val="3"/>
          </w:tcPr>
          <w:p>
            <w:pPr>
              <w:jc w:val="right"/>
              <w:spacing w:after="0"/>
              <w:rPr>
                <w:sz w:val="20"/>
                <w:szCs w:val="20"/>
                <w:color w:val="auto"/>
              </w:rPr>
            </w:pPr>
            <w:r>
              <w:rPr>
                <w:rFonts w:ascii="Arial" w:cs="Arial" w:eastAsia="Arial" w:hAnsi="Arial"/>
                <w:sz w:val="18"/>
                <w:szCs w:val="18"/>
                <w:color w:val="auto"/>
              </w:rPr>
              <w:t>(8 )%</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-144780</wp:posOffset>
            </wp:positionV>
            <wp:extent cx="7132320" cy="145415"/>
            <wp:wrapNone/>
            <wp:docPr id="230" name="Picture 2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0"/>
                    <pic:cNvPicPr>
                      <a:picLocks noChangeAspect="1" noChangeArrowheads="1"/>
                    </pic:cNvPicPr>
                  </pic:nvPicPr>
                  <pic:blipFill>
                    <a:blip r:embed="rId237">
                      <a:extLst>
                        <a:ext uri="{28A0092B-C50C-407E-A947-70E740481C1C}"/>
                      </a:extLst>
                    </a:blip>
                    <a:srcRect/>
                    <a:stretch>
                      <a:fillRect/>
                    </a:stretch>
                  </pic:blipFill>
                  <pic:spPr bwMode="auto">
                    <a:xfrm>
                      <a:off x="0" y="0"/>
                      <a:ext cx="7132320" cy="14541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93980</wp:posOffset>
            </wp:positionV>
            <wp:extent cx="855980" cy="8255"/>
            <wp:wrapNone/>
            <wp:docPr id="231" name="Picture 2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1"/>
                    <pic:cNvPicPr>
                      <a:picLocks noChangeAspect="1" noChangeArrowheads="1"/>
                    </pic:cNvPicPr>
                  </pic:nvPicPr>
                  <pic:blipFill>
                    <a:blip r:embed="rId238">
                      <a:extLst>
                        <a:ext uri="{28A0092B-C50C-407E-A947-70E740481C1C}"/>
                      </a:extLst>
                    </a:blip>
                    <a:srcRect/>
                    <a:stretch>
                      <a:fillRect/>
                    </a:stretch>
                  </pic:blipFill>
                  <pic:spPr bwMode="auto">
                    <a:xfrm>
                      <a:off x="0" y="0"/>
                      <a:ext cx="855980" cy="8255"/>
                    </a:xfrm>
                    <a:prstGeom prst="rect">
                      <a:avLst/>
                    </a:prstGeom>
                    <a:noFill/>
                  </pic:spPr>
                </pic:pic>
              </a:graphicData>
            </a:graphic>
          </wp:anchor>
        </w:drawing>
      </w:r>
    </w:p>
    <w:p>
      <w:pPr>
        <w:spacing w:after="0" w:line="177" w:lineRule="exact"/>
        <w:rPr>
          <w:sz w:val="20"/>
          <w:szCs w:val="20"/>
          <w:color w:val="auto"/>
        </w:rPr>
      </w:pPr>
    </w:p>
    <w:p>
      <w:pPr>
        <w:ind w:left="380" w:hanging="372"/>
        <w:spacing w:after="0"/>
        <w:tabs>
          <w:tab w:leader="none" w:pos="380" w:val="left"/>
        </w:tabs>
        <w:numPr>
          <w:ilvl w:val="0"/>
          <w:numId w:val="26"/>
        </w:numPr>
        <w:rPr>
          <w:rFonts w:ascii="Arial" w:cs="Arial" w:eastAsia="Arial" w:hAnsi="Arial"/>
          <w:sz w:val="14"/>
          <w:szCs w:val="14"/>
          <w:color w:val="auto"/>
        </w:rPr>
      </w:pPr>
      <w:r>
        <w:rPr>
          <w:rFonts w:ascii="Arial" w:cs="Arial" w:eastAsia="Arial" w:hAnsi="Arial"/>
          <w:sz w:val="14"/>
          <w:szCs w:val="14"/>
          <w:color w:val="auto"/>
        </w:rPr>
        <w:t>Stock-based compensation expense-related charges include employer payroll tax-related expenses on employee stock transactions.</w:t>
      </w:r>
    </w:p>
    <w:p>
      <w:pPr>
        <w:spacing w:after="0" w:line="342"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4600" w:type="dxa"/>
            <w:vAlign w:val="bottom"/>
          </w:tcPr>
          <w:p>
            <w:pPr>
              <w:spacing w:after="0"/>
              <w:rPr>
                <w:sz w:val="20"/>
                <w:szCs w:val="20"/>
                <w:color w:val="auto"/>
              </w:rPr>
            </w:pPr>
            <w:r>
              <w:rPr>
                <w:rFonts w:ascii="Arial" w:cs="Arial" w:eastAsia="Arial" w:hAnsi="Arial"/>
                <w:sz w:val="18"/>
                <w:szCs w:val="18"/>
                <w:b w:val="1"/>
                <w:bCs w:val="1"/>
                <w:i w:val="1"/>
                <w:iCs w:val="1"/>
                <w:color w:val="auto"/>
              </w:rPr>
              <w:t>Free Cash Flow and Free Cash Flow Margin</w:t>
            </w:r>
          </w:p>
        </w:tc>
        <w:tc>
          <w:tcPr>
            <w:tcW w:w="300" w:type="dxa"/>
            <w:vAlign w:val="bottom"/>
          </w:tcPr>
          <w:p>
            <w:pPr>
              <w:spacing w:after="0"/>
              <w:rPr>
                <w:sz w:val="20"/>
                <w:szCs w:val="20"/>
                <w:color w:val="auto"/>
              </w:rPr>
            </w:pPr>
          </w:p>
        </w:tc>
        <w:tc>
          <w:tcPr>
            <w:tcW w:w="110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040" w:type="dxa"/>
            <w:vAlign w:val="bottom"/>
          </w:tcPr>
          <w:p>
            <w:pPr>
              <w:spacing w:after="0"/>
              <w:rPr>
                <w:sz w:val="20"/>
                <w:szCs w:val="20"/>
                <w:color w:val="auto"/>
              </w:rPr>
            </w:pPr>
          </w:p>
        </w:tc>
        <w:tc>
          <w:tcPr>
            <w:tcW w:w="62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02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900" w:type="dxa"/>
            <w:vAlign w:val="bottom"/>
          </w:tcPr>
          <w:p>
            <w:pPr>
              <w:spacing w:after="0"/>
              <w:rPr>
                <w:sz w:val="20"/>
                <w:szCs w:val="20"/>
                <w:color w:val="auto"/>
              </w:rPr>
            </w:pPr>
          </w:p>
        </w:tc>
        <w:tc>
          <w:tcPr>
            <w:tcW w:w="100" w:type="dxa"/>
            <w:vAlign w:val="bottom"/>
          </w:tcPr>
          <w:p>
            <w:pPr>
              <w:spacing w:after="0"/>
              <w:rPr>
                <w:sz w:val="20"/>
                <w:szCs w:val="20"/>
                <w:color w:val="auto"/>
              </w:rPr>
            </w:pPr>
          </w:p>
        </w:tc>
      </w:tr>
      <w:tr>
        <w:trPr>
          <w:trHeight w:val="359"/>
        </w:trPr>
        <w:tc>
          <w:tcPr>
            <w:tcW w:w="46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2440" w:type="dxa"/>
            <w:vAlign w:val="bottom"/>
            <w:gridSpan w:val="3"/>
          </w:tcPr>
          <w:p>
            <w:pPr>
              <w:jc w:val="right"/>
              <w:ind w:right="170"/>
              <w:spacing w:after="0"/>
              <w:rPr>
                <w:sz w:val="20"/>
                <w:szCs w:val="20"/>
                <w:color w:val="auto"/>
              </w:rPr>
            </w:pPr>
            <w:r>
              <w:rPr>
                <w:rFonts w:ascii="Arial" w:cs="Arial" w:eastAsia="Arial" w:hAnsi="Arial"/>
                <w:sz w:val="18"/>
                <w:szCs w:val="18"/>
                <w:b w:val="1"/>
                <w:bCs w:val="1"/>
                <w:color w:val="auto"/>
              </w:rPr>
              <w:t>Three Months Ended</w:t>
            </w:r>
          </w:p>
        </w:tc>
        <w:tc>
          <w:tcPr>
            <w:tcW w:w="6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2740" w:type="dxa"/>
            <w:vAlign w:val="bottom"/>
            <w:gridSpan w:val="5"/>
          </w:tcPr>
          <w:p>
            <w:pPr>
              <w:jc w:val="right"/>
              <w:ind w:right="800"/>
              <w:spacing w:after="0"/>
              <w:rPr>
                <w:sz w:val="20"/>
                <w:szCs w:val="20"/>
                <w:color w:val="auto"/>
              </w:rPr>
            </w:pPr>
            <w:r>
              <w:rPr>
                <w:rFonts w:ascii="Arial" w:cs="Arial" w:eastAsia="Arial" w:hAnsi="Arial"/>
                <w:sz w:val="18"/>
                <w:szCs w:val="18"/>
                <w:b w:val="1"/>
                <w:bCs w:val="1"/>
                <w:color w:val="auto"/>
              </w:rPr>
              <w:t>Nine Months Ended</w:t>
            </w:r>
          </w:p>
        </w:tc>
      </w:tr>
      <w:tr>
        <w:trPr>
          <w:trHeight w:val="234"/>
        </w:trPr>
        <w:tc>
          <w:tcPr>
            <w:tcW w:w="4600" w:type="dxa"/>
            <w:vAlign w:val="bottom"/>
          </w:tcPr>
          <w:p>
            <w:pPr>
              <w:spacing w:after="0"/>
              <w:rPr>
                <w:sz w:val="20"/>
                <w:szCs w:val="20"/>
                <w:color w:val="auto"/>
              </w:rPr>
            </w:pPr>
          </w:p>
        </w:tc>
        <w:tc>
          <w:tcPr>
            <w:tcW w:w="300" w:type="dxa"/>
            <w:vAlign w:val="bottom"/>
            <w:tcBorders>
              <w:bottom w:val="single" w:sz="8" w:color="auto"/>
            </w:tcBorders>
          </w:tcPr>
          <w:p>
            <w:pPr>
              <w:spacing w:after="0"/>
              <w:rPr>
                <w:sz w:val="20"/>
                <w:szCs w:val="20"/>
                <w:color w:val="auto"/>
              </w:rPr>
            </w:pPr>
          </w:p>
        </w:tc>
        <w:tc>
          <w:tcPr>
            <w:tcW w:w="2440" w:type="dxa"/>
            <w:vAlign w:val="bottom"/>
            <w:tcBorders>
              <w:bottom w:val="single" w:sz="8" w:color="auto"/>
            </w:tcBorders>
            <w:gridSpan w:val="3"/>
          </w:tcPr>
          <w:p>
            <w:pPr>
              <w:jc w:val="right"/>
              <w:ind w:right="430"/>
              <w:spacing w:after="0"/>
              <w:rPr>
                <w:sz w:val="20"/>
                <w:szCs w:val="20"/>
                <w:color w:val="auto"/>
              </w:rPr>
            </w:pPr>
            <w:r>
              <w:rPr>
                <w:rFonts w:ascii="Arial" w:cs="Arial" w:eastAsia="Arial" w:hAnsi="Arial"/>
                <w:sz w:val="18"/>
                <w:szCs w:val="18"/>
                <w:b w:val="1"/>
                <w:bCs w:val="1"/>
                <w:color w:val="auto"/>
              </w:rPr>
              <w:t>September 30,</w:t>
            </w:r>
          </w:p>
        </w:tc>
        <w:tc>
          <w:tcPr>
            <w:tcW w:w="620" w:type="dxa"/>
            <w:vAlign w:val="bottom"/>
            <w:tcBorders>
              <w:bottom w:val="single" w:sz="8" w:color="auto"/>
            </w:tcBorders>
          </w:tcPr>
          <w:p>
            <w:pPr>
              <w:spacing w:after="0"/>
              <w:rPr>
                <w:sz w:val="20"/>
                <w:szCs w:val="20"/>
                <w:color w:val="auto"/>
              </w:rPr>
            </w:pPr>
          </w:p>
        </w:tc>
        <w:tc>
          <w:tcPr>
            <w:tcW w:w="260" w:type="dxa"/>
            <w:vAlign w:val="bottom"/>
          </w:tcPr>
          <w:p>
            <w:pPr>
              <w:spacing w:after="0"/>
              <w:rPr>
                <w:sz w:val="20"/>
                <w:szCs w:val="20"/>
                <w:color w:val="auto"/>
              </w:rPr>
            </w:pPr>
          </w:p>
        </w:tc>
        <w:tc>
          <w:tcPr>
            <w:tcW w:w="280" w:type="dxa"/>
            <w:vAlign w:val="bottom"/>
            <w:tcBorders>
              <w:bottom w:val="single" w:sz="8" w:color="auto"/>
            </w:tcBorders>
          </w:tcPr>
          <w:p>
            <w:pPr>
              <w:spacing w:after="0"/>
              <w:rPr>
                <w:sz w:val="20"/>
                <w:szCs w:val="20"/>
                <w:color w:val="auto"/>
              </w:rPr>
            </w:pPr>
          </w:p>
        </w:tc>
        <w:tc>
          <w:tcPr>
            <w:tcW w:w="1740" w:type="dxa"/>
            <w:vAlign w:val="bottom"/>
            <w:tcBorders>
              <w:bottom w:val="single" w:sz="8" w:color="auto"/>
            </w:tcBorders>
            <w:gridSpan w:val="3"/>
          </w:tcPr>
          <w:p>
            <w:pPr>
              <w:jc w:val="right"/>
              <w:spacing w:after="0"/>
              <w:rPr>
                <w:sz w:val="20"/>
                <w:szCs w:val="20"/>
                <w:color w:val="auto"/>
              </w:rPr>
            </w:pPr>
            <w:r>
              <w:rPr>
                <w:rFonts w:ascii="Arial" w:cs="Arial" w:eastAsia="Arial" w:hAnsi="Arial"/>
                <w:sz w:val="18"/>
                <w:szCs w:val="18"/>
                <w:b w:val="1"/>
                <w:bCs w:val="1"/>
                <w:color w:val="auto"/>
              </w:rPr>
              <w:t>September 30,</w:t>
            </w:r>
          </w:p>
        </w:tc>
        <w:tc>
          <w:tcPr>
            <w:tcW w:w="900" w:type="dxa"/>
            <w:vAlign w:val="bottom"/>
            <w:tcBorders>
              <w:bottom w:val="single" w:sz="8" w:color="auto"/>
            </w:tcBorders>
          </w:tcPr>
          <w:p>
            <w:pPr>
              <w:spacing w:after="0"/>
              <w:rPr>
                <w:sz w:val="20"/>
                <w:szCs w:val="20"/>
                <w:color w:val="auto"/>
              </w:rPr>
            </w:pPr>
          </w:p>
        </w:tc>
        <w:tc>
          <w:tcPr>
            <w:tcW w:w="100" w:type="dxa"/>
            <w:vAlign w:val="bottom"/>
          </w:tcPr>
          <w:p>
            <w:pPr>
              <w:spacing w:after="0"/>
              <w:rPr>
                <w:sz w:val="20"/>
                <w:szCs w:val="20"/>
                <w:color w:val="auto"/>
              </w:rPr>
            </w:pPr>
          </w:p>
        </w:tc>
      </w:tr>
      <w:tr>
        <w:trPr>
          <w:trHeight w:val="209"/>
        </w:trPr>
        <w:tc>
          <w:tcPr>
            <w:tcW w:w="4600" w:type="dxa"/>
            <w:vAlign w:val="bottom"/>
          </w:tcPr>
          <w:p>
            <w:pPr>
              <w:spacing w:after="0"/>
              <w:rPr>
                <w:sz w:val="18"/>
                <w:szCs w:val="18"/>
                <w:color w:val="auto"/>
              </w:rPr>
            </w:pPr>
          </w:p>
        </w:tc>
        <w:tc>
          <w:tcPr>
            <w:tcW w:w="300" w:type="dxa"/>
            <w:vAlign w:val="bottom"/>
            <w:tcBorders>
              <w:bottom w:val="single" w:sz="8" w:color="auto"/>
            </w:tcBorders>
          </w:tcPr>
          <w:p>
            <w:pPr>
              <w:spacing w:after="0"/>
              <w:rPr>
                <w:sz w:val="18"/>
                <w:szCs w:val="18"/>
                <w:color w:val="auto"/>
              </w:rPr>
            </w:pPr>
          </w:p>
        </w:tc>
        <w:tc>
          <w:tcPr>
            <w:tcW w:w="1100" w:type="dxa"/>
            <w:vAlign w:val="bottom"/>
            <w:tcBorders>
              <w:bottom w:val="single" w:sz="8" w:color="auto"/>
            </w:tcBorders>
          </w:tcPr>
          <w:p>
            <w:pPr>
              <w:jc w:val="right"/>
              <w:ind w:right="430"/>
              <w:spacing w:after="0"/>
              <w:rPr>
                <w:sz w:val="20"/>
                <w:szCs w:val="20"/>
                <w:color w:val="auto"/>
              </w:rPr>
            </w:pPr>
            <w:r>
              <w:rPr>
                <w:rFonts w:ascii="Arial" w:cs="Arial" w:eastAsia="Arial" w:hAnsi="Arial"/>
                <w:sz w:val="18"/>
                <w:szCs w:val="18"/>
                <w:b w:val="1"/>
                <w:bCs w:val="1"/>
                <w:color w:val="auto"/>
              </w:rPr>
              <w:t>2022</w:t>
            </w:r>
          </w:p>
        </w:tc>
        <w:tc>
          <w:tcPr>
            <w:tcW w:w="300" w:type="dxa"/>
            <w:vAlign w:val="bottom"/>
          </w:tcPr>
          <w:p>
            <w:pPr>
              <w:spacing w:after="0"/>
              <w:rPr>
                <w:sz w:val="18"/>
                <w:szCs w:val="18"/>
                <w:color w:val="auto"/>
              </w:rPr>
            </w:pP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2021</w:t>
            </w:r>
          </w:p>
        </w:tc>
        <w:tc>
          <w:tcPr>
            <w:tcW w:w="620" w:type="dxa"/>
            <w:vAlign w:val="bottom"/>
            <w:tcBorders>
              <w:bottom w:val="single" w:sz="8" w:color="auto"/>
            </w:tcBorders>
          </w:tcPr>
          <w:p>
            <w:pPr>
              <w:spacing w:after="0"/>
              <w:rPr>
                <w:sz w:val="18"/>
                <w:szCs w:val="18"/>
                <w:color w:val="auto"/>
              </w:rPr>
            </w:pPr>
          </w:p>
        </w:tc>
        <w:tc>
          <w:tcPr>
            <w:tcW w:w="260" w:type="dxa"/>
            <w:vAlign w:val="bottom"/>
          </w:tcPr>
          <w:p>
            <w:pPr>
              <w:spacing w:after="0"/>
              <w:rPr>
                <w:sz w:val="18"/>
                <w:szCs w:val="18"/>
                <w:color w:val="auto"/>
              </w:rPr>
            </w:pPr>
          </w:p>
        </w:tc>
        <w:tc>
          <w:tcPr>
            <w:tcW w:w="280" w:type="dxa"/>
            <w:vAlign w:val="bottom"/>
            <w:tcBorders>
              <w:bottom w:val="single" w:sz="8" w:color="auto"/>
            </w:tcBorders>
          </w:tcPr>
          <w:p>
            <w:pPr>
              <w:spacing w:after="0"/>
              <w:rPr>
                <w:sz w:val="18"/>
                <w:szCs w:val="18"/>
                <w:color w:val="auto"/>
              </w:rPr>
            </w:pPr>
          </w:p>
        </w:tc>
        <w:tc>
          <w:tcPr>
            <w:tcW w:w="1020" w:type="dxa"/>
            <w:vAlign w:val="bottom"/>
            <w:tcBorders>
              <w:bottom w:val="single" w:sz="8" w:color="auto"/>
            </w:tcBorders>
          </w:tcPr>
          <w:p>
            <w:pPr>
              <w:jc w:val="right"/>
              <w:ind w:right="390"/>
              <w:spacing w:after="0"/>
              <w:rPr>
                <w:sz w:val="20"/>
                <w:szCs w:val="20"/>
                <w:color w:val="auto"/>
              </w:rPr>
            </w:pPr>
            <w:r>
              <w:rPr>
                <w:rFonts w:ascii="Arial" w:cs="Arial" w:eastAsia="Arial" w:hAnsi="Arial"/>
                <w:sz w:val="18"/>
                <w:szCs w:val="18"/>
                <w:b w:val="1"/>
                <w:bCs w:val="1"/>
                <w:color w:val="auto"/>
              </w:rPr>
              <w:t>2022</w:t>
            </w:r>
          </w:p>
        </w:tc>
        <w:tc>
          <w:tcPr>
            <w:tcW w:w="260" w:type="dxa"/>
            <w:vAlign w:val="bottom"/>
          </w:tcPr>
          <w:p>
            <w:pPr>
              <w:spacing w:after="0"/>
              <w:rPr>
                <w:sz w:val="18"/>
                <w:szCs w:val="18"/>
                <w:color w:val="auto"/>
              </w:rPr>
            </w:pPr>
          </w:p>
        </w:tc>
        <w:tc>
          <w:tcPr>
            <w:tcW w:w="460" w:type="dxa"/>
            <w:vAlign w:val="bottom"/>
            <w:tcBorders>
              <w:bottom w:val="single" w:sz="8" w:color="auto"/>
            </w:tcBorders>
          </w:tcPr>
          <w:p>
            <w:pPr>
              <w:spacing w:after="0"/>
              <w:rPr>
                <w:sz w:val="18"/>
                <w:szCs w:val="18"/>
                <w:color w:val="auto"/>
              </w:rPr>
            </w:pPr>
          </w:p>
        </w:tc>
        <w:tc>
          <w:tcPr>
            <w:tcW w:w="900" w:type="dxa"/>
            <w:vAlign w:val="bottom"/>
            <w:tcBorders>
              <w:bottom w:val="single" w:sz="8" w:color="auto"/>
            </w:tcBorders>
          </w:tcPr>
          <w:p>
            <w:pPr>
              <w:jc w:val="right"/>
              <w:ind w:right="410"/>
              <w:spacing w:after="0"/>
              <w:rPr>
                <w:sz w:val="20"/>
                <w:szCs w:val="20"/>
                <w:color w:val="auto"/>
              </w:rPr>
            </w:pPr>
            <w:r>
              <w:rPr>
                <w:rFonts w:ascii="Arial" w:cs="Arial" w:eastAsia="Arial" w:hAnsi="Arial"/>
                <w:sz w:val="18"/>
                <w:szCs w:val="18"/>
                <w:b w:val="1"/>
                <w:bCs w:val="1"/>
                <w:color w:val="auto"/>
                <w:w w:val="94"/>
              </w:rPr>
              <w:t>2021</w:t>
            </w:r>
          </w:p>
        </w:tc>
        <w:tc>
          <w:tcPr>
            <w:tcW w:w="100" w:type="dxa"/>
            <w:vAlign w:val="bottom"/>
          </w:tcPr>
          <w:p>
            <w:pPr>
              <w:spacing w:after="0"/>
              <w:rPr>
                <w:sz w:val="18"/>
                <w:szCs w:val="18"/>
                <w:color w:val="auto"/>
              </w:rPr>
            </w:pPr>
          </w:p>
        </w:tc>
      </w:tr>
      <w:tr>
        <w:trPr>
          <w:trHeight w:val="223"/>
        </w:trPr>
        <w:tc>
          <w:tcPr>
            <w:tcW w:w="46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1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3480" w:type="dxa"/>
            <w:vAlign w:val="bottom"/>
            <w:gridSpan w:val="6"/>
          </w:tcPr>
          <w:p>
            <w:pPr>
              <w:jc w:val="right"/>
              <w:ind w:right="640"/>
              <w:spacing w:after="0"/>
              <w:rPr>
                <w:sz w:val="20"/>
                <w:szCs w:val="20"/>
                <w:color w:val="auto"/>
              </w:rPr>
            </w:pPr>
            <w:r>
              <w:rPr>
                <w:rFonts w:ascii="Arial" w:cs="Arial" w:eastAsia="Arial" w:hAnsi="Arial"/>
                <w:sz w:val="18"/>
                <w:szCs w:val="18"/>
                <w:b w:val="1"/>
                <w:bCs w:val="1"/>
                <w:i w:val="1"/>
                <w:iCs w:val="1"/>
                <w:color w:val="auto"/>
                <w:w w:val="93"/>
              </w:rPr>
              <w:t>(in thousands, except percentages)</w:t>
            </w:r>
          </w:p>
        </w:tc>
        <w:tc>
          <w:tcPr>
            <w:tcW w:w="46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100" w:type="dxa"/>
            <w:vAlign w:val="bottom"/>
          </w:tcPr>
          <w:p>
            <w:pPr>
              <w:spacing w:after="0"/>
              <w:rPr>
                <w:sz w:val="19"/>
                <w:szCs w:val="19"/>
                <w:color w:val="auto"/>
              </w:rPr>
            </w:pPr>
          </w:p>
        </w:tc>
      </w:tr>
      <w:tr>
        <w:trPr>
          <w:trHeight w:val="229"/>
        </w:trPr>
        <w:tc>
          <w:tcPr>
            <w:tcW w:w="4600" w:type="dxa"/>
            <w:vAlign w:val="bottom"/>
            <w:shd w:val="clear" w:color="auto" w:fill="CFF0FC"/>
          </w:tcPr>
          <w:p>
            <w:pPr>
              <w:ind w:left="20"/>
              <w:spacing w:after="0"/>
              <w:rPr>
                <w:sz w:val="20"/>
                <w:szCs w:val="20"/>
                <w:color w:val="auto"/>
              </w:rPr>
            </w:pPr>
            <w:r>
              <w:rPr>
                <w:rFonts w:ascii="Arial" w:cs="Arial" w:eastAsia="Arial" w:hAnsi="Arial"/>
                <w:sz w:val="18"/>
                <w:szCs w:val="18"/>
                <w:color w:val="auto"/>
              </w:rPr>
              <w:t>Net cash used in investing activities</w:t>
            </w:r>
          </w:p>
        </w:tc>
        <w:tc>
          <w:tcPr>
            <w:tcW w:w="300" w:type="dxa"/>
            <w:vAlign w:val="bottom"/>
            <w:shd w:val="clear" w:color="auto" w:fill="CFF0FC"/>
          </w:tcPr>
          <w:p>
            <w:pPr>
              <w:jc w:val="right"/>
              <w:ind w:right="110"/>
              <w:spacing w:after="0"/>
              <w:rPr>
                <w:sz w:val="20"/>
                <w:szCs w:val="20"/>
                <w:color w:val="auto"/>
              </w:rPr>
            </w:pPr>
            <w:r>
              <w:rPr>
                <w:rFonts w:ascii="Arial" w:cs="Arial" w:eastAsia="Arial" w:hAnsi="Arial"/>
                <w:sz w:val="18"/>
                <w:szCs w:val="18"/>
                <w:color w:val="auto"/>
                <w:w w:val="79"/>
              </w:rPr>
              <w:t>$</w:t>
            </w:r>
          </w:p>
        </w:tc>
        <w:tc>
          <w:tcPr>
            <w:tcW w:w="1400" w:type="dxa"/>
            <w:vAlign w:val="bottom"/>
            <w:gridSpan w:val="2"/>
            <w:shd w:val="clear" w:color="auto" w:fill="CFF0FC"/>
          </w:tcPr>
          <w:p>
            <w:pPr>
              <w:jc w:val="right"/>
              <w:ind w:right="220"/>
              <w:spacing w:after="0"/>
              <w:rPr>
                <w:sz w:val="20"/>
                <w:szCs w:val="20"/>
                <w:color w:val="auto"/>
              </w:rPr>
            </w:pPr>
            <w:r>
              <w:rPr>
                <w:rFonts w:ascii="Arial" w:cs="Arial" w:eastAsia="Arial" w:hAnsi="Arial"/>
                <w:sz w:val="18"/>
                <w:szCs w:val="18"/>
                <w:color w:val="auto"/>
              </w:rPr>
              <w:t>(60,853 )</w:t>
            </w:r>
          </w:p>
        </w:tc>
        <w:tc>
          <w:tcPr>
            <w:tcW w:w="1040" w:type="dxa"/>
            <w:vAlign w:val="bottom"/>
            <w:shd w:val="clear" w:color="auto" w:fill="CFF0FC"/>
          </w:tcPr>
          <w:p>
            <w:pPr>
              <w:jc w:val="right"/>
              <w:ind w:right="850"/>
              <w:spacing w:after="0"/>
              <w:rPr>
                <w:sz w:val="20"/>
                <w:szCs w:val="20"/>
                <w:color w:val="auto"/>
              </w:rPr>
            </w:pPr>
            <w:r>
              <w:rPr>
                <w:rFonts w:ascii="Arial" w:cs="Arial" w:eastAsia="Arial" w:hAnsi="Arial"/>
                <w:sz w:val="18"/>
                <w:szCs w:val="18"/>
                <w:color w:val="auto"/>
                <w:w w:val="79"/>
              </w:rPr>
              <w:t>$</w:t>
            </w:r>
          </w:p>
        </w:tc>
        <w:tc>
          <w:tcPr>
            <w:tcW w:w="880" w:type="dxa"/>
            <w:vAlign w:val="bottom"/>
            <w:gridSpan w:val="2"/>
            <w:shd w:val="clear" w:color="auto" w:fill="CFF0FC"/>
          </w:tcPr>
          <w:p>
            <w:pPr>
              <w:jc w:val="right"/>
              <w:ind w:right="200"/>
              <w:spacing w:after="0"/>
              <w:rPr>
                <w:sz w:val="20"/>
                <w:szCs w:val="20"/>
                <w:color w:val="auto"/>
              </w:rPr>
            </w:pPr>
            <w:r>
              <w:rPr>
                <w:rFonts w:ascii="Arial" w:cs="Arial" w:eastAsia="Arial" w:hAnsi="Arial"/>
                <w:sz w:val="18"/>
                <w:szCs w:val="18"/>
                <w:color w:val="auto"/>
              </w:rPr>
              <w:t>(697 )</w:t>
            </w:r>
          </w:p>
        </w:tc>
        <w:tc>
          <w:tcPr>
            <w:tcW w:w="280" w:type="dxa"/>
            <w:vAlign w:val="bottom"/>
            <w:shd w:val="clear" w:color="auto" w:fill="CFF0FC"/>
          </w:tcPr>
          <w:p>
            <w:pPr>
              <w:jc w:val="right"/>
              <w:ind w:right="90"/>
              <w:spacing w:after="0"/>
              <w:rPr>
                <w:sz w:val="20"/>
                <w:szCs w:val="20"/>
                <w:color w:val="auto"/>
              </w:rPr>
            </w:pPr>
            <w:r>
              <w:rPr>
                <w:rFonts w:ascii="Arial" w:cs="Arial" w:eastAsia="Arial" w:hAnsi="Arial"/>
                <w:sz w:val="18"/>
                <w:szCs w:val="18"/>
                <w:color w:val="auto"/>
                <w:w w:val="79"/>
              </w:rPr>
              <w:t>$</w:t>
            </w:r>
          </w:p>
        </w:tc>
        <w:tc>
          <w:tcPr>
            <w:tcW w:w="1280" w:type="dxa"/>
            <w:vAlign w:val="bottom"/>
            <w:gridSpan w:val="2"/>
            <w:shd w:val="clear" w:color="auto" w:fill="CFF0FC"/>
          </w:tcPr>
          <w:p>
            <w:pPr>
              <w:jc w:val="right"/>
              <w:ind w:right="200"/>
              <w:spacing w:after="0"/>
              <w:rPr>
                <w:sz w:val="20"/>
                <w:szCs w:val="20"/>
                <w:color w:val="auto"/>
              </w:rPr>
            </w:pPr>
            <w:r>
              <w:rPr>
                <w:rFonts w:ascii="Arial" w:cs="Arial" w:eastAsia="Arial" w:hAnsi="Arial"/>
                <w:sz w:val="18"/>
                <w:szCs w:val="18"/>
                <w:color w:val="auto"/>
              </w:rPr>
              <w:t>(64,641 )</w:t>
            </w:r>
          </w:p>
        </w:tc>
        <w:tc>
          <w:tcPr>
            <w:tcW w:w="460" w:type="dxa"/>
            <w:vAlign w:val="bottom"/>
            <w:shd w:val="clear" w:color="auto" w:fill="CFF0FC"/>
          </w:tcPr>
          <w:p>
            <w:pPr>
              <w:jc w:val="right"/>
              <w:ind w:right="270"/>
              <w:spacing w:after="0"/>
              <w:rPr>
                <w:sz w:val="20"/>
                <w:szCs w:val="20"/>
                <w:color w:val="auto"/>
              </w:rPr>
            </w:pPr>
            <w:r>
              <w:rPr>
                <w:rFonts w:ascii="Arial" w:cs="Arial" w:eastAsia="Arial" w:hAnsi="Arial"/>
                <w:sz w:val="18"/>
                <w:szCs w:val="18"/>
                <w:color w:val="auto"/>
                <w:w w:val="79"/>
              </w:rPr>
              <w:t>$</w:t>
            </w:r>
          </w:p>
        </w:tc>
        <w:tc>
          <w:tcPr>
            <w:tcW w:w="1000" w:type="dxa"/>
            <w:vAlign w:val="bottom"/>
            <w:gridSpan w:val="2"/>
            <w:shd w:val="clear" w:color="auto" w:fill="CFF0FC"/>
          </w:tcPr>
          <w:p>
            <w:pPr>
              <w:jc w:val="right"/>
              <w:ind w:right="40"/>
              <w:spacing w:after="0"/>
              <w:rPr>
                <w:sz w:val="20"/>
                <w:szCs w:val="20"/>
                <w:color w:val="auto"/>
              </w:rPr>
            </w:pPr>
            <w:r>
              <w:rPr>
                <w:rFonts w:ascii="Arial" w:cs="Arial" w:eastAsia="Arial" w:hAnsi="Arial"/>
                <w:sz w:val="18"/>
                <w:szCs w:val="18"/>
                <w:color w:val="auto"/>
              </w:rPr>
              <w:t>(358 )</w:t>
            </w:r>
          </w:p>
        </w:tc>
      </w:tr>
      <w:tr>
        <w:trPr>
          <w:trHeight w:val="229"/>
        </w:trPr>
        <w:tc>
          <w:tcPr>
            <w:tcW w:w="4600" w:type="dxa"/>
            <w:vAlign w:val="bottom"/>
          </w:tcPr>
          <w:p>
            <w:pPr>
              <w:ind w:left="20"/>
              <w:spacing w:after="0"/>
              <w:rPr>
                <w:sz w:val="20"/>
                <w:szCs w:val="20"/>
                <w:color w:val="auto"/>
              </w:rPr>
            </w:pPr>
            <w:r>
              <w:rPr>
                <w:rFonts w:ascii="Arial" w:cs="Arial" w:eastAsia="Arial" w:hAnsi="Arial"/>
                <w:sz w:val="18"/>
                <w:szCs w:val="18"/>
                <w:color w:val="auto"/>
              </w:rPr>
              <w:t>Net cash provided by financing activities</w:t>
            </w:r>
          </w:p>
        </w:tc>
        <w:tc>
          <w:tcPr>
            <w:tcW w:w="30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1,217</w:t>
            </w:r>
          </w:p>
        </w:tc>
        <w:tc>
          <w:tcPr>
            <w:tcW w:w="300" w:type="dxa"/>
            <w:vAlign w:val="bottom"/>
          </w:tcPr>
          <w:p>
            <w:pPr>
              <w:spacing w:after="0"/>
              <w:rPr>
                <w:sz w:val="19"/>
                <w:szCs w:val="19"/>
                <w:color w:val="auto"/>
              </w:rPr>
            </w:pPr>
          </w:p>
        </w:tc>
        <w:tc>
          <w:tcPr>
            <w:tcW w:w="1040" w:type="dxa"/>
            <w:vAlign w:val="bottom"/>
          </w:tcPr>
          <w:p>
            <w:pPr>
              <w:spacing w:after="0"/>
              <w:rPr>
                <w:sz w:val="19"/>
                <w:szCs w:val="19"/>
                <w:color w:val="auto"/>
              </w:rPr>
            </w:pPr>
          </w:p>
        </w:tc>
        <w:tc>
          <w:tcPr>
            <w:tcW w:w="620" w:type="dxa"/>
            <w:vAlign w:val="bottom"/>
          </w:tcPr>
          <w:p>
            <w:pPr>
              <w:jc w:val="right"/>
              <w:spacing w:after="0"/>
              <w:rPr>
                <w:sz w:val="20"/>
                <w:szCs w:val="20"/>
                <w:color w:val="auto"/>
              </w:rPr>
            </w:pPr>
            <w:r>
              <w:rPr>
                <w:rFonts w:ascii="Arial" w:cs="Arial" w:eastAsia="Arial" w:hAnsi="Arial"/>
                <w:sz w:val="18"/>
                <w:szCs w:val="18"/>
                <w:color w:val="auto"/>
              </w:rPr>
              <w:t>42,485</w:t>
            </w:r>
          </w:p>
        </w:tc>
        <w:tc>
          <w:tcPr>
            <w:tcW w:w="26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5,232</w:t>
            </w:r>
          </w:p>
        </w:tc>
        <w:tc>
          <w:tcPr>
            <w:tcW w:w="26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221,798</w:t>
            </w:r>
          </w:p>
        </w:tc>
        <w:tc>
          <w:tcPr>
            <w:tcW w:w="100" w:type="dxa"/>
            <w:vAlign w:val="bottom"/>
          </w:tcPr>
          <w:p>
            <w:pPr>
              <w:spacing w:after="0"/>
              <w:rPr>
                <w:sz w:val="19"/>
                <w:szCs w:val="19"/>
                <w:color w:val="auto"/>
              </w:rPr>
            </w:pPr>
          </w:p>
        </w:tc>
      </w:tr>
      <w:tr>
        <w:trPr>
          <w:trHeight w:val="229"/>
        </w:trPr>
        <w:tc>
          <w:tcPr>
            <w:tcW w:w="4600" w:type="dxa"/>
            <w:vAlign w:val="bottom"/>
            <w:shd w:val="clear" w:color="auto" w:fill="CFF0FC"/>
          </w:tcPr>
          <w:p>
            <w:pPr>
              <w:ind w:left="20"/>
              <w:spacing w:after="0"/>
              <w:rPr>
                <w:sz w:val="20"/>
                <w:szCs w:val="20"/>
                <w:color w:val="auto"/>
              </w:rPr>
            </w:pPr>
            <w:r>
              <w:rPr>
                <w:rFonts w:ascii="Arial" w:cs="Arial" w:eastAsia="Arial" w:hAnsi="Arial"/>
                <w:sz w:val="18"/>
                <w:szCs w:val="18"/>
                <w:color w:val="auto"/>
              </w:rPr>
              <w:t>Net cash used in operating activities</w:t>
            </w:r>
          </w:p>
        </w:tc>
        <w:tc>
          <w:tcPr>
            <w:tcW w:w="300" w:type="dxa"/>
            <w:vAlign w:val="bottom"/>
            <w:shd w:val="clear" w:color="auto" w:fill="CFF0FC"/>
          </w:tcPr>
          <w:p>
            <w:pPr>
              <w:spacing w:after="0"/>
              <w:rPr>
                <w:sz w:val="19"/>
                <w:szCs w:val="19"/>
                <w:color w:val="auto"/>
              </w:rPr>
            </w:pPr>
          </w:p>
        </w:tc>
        <w:tc>
          <w:tcPr>
            <w:tcW w:w="1400" w:type="dxa"/>
            <w:vAlign w:val="bottom"/>
            <w:gridSpan w:val="2"/>
            <w:shd w:val="clear" w:color="auto" w:fill="CFF0FC"/>
          </w:tcPr>
          <w:p>
            <w:pPr>
              <w:jc w:val="right"/>
              <w:ind w:right="220"/>
              <w:spacing w:after="0"/>
              <w:rPr>
                <w:sz w:val="20"/>
                <w:szCs w:val="20"/>
                <w:color w:val="auto"/>
              </w:rPr>
            </w:pPr>
            <w:r>
              <w:rPr>
                <w:rFonts w:ascii="Arial" w:cs="Arial" w:eastAsia="Arial" w:hAnsi="Arial"/>
                <w:sz w:val="18"/>
                <w:szCs w:val="18"/>
                <w:color w:val="auto"/>
              </w:rPr>
              <w:t>(3,139 )</w:t>
            </w:r>
          </w:p>
        </w:tc>
        <w:tc>
          <w:tcPr>
            <w:tcW w:w="1040" w:type="dxa"/>
            <w:vAlign w:val="bottom"/>
            <w:shd w:val="clear" w:color="auto" w:fill="CFF0FC"/>
          </w:tcPr>
          <w:p>
            <w:pPr>
              <w:spacing w:after="0"/>
              <w:rPr>
                <w:sz w:val="19"/>
                <w:szCs w:val="19"/>
                <w:color w:val="auto"/>
              </w:rPr>
            </w:pPr>
          </w:p>
        </w:tc>
        <w:tc>
          <w:tcPr>
            <w:tcW w:w="880" w:type="dxa"/>
            <w:vAlign w:val="bottom"/>
            <w:gridSpan w:val="2"/>
            <w:shd w:val="clear" w:color="auto" w:fill="CFF0FC"/>
          </w:tcPr>
          <w:p>
            <w:pPr>
              <w:jc w:val="right"/>
              <w:ind w:right="200"/>
              <w:spacing w:after="0"/>
              <w:rPr>
                <w:sz w:val="20"/>
                <w:szCs w:val="20"/>
                <w:color w:val="auto"/>
              </w:rPr>
            </w:pPr>
            <w:r>
              <w:rPr>
                <w:rFonts w:ascii="Arial" w:cs="Arial" w:eastAsia="Arial" w:hAnsi="Arial"/>
                <w:sz w:val="18"/>
                <w:szCs w:val="18"/>
                <w:color w:val="auto"/>
                <w:w w:val="91"/>
              </w:rPr>
              <w:t>(15,086 )</w:t>
            </w:r>
          </w:p>
        </w:tc>
        <w:tc>
          <w:tcPr>
            <w:tcW w:w="280" w:type="dxa"/>
            <w:vAlign w:val="bottom"/>
            <w:shd w:val="clear" w:color="auto" w:fill="CFF0FC"/>
          </w:tcPr>
          <w:p>
            <w:pPr>
              <w:spacing w:after="0"/>
              <w:rPr>
                <w:sz w:val="19"/>
                <w:szCs w:val="19"/>
                <w:color w:val="auto"/>
              </w:rPr>
            </w:pPr>
          </w:p>
        </w:tc>
        <w:tc>
          <w:tcPr>
            <w:tcW w:w="1280" w:type="dxa"/>
            <w:vAlign w:val="bottom"/>
            <w:gridSpan w:val="2"/>
            <w:shd w:val="clear" w:color="auto" w:fill="CFF0FC"/>
          </w:tcPr>
          <w:p>
            <w:pPr>
              <w:jc w:val="right"/>
              <w:ind w:right="200"/>
              <w:spacing w:after="0"/>
              <w:rPr>
                <w:sz w:val="20"/>
                <w:szCs w:val="20"/>
                <w:color w:val="auto"/>
              </w:rPr>
            </w:pPr>
            <w:r>
              <w:rPr>
                <w:rFonts w:ascii="Arial" w:cs="Arial" w:eastAsia="Arial" w:hAnsi="Arial"/>
                <w:sz w:val="18"/>
                <w:szCs w:val="18"/>
                <w:color w:val="auto"/>
              </w:rPr>
              <w:t>(786 )</w:t>
            </w:r>
          </w:p>
        </w:tc>
        <w:tc>
          <w:tcPr>
            <w:tcW w:w="460" w:type="dxa"/>
            <w:vAlign w:val="bottom"/>
            <w:shd w:val="clear" w:color="auto" w:fill="CFF0FC"/>
          </w:tcPr>
          <w:p>
            <w:pPr>
              <w:spacing w:after="0"/>
              <w:rPr>
                <w:sz w:val="19"/>
                <w:szCs w:val="19"/>
                <w:color w:val="auto"/>
              </w:rPr>
            </w:pPr>
          </w:p>
        </w:tc>
        <w:tc>
          <w:tcPr>
            <w:tcW w:w="1000" w:type="dxa"/>
            <w:vAlign w:val="bottom"/>
            <w:gridSpan w:val="2"/>
            <w:shd w:val="clear" w:color="auto" w:fill="CFF0FC"/>
          </w:tcPr>
          <w:p>
            <w:pPr>
              <w:jc w:val="right"/>
              <w:ind w:right="40"/>
              <w:spacing w:after="0"/>
              <w:rPr>
                <w:sz w:val="20"/>
                <w:szCs w:val="20"/>
                <w:color w:val="auto"/>
              </w:rPr>
            </w:pPr>
            <w:r>
              <w:rPr>
                <w:rFonts w:ascii="Arial" w:cs="Arial" w:eastAsia="Arial" w:hAnsi="Arial"/>
                <w:sz w:val="18"/>
                <w:szCs w:val="18"/>
                <w:color w:val="auto"/>
              </w:rPr>
              <w:t>(20,609 )</w:t>
            </w:r>
          </w:p>
        </w:tc>
      </w:tr>
      <w:tr>
        <w:trPr>
          <w:trHeight w:val="229"/>
        </w:trPr>
        <w:tc>
          <w:tcPr>
            <w:tcW w:w="4600" w:type="dxa"/>
            <w:vAlign w:val="bottom"/>
          </w:tcPr>
          <w:p>
            <w:pPr>
              <w:ind w:left="480"/>
              <w:spacing w:after="0"/>
              <w:rPr>
                <w:sz w:val="20"/>
                <w:szCs w:val="20"/>
                <w:color w:val="auto"/>
              </w:rPr>
            </w:pPr>
            <w:r>
              <w:rPr>
                <w:rFonts w:ascii="Arial" w:cs="Arial" w:eastAsia="Arial" w:hAnsi="Arial"/>
                <w:sz w:val="18"/>
                <w:szCs w:val="18"/>
                <w:color w:val="auto"/>
              </w:rPr>
              <w:t>Less:</w:t>
            </w:r>
          </w:p>
        </w:tc>
        <w:tc>
          <w:tcPr>
            <w:tcW w:w="300" w:type="dxa"/>
            <w:vAlign w:val="bottom"/>
          </w:tcPr>
          <w:p>
            <w:pPr>
              <w:spacing w:after="0"/>
              <w:rPr>
                <w:sz w:val="19"/>
                <w:szCs w:val="19"/>
                <w:color w:val="auto"/>
              </w:rPr>
            </w:pPr>
          </w:p>
        </w:tc>
        <w:tc>
          <w:tcPr>
            <w:tcW w:w="11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4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0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100" w:type="dxa"/>
            <w:vAlign w:val="bottom"/>
          </w:tcPr>
          <w:p>
            <w:pPr>
              <w:spacing w:after="0"/>
              <w:rPr>
                <w:sz w:val="19"/>
                <w:szCs w:val="19"/>
                <w:color w:val="auto"/>
              </w:rPr>
            </w:pPr>
          </w:p>
        </w:tc>
      </w:tr>
      <w:tr>
        <w:trPr>
          <w:trHeight w:val="229"/>
        </w:trPr>
        <w:tc>
          <w:tcPr>
            <w:tcW w:w="4600" w:type="dxa"/>
            <w:vAlign w:val="bottom"/>
            <w:shd w:val="clear" w:color="auto" w:fill="CFF0FC"/>
          </w:tcPr>
          <w:p>
            <w:pPr>
              <w:ind w:left="20"/>
              <w:spacing w:after="0"/>
              <w:rPr>
                <w:sz w:val="20"/>
                <w:szCs w:val="20"/>
                <w:color w:val="auto"/>
              </w:rPr>
            </w:pPr>
            <w:r>
              <w:rPr>
                <w:rFonts w:ascii="Arial" w:cs="Arial" w:eastAsia="Arial" w:hAnsi="Arial"/>
                <w:sz w:val="18"/>
                <w:szCs w:val="18"/>
                <w:color w:val="auto"/>
              </w:rPr>
              <w:t>Purchase of property and equipment</w:t>
            </w:r>
          </w:p>
        </w:tc>
        <w:tc>
          <w:tcPr>
            <w:tcW w:w="300" w:type="dxa"/>
            <w:vAlign w:val="bottom"/>
            <w:shd w:val="clear" w:color="auto" w:fill="CFF0FC"/>
          </w:tcPr>
          <w:p>
            <w:pPr>
              <w:jc w:val="right"/>
              <w:ind w:right="110"/>
              <w:spacing w:after="0"/>
              <w:rPr>
                <w:sz w:val="20"/>
                <w:szCs w:val="20"/>
                <w:color w:val="auto"/>
              </w:rPr>
            </w:pPr>
            <w:r>
              <w:rPr>
                <w:rFonts w:ascii="Arial" w:cs="Arial" w:eastAsia="Arial" w:hAnsi="Arial"/>
                <w:sz w:val="18"/>
                <w:szCs w:val="18"/>
                <w:color w:val="auto"/>
                <w:w w:val="79"/>
              </w:rPr>
              <w:t>$</w:t>
            </w:r>
          </w:p>
        </w:tc>
        <w:tc>
          <w:tcPr>
            <w:tcW w:w="1400" w:type="dxa"/>
            <w:vAlign w:val="bottom"/>
            <w:gridSpan w:val="2"/>
            <w:shd w:val="clear" w:color="auto" w:fill="CFF0FC"/>
          </w:tcPr>
          <w:p>
            <w:pPr>
              <w:jc w:val="right"/>
              <w:ind w:right="220"/>
              <w:spacing w:after="0"/>
              <w:rPr>
                <w:sz w:val="20"/>
                <w:szCs w:val="20"/>
                <w:color w:val="auto"/>
              </w:rPr>
            </w:pPr>
            <w:r>
              <w:rPr>
                <w:rFonts w:ascii="Arial" w:cs="Arial" w:eastAsia="Arial" w:hAnsi="Arial"/>
                <w:sz w:val="18"/>
                <w:szCs w:val="18"/>
                <w:color w:val="auto"/>
              </w:rPr>
              <w:t>(487 )</w:t>
            </w:r>
          </w:p>
        </w:tc>
        <w:tc>
          <w:tcPr>
            <w:tcW w:w="1040" w:type="dxa"/>
            <w:vAlign w:val="bottom"/>
            <w:shd w:val="clear" w:color="auto" w:fill="CFF0FC"/>
          </w:tcPr>
          <w:p>
            <w:pPr>
              <w:jc w:val="right"/>
              <w:ind w:right="850"/>
              <w:spacing w:after="0"/>
              <w:rPr>
                <w:sz w:val="20"/>
                <w:szCs w:val="20"/>
                <w:color w:val="auto"/>
              </w:rPr>
            </w:pPr>
            <w:r>
              <w:rPr>
                <w:rFonts w:ascii="Arial" w:cs="Arial" w:eastAsia="Arial" w:hAnsi="Arial"/>
                <w:sz w:val="18"/>
                <w:szCs w:val="18"/>
                <w:color w:val="auto"/>
                <w:w w:val="79"/>
              </w:rPr>
              <w:t>$</w:t>
            </w:r>
          </w:p>
        </w:tc>
        <w:tc>
          <w:tcPr>
            <w:tcW w:w="880" w:type="dxa"/>
            <w:vAlign w:val="bottom"/>
            <w:gridSpan w:val="2"/>
            <w:shd w:val="clear" w:color="auto" w:fill="CFF0FC"/>
          </w:tcPr>
          <w:p>
            <w:pPr>
              <w:jc w:val="right"/>
              <w:ind w:right="200"/>
              <w:spacing w:after="0"/>
              <w:rPr>
                <w:sz w:val="20"/>
                <w:szCs w:val="20"/>
                <w:color w:val="auto"/>
              </w:rPr>
            </w:pPr>
            <w:r>
              <w:rPr>
                <w:rFonts w:ascii="Arial" w:cs="Arial" w:eastAsia="Arial" w:hAnsi="Arial"/>
                <w:sz w:val="18"/>
                <w:szCs w:val="18"/>
                <w:color w:val="auto"/>
              </w:rPr>
              <w:t>(302 )</w:t>
            </w:r>
          </w:p>
        </w:tc>
        <w:tc>
          <w:tcPr>
            <w:tcW w:w="280" w:type="dxa"/>
            <w:vAlign w:val="bottom"/>
            <w:shd w:val="clear" w:color="auto" w:fill="CFF0FC"/>
          </w:tcPr>
          <w:p>
            <w:pPr>
              <w:jc w:val="right"/>
              <w:ind w:right="90"/>
              <w:spacing w:after="0"/>
              <w:rPr>
                <w:sz w:val="20"/>
                <w:szCs w:val="20"/>
                <w:color w:val="auto"/>
              </w:rPr>
            </w:pPr>
            <w:r>
              <w:rPr>
                <w:rFonts w:ascii="Arial" w:cs="Arial" w:eastAsia="Arial" w:hAnsi="Arial"/>
                <w:sz w:val="18"/>
                <w:szCs w:val="18"/>
                <w:color w:val="auto"/>
                <w:w w:val="79"/>
              </w:rPr>
              <w:t>$</w:t>
            </w:r>
          </w:p>
        </w:tc>
        <w:tc>
          <w:tcPr>
            <w:tcW w:w="1280" w:type="dxa"/>
            <w:vAlign w:val="bottom"/>
            <w:gridSpan w:val="2"/>
            <w:shd w:val="clear" w:color="auto" w:fill="CFF0FC"/>
          </w:tcPr>
          <w:p>
            <w:pPr>
              <w:jc w:val="right"/>
              <w:ind w:right="200"/>
              <w:spacing w:after="0"/>
              <w:rPr>
                <w:sz w:val="20"/>
                <w:szCs w:val="20"/>
                <w:color w:val="auto"/>
              </w:rPr>
            </w:pPr>
            <w:r>
              <w:rPr>
                <w:rFonts w:ascii="Arial" w:cs="Arial" w:eastAsia="Arial" w:hAnsi="Arial"/>
                <w:sz w:val="18"/>
                <w:szCs w:val="18"/>
                <w:color w:val="auto"/>
              </w:rPr>
              <w:t>(3,012 )</w:t>
            </w:r>
          </w:p>
        </w:tc>
        <w:tc>
          <w:tcPr>
            <w:tcW w:w="460" w:type="dxa"/>
            <w:vAlign w:val="bottom"/>
            <w:shd w:val="clear" w:color="auto" w:fill="CFF0FC"/>
          </w:tcPr>
          <w:p>
            <w:pPr>
              <w:jc w:val="right"/>
              <w:ind w:right="270"/>
              <w:spacing w:after="0"/>
              <w:rPr>
                <w:sz w:val="20"/>
                <w:szCs w:val="20"/>
                <w:color w:val="auto"/>
              </w:rPr>
            </w:pPr>
            <w:r>
              <w:rPr>
                <w:rFonts w:ascii="Arial" w:cs="Arial" w:eastAsia="Arial" w:hAnsi="Arial"/>
                <w:sz w:val="18"/>
                <w:szCs w:val="18"/>
                <w:color w:val="auto"/>
                <w:w w:val="79"/>
              </w:rPr>
              <w:t>$</w:t>
            </w:r>
          </w:p>
        </w:tc>
        <w:tc>
          <w:tcPr>
            <w:tcW w:w="1000" w:type="dxa"/>
            <w:vAlign w:val="bottom"/>
            <w:gridSpan w:val="2"/>
            <w:shd w:val="clear" w:color="auto" w:fill="CFF0FC"/>
          </w:tcPr>
          <w:p>
            <w:pPr>
              <w:jc w:val="right"/>
              <w:ind w:right="40"/>
              <w:spacing w:after="0"/>
              <w:rPr>
                <w:sz w:val="20"/>
                <w:szCs w:val="20"/>
                <w:color w:val="auto"/>
              </w:rPr>
            </w:pPr>
            <w:r>
              <w:rPr>
                <w:rFonts w:ascii="Arial" w:cs="Arial" w:eastAsia="Arial" w:hAnsi="Arial"/>
                <w:sz w:val="18"/>
                <w:szCs w:val="18"/>
                <w:color w:val="auto"/>
              </w:rPr>
              <w:t>(957 )</w:t>
            </w:r>
          </w:p>
        </w:tc>
      </w:tr>
      <w:tr>
        <w:trPr>
          <w:trHeight w:val="229"/>
        </w:trPr>
        <w:tc>
          <w:tcPr>
            <w:tcW w:w="4600" w:type="dxa"/>
            <w:vAlign w:val="bottom"/>
          </w:tcPr>
          <w:p>
            <w:pPr>
              <w:ind w:left="20"/>
              <w:spacing w:after="0"/>
              <w:rPr>
                <w:sz w:val="20"/>
                <w:szCs w:val="20"/>
                <w:color w:val="auto"/>
              </w:rPr>
            </w:pPr>
            <w:r>
              <w:rPr>
                <w:rFonts w:ascii="Arial" w:cs="Arial" w:eastAsia="Arial" w:hAnsi="Arial"/>
                <w:sz w:val="18"/>
                <w:szCs w:val="18"/>
                <w:color w:val="auto"/>
              </w:rPr>
              <w:t>Capitalization of internal-use software costs</w:t>
            </w:r>
          </w:p>
        </w:tc>
        <w:tc>
          <w:tcPr>
            <w:tcW w:w="300" w:type="dxa"/>
            <w:vAlign w:val="bottom"/>
          </w:tcPr>
          <w:p>
            <w:pPr>
              <w:jc w:val="right"/>
              <w:ind w:right="110"/>
              <w:spacing w:after="0"/>
              <w:rPr>
                <w:sz w:val="20"/>
                <w:szCs w:val="20"/>
                <w:color w:val="auto"/>
              </w:rPr>
            </w:pPr>
            <w:r>
              <w:rPr>
                <w:rFonts w:ascii="Arial" w:cs="Arial" w:eastAsia="Arial" w:hAnsi="Arial"/>
                <w:sz w:val="18"/>
                <w:szCs w:val="18"/>
                <w:color w:val="auto"/>
                <w:w w:val="79"/>
              </w:rPr>
              <w:t>$</w:t>
            </w:r>
          </w:p>
        </w:tc>
        <w:tc>
          <w:tcPr>
            <w:tcW w:w="1400" w:type="dxa"/>
            <w:vAlign w:val="bottom"/>
            <w:gridSpan w:val="2"/>
          </w:tcPr>
          <w:p>
            <w:pPr>
              <w:jc w:val="right"/>
              <w:ind w:right="220"/>
              <w:spacing w:after="0"/>
              <w:rPr>
                <w:sz w:val="20"/>
                <w:szCs w:val="20"/>
                <w:color w:val="auto"/>
              </w:rPr>
            </w:pPr>
            <w:r>
              <w:rPr>
                <w:rFonts w:ascii="Arial" w:cs="Arial" w:eastAsia="Arial" w:hAnsi="Arial"/>
                <w:sz w:val="18"/>
                <w:szCs w:val="18"/>
                <w:color w:val="auto"/>
              </w:rPr>
              <w:t>(260 )</w:t>
            </w:r>
          </w:p>
        </w:tc>
        <w:tc>
          <w:tcPr>
            <w:tcW w:w="1040" w:type="dxa"/>
            <w:vAlign w:val="bottom"/>
          </w:tcPr>
          <w:p>
            <w:pPr>
              <w:jc w:val="right"/>
              <w:ind w:right="850"/>
              <w:spacing w:after="0"/>
              <w:rPr>
                <w:sz w:val="20"/>
                <w:szCs w:val="20"/>
                <w:color w:val="auto"/>
              </w:rPr>
            </w:pPr>
            <w:r>
              <w:rPr>
                <w:rFonts w:ascii="Arial" w:cs="Arial" w:eastAsia="Arial" w:hAnsi="Arial"/>
                <w:sz w:val="18"/>
                <w:szCs w:val="18"/>
                <w:color w:val="auto"/>
                <w:w w:val="79"/>
              </w:rPr>
              <w:t>$</w:t>
            </w:r>
          </w:p>
        </w:tc>
        <w:tc>
          <w:tcPr>
            <w:tcW w:w="880" w:type="dxa"/>
            <w:vAlign w:val="bottom"/>
            <w:gridSpan w:val="2"/>
          </w:tcPr>
          <w:p>
            <w:pPr>
              <w:jc w:val="right"/>
              <w:ind w:right="200"/>
              <w:spacing w:after="0"/>
              <w:rPr>
                <w:sz w:val="20"/>
                <w:szCs w:val="20"/>
                <w:color w:val="auto"/>
              </w:rPr>
            </w:pPr>
            <w:r>
              <w:rPr>
                <w:rFonts w:ascii="Arial" w:cs="Arial" w:eastAsia="Arial" w:hAnsi="Arial"/>
                <w:sz w:val="18"/>
                <w:szCs w:val="18"/>
                <w:color w:val="auto"/>
              </w:rPr>
              <w:t>(394 )</w:t>
            </w:r>
          </w:p>
        </w:tc>
        <w:tc>
          <w:tcPr>
            <w:tcW w:w="280" w:type="dxa"/>
            <w:vAlign w:val="bottom"/>
          </w:tcPr>
          <w:p>
            <w:pPr>
              <w:jc w:val="right"/>
              <w:ind w:right="90"/>
              <w:spacing w:after="0"/>
              <w:rPr>
                <w:sz w:val="20"/>
                <w:szCs w:val="20"/>
                <w:color w:val="auto"/>
              </w:rPr>
            </w:pPr>
            <w:r>
              <w:rPr>
                <w:rFonts w:ascii="Arial" w:cs="Arial" w:eastAsia="Arial" w:hAnsi="Arial"/>
                <w:sz w:val="18"/>
                <w:szCs w:val="18"/>
                <w:color w:val="auto"/>
                <w:w w:val="79"/>
              </w:rPr>
              <w:t>$</w:t>
            </w:r>
          </w:p>
        </w:tc>
        <w:tc>
          <w:tcPr>
            <w:tcW w:w="1280" w:type="dxa"/>
            <w:vAlign w:val="bottom"/>
            <w:gridSpan w:val="2"/>
          </w:tcPr>
          <w:p>
            <w:pPr>
              <w:jc w:val="right"/>
              <w:ind w:right="200"/>
              <w:spacing w:after="0"/>
              <w:rPr>
                <w:sz w:val="20"/>
                <w:szCs w:val="20"/>
                <w:color w:val="auto"/>
              </w:rPr>
            </w:pPr>
            <w:r>
              <w:rPr>
                <w:rFonts w:ascii="Arial" w:cs="Arial" w:eastAsia="Arial" w:hAnsi="Arial"/>
                <w:sz w:val="18"/>
                <w:szCs w:val="18"/>
                <w:color w:val="auto"/>
              </w:rPr>
              <w:t>(1,523 )</w:t>
            </w:r>
          </w:p>
        </w:tc>
        <w:tc>
          <w:tcPr>
            <w:tcW w:w="460" w:type="dxa"/>
            <w:vAlign w:val="bottom"/>
          </w:tcPr>
          <w:p>
            <w:pPr>
              <w:jc w:val="right"/>
              <w:ind w:right="270"/>
              <w:spacing w:after="0"/>
              <w:rPr>
                <w:sz w:val="20"/>
                <w:szCs w:val="20"/>
                <w:color w:val="auto"/>
              </w:rPr>
            </w:pPr>
            <w:r>
              <w:rPr>
                <w:rFonts w:ascii="Arial" w:cs="Arial" w:eastAsia="Arial" w:hAnsi="Arial"/>
                <w:sz w:val="18"/>
                <w:szCs w:val="18"/>
                <w:color w:val="auto"/>
                <w:w w:val="79"/>
              </w:rPr>
              <w:t>$</w:t>
            </w:r>
          </w:p>
        </w:tc>
        <w:tc>
          <w:tcPr>
            <w:tcW w:w="1000" w:type="dxa"/>
            <w:vAlign w:val="bottom"/>
            <w:gridSpan w:val="2"/>
          </w:tcPr>
          <w:p>
            <w:pPr>
              <w:jc w:val="right"/>
              <w:ind w:right="40"/>
              <w:spacing w:after="0"/>
              <w:rPr>
                <w:sz w:val="20"/>
                <w:szCs w:val="20"/>
                <w:color w:val="auto"/>
              </w:rPr>
            </w:pPr>
            <w:r>
              <w:rPr>
                <w:rFonts w:ascii="Arial" w:cs="Arial" w:eastAsia="Arial" w:hAnsi="Arial"/>
                <w:sz w:val="18"/>
                <w:szCs w:val="18"/>
                <w:color w:val="auto"/>
              </w:rPr>
              <w:t>(1,125 )</w:t>
            </w:r>
          </w:p>
        </w:tc>
      </w:tr>
      <w:tr>
        <w:trPr>
          <w:trHeight w:val="229"/>
        </w:trPr>
        <w:tc>
          <w:tcPr>
            <w:tcW w:w="4600" w:type="dxa"/>
            <w:vAlign w:val="bottom"/>
            <w:shd w:val="clear" w:color="auto" w:fill="CFF0FC"/>
          </w:tcPr>
          <w:p>
            <w:pPr>
              <w:ind w:left="20"/>
              <w:spacing w:after="0"/>
              <w:rPr>
                <w:sz w:val="20"/>
                <w:szCs w:val="20"/>
                <w:color w:val="auto"/>
              </w:rPr>
            </w:pPr>
            <w:r>
              <w:rPr>
                <w:rFonts w:ascii="Arial" w:cs="Arial" w:eastAsia="Arial" w:hAnsi="Arial"/>
                <w:sz w:val="18"/>
                <w:szCs w:val="18"/>
                <w:color w:val="auto"/>
              </w:rPr>
              <w:t>Free Cash Flow</w:t>
            </w:r>
          </w:p>
        </w:tc>
        <w:tc>
          <w:tcPr>
            <w:tcW w:w="300" w:type="dxa"/>
            <w:vAlign w:val="bottom"/>
            <w:shd w:val="clear" w:color="auto" w:fill="CFF0FC"/>
          </w:tcPr>
          <w:p>
            <w:pPr>
              <w:jc w:val="right"/>
              <w:ind w:right="110"/>
              <w:spacing w:after="0"/>
              <w:rPr>
                <w:sz w:val="20"/>
                <w:szCs w:val="20"/>
                <w:color w:val="auto"/>
              </w:rPr>
            </w:pPr>
            <w:r>
              <w:rPr>
                <w:rFonts w:ascii="Arial" w:cs="Arial" w:eastAsia="Arial" w:hAnsi="Arial"/>
                <w:sz w:val="18"/>
                <w:szCs w:val="18"/>
                <w:color w:val="auto"/>
                <w:w w:val="79"/>
              </w:rPr>
              <w:t>$</w:t>
            </w:r>
          </w:p>
        </w:tc>
        <w:tc>
          <w:tcPr>
            <w:tcW w:w="1400" w:type="dxa"/>
            <w:vAlign w:val="bottom"/>
            <w:gridSpan w:val="2"/>
            <w:shd w:val="clear" w:color="auto" w:fill="CFF0FC"/>
          </w:tcPr>
          <w:p>
            <w:pPr>
              <w:jc w:val="right"/>
              <w:ind w:right="220"/>
              <w:spacing w:after="0"/>
              <w:rPr>
                <w:sz w:val="20"/>
                <w:szCs w:val="20"/>
                <w:color w:val="auto"/>
              </w:rPr>
            </w:pPr>
            <w:r>
              <w:rPr>
                <w:rFonts w:ascii="Arial" w:cs="Arial" w:eastAsia="Arial" w:hAnsi="Arial"/>
                <w:sz w:val="18"/>
                <w:szCs w:val="18"/>
                <w:color w:val="auto"/>
              </w:rPr>
              <w:t>(3,886 )</w:t>
            </w:r>
          </w:p>
        </w:tc>
        <w:tc>
          <w:tcPr>
            <w:tcW w:w="1040" w:type="dxa"/>
            <w:vAlign w:val="bottom"/>
            <w:shd w:val="clear" w:color="auto" w:fill="CFF0FC"/>
          </w:tcPr>
          <w:p>
            <w:pPr>
              <w:jc w:val="right"/>
              <w:ind w:right="850"/>
              <w:spacing w:after="0"/>
              <w:rPr>
                <w:sz w:val="20"/>
                <w:szCs w:val="20"/>
                <w:color w:val="auto"/>
              </w:rPr>
            </w:pPr>
            <w:r>
              <w:rPr>
                <w:rFonts w:ascii="Arial" w:cs="Arial" w:eastAsia="Arial" w:hAnsi="Arial"/>
                <w:sz w:val="18"/>
                <w:szCs w:val="18"/>
                <w:color w:val="auto"/>
                <w:w w:val="79"/>
              </w:rPr>
              <w:t>$</w:t>
            </w:r>
          </w:p>
        </w:tc>
        <w:tc>
          <w:tcPr>
            <w:tcW w:w="880" w:type="dxa"/>
            <w:vAlign w:val="bottom"/>
            <w:gridSpan w:val="2"/>
            <w:shd w:val="clear" w:color="auto" w:fill="CFF0FC"/>
          </w:tcPr>
          <w:p>
            <w:pPr>
              <w:jc w:val="right"/>
              <w:ind w:right="200"/>
              <w:spacing w:after="0"/>
              <w:rPr>
                <w:sz w:val="20"/>
                <w:szCs w:val="20"/>
                <w:color w:val="auto"/>
              </w:rPr>
            </w:pPr>
            <w:r>
              <w:rPr>
                <w:rFonts w:ascii="Arial" w:cs="Arial" w:eastAsia="Arial" w:hAnsi="Arial"/>
                <w:sz w:val="18"/>
                <w:szCs w:val="18"/>
                <w:color w:val="auto"/>
                <w:w w:val="91"/>
              </w:rPr>
              <w:t>(15,782 )</w:t>
            </w:r>
          </w:p>
        </w:tc>
        <w:tc>
          <w:tcPr>
            <w:tcW w:w="280" w:type="dxa"/>
            <w:vAlign w:val="bottom"/>
            <w:shd w:val="clear" w:color="auto" w:fill="CFF0FC"/>
          </w:tcPr>
          <w:p>
            <w:pPr>
              <w:jc w:val="right"/>
              <w:ind w:right="90"/>
              <w:spacing w:after="0"/>
              <w:rPr>
                <w:sz w:val="20"/>
                <w:szCs w:val="20"/>
                <w:color w:val="auto"/>
              </w:rPr>
            </w:pPr>
            <w:r>
              <w:rPr>
                <w:rFonts w:ascii="Arial" w:cs="Arial" w:eastAsia="Arial" w:hAnsi="Arial"/>
                <w:sz w:val="18"/>
                <w:szCs w:val="18"/>
                <w:color w:val="auto"/>
                <w:w w:val="79"/>
              </w:rPr>
              <w:t>$</w:t>
            </w:r>
          </w:p>
        </w:tc>
        <w:tc>
          <w:tcPr>
            <w:tcW w:w="1280" w:type="dxa"/>
            <w:vAlign w:val="bottom"/>
            <w:gridSpan w:val="2"/>
            <w:shd w:val="clear" w:color="auto" w:fill="CFF0FC"/>
          </w:tcPr>
          <w:p>
            <w:pPr>
              <w:jc w:val="right"/>
              <w:ind w:right="200"/>
              <w:spacing w:after="0"/>
              <w:rPr>
                <w:sz w:val="20"/>
                <w:szCs w:val="20"/>
                <w:color w:val="auto"/>
              </w:rPr>
            </w:pPr>
            <w:r>
              <w:rPr>
                <w:rFonts w:ascii="Arial" w:cs="Arial" w:eastAsia="Arial" w:hAnsi="Arial"/>
                <w:sz w:val="18"/>
                <w:szCs w:val="18"/>
                <w:color w:val="auto"/>
              </w:rPr>
              <w:t>(5,321 )</w:t>
            </w:r>
          </w:p>
        </w:tc>
        <w:tc>
          <w:tcPr>
            <w:tcW w:w="460" w:type="dxa"/>
            <w:vAlign w:val="bottom"/>
            <w:shd w:val="clear" w:color="auto" w:fill="CFF0FC"/>
          </w:tcPr>
          <w:p>
            <w:pPr>
              <w:jc w:val="right"/>
              <w:ind w:right="270"/>
              <w:spacing w:after="0"/>
              <w:rPr>
                <w:sz w:val="20"/>
                <w:szCs w:val="20"/>
                <w:color w:val="auto"/>
              </w:rPr>
            </w:pPr>
            <w:r>
              <w:rPr>
                <w:rFonts w:ascii="Arial" w:cs="Arial" w:eastAsia="Arial" w:hAnsi="Arial"/>
                <w:sz w:val="18"/>
                <w:szCs w:val="18"/>
                <w:color w:val="auto"/>
                <w:w w:val="79"/>
              </w:rPr>
              <w:t>$</w:t>
            </w:r>
          </w:p>
        </w:tc>
        <w:tc>
          <w:tcPr>
            <w:tcW w:w="1000" w:type="dxa"/>
            <w:vAlign w:val="bottom"/>
            <w:gridSpan w:val="2"/>
            <w:shd w:val="clear" w:color="auto" w:fill="CFF0FC"/>
          </w:tcPr>
          <w:p>
            <w:pPr>
              <w:jc w:val="right"/>
              <w:ind w:right="40"/>
              <w:spacing w:after="0"/>
              <w:rPr>
                <w:sz w:val="20"/>
                <w:szCs w:val="20"/>
                <w:color w:val="auto"/>
              </w:rPr>
            </w:pPr>
            <w:r>
              <w:rPr>
                <w:rFonts w:ascii="Arial" w:cs="Arial" w:eastAsia="Arial" w:hAnsi="Arial"/>
                <w:sz w:val="18"/>
                <w:szCs w:val="18"/>
                <w:color w:val="auto"/>
              </w:rPr>
              <w:t>(22,691 )</w:t>
            </w:r>
          </w:p>
        </w:tc>
      </w:tr>
    </w:tbl>
    <w:p>
      <w:pPr>
        <w:spacing w:after="0" w:line="1" w:lineRule="exact"/>
        <w:rPr>
          <w:sz w:val="20"/>
          <w:szCs w:val="20"/>
          <w:color w:val="auto"/>
        </w:rPr>
      </w:pPr>
    </w:p>
    <w:tbl>
      <w:tblPr>
        <w:tblLayout w:type="fixed"/>
        <w:tblInd w:w="20" w:type="dxa"/>
        <w:tblCellMar>
          <w:top w:w="0" w:type="dxa"/>
          <w:left w:w="0" w:type="dxa"/>
          <w:bottom w:w="0" w:type="dxa"/>
          <w:right w:w="0" w:type="dxa"/>
        </w:tblCellMar>
      </w:tblPr>
      <w:tr>
        <w:trPr>
          <w:trHeight w:val="230"/>
        </w:trPr>
        <w:tc>
          <w:tcPr>
            <w:tcW w:w="3760" w:type="dxa"/>
            <w:vAlign w:val="bottom"/>
          </w:tcPr>
          <w:p>
            <w:pPr>
              <w:spacing w:after="0"/>
              <w:rPr>
                <w:sz w:val="20"/>
                <w:szCs w:val="20"/>
                <w:color w:val="auto"/>
              </w:rPr>
            </w:pPr>
            <w:r>
              <w:rPr>
                <w:rFonts w:ascii="Arial" w:cs="Arial" w:eastAsia="Arial" w:hAnsi="Arial"/>
                <w:sz w:val="18"/>
                <w:szCs w:val="18"/>
                <w:color w:val="auto"/>
              </w:rPr>
              <w:t>Free Cash Flow Margin</w:t>
            </w:r>
          </w:p>
        </w:tc>
        <w:tc>
          <w:tcPr>
            <w:tcW w:w="3180" w:type="dxa"/>
            <w:vAlign w:val="bottom"/>
          </w:tcPr>
          <w:p>
            <w:pPr>
              <w:jc w:val="right"/>
              <w:ind w:right="630"/>
              <w:spacing w:after="0"/>
              <w:rPr>
                <w:sz w:val="20"/>
                <w:szCs w:val="20"/>
                <w:color w:val="auto"/>
              </w:rPr>
            </w:pPr>
            <w:r>
              <w:rPr>
                <w:rFonts w:ascii="Arial" w:cs="Arial" w:eastAsia="Arial" w:hAnsi="Arial"/>
                <w:sz w:val="18"/>
                <w:szCs w:val="18"/>
                <w:color w:val="auto"/>
              </w:rPr>
              <w:t>(6 )%</w:t>
            </w:r>
          </w:p>
        </w:tc>
        <w:tc>
          <w:tcPr>
            <w:tcW w:w="1800" w:type="dxa"/>
            <w:vAlign w:val="bottom"/>
          </w:tcPr>
          <w:p>
            <w:pPr>
              <w:jc w:val="right"/>
              <w:ind w:right="490"/>
              <w:spacing w:after="0"/>
              <w:rPr>
                <w:sz w:val="20"/>
                <w:szCs w:val="20"/>
                <w:color w:val="auto"/>
              </w:rPr>
            </w:pPr>
            <w:r>
              <w:rPr>
                <w:rFonts w:ascii="Arial" w:cs="Arial" w:eastAsia="Arial" w:hAnsi="Arial"/>
                <w:sz w:val="18"/>
                <w:szCs w:val="18"/>
                <w:color w:val="auto"/>
              </w:rPr>
              <w:t>(35 )%</w:t>
            </w:r>
          </w:p>
        </w:tc>
        <w:tc>
          <w:tcPr>
            <w:tcW w:w="1540" w:type="dxa"/>
            <w:vAlign w:val="bottom"/>
          </w:tcPr>
          <w:p>
            <w:pPr>
              <w:jc w:val="right"/>
              <w:ind w:right="470"/>
              <w:spacing w:after="0"/>
              <w:rPr>
                <w:sz w:val="20"/>
                <w:szCs w:val="20"/>
                <w:color w:val="auto"/>
              </w:rPr>
            </w:pPr>
            <w:r>
              <w:rPr>
                <w:rFonts w:ascii="Arial" w:cs="Arial" w:eastAsia="Arial" w:hAnsi="Arial"/>
                <w:sz w:val="18"/>
                <w:szCs w:val="18"/>
                <w:color w:val="auto"/>
              </w:rPr>
              <w:t>(3 )%</w:t>
            </w:r>
          </w:p>
        </w:tc>
        <w:tc>
          <w:tcPr>
            <w:tcW w:w="1040" w:type="dxa"/>
            <w:vAlign w:val="bottom"/>
          </w:tcPr>
          <w:p>
            <w:pPr>
              <w:jc w:val="right"/>
              <w:spacing w:after="0"/>
              <w:rPr>
                <w:sz w:val="20"/>
                <w:szCs w:val="20"/>
                <w:color w:val="auto"/>
              </w:rPr>
            </w:pPr>
            <w:r>
              <w:rPr>
                <w:rFonts w:ascii="Arial" w:cs="Arial" w:eastAsia="Arial" w:hAnsi="Arial"/>
                <w:sz w:val="18"/>
                <w:szCs w:val="18"/>
                <w:color w:val="auto"/>
              </w:rPr>
              <w:t>(19 )%</w:t>
            </w:r>
          </w:p>
        </w:tc>
      </w:tr>
    </w:tbl>
    <w:p>
      <w:pPr>
        <w:spacing w:after="0" w:line="30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Components of Results of Operations</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Revenue</w:t>
      </w:r>
    </w:p>
    <w:p>
      <w:pPr>
        <w:spacing w:after="0" w:line="103" w:lineRule="exact"/>
        <w:rPr>
          <w:sz w:val="20"/>
          <w:szCs w:val="20"/>
          <w:color w:val="auto"/>
        </w:rPr>
      </w:pPr>
    </w:p>
    <w:p>
      <w:pPr>
        <w:jc w:val="both"/>
        <w:ind w:right="200" w:firstLine="509"/>
        <w:spacing w:after="0" w:line="275" w:lineRule="auto"/>
        <w:rPr>
          <w:sz w:val="20"/>
          <w:szCs w:val="20"/>
          <w:color w:val="auto"/>
        </w:rPr>
      </w:pPr>
      <w:r>
        <w:rPr>
          <w:rFonts w:ascii="Arial" w:cs="Arial" w:eastAsia="Arial" w:hAnsi="Arial"/>
          <w:sz w:val="16"/>
          <w:szCs w:val="16"/>
          <w:color w:val="auto"/>
        </w:rPr>
        <w:t>We generate revenue primarily from sales of subscription services for customers to access our platform. Revenue is driven primarily by the number of paying customers and the level of subscription plan. We generally recognize revenue ratably over the related contractual term beginning on the date that the platform is made available to a customer. Revenue from professional services have primarily been attributed to implementation and training services.</w:t>
      </w:r>
    </w:p>
    <w:p>
      <w:pPr>
        <w:spacing w:after="0" w:line="2" w:lineRule="exact"/>
        <w:rPr>
          <w:sz w:val="20"/>
          <w:szCs w:val="20"/>
          <w:color w:val="auto"/>
        </w:rPr>
      </w:pPr>
    </w:p>
    <w:p>
      <w:pPr>
        <w:spacing w:after="0"/>
        <w:rPr>
          <w:sz w:val="20"/>
          <w:szCs w:val="20"/>
          <w:color w:val="auto"/>
        </w:rPr>
      </w:pPr>
      <w:r>
        <w:rPr>
          <w:rFonts w:ascii="Arial" w:cs="Arial" w:eastAsia="Arial" w:hAnsi="Arial"/>
          <w:sz w:val="18"/>
          <w:szCs w:val="18"/>
          <w:color w:val="auto"/>
        </w:rPr>
        <w:t>We recognize professional services revenue as services are delivered.</w:t>
      </w:r>
    </w:p>
    <w:p>
      <w:pPr>
        <w:spacing w:after="0" w:line="30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Cost of Revenue</w:t>
      </w:r>
    </w:p>
    <w:p>
      <w:pPr>
        <w:spacing w:after="0" w:line="103" w:lineRule="exact"/>
        <w:rPr>
          <w:sz w:val="20"/>
          <w:szCs w:val="20"/>
          <w:color w:val="auto"/>
        </w:rPr>
      </w:pPr>
    </w:p>
    <w:p>
      <w:pPr>
        <w:ind w:right="260" w:firstLine="509"/>
        <w:spacing w:after="0" w:line="248" w:lineRule="auto"/>
        <w:rPr>
          <w:sz w:val="20"/>
          <w:szCs w:val="20"/>
          <w:color w:val="auto"/>
        </w:rPr>
      </w:pPr>
      <w:r>
        <w:rPr>
          <w:rFonts w:ascii="Arial" w:cs="Arial" w:eastAsia="Arial" w:hAnsi="Arial"/>
          <w:sz w:val="18"/>
          <w:szCs w:val="18"/>
          <w:color w:val="auto"/>
        </w:rPr>
        <w:t>Cost of revenue consists primarily of the cost of providing our platform to our customers and consists of third-party hosting fees, personnel-related expenses for our operations and support personnel, and amortization of our capitalized internal-use software and acquired developed software. As we acquire new customers and existing customers increase their use of our platform, we expect that our cost of revenue will continue to increase in dollar amount.</w:t>
      </w:r>
    </w:p>
    <w:p>
      <w:pPr>
        <w:spacing w:after="0" w:line="30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Gross Profit and Gross Margin</w:t>
      </w:r>
    </w:p>
    <w:p>
      <w:pPr>
        <w:spacing w:after="0" w:line="103" w:lineRule="exact"/>
        <w:rPr>
          <w:sz w:val="20"/>
          <w:szCs w:val="20"/>
          <w:color w:val="auto"/>
        </w:rPr>
      </w:pPr>
    </w:p>
    <w:p>
      <w:pPr>
        <w:jc w:val="both"/>
        <w:ind w:right="240" w:firstLine="509"/>
        <w:spacing w:after="0" w:line="255" w:lineRule="auto"/>
        <w:rPr>
          <w:sz w:val="20"/>
          <w:szCs w:val="20"/>
          <w:color w:val="auto"/>
        </w:rPr>
      </w:pPr>
      <w:r>
        <w:rPr>
          <w:rFonts w:ascii="Arial" w:cs="Arial" w:eastAsia="Arial" w:hAnsi="Arial"/>
          <w:sz w:val="18"/>
          <w:szCs w:val="18"/>
          <w:color w:val="auto"/>
        </w:rPr>
        <w:t>Gross profit, or revenue less cost of revenue, and gross margin, or gross profit as a percentage of revenue, has been and will continue to be affected by various factors, including the timing of our acquisition of new customers, renewals of, and follow-on sales to, existing customers, costs associated with operating our platform, and the extent to which we expand our operations and customer</w:t>
      </w:r>
    </w:p>
    <w:p>
      <w:pPr>
        <w:spacing w:after="0" w:line="68" w:lineRule="exact"/>
        <w:rPr>
          <w:sz w:val="20"/>
          <w:szCs w:val="20"/>
          <w:color w:val="auto"/>
        </w:rPr>
      </w:pPr>
    </w:p>
    <w:p>
      <w:pPr>
        <w:jc w:val="center"/>
        <w:ind w:right="100"/>
        <w:spacing w:after="0"/>
        <w:rPr>
          <w:sz w:val="20"/>
          <w:szCs w:val="20"/>
          <w:color w:val="auto"/>
        </w:rPr>
      </w:pPr>
      <w:r>
        <w:rPr>
          <w:rFonts w:ascii="Arial" w:cs="Arial" w:eastAsia="Arial" w:hAnsi="Arial"/>
          <w:sz w:val="18"/>
          <w:szCs w:val="18"/>
          <w:color w:val="auto"/>
        </w:rPr>
        <w:t>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61595</wp:posOffset>
            </wp:positionV>
            <wp:extent cx="7157720" cy="42545"/>
            <wp:wrapNone/>
            <wp:docPr id="232" name="Picture 2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2"/>
                    <pic:cNvPicPr>
                      <a:picLocks noChangeAspect="1" noChangeArrowheads="1"/>
                    </pic:cNvPicPr>
                  </pic:nvPicPr>
                  <pic:blipFill>
                    <a:blip r:embed="rId23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340"/>
          </w:cols>
          <w:pgMar w:left="320" w:top="678" w:right="239" w:bottom="1440" w:gutter="0" w:footer="0" w:header="0"/>
        </w:sectPr>
      </w:pPr>
    </w:p>
    <w:bookmarkStart w:id="30" w:name="page31"/>
    <w:bookmarkEnd w:id="30"/>
    <w:p>
      <w:pPr>
        <w:ind w:right="60"/>
        <w:spacing w:after="0" w:line="277" w:lineRule="auto"/>
        <w:rPr>
          <w:sz w:val="20"/>
          <w:szCs w:val="20"/>
          <w:color w:val="auto"/>
        </w:rPr>
      </w:pPr>
      <w:r>
        <w:rPr>
          <w:rFonts w:ascii="Arial" w:cs="Arial" w:eastAsia="Arial" w:hAnsi="Arial"/>
          <w:sz w:val="18"/>
          <w:szCs w:val="18"/>
          <w:color w:val="auto"/>
        </w:rPr>
        <w:t>support organizations. In the long term, we expect our gross profit to increase in dollar amount and our gross margin to improve as we optimize our system performance and leverage ingested data for new products.</w:t>
      </w:r>
    </w:p>
    <w:p>
      <w:pPr>
        <w:spacing w:after="0" w:line="26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Operating Expenses</w:t>
      </w:r>
    </w:p>
    <w:p>
      <w:pPr>
        <w:spacing w:after="0" w:line="103" w:lineRule="exact"/>
        <w:rPr>
          <w:sz w:val="20"/>
          <w:szCs w:val="20"/>
          <w:color w:val="auto"/>
        </w:rPr>
      </w:pPr>
    </w:p>
    <w:p>
      <w:pPr>
        <w:ind w:firstLine="509"/>
        <w:spacing w:after="0" w:line="244" w:lineRule="auto"/>
        <w:rPr>
          <w:sz w:val="20"/>
          <w:szCs w:val="20"/>
          <w:color w:val="auto"/>
        </w:rPr>
      </w:pPr>
      <w:r>
        <w:rPr>
          <w:rFonts w:ascii="Arial" w:cs="Arial" w:eastAsia="Arial" w:hAnsi="Arial"/>
          <w:sz w:val="18"/>
          <w:szCs w:val="18"/>
          <w:color w:val="auto"/>
        </w:rPr>
        <w:t>Our operating expenses consist of research and development, sales and marketing, and general and administrative expenses. Personnel-related expenses are the most significant component of operating expenses and consist of salaries, benefits, stock-based compensation expense, and, in the case of sales and marketing expenses, sales commissions. Operating expenses also include an allocation of overhead costs for facilities and shared IT-related expenses. As we continue to invest in our business, we expect our operating expenses to continue to increase in dollar amount, and although we believe our operating expenses as a percentage of revenue will decrease over the longer term, we expect operating expenses as a percentage of revenue will increase in the short term as we invest in product innovation and sales growth and incur additional professional services and compliance costs as we operate as a public company.</w:t>
      </w:r>
    </w:p>
    <w:p>
      <w:pPr>
        <w:spacing w:after="0" w:line="29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Research and Development</w:t>
      </w:r>
    </w:p>
    <w:p>
      <w:pPr>
        <w:spacing w:after="0" w:line="117" w:lineRule="exact"/>
        <w:rPr>
          <w:sz w:val="20"/>
          <w:szCs w:val="20"/>
          <w:color w:val="auto"/>
        </w:rPr>
      </w:pPr>
    </w:p>
    <w:p>
      <w:pPr>
        <w:ind w:right="120" w:firstLine="509"/>
        <w:spacing w:after="0" w:line="277" w:lineRule="auto"/>
        <w:rPr>
          <w:sz w:val="20"/>
          <w:szCs w:val="20"/>
          <w:color w:val="auto"/>
        </w:rPr>
      </w:pPr>
      <w:r>
        <w:rPr>
          <w:rFonts w:ascii="Arial" w:cs="Arial" w:eastAsia="Arial" w:hAnsi="Arial"/>
          <w:sz w:val="16"/>
          <w:szCs w:val="16"/>
          <w:color w:val="auto"/>
        </w:rPr>
        <w:t>Research and development expenses consist primarily of personnel-related expenses. These expenses also include product design costs prior to the application development stage, third-party services and consulting expenses, software subscriptions, and allocated overhead costs for overhead used in research and development activities. A substantial portion of our research and development efforts are focused on enhancing our software, including researching ways to add new features and functionality to our platform. We anticipate continuing to invest in innovation and technology development, and as a result, we expect research and development expenses to continue to increase in dollar amount but to decrease as a percentage of revenue over the longer term, although the percentage may fluctuate from quarter to quarter depending on the extent and timing of product development initiatives. In the short term, we expect research and development costs to increase as a percentage of revenue as we invest in product innovation. We also anticipate additional stock-based compensation expense in future periods due to planned increases in headcount and associated new hire grants.</w:t>
      </w:r>
    </w:p>
    <w:p>
      <w:pPr>
        <w:spacing w:after="0" w:line="27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Sales and Marketing</w:t>
      </w:r>
    </w:p>
    <w:p>
      <w:pPr>
        <w:spacing w:after="0" w:line="117" w:lineRule="exact"/>
        <w:rPr>
          <w:sz w:val="20"/>
          <w:szCs w:val="20"/>
          <w:color w:val="auto"/>
        </w:rPr>
      </w:pPr>
    </w:p>
    <w:p>
      <w:pPr>
        <w:ind w:right="240" w:firstLine="509"/>
        <w:spacing w:after="0" w:line="248" w:lineRule="auto"/>
        <w:rPr>
          <w:sz w:val="20"/>
          <w:szCs w:val="20"/>
          <w:color w:val="auto"/>
        </w:rPr>
      </w:pPr>
      <w:r>
        <w:rPr>
          <w:rFonts w:ascii="Arial" w:cs="Arial" w:eastAsia="Arial" w:hAnsi="Arial"/>
          <w:sz w:val="18"/>
          <w:szCs w:val="18"/>
          <w:color w:val="auto"/>
        </w:rPr>
        <w:t>Sales and marketing expenses consist primarily of personnel-related expenses and expenses for performance marketing and lead generation, and brand marketing. These expenses also include allocated overhead costs and travel-related expenses. Sales commissions earned by our sales force that are considered incremental and recoverable costs of obtaining a subscription with a customer are deferred and amortized on a straight-line basis over the expected period of benefit of five years.</w:t>
      </w:r>
    </w:p>
    <w:p>
      <w:pPr>
        <w:spacing w:after="0" w:line="183" w:lineRule="exact"/>
        <w:rPr>
          <w:sz w:val="20"/>
          <w:szCs w:val="20"/>
          <w:color w:val="auto"/>
        </w:rPr>
      </w:pPr>
    </w:p>
    <w:p>
      <w:pPr>
        <w:ind w:right="20" w:firstLine="509"/>
        <w:spacing w:after="0" w:line="283" w:lineRule="auto"/>
        <w:rPr>
          <w:sz w:val="20"/>
          <w:szCs w:val="20"/>
          <w:color w:val="auto"/>
        </w:rPr>
      </w:pPr>
      <w:r>
        <w:rPr>
          <w:rFonts w:ascii="Arial" w:cs="Arial" w:eastAsia="Arial" w:hAnsi="Arial"/>
          <w:sz w:val="16"/>
          <w:szCs w:val="16"/>
          <w:color w:val="auto"/>
        </w:rPr>
        <w:t>We continue to make investments in our sales and marketing organization, and we expect sales and marketing expenses to remain our largest operating expense in dollar amount. We expect our sales and marketing expenses to continue to increase in dollar amount but to decrease as a percentage of revenue over the longer term, although the percentage may fluctuate from quarter to quarter depending on the extent and timing of our marketing initiatives. In the short term, we expect sales and marketing costs to increase as a percentage of revenue as we invest in product sales growth. We also anticipate additional stock-based compensation expense in future periods due to planned increases in headcount and associated new hire grants.</w:t>
      </w:r>
    </w:p>
    <w:p>
      <w:pPr>
        <w:spacing w:after="0" w:line="26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General and Administrative</w:t>
      </w:r>
    </w:p>
    <w:p>
      <w:pPr>
        <w:spacing w:after="0" w:line="117" w:lineRule="exact"/>
        <w:rPr>
          <w:sz w:val="20"/>
          <w:szCs w:val="20"/>
          <w:color w:val="auto"/>
        </w:rPr>
      </w:pPr>
    </w:p>
    <w:p>
      <w:pPr>
        <w:jc w:val="both"/>
        <w:ind w:right="40" w:firstLine="509"/>
        <w:spacing w:after="0" w:line="247" w:lineRule="auto"/>
        <w:rPr>
          <w:sz w:val="20"/>
          <w:szCs w:val="20"/>
          <w:color w:val="auto"/>
        </w:rPr>
      </w:pPr>
      <w:r>
        <w:rPr>
          <w:rFonts w:ascii="Arial" w:cs="Arial" w:eastAsia="Arial" w:hAnsi="Arial"/>
          <w:sz w:val="18"/>
          <w:szCs w:val="18"/>
          <w:color w:val="auto"/>
        </w:rPr>
        <w:t>General and administrative expenses consist primarily of personnel-related expenses for our finance, human resources, information technology, and legal organizations. These expenses also include non-personnel costs, such as outside legal, accounting, and other professional fees, software subscriptions, as well as certain tax, license, and insurance-related expenses, and allocated overhead costs.</w:t>
      </w:r>
    </w:p>
    <w:p>
      <w:pPr>
        <w:spacing w:after="0" w:line="197" w:lineRule="exact"/>
        <w:rPr>
          <w:sz w:val="20"/>
          <w:szCs w:val="20"/>
          <w:color w:val="auto"/>
        </w:rPr>
      </w:pPr>
    </w:p>
    <w:p>
      <w:pPr>
        <w:ind w:firstLine="509"/>
        <w:spacing w:after="0" w:line="257" w:lineRule="auto"/>
        <w:rPr>
          <w:sz w:val="20"/>
          <w:szCs w:val="20"/>
          <w:color w:val="auto"/>
        </w:rPr>
      </w:pPr>
      <w:r>
        <w:rPr>
          <w:rFonts w:ascii="Arial" w:cs="Arial" w:eastAsia="Arial" w:hAnsi="Arial"/>
          <w:sz w:val="17"/>
          <w:szCs w:val="17"/>
          <w:color w:val="auto"/>
        </w:rPr>
        <w:t>We have also incurred certain expenses as part of operating as a publicly-traded company, including professional fees and other expenses. We expect to continue to incur additional expenses as a result of operating as a public company, including costs to comply with the rules and regulations applicable to companies listed on the Nasdaq Capital Market LLC and costs related to compliance and reporting obligations pursuant to the rules and regulations of the Securities and Exchange Commission. In addition, as a public company, we incur additional costs associated with accounting, compliance, insurance, and investor relations. As a result, we expect our general and administrative expenses to continue to increase in dollar amount for the foreseeable future but to generally decrease as a percentage of our revenue over the longer term, although the percentage may fluctuate from period to period depending on the timing and amount of our general and administrative expenses, including in the short term as we expect to incur increased compliance and professional service costs. We also anticipate additional stock-based compensation expense in future periods due to planned increases in headcount and associated new hire grants.</w:t>
      </w:r>
    </w:p>
    <w:p>
      <w:pPr>
        <w:spacing w:after="0" w:line="7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233" name="Picture 2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3"/>
                    <pic:cNvPicPr>
                      <a:picLocks noChangeAspect="1" noChangeArrowheads="1"/>
                    </pic:cNvPicPr>
                  </pic:nvPicPr>
                  <pic:blipFill>
                    <a:blip r:embed="rId24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435" w:right="359" w:bottom="1440" w:gutter="0" w:footer="0" w:header="0"/>
        </w:sectPr>
      </w:pPr>
    </w:p>
    <w:bookmarkStart w:id="31" w:name="page32"/>
    <w:bookmarkEnd w:id="31"/>
    <w:p>
      <w:pPr>
        <w:spacing w:after="0"/>
        <w:rPr>
          <w:sz w:val="20"/>
          <w:szCs w:val="20"/>
          <w:color w:val="auto"/>
        </w:rPr>
      </w:pPr>
      <w:r>
        <w:rPr>
          <w:rFonts w:ascii="Arial" w:cs="Arial" w:eastAsia="Arial" w:hAnsi="Arial"/>
          <w:sz w:val="18"/>
          <w:szCs w:val="18"/>
          <w:b w:val="1"/>
          <w:bCs w:val="1"/>
          <w:i w:val="1"/>
          <w:iCs w:val="1"/>
          <w:color w:val="auto"/>
        </w:rPr>
        <w:t>Other Income, Net</w:t>
      </w:r>
    </w:p>
    <w:p>
      <w:pPr>
        <w:spacing w:after="0" w:line="117" w:lineRule="exact"/>
        <w:rPr>
          <w:sz w:val="20"/>
          <w:szCs w:val="20"/>
          <w:color w:val="auto"/>
        </w:rPr>
      </w:pPr>
    </w:p>
    <w:p>
      <w:pPr>
        <w:ind w:left="520"/>
        <w:spacing w:after="0"/>
        <w:rPr>
          <w:sz w:val="20"/>
          <w:szCs w:val="20"/>
          <w:color w:val="auto"/>
        </w:rPr>
      </w:pPr>
      <w:r>
        <w:rPr>
          <w:rFonts w:ascii="Arial" w:cs="Arial" w:eastAsia="Arial" w:hAnsi="Arial"/>
          <w:sz w:val="18"/>
          <w:szCs w:val="18"/>
          <w:color w:val="auto"/>
        </w:rPr>
        <w:t>Other income, net consists primarily of interest income on our cash holdings offset by foreign currency transaction gains and losses.</w:t>
      </w:r>
    </w:p>
    <w:p>
      <w:pPr>
        <w:spacing w:after="0" w:line="31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Provision for (Benefit from) Income Taxes</w:t>
      </w:r>
    </w:p>
    <w:p>
      <w:pPr>
        <w:spacing w:after="0" w:line="103" w:lineRule="exact"/>
        <w:rPr>
          <w:sz w:val="20"/>
          <w:szCs w:val="20"/>
          <w:color w:val="auto"/>
        </w:rPr>
      </w:pPr>
    </w:p>
    <w:p>
      <w:pPr>
        <w:ind w:right="100" w:firstLine="509"/>
        <w:spacing w:after="0" w:line="263" w:lineRule="auto"/>
        <w:rPr>
          <w:sz w:val="20"/>
          <w:szCs w:val="20"/>
          <w:color w:val="auto"/>
        </w:rPr>
      </w:pPr>
      <w:r>
        <w:rPr>
          <w:rFonts w:ascii="Arial" w:cs="Arial" w:eastAsia="Arial" w:hAnsi="Arial"/>
          <w:sz w:val="17"/>
          <w:szCs w:val="17"/>
          <w:color w:val="auto"/>
        </w:rPr>
        <w:t>Provision for (benefit from) income taxes consists primarily of income taxes in certain foreign jurisdictions in which we conduct business. To date, we have not recorded any U.S. federal income tax expense, and our state and foreign income tax expenses have not been material. We have recorded deferred tax assets for U.S. federal income taxes for which we provide a full valuation allowance. These deferred tax assets primarily include net operating loss carryforwards of $415.8 million and tax credit carryforwards of $5.4 million, net of reserves as of December 31, 2021, which begin expiring in 2032 and 2033, respectively. We expect to maintain this full valuation allowance in U.S. jurisdictions for the foreseeable future as it is not more likely than not the deferred tax assets will be realized based on our history of losses.</w:t>
      </w:r>
    </w:p>
    <w:p>
      <w:pPr>
        <w:spacing w:after="0" w:line="27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Results of Operations</w:t>
      </w:r>
    </w:p>
    <w:p>
      <w:pPr>
        <w:spacing w:after="0" w:line="107" w:lineRule="exact"/>
        <w:rPr>
          <w:sz w:val="20"/>
          <w:szCs w:val="20"/>
          <w:color w:val="auto"/>
        </w:rPr>
      </w:pPr>
    </w:p>
    <w:p>
      <w:pPr>
        <w:ind w:right="60" w:firstLine="509"/>
        <w:spacing w:after="0" w:line="277" w:lineRule="auto"/>
        <w:rPr>
          <w:sz w:val="20"/>
          <w:szCs w:val="20"/>
          <w:color w:val="auto"/>
        </w:rPr>
      </w:pPr>
      <w:r>
        <w:rPr>
          <w:rFonts w:ascii="Arial" w:cs="Arial" w:eastAsia="Arial" w:hAnsi="Arial"/>
          <w:sz w:val="18"/>
          <w:szCs w:val="18"/>
          <w:color w:val="auto"/>
        </w:rPr>
        <w:t>The following tables set forth our results of operations for the periods presented and as a percentage of our revenue for those periods. The period-to-period comparison of financial results is not necessarily indicative of financial results to be achieved in future periods.</w:t>
      </w:r>
    </w:p>
    <w:p>
      <w:pPr>
        <w:spacing w:after="0" w:line="120"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464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2380" w:type="dxa"/>
            <w:vAlign w:val="bottom"/>
            <w:gridSpan w:val="3"/>
          </w:tcPr>
          <w:p>
            <w:pPr>
              <w:jc w:val="right"/>
              <w:ind w:right="130"/>
              <w:spacing w:after="0"/>
              <w:rPr>
                <w:sz w:val="20"/>
                <w:szCs w:val="20"/>
                <w:color w:val="auto"/>
              </w:rPr>
            </w:pPr>
            <w:r>
              <w:rPr>
                <w:rFonts w:ascii="Arial" w:cs="Arial" w:eastAsia="Arial" w:hAnsi="Arial"/>
                <w:sz w:val="18"/>
                <w:szCs w:val="18"/>
                <w:b w:val="1"/>
                <w:bCs w:val="1"/>
                <w:color w:val="auto"/>
              </w:rPr>
              <w:t>Three Months Ended</w:t>
            </w:r>
          </w:p>
        </w:tc>
        <w:tc>
          <w:tcPr>
            <w:tcW w:w="62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2680" w:type="dxa"/>
            <w:vAlign w:val="bottom"/>
            <w:gridSpan w:val="5"/>
          </w:tcPr>
          <w:p>
            <w:pPr>
              <w:jc w:val="right"/>
              <w:ind w:right="721"/>
              <w:spacing w:after="0"/>
              <w:rPr>
                <w:sz w:val="20"/>
                <w:szCs w:val="20"/>
                <w:color w:val="auto"/>
              </w:rPr>
            </w:pPr>
            <w:r>
              <w:rPr>
                <w:rFonts w:ascii="Arial" w:cs="Arial" w:eastAsia="Arial" w:hAnsi="Arial"/>
                <w:sz w:val="18"/>
                <w:szCs w:val="18"/>
                <w:b w:val="1"/>
                <w:bCs w:val="1"/>
                <w:color w:val="auto"/>
              </w:rPr>
              <w:t>Nine Months Ended</w:t>
            </w:r>
          </w:p>
        </w:tc>
      </w:tr>
      <w:tr>
        <w:trPr>
          <w:trHeight w:val="234"/>
        </w:trPr>
        <w:tc>
          <w:tcPr>
            <w:tcW w:w="4640" w:type="dxa"/>
            <w:vAlign w:val="bottom"/>
          </w:tcPr>
          <w:p>
            <w:pPr>
              <w:spacing w:after="0"/>
              <w:rPr>
                <w:sz w:val="20"/>
                <w:szCs w:val="20"/>
                <w:color w:val="auto"/>
              </w:rPr>
            </w:pPr>
          </w:p>
        </w:tc>
        <w:tc>
          <w:tcPr>
            <w:tcW w:w="300" w:type="dxa"/>
            <w:vAlign w:val="bottom"/>
            <w:tcBorders>
              <w:bottom w:val="single" w:sz="8" w:color="auto"/>
            </w:tcBorders>
          </w:tcPr>
          <w:p>
            <w:pPr>
              <w:spacing w:after="0"/>
              <w:rPr>
                <w:sz w:val="20"/>
                <w:szCs w:val="20"/>
                <w:color w:val="auto"/>
              </w:rPr>
            </w:pPr>
          </w:p>
        </w:tc>
        <w:tc>
          <w:tcPr>
            <w:tcW w:w="2380" w:type="dxa"/>
            <w:vAlign w:val="bottom"/>
            <w:tcBorders>
              <w:bottom w:val="single" w:sz="8" w:color="auto"/>
            </w:tcBorders>
            <w:gridSpan w:val="3"/>
          </w:tcPr>
          <w:p>
            <w:pPr>
              <w:jc w:val="right"/>
              <w:ind w:right="390"/>
              <w:spacing w:after="0"/>
              <w:rPr>
                <w:sz w:val="20"/>
                <w:szCs w:val="20"/>
                <w:color w:val="auto"/>
              </w:rPr>
            </w:pPr>
            <w:r>
              <w:rPr>
                <w:rFonts w:ascii="Arial" w:cs="Arial" w:eastAsia="Arial" w:hAnsi="Arial"/>
                <w:sz w:val="18"/>
                <w:szCs w:val="18"/>
                <w:b w:val="1"/>
                <w:bCs w:val="1"/>
                <w:color w:val="auto"/>
              </w:rPr>
              <w:t>September 30,</w:t>
            </w:r>
          </w:p>
        </w:tc>
        <w:tc>
          <w:tcPr>
            <w:tcW w:w="620" w:type="dxa"/>
            <w:vAlign w:val="bottom"/>
            <w:tcBorders>
              <w:bottom w:val="single" w:sz="8" w:color="auto"/>
            </w:tcBorders>
          </w:tcPr>
          <w:p>
            <w:pPr>
              <w:spacing w:after="0"/>
              <w:rPr>
                <w:sz w:val="20"/>
                <w:szCs w:val="20"/>
                <w:color w:val="auto"/>
              </w:rPr>
            </w:pPr>
          </w:p>
        </w:tc>
        <w:tc>
          <w:tcPr>
            <w:tcW w:w="260" w:type="dxa"/>
            <w:vAlign w:val="bottom"/>
          </w:tcPr>
          <w:p>
            <w:pPr>
              <w:spacing w:after="0"/>
              <w:rPr>
                <w:sz w:val="20"/>
                <w:szCs w:val="20"/>
                <w:color w:val="auto"/>
              </w:rPr>
            </w:pPr>
          </w:p>
        </w:tc>
        <w:tc>
          <w:tcPr>
            <w:tcW w:w="360" w:type="dxa"/>
            <w:vAlign w:val="bottom"/>
            <w:tcBorders>
              <w:bottom w:val="single" w:sz="8" w:color="auto"/>
            </w:tcBorders>
          </w:tcPr>
          <w:p>
            <w:pPr>
              <w:spacing w:after="0"/>
              <w:rPr>
                <w:sz w:val="20"/>
                <w:szCs w:val="20"/>
                <w:color w:val="auto"/>
              </w:rPr>
            </w:pPr>
          </w:p>
        </w:tc>
        <w:tc>
          <w:tcPr>
            <w:tcW w:w="1680" w:type="dxa"/>
            <w:vAlign w:val="bottom"/>
            <w:tcBorders>
              <w:bottom w:val="single" w:sz="8" w:color="auto"/>
            </w:tcBorders>
            <w:gridSpan w:val="3"/>
          </w:tcPr>
          <w:p>
            <w:pPr>
              <w:jc w:val="right"/>
              <w:spacing w:after="0"/>
              <w:rPr>
                <w:sz w:val="20"/>
                <w:szCs w:val="20"/>
                <w:color w:val="auto"/>
              </w:rPr>
            </w:pPr>
            <w:r>
              <w:rPr>
                <w:rFonts w:ascii="Arial" w:cs="Arial" w:eastAsia="Arial" w:hAnsi="Arial"/>
                <w:sz w:val="18"/>
                <w:szCs w:val="18"/>
                <w:b w:val="1"/>
                <w:bCs w:val="1"/>
                <w:color w:val="auto"/>
              </w:rPr>
              <w:t>September 30,</w:t>
            </w:r>
          </w:p>
        </w:tc>
        <w:tc>
          <w:tcPr>
            <w:tcW w:w="900" w:type="dxa"/>
            <w:vAlign w:val="bottom"/>
            <w:tcBorders>
              <w:bottom w:val="single" w:sz="8" w:color="auto"/>
            </w:tcBorders>
          </w:tcPr>
          <w:p>
            <w:pPr>
              <w:spacing w:after="0"/>
              <w:rPr>
                <w:sz w:val="20"/>
                <w:szCs w:val="20"/>
                <w:color w:val="auto"/>
              </w:rPr>
            </w:pPr>
          </w:p>
        </w:tc>
        <w:tc>
          <w:tcPr>
            <w:tcW w:w="100" w:type="dxa"/>
            <w:vAlign w:val="bottom"/>
          </w:tcPr>
          <w:p>
            <w:pPr>
              <w:spacing w:after="0"/>
              <w:rPr>
                <w:sz w:val="20"/>
                <w:szCs w:val="20"/>
                <w:color w:val="auto"/>
              </w:rPr>
            </w:pPr>
          </w:p>
        </w:tc>
      </w:tr>
      <w:tr>
        <w:trPr>
          <w:trHeight w:val="209"/>
        </w:trPr>
        <w:tc>
          <w:tcPr>
            <w:tcW w:w="4640" w:type="dxa"/>
            <w:vAlign w:val="bottom"/>
          </w:tcPr>
          <w:p>
            <w:pPr>
              <w:spacing w:after="0"/>
              <w:rPr>
                <w:sz w:val="18"/>
                <w:szCs w:val="18"/>
                <w:color w:val="auto"/>
              </w:rPr>
            </w:pPr>
          </w:p>
        </w:tc>
        <w:tc>
          <w:tcPr>
            <w:tcW w:w="300" w:type="dxa"/>
            <w:vAlign w:val="bottom"/>
            <w:tcBorders>
              <w:bottom w:val="single" w:sz="8" w:color="auto"/>
            </w:tcBorders>
          </w:tcPr>
          <w:p>
            <w:pPr>
              <w:spacing w:after="0"/>
              <w:rPr>
                <w:sz w:val="18"/>
                <w:szCs w:val="18"/>
                <w:color w:val="auto"/>
              </w:rPr>
            </w:pPr>
          </w:p>
        </w:tc>
        <w:tc>
          <w:tcPr>
            <w:tcW w:w="1060" w:type="dxa"/>
            <w:vAlign w:val="bottom"/>
            <w:tcBorders>
              <w:bottom w:val="single" w:sz="8" w:color="auto"/>
            </w:tcBorders>
          </w:tcPr>
          <w:p>
            <w:pPr>
              <w:jc w:val="right"/>
              <w:ind w:right="410"/>
              <w:spacing w:after="0"/>
              <w:rPr>
                <w:sz w:val="20"/>
                <w:szCs w:val="20"/>
                <w:color w:val="auto"/>
              </w:rPr>
            </w:pPr>
            <w:r>
              <w:rPr>
                <w:rFonts w:ascii="Arial" w:cs="Arial" w:eastAsia="Arial" w:hAnsi="Arial"/>
                <w:sz w:val="18"/>
                <w:szCs w:val="18"/>
                <w:b w:val="1"/>
                <w:bCs w:val="1"/>
                <w:color w:val="auto"/>
              </w:rPr>
              <w:t>2022</w:t>
            </w:r>
          </w:p>
        </w:tc>
        <w:tc>
          <w:tcPr>
            <w:tcW w:w="300" w:type="dxa"/>
            <w:vAlign w:val="bottom"/>
          </w:tcPr>
          <w:p>
            <w:pPr>
              <w:spacing w:after="0"/>
              <w:rPr>
                <w:sz w:val="18"/>
                <w:szCs w:val="18"/>
                <w:color w:val="auto"/>
              </w:rPr>
            </w:pP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2021</w:t>
            </w:r>
          </w:p>
        </w:tc>
        <w:tc>
          <w:tcPr>
            <w:tcW w:w="620" w:type="dxa"/>
            <w:vAlign w:val="bottom"/>
            <w:tcBorders>
              <w:bottom w:val="single" w:sz="8" w:color="auto"/>
            </w:tcBorders>
          </w:tcPr>
          <w:p>
            <w:pPr>
              <w:spacing w:after="0"/>
              <w:rPr>
                <w:sz w:val="18"/>
                <w:szCs w:val="18"/>
                <w:color w:val="auto"/>
              </w:rPr>
            </w:pPr>
          </w:p>
        </w:tc>
        <w:tc>
          <w:tcPr>
            <w:tcW w:w="260" w:type="dxa"/>
            <w:vAlign w:val="bottom"/>
          </w:tcPr>
          <w:p>
            <w:pPr>
              <w:spacing w:after="0"/>
              <w:rPr>
                <w:sz w:val="18"/>
                <w:szCs w:val="18"/>
                <w:color w:val="auto"/>
              </w:rPr>
            </w:pPr>
          </w:p>
        </w:tc>
        <w:tc>
          <w:tcPr>
            <w:tcW w:w="360" w:type="dxa"/>
            <w:vAlign w:val="bottom"/>
            <w:tcBorders>
              <w:bottom w:val="single" w:sz="8" w:color="auto"/>
            </w:tcBorders>
          </w:tcPr>
          <w:p>
            <w:pPr>
              <w:spacing w:after="0"/>
              <w:rPr>
                <w:sz w:val="18"/>
                <w:szCs w:val="18"/>
                <w:color w:val="auto"/>
              </w:rPr>
            </w:pPr>
          </w:p>
        </w:tc>
        <w:tc>
          <w:tcPr>
            <w:tcW w:w="960" w:type="dxa"/>
            <w:vAlign w:val="bottom"/>
            <w:tcBorders>
              <w:bottom w:val="single" w:sz="8" w:color="auto"/>
            </w:tcBorders>
          </w:tcPr>
          <w:p>
            <w:pPr>
              <w:jc w:val="right"/>
              <w:ind w:right="390"/>
              <w:spacing w:after="0"/>
              <w:rPr>
                <w:sz w:val="20"/>
                <w:szCs w:val="20"/>
                <w:color w:val="auto"/>
              </w:rPr>
            </w:pPr>
            <w:r>
              <w:rPr>
                <w:rFonts w:ascii="Arial" w:cs="Arial" w:eastAsia="Arial" w:hAnsi="Arial"/>
                <w:sz w:val="18"/>
                <w:szCs w:val="18"/>
                <w:b w:val="1"/>
                <w:bCs w:val="1"/>
                <w:color w:val="auto"/>
              </w:rPr>
              <w:t>2022</w:t>
            </w:r>
          </w:p>
        </w:tc>
        <w:tc>
          <w:tcPr>
            <w:tcW w:w="260" w:type="dxa"/>
            <w:vAlign w:val="bottom"/>
          </w:tcPr>
          <w:p>
            <w:pPr>
              <w:spacing w:after="0"/>
              <w:rPr>
                <w:sz w:val="18"/>
                <w:szCs w:val="18"/>
                <w:color w:val="auto"/>
              </w:rPr>
            </w:pPr>
          </w:p>
        </w:tc>
        <w:tc>
          <w:tcPr>
            <w:tcW w:w="460" w:type="dxa"/>
            <w:vAlign w:val="bottom"/>
            <w:tcBorders>
              <w:bottom w:val="single" w:sz="8" w:color="auto"/>
            </w:tcBorders>
          </w:tcPr>
          <w:p>
            <w:pPr>
              <w:spacing w:after="0"/>
              <w:rPr>
                <w:sz w:val="18"/>
                <w:szCs w:val="18"/>
                <w:color w:val="auto"/>
              </w:rPr>
            </w:pPr>
          </w:p>
        </w:tc>
        <w:tc>
          <w:tcPr>
            <w:tcW w:w="900" w:type="dxa"/>
            <w:vAlign w:val="bottom"/>
            <w:tcBorders>
              <w:bottom w:val="single" w:sz="8" w:color="auto"/>
            </w:tcBorders>
          </w:tcPr>
          <w:p>
            <w:pPr>
              <w:jc w:val="right"/>
              <w:ind w:right="410"/>
              <w:spacing w:after="0"/>
              <w:rPr>
                <w:sz w:val="20"/>
                <w:szCs w:val="20"/>
                <w:color w:val="auto"/>
              </w:rPr>
            </w:pPr>
            <w:r>
              <w:rPr>
                <w:rFonts w:ascii="Arial" w:cs="Arial" w:eastAsia="Arial" w:hAnsi="Arial"/>
                <w:sz w:val="18"/>
                <w:szCs w:val="18"/>
                <w:b w:val="1"/>
                <w:bCs w:val="1"/>
                <w:color w:val="auto"/>
                <w:w w:val="94"/>
              </w:rPr>
              <w:t>2021</w:t>
            </w:r>
          </w:p>
        </w:tc>
        <w:tc>
          <w:tcPr>
            <w:tcW w:w="100" w:type="dxa"/>
            <w:vAlign w:val="bottom"/>
          </w:tcPr>
          <w:p>
            <w:pPr>
              <w:spacing w:after="0"/>
              <w:rPr>
                <w:sz w:val="18"/>
                <w:szCs w:val="18"/>
                <w:color w:val="auto"/>
              </w:rPr>
            </w:pPr>
          </w:p>
        </w:tc>
      </w:tr>
      <w:tr>
        <w:trPr>
          <w:trHeight w:val="209"/>
        </w:trPr>
        <w:tc>
          <w:tcPr>
            <w:tcW w:w="464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1240" w:type="dxa"/>
            <w:vAlign w:val="bottom"/>
            <w:gridSpan w:val="3"/>
          </w:tcPr>
          <w:p>
            <w:pPr>
              <w:jc w:val="right"/>
              <w:ind w:right="50"/>
              <w:spacing w:after="0"/>
              <w:rPr>
                <w:sz w:val="20"/>
                <w:szCs w:val="20"/>
                <w:color w:val="auto"/>
              </w:rPr>
            </w:pPr>
            <w:r>
              <w:rPr>
                <w:rFonts w:ascii="Arial" w:cs="Arial" w:eastAsia="Arial" w:hAnsi="Arial"/>
                <w:sz w:val="18"/>
                <w:szCs w:val="18"/>
                <w:b w:val="1"/>
                <w:bCs w:val="1"/>
                <w:i w:val="1"/>
                <w:iCs w:val="1"/>
                <w:color w:val="auto"/>
                <w:w w:val="87"/>
              </w:rPr>
              <w:t>(in thousands)</w:t>
            </w:r>
          </w:p>
        </w:tc>
        <w:tc>
          <w:tcPr>
            <w:tcW w:w="9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4640" w:type="dxa"/>
            <w:vAlign w:val="bottom"/>
            <w:shd w:val="clear" w:color="auto" w:fill="CFF0FC"/>
          </w:tcPr>
          <w:p>
            <w:pPr>
              <w:ind w:left="20"/>
              <w:spacing w:after="0"/>
              <w:rPr>
                <w:sz w:val="20"/>
                <w:szCs w:val="20"/>
                <w:color w:val="auto"/>
              </w:rPr>
            </w:pPr>
            <w:r>
              <w:rPr>
                <w:rFonts w:ascii="Arial" w:cs="Arial" w:eastAsia="Arial" w:hAnsi="Arial"/>
                <w:sz w:val="18"/>
                <w:szCs w:val="18"/>
                <w:color w:val="auto"/>
              </w:rPr>
              <w:t>Revenue</w:t>
            </w:r>
          </w:p>
        </w:tc>
        <w:tc>
          <w:tcPr>
            <w:tcW w:w="300" w:type="dxa"/>
            <w:vAlign w:val="bottom"/>
            <w:shd w:val="clear" w:color="auto" w:fill="CFF0FC"/>
          </w:tcPr>
          <w:p>
            <w:pPr>
              <w:jc w:val="right"/>
              <w:ind w:right="110"/>
              <w:spacing w:after="0"/>
              <w:rPr>
                <w:sz w:val="20"/>
                <w:szCs w:val="20"/>
                <w:color w:val="auto"/>
              </w:rPr>
            </w:pPr>
            <w:r>
              <w:rPr>
                <w:rFonts w:ascii="Arial" w:cs="Arial" w:eastAsia="Arial" w:hAnsi="Arial"/>
                <w:sz w:val="18"/>
                <w:szCs w:val="18"/>
                <w:color w:val="auto"/>
                <w:w w:val="79"/>
              </w:rPr>
              <w:t>$</w:t>
            </w:r>
          </w:p>
        </w:tc>
        <w:tc>
          <w:tcPr>
            <w:tcW w:w="10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61,614</w:t>
            </w:r>
          </w:p>
        </w:tc>
        <w:tc>
          <w:tcPr>
            <w:tcW w:w="300" w:type="dxa"/>
            <w:vAlign w:val="bottom"/>
            <w:shd w:val="clear" w:color="auto" w:fill="CFF0FC"/>
          </w:tcPr>
          <w:p>
            <w:pPr>
              <w:spacing w:after="0"/>
              <w:rPr>
                <w:sz w:val="18"/>
                <w:szCs w:val="18"/>
                <w:color w:val="auto"/>
              </w:rPr>
            </w:pPr>
          </w:p>
        </w:tc>
        <w:tc>
          <w:tcPr>
            <w:tcW w:w="1020" w:type="dxa"/>
            <w:vAlign w:val="bottom"/>
            <w:shd w:val="clear" w:color="auto" w:fill="CFF0FC"/>
          </w:tcPr>
          <w:p>
            <w:pPr>
              <w:jc w:val="right"/>
              <w:ind w:right="830"/>
              <w:spacing w:after="0"/>
              <w:rPr>
                <w:sz w:val="20"/>
                <w:szCs w:val="20"/>
                <w:color w:val="auto"/>
              </w:rPr>
            </w:pPr>
            <w:r>
              <w:rPr>
                <w:rFonts w:ascii="Arial" w:cs="Arial" w:eastAsia="Arial" w:hAnsi="Arial"/>
                <w:sz w:val="18"/>
                <w:szCs w:val="18"/>
                <w:color w:val="auto"/>
                <w:w w:val="79"/>
              </w:rPr>
              <w:t>$</w:t>
            </w:r>
          </w:p>
        </w:tc>
        <w:tc>
          <w:tcPr>
            <w:tcW w:w="6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45,473</w:t>
            </w:r>
          </w:p>
        </w:tc>
        <w:tc>
          <w:tcPr>
            <w:tcW w:w="260" w:type="dxa"/>
            <w:vAlign w:val="bottom"/>
            <w:shd w:val="clear" w:color="auto" w:fill="CFF0FC"/>
          </w:tcPr>
          <w:p>
            <w:pPr>
              <w:spacing w:after="0"/>
              <w:rPr>
                <w:sz w:val="18"/>
                <w:szCs w:val="18"/>
                <w:color w:val="auto"/>
              </w:rPr>
            </w:pPr>
          </w:p>
        </w:tc>
        <w:tc>
          <w:tcPr>
            <w:tcW w:w="360" w:type="dxa"/>
            <w:vAlign w:val="bottom"/>
            <w:shd w:val="clear" w:color="auto" w:fill="CFF0FC"/>
          </w:tcPr>
          <w:p>
            <w:pPr>
              <w:jc w:val="right"/>
              <w:ind w:right="170"/>
              <w:spacing w:after="0"/>
              <w:rPr>
                <w:sz w:val="20"/>
                <w:szCs w:val="20"/>
                <w:color w:val="auto"/>
              </w:rPr>
            </w:pPr>
            <w:r>
              <w:rPr>
                <w:rFonts w:ascii="Arial" w:cs="Arial" w:eastAsia="Arial" w:hAnsi="Arial"/>
                <w:sz w:val="18"/>
                <w:szCs w:val="18"/>
                <w:color w:val="auto"/>
                <w:w w:val="79"/>
              </w:rPr>
              <w:t>$</w:t>
            </w:r>
          </w:p>
        </w:tc>
        <w:tc>
          <w:tcPr>
            <w:tcW w:w="9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172,809</w:t>
            </w:r>
          </w:p>
        </w:tc>
        <w:tc>
          <w:tcPr>
            <w:tcW w:w="260" w:type="dxa"/>
            <w:vAlign w:val="bottom"/>
            <w:shd w:val="clear" w:color="auto" w:fill="CFF0FC"/>
          </w:tcPr>
          <w:p>
            <w:pPr>
              <w:spacing w:after="0"/>
              <w:rPr>
                <w:sz w:val="18"/>
                <w:szCs w:val="18"/>
                <w:color w:val="auto"/>
              </w:rPr>
            </w:pPr>
          </w:p>
        </w:tc>
        <w:tc>
          <w:tcPr>
            <w:tcW w:w="460" w:type="dxa"/>
            <w:vAlign w:val="bottom"/>
            <w:shd w:val="clear" w:color="auto" w:fill="CFF0FC"/>
          </w:tcPr>
          <w:p>
            <w:pPr>
              <w:jc w:val="right"/>
              <w:ind w:right="270"/>
              <w:spacing w:after="0"/>
              <w:rPr>
                <w:sz w:val="20"/>
                <w:szCs w:val="20"/>
                <w:color w:val="auto"/>
              </w:rPr>
            </w:pPr>
            <w:r>
              <w:rPr>
                <w:rFonts w:ascii="Arial" w:cs="Arial" w:eastAsia="Arial" w:hAnsi="Arial"/>
                <w:sz w:val="18"/>
                <w:szCs w:val="18"/>
                <w:color w:val="auto"/>
                <w:w w:val="79"/>
              </w:rPr>
              <w:t>$</w:t>
            </w:r>
          </w:p>
        </w:tc>
        <w:tc>
          <w:tcPr>
            <w:tcW w:w="9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117,837</w:t>
            </w:r>
          </w:p>
        </w:tc>
        <w:tc>
          <w:tcPr>
            <w:tcW w:w="100" w:type="dxa"/>
            <w:vAlign w:val="bottom"/>
            <w:shd w:val="clear" w:color="auto" w:fill="CFF0FC"/>
          </w:tcPr>
          <w:p>
            <w:pPr>
              <w:spacing w:after="0"/>
              <w:rPr>
                <w:sz w:val="18"/>
                <w:szCs w:val="18"/>
                <w:color w:val="auto"/>
              </w:rPr>
            </w:pPr>
          </w:p>
        </w:tc>
      </w:tr>
      <w:tr>
        <w:trPr>
          <w:trHeight w:val="216"/>
        </w:trPr>
        <w:tc>
          <w:tcPr>
            <w:tcW w:w="4640" w:type="dxa"/>
            <w:vAlign w:val="bottom"/>
          </w:tcPr>
          <w:p>
            <w:pPr>
              <w:ind w:left="20"/>
              <w:spacing w:after="0" w:line="216" w:lineRule="exact"/>
              <w:rPr>
                <w:sz w:val="20"/>
                <w:szCs w:val="20"/>
                <w:color w:val="auto"/>
              </w:rPr>
            </w:pPr>
            <w:r>
              <w:rPr>
                <w:rFonts w:ascii="Arial" w:cs="Arial" w:eastAsia="Arial" w:hAnsi="Arial"/>
                <w:sz w:val="18"/>
                <w:szCs w:val="18"/>
                <w:color w:val="auto"/>
              </w:rPr>
              <w:t>Cost of revenue</w:t>
            </w:r>
            <w:r>
              <w:rPr>
                <w:rFonts w:ascii="Arial" w:cs="Arial" w:eastAsia="Arial" w:hAnsi="Arial"/>
                <w:sz w:val="24"/>
                <w:szCs w:val="24"/>
                <w:color w:val="auto"/>
                <w:vertAlign w:val="superscript"/>
              </w:rPr>
              <w:t>(1)</w:t>
            </w:r>
          </w:p>
        </w:tc>
        <w:tc>
          <w:tcPr>
            <w:tcW w:w="300" w:type="dxa"/>
            <w:vAlign w:val="bottom"/>
            <w:tcBorders>
              <w:bottom w:val="single" w:sz="8" w:color="auto"/>
            </w:tcBorders>
          </w:tcPr>
          <w:p>
            <w:pPr>
              <w:spacing w:after="0"/>
              <w:rPr>
                <w:sz w:val="18"/>
                <w:szCs w:val="18"/>
                <w:color w:val="auto"/>
              </w:rPr>
            </w:pP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18,076</w:t>
            </w:r>
          </w:p>
        </w:tc>
        <w:tc>
          <w:tcPr>
            <w:tcW w:w="300" w:type="dxa"/>
            <w:vAlign w:val="bottom"/>
          </w:tcPr>
          <w:p>
            <w:pPr>
              <w:spacing w:after="0"/>
              <w:rPr>
                <w:sz w:val="18"/>
                <w:szCs w:val="18"/>
                <w:color w:val="auto"/>
              </w:rPr>
            </w:pPr>
          </w:p>
        </w:tc>
        <w:tc>
          <w:tcPr>
            <w:tcW w:w="1020" w:type="dxa"/>
            <w:vAlign w:val="bottom"/>
            <w:tcBorders>
              <w:bottom w:val="single" w:sz="8" w:color="auto"/>
            </w:tcBorders>
          </w:tcPr>
          <w:p>
            <w:pPr>
              <w:spacing w:after="0"/>
              <w:rPr>
                <w:sz w:val="18"/>
                <w:szCs w:val="18"/>
                <w:color w:val="auto"/>
              </w:rPr>
            </w:pPr>
          </w:p>
        </w:tc>
        <w:tc>
          <w:tcPr>
            <w:tcW w:w="6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13,982</w:t>
            </w:r>
          </w:p>
        </w:tc>
        <w:tc>
          <w:tcPr>
            <w:tcW w:w="260" w:type="dxa"/>
            <w:vAlign w:val="bottom"/>
          </w:tcPr>
          <w:p>
            <w:pPr>
              <w:spacing w:after="0"/>
              <w:rPr>
                <w:sz w:val="18"/>
                <w:szCs w:val="18"/>
                <w:color w:val="auto"/>
              </w:rPr>
            </w:pPr>
          </w:p>
        </w:tc>
        <w:tc>
          <w:tcPr>
            <w:tcW w:w="360" w:type="dxa"/>
            <w:vAlign w:val="bottom"/>
            <w:tcBorders>
              <w:bottom w:val="single" w:sz="8" w:color="auto"/>
            </w:tcBorders>
          </w:tcPr>
          <w:p>
            <w:pPr>
              <w:spacing w:after="0"/>
              <w:rPr>
                <w:sz w:val="18"/>
                <w:szCs w:val="18"/>
                <w:color w:val="auto"/>
              </w:rPr>
            </w:pP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51,199</w:t>
            </w:r>
          </w:p>
        </w:tc>
        <w:tc>
          <w:tcPr>
            <w:tcW w:w="260" w:type="dxa"/>
            <w:vAlign w:val="bottom"/>
          </w:tcPr>
          <w:p>
            <w:pPr>
              <w:spacing w:after="0"/>
              <w:rPr>
                <w:sz w:val="18"/>
                <w:szCs w:val="18"/>
                <w:color w:val="auto"/>
              </w:rPr>
            </w:pPr>
          </w:p>
        </w:tc>
        <w:tc>
          <w:tcPr>
            <w:tcW w:w="460" w:type="dxa"/>
            <w:vAlign w:val="bottom"/>
            <w:tcBorders>
              <w:bottom w:val="single" w:sz="8" w:color="auto"/>
            </w:tcBorders>
          </w:tcPr>
          <w:p>
            <w:pPr>
              <w:spacing w:after="0"/>
              <w:rPr>
                <w:sz w:val="18"/>
                <w:szCs w:val="18"/>
                <w:color w:val="auto"/>
              </w:rPr>
            </w:pP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36,372</w:t>
            </w:r>
          </w:p>
        </w:tc>
        <w:tc>
          <w:tcPr>
            <w:tcW w:w="100" w:type="dxa"/>
            <w:vAlign w:val="bottom"/>
          </w:tcPr>
          <w:p>
            <w:pPr>
              <w:spacing w:after="0"/>
              <w:rPr>
                <w:sz w:val="18"/>
                <w:szCs w:val="18"/>
                <w:color w:val="auto"/>
              </w:rPr>
            </w:pPr>
          </w:p>
        </w:tc>
      </w:tr>
      <w:tr>
        <w:trPr>
          <w:trHeight w:val="209"/>
        </w:trPr>
        <w:tc>
          <w:tcPr>
            <w:tcW w:w="4640" w:type="dxa"/>
            <w:vAlign w:val="bottom"/>
            <w:tcBorders>
              <w:bottom w:val="single" w:sz="8" w:color="CFF0FC"/>
            </w:tcBorders>
            <w:shd w:val="clear" w:color="auto" w:fill="CFF0FC"/>
          </w:tcPr>
          <w:p>
            <w:pPr>
              <w:ind w:left="20"/>
              <w:spacing w:after="0"/>
              <w:rPr>
                <w:sz w:val="20"/>
                <w:szCs w:val="20"/>
                <w:color w:val="auto"/>
              </w:rPr>
            </w:pPr>
            <w:r>
              <w:rPr>
                <w:rFonts w:ascii="Arial" w:cs="Arial" w:eastAsia="Arial" w:hAnsi="Arial"/>
                <w:sz w:val="18"/>
                <w:szCs w:val="18"/>
                <w:color w:val="auto"/>
              </w:rPr>
              <w:t>Gross profit</w:t>
            </w:r>
          </w:p>
        </w:tc>
        <w:tc>
          <w:tcPr>
            <w:tcW w:w="300" w:type="dxa"/>
            <w:vAlign w:val="bottom"/>
            <w:tcBorders>
              <w:bottom w:val="single" w:sz="8" w:color="auto"/>
            </w:tcBorders>
            <w:shd w:val="clear" w:color="auto" w:fill="CFF0FC"/>
          </w:tcPr>
          <w:p>
            <w:pPr>
              <w:spacing w:after="0"/>
              <w:rPr>
                <w:sz w:val="18"/>
                <w:szCs w:val="18"/>
                <w:color w:val="auto"/>
              </w:rPr>
            </w:pPr>
          </w:p>
        </w:tc>
        <w:tc>
          <w:tcPr>
            <w:tcW w:w="10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43,538</w:t>
            </w:r>
          </w:p>
        </w:tc>
        <w:tc>
          <w:tcPr>
            <w:tcW w:w="300" w:type="dxa"/>
            <w:vAlign w:val="bottom"/>
            <w:tcBorders>
              <w:bottom w:val="single" w:sz="8" w:color="CFF0FC"/>
            </w:tcBorders>
            <w:shd w:val="clear" w:color="auto" w:fill="CFF0FC"/>
          </w:tcPr>
          <w:p>
            <w:pPr>
              <w:spacing w:after="0"/>
              <w:rPr>
                <w:sz w:val="18"/>
                <w:szCs w:val="18"/>
                <w:color w:val="auto"/>
              </w:rPr>
            </w:pPr>
          </w:p>
        </w:tc>
        <w:tc>
          <w:tcPr>
            <w:tcW w:w="1020" w:type="dxa"/>
            <w:vAlign w:val="bottom"/>
            <w:tcBorders>
              <w:bottom w:val="single" w:sz="8" w:color="auto"/>
            </w:tcBorders>
            <w:shd w:val="clear" w:color="auto" w:fill="CFF0FC"/>
          </w:tcPr>
          <w:p>
            <w:pPr>
              <w:spacing w:after="0"/>
              <w:rPr>
                <w:sz w:val="18"/>
                <w:szCs w:val="18"/>
                <w:color w:val="auto"/>
              </w:rPr>
            </w:pPr>
          </w:p>
        </w:tc>
        <w:tc>
          <w:tcPr>
            <w:tcW w:w="6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31,491</w:t>
            </w:r>
          </w:p>
        </w:tc>
        <w:tc>
          <w:tcPr>
            <w:tcW w:w="260" w:type="dxa"/>
            <w:vAlign w:val="bottom"/>
            <w:tcBorders>
              <w:bottom w:val="single" w:sz="8" w:color="CFF0FC"/>
            </w:tcBorders>
            <w:shd w:val="clear" w:color="auto" w:fill="CFF0FC"/>
          </w:tcPr>
          <w:p>
            <w:pPr>
              <w:spacing w:after="0"/>
              <w:rPr>
                <w:sz w:val="18"/>
                <w:szCs w:val="18"/>
                <w:color w:val="auto"/>
              </w:rPr>
            </w:pPr>
          </w:p>
        </w:tc>
        <w:tc>
          <w:tcPr>
            <w:tcW w:w="360" w:type="dxa"/>
            <w:vAlign w:val="bottom"/>
            <w:tcBorders>
              <w:bottom w:val="single" w:sz="8" w:color="auto"/>
            </w:tcBorders>
            <w:shd w:val="clear" w:color="auto" w:fill="CFF0FC"/>
          </w:tcPr>
          <w:p>
            <w:pPr>
              <w:spacing w:after="0"/>
              <w:rPr>
                <w:sz w:val="18"/>
                <w:szCs w:val="18"/>
                <w:color w:val="auto"/>
              </w:rPr>
            </w:pPr>
          </w:p>
        </w:tc>
        <w:tc>
          <w:tcPr>
            <w:tcW w:w="9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121,610</w:t>
            </w:r>
          </w:p>
        </w:tc>
        <w:tc>
          <w:tcPr>
            <w:tcW w:w="260" w:type="dxa"/>
            <w:vAlign w:val="bottom"/>
            <w:tcBorders>
              <w:bottom w:val="single" w:sz="8" w:color="CFF0FC"/>
            </w:tcBorders>
            <w:shd w:val="clear" w:color="auto" w:fill="CFF0FC"/>
          </w:tcPr>
          <w:p>
            <w:pPr>
              <w:spacing w:after="0"/>
              <w:rPr>
                <w:sz w:val="18"/>
                <w:szCs w:val="18"/>
                <w:color w:val="auto"/>
              </w:rPr>
            </w:pPr>
          </w:p>
        </w:tc>
        <w:tc>
          <w:tcPr>
            <w:tcW w:w="460" w:type="dxa"/>
            <w:vAlign w:val="bottom"/>
            <w:tcBorders>
              <w:bottom w:val="single" w:sz="8" w:color="auto"/>
            </w:tcBorders>
            <w:shd w:val="clear" w:color="auto" w:fill="CFF0FC"/>
          </w:tcPr>
          <w:p>
            <w:pPr>
              <w:spacing w:after="0"/>
              <w:rPr>
                <w:sz w:val="18"/>
                <w:szCs w:val="18"/>
                <w:color w:val="auto"/>
              </w:rPr>
            </w:pPr>
          </w:p>
        </w:tc>
        <w:tc>
          <w:tcPr>
            <w:tcW w:w="9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81,465</w:t>
            </w:r>
          </w:p>
        </w:tc>
        <w:tc>
          <w:tcPr>
            <w:tcW w:w="100" w:type="dxa"/>
            <w:vAlign w:val="bottom"/>
            <w:tcBorders>
              <w:bottom w:val="single" w:sz="8" w:color="CFF0FC"/>
            </w:tcBorders>
            <w:shd w:val="clear" w:color="auto" w:fill="CFF0FC"/>
          </w:tcPr>
          <w:p>
            <w:pPr>
              <w:spacing w:after="0"/>
              <w:rPr>
                <w:sz w:val="18"/>
                <w:szCs w:val="18"/>
                <w:color w:val="auto"/>
              </w:rPr>
            </w:pPr>
          </w:p>
        </w:tc>
      </w:tr>
      <w:tr>
        <w:trPr>
          <w:trHeight w:val="209"/>
        </w:trPr>
        <w:tc>
          <w:tcPr>
            <w:tcW w:w="4640" w:type="dxa"/>
            <w:vAlign w:val="bottom"/>
          </w:tcPr>
          <w:p>
            <w:pPr>
              <w:ind w:left="20"/>
              <w:spacing w:after="0"/>
              <w:rPr>
                <w:sz w:val="20"/>
                <w:szCs w:val="20"/>
                <w:color w:val="auto"/>
              </w:rPr>
            </w:pPr>
            <w:r>
              <w:rPr>
                <w:rFonts w:ascii="Arial" w:cs="Arial" w:eastAsia="Arial" w:hAnsi="Arial"/>
                <w:sz w:val="18"/>
                <w:szCs w:val="18"/>
                <w:color w:val="auto"/>
              </w:rPr>
              <w:t>Operating expenses:</w:t>
            </w:r>
          </w:p>
        </w:tc>
        <w:tc>
          <w:tcPr>
            <w:tcW w:w="30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4640" w:type="dxa"/>
            <w:vAlign w:val="bottom"/>
            <w:shd w:val="clear" w:color="auto" w:fill="CFF0FC"/>
          </w:tcPr>
          <w:p>
            <w:pPr>
              <w:ind w:left="200"/>
              <w:spacing w:after="0" w:line="216" w:lineRule="exact"/>
              <w:rPr>
                <w:sz w:val="20"/>
                <w:szCs w:val="20"/>
                <w:color w:val="auto"/>
              </w:rPr>
            </w:pPr>
            <w:r>
              <w:rPr>
                <w:rFonts w:ascii="Arial" w:cs="Arial" w:eastAsia="Arial" w:hAnsi="Arial"/>
                <w:sz w:val="18"/>
                <w:szCs w:val="18"/>
                <w:color w:val="auto"/>
              </w:rPr>
              <w:t>Research and development</w:t>
            </w:r>
            <w:r>
              <w:rPr>
                <w:rFonts w:ascii="Arial" w:cs="Arial" w:eastAsia="Arial" w:hAnsi="Arial"/>
                <w:sz w:val="24"/>
                <w:szCs w:val="24"/>
                <w:color w:val="auto"/>
                <w:vertAlign w:val="superscript"/>
              </w:rPr>
              <w:t>(1)</w:t>
            </w:r>
          </w:p>
        </w:tc>
        <w:tc>
          <w:tcPr>
            <w:tcW w:w="300" w:type="dxa"/>
            <w:vAlign w:val="bottom"/>
            <w:shd w:val="clear" w:color="auto" w:fill="CFF0FC"/>
          </w:tcPr>
          <w:p>
            <w:pPr>
              <w:spacing w:after="0"/>
              <w:rPr>
                <w:sz w:val="18"/>
                <w:szCs w:val="18"/>
                <w:color w:val="auto"/>
              </w:rPr>
            </w:pPr>
          </w:p>
        </w:tc>
        <w:tc>
          <w:tcPr>
            <w:tcW w:w="10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21,590</w:t>
            </w:r>
          </w:p>
        </w:tc>
        <w:tc>
          <w:tcPr>
            <w:tcW w:w="300" w:type="dxa"/>
            <w:vAlign w:val="bottom"/>
            <w:shd w:val="clear" w:color="auto" w:fill="CFF0FC"/>
          </w:tcPr>
          <w:p>
            <w:pPr>
              <w:spacing w:after="0"/>
              <w:rPr>
                <w:sz w:val="18"/>
                <w:szCs w:val="18"/>
                <w:color w:val="auto"/>
              </w:rPr>
            </w:pPr>
          </w:p>
        </w:tc>
        <w:tc>
          <w:tcPr>
            <w:tcW w:w="1020" w:type="dxa"/>
            <w:vAlign w:val="bottom"/>
            <w:shd w:val="clear" w:color="auto" w:fill="CFF0FC"/>
          </w:tcPr>
          <w:p>
            <w:pPr>
              <w:spacing w:after="0"/>
              <w:rPr>
                <w:sz w:val="18"/>
                <w:szCs w:val="18"/>
                <w:color w:val="auto"/>
              </w:rPr>
            </w:pPr>
          </w:p>
        </w:tc>
        <w:tc>
          <w:tcPr>
            <w:tcW w:w="6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18,493</w:t>
            </w:r>
          </w:p>
        </w:tc>
        <w:tc>
          <w:tcPr>
            <w:tcW w:w="260" w:type="dxa"/>
            <w:vAlign w:val="bottom"/>
            <w:shd w:val="clear" w:color="auto" w:fill="CFF0FC"/>
          </w:tcPr>
          <w:p>
            <w:pPr>
              <w:spacing w:after="0"/>
              <w:rPr>
                <w:sz w:val="18"/>
                <w:szCs w:val="18"/>
                <w:color w:val="auto"/>
              </w:rPr>
            </w:pPr>
          </w:p>
        </w:tc>
        <w:tc>
          <w:tcPr>
            <w:tcW w:w="360" w:type="dxa"/>
            <w:vAlign w:val="bottom"/>
            <w:shd w:val="clear" w:color="auto" w:fill="CFF0FC"/>
          </w:tcPr>
          <w:p>
            <w:pPr>
              <w:spacing w:after="0"/>
              <w:rPr>
                <w:sz w:val="18"/>
                <w:szCs w:val="18"/>
                <w:color w:val="auto"/>
              </w:rPr>
            </w:pPr>
          </w:p>
        </w:tc>
        <w:tc>
          <w:tcPr>
            <w:tcW w:w="9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58,397</w:t>
            </w:r>
          </w:p>
        </w:tc>
        <w:tc>
          <w:tcPr>
            <w:tcW w:w="260" w:type="dxa"/>
            <w:vAlign w:val="bottom"/>
            <w:shd w:val="clear" w:color="auto" w:fill="CFF0FC"/>
          </w:tcPr>
          <w:p>
            <w:pPr>
              <w:spacing w:after="0"/>
              <w:rPr>
                <w:sz w:val="18"/>
                <w:szCs w:val="18"/>
                <w:color w:val="auto"/>
              </w:rPr>
            </w:pPr>
          </w:p>
        </w:tc>
        <w:tc>
          <w:tcPr>
            <w:tcW w:w="460" w:type="dxa"/>
            <w:vAlign w:val="bottom"/>
            <w:shd w:val="clear" w:color="auto" w:fill="CFF0FC"/>
          </w:tcPr>
          <w:p>
            <w:pPr>
              <w:spacing w:after="0"/>
              <w:rPr>
                <w:sz w:val="18"/>
                <w:szCs w:val="18"/>
                <w:color w:val="auto"/>
              </w:rPr>
            </w:pPr>
          </w:p>
        </w:tc>
        <w:tc>
          <w:tcPr>
            <w:tcW w:w="9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34,022</w:t>
            </w:r>
          </w:p>
        </w:tc>
        <w:tc>
          <w:tcPr>
            <w:tcW w:w="100" w:type="dxa"/>
            <w:vAlign w:val="bottom"/>
            <w:shd w:val="clear" w:color="auto" w:fill="CFF0FC"/>
          </w:tcPr>
          <w:p>
            <w:pPr>
              <w:spacing w:after="0"/>
              <w:rPr>
                <w:sz w:val="18"/>
                <w:szCs w:val="18"/>
                <w:color w:val="auto"/>
              </w:rPr>
            </w:pPr>
          </w:p>
        </w:tc>
      </w:tr>
      <w:tr>
        <w:trPr>
          <w:trHeight w:val="216"/>
        </w:trPr>
        <w:tc>
          <w:tcPr>
            <w:tcW w:w="4640" w:type="dxa"/>
            <w:vAlign w:val="bottom"/>
          </w:tcPr>
          <w:p>
            <w:pPr>
              <w:ind w:left="200"/>
              <w:spacing w:after="0" w:line="216" w:lineRule="exact"/>
              <w:rPr>
                <w:sz w:val="20"/>
                <w:szCs w:val="20"/>
                <w:color w:val="auto"/>
              </w:rPr>
            </w:pPr>
            <w:r>
              <w:rPr>
                <w:rFonts w:ascii="Arial" w:cs="Arial" w:eastAsia="Arial" w:hAnsi="Arial"/>
                <w:sz w:val="18"/>
                <w:szCs w:val="18"/>
                <w:color w:val="auto"/>
              </w:rPr>
              <w:t>Sales and marketing</w:t>
            </w:r>
            <w:r>
              <w:rPr>
                <w:rFonts w:ascii="Arial" w:cs="Arial" w:eastAsia="Arial" w:hAnsi="Arial"/>
                <w:sz w:val="24"/>
                <w:szCs w:val="24"/>
                <w:color w:val="auto"/>
                <w:vertAlign w:val="superscript"/>
              </w:rPr>
              <w:t>(1)</w:t>
            </w:r>
          </w:p>
        </w:tc>
        <w:tc>
          <w:tcPr>
            <w:tcW w:w="300" w:type="dxa"/>
            <w:vAlign w:val="bottom"/>
          </w:tcPr>
          <w:p>
            <w:pPr>
              <w:spacing w:after="0"/>
              <w:rPr>
                <w:sz w:val="18"/>
                <w:szCs w:val="18"/>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32,528</w:t>
            </w:r>
          </w:p>
        </w:tc>
        <w:tc>
          <w:tcPr>
            <w:tcW w:w="30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620" w:type="dxa"/>
            <w:vAlign w:val="bottom"/>
          </w:tcPr>
          <w:p>
            <w:pPr>
              <w:jc w:val="right"/>
              <w:spacing w:after="0"/>
              <w:rPr>
                <w:sz w:val="20"/>
                <w:szCs w:val="20"/>
                <w:color w:val="auto"/>
              </w:rPr>
            </w:pPr>
            <w:r>
              <w:rPr>
                <w:rFonts w:ascii="Arial" w:cs="Arial" w:eastAsia="Arial" w:hAnsi="Arial"/>
                <w:sz w:val="18"/>
                <w:szCs w:val="18"/>
                <w:color w:val="auto"/>
              </w:rPr>
              <w:t>22,199</w:t>
            </w:r>
          </w:p>
        </w:tc>
        <w:tc>
          <w:tcPr>
            <w:tcW w:w="26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94,793</w:t>
            </w:r>
          </w:p>
        </w:tc>
        <w:tc>
          <w:tcPr>
            <w:tcW w:w="26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59,009</w:t>
            </w:r>
          </w:p>
        </w:tc>
        <w:tc>
          <w:tcPr>
            <w:tcW w:w="100" w:type="dxa"/>
            <w:vAlign w:val="bottom"/>
          </w:tcPr>
          <w:p>
            <w:pPr>
              <w:spacing w:after="0"/>
              <w:rPr>
                <w:sz w:val="18"/>
                <w:szCs w:val="18"/>
                <w:color w:val="auto"/>
              </w:rPr>
            </w:pPr>
          </w:p>
        </w:tc>
      </w:tr>
      <w:tr>
        <w:trPr>
          <w:trHeight w:val="216"/>
        </w:trPr>
        <w:tc>
          <w:tcPr>
            <w:tcW w:w="4640" w:type="dxa"/>
            <w:vAlign w:val="bottom"/>
            <w:tcBorders>
              <w:bottom w:val="single" w:sz="8" w:color="CFF0FC"/>
            </w:tcBorders>
            <w:shd w:val="clear" w:color="auto" w:fill="CFF0FC"/>
          </w:tcPr>
          <w:p>
            <w:pPr>
              <w:ind w:left="200"/>
              <w:spacing w:after="0" w:line="216" w:lineRule="exact"/>
              <w:rPr>
                <w:sz w:val="20"/>
                <w:szCs w:val="20"/>
                <w:color w:val="auto"/>
              </w:rPr>
            </w:pPr>
            <w:r>
              <w:rPr>
                <w:rFonts w:ascii="Arial" w:cs="Arial" w:eastAsia="Arial" w:hAnsi="Arial"/>
                <w:sz w:val="18"/>
                <w:szCs w:val="18"/>
                <w:color w:val="auto"/>
              </w:rPr>
              <w:t>General and administrative</w:t>
            </w:r>
            <w:r>
              <w:rPr>
                <w:rFonts w:ascii="Arial" w:cs="Arial" w:eastAsia="Arial" w:hAnsi="Arial"/>
                <w:sz w:val="24"/>
                <w:szCs w:val="24"/>
                <w:color w:val="auto"/>
                <w:vertAlign w:val="superscript"/>
              </w:rPr>
              <w:t>(1)</w:t>
            </w:r>
          </w:p>
        </w:tc>
        <w:tc>
          <w:tcPr>
            <w:tcW w:w="300" w:type="dxa"/>
            <w:vAlign w:val="bottom"/>
            <w:tcBorders>
              <w:bottom w:val="single" w:sz="8" w:color="auto"/>
            </w:tcBorders>
            <w:shd w:val="clear" w:color="auto" w:fill="CFF0FC"/>
          </w:tcPr>
          <w:p>
            <w:pPr>
              <w:spacing w:after="0"/>
              <w:rPr>
                <w:sz w:val="18"/>
                <w:szCs w:val="18"/>
                <w:color w:val="auto"/>
              </w:rPr>
            </w:pPr>
          </w:p>
        </w:tc>
        <w:tc>
          <w:tcPr>
            <w:tcW w:w="10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13,610</w:t>
            </w:r>
          </w:p>
        </w:tc>
        <w:tc>
          <w:tcPr>
            <w:tcW w:w="300" w:type="dxa"/>
            <w:vAlign w:val="bottom"/>
            <w:tcBorders>
              <w:bottom w:val="single" w:sz="8" w:color="CFF0FC"/>
            </w:tcBorders>
            <w:shd w:val="clear" w:color="auto" w:fill="CFF0FC"/>
          </w:tcPr>
          <w:p>
            <w:pPr>
              <w:spacing w:after="0"/>
              <w:rPr>
                <w:sz w:val="18"/>
                <w:szCs w:val="18"/>
                <w:color w:val="auto"/>
              </w:rPr>
            </w:pPr>
          </w:p>
        </w:tc>
        <w:tc>
          <w:tcPr>
            <w:tcW w:w="1020" w:type="dxa"/>
            <w:vAlign w:val="bottom"/>
            <w:tcBorders>
              <w:bottom w:val="single" w:sz="8" w:color="auto"/>
            </w:tcBorders>
            <w:shd w:val="clear" w:color="auto" w:fill="CFF0FC"/>
          </w:tcPr>
          <w:p>
            <w:pPr>
              <w:spacing w:after="0"/>
              <w:rPr>
                <w:sz w:val="18"/>
                <w:szCs w:val="18"/>
                <w:color w:val="auto"/>
              </w:rPr>
            </w:pPr>
          </w:p>
        </w:tc>
        <w:tc>
          <w:tcPr>
            <w:tcW w:w="6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27,567</w:t>
            </w:r>
          </w:p>
        </w:tc>
        <w:tc>
          <w:tcPr>
            <w:tcW w:w="260" w:type="dxa"/>
            <w:vAlign w:val="bottom"/>
            <w:tcBorders>
              <w:bottom w:val="single" w:sz="8" w:color="CFF0FC"/>
            </w:tcBorders>
            <w:shd w:val="clear" w:color="auto" w:fill="CFF0FC"/>
          </w:tcPr>
          <w:p>
            <w:pPr>
              <w:spacing w:after="0"/>
              <w:rPr>
                <w:sz w:val="18"/>
                <w:szCs w:val="18"/>
                <w:color w:val="auto"/>
              </w:rPr>
            </w:pPr>
          </w:p>
        </w:tc>
        <w:tc>
          <w:tcPr>
            <w:tcW w:w="360" w:type="dxa"/>
            <w:vAlign w:val="bottom"/>
            <w:tcBorders>
              <w:bottom w:val="single" w:sz="8" w:color="auto"/>
            </w:tcBorders>
            <w:shd w:val="clear" w:color="auto" w:fill="CFF0FC"/>
          </w:tcPr>
          <w:p>
            <w:pPr>
              <w:spacing w:after="0"/>
              <w:rPr>
                <w:sz w:val="18"/>
                <w:szCs w:val="18"/>
                <w:color w:val="auto"/>
              </w:rPr>
            </w:pPr>
          </w:p>
        </w:tc>
        <w:tc>
          <w:tcPr>
            <w:tcW w:w="9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39,184</w:t>
            </w:r>
          </w:p>
        </w:tc>
        <w:tc>
          <w:tcPr>
            <w:tcW w:w="260" w:type="dxa"/>
            <w:vAlign w:val="bottom"/>
            <w:tcBorders>
              <w:bottom w:val="single" w:sz="8" w:color="CFF0FC"/>
            </w:tcBorders>
            <w:shd w:val="clear" w:color="auto" w:fill="CFF0FC"/>
          </w:tcPr>
          <w:p>
            <w:pPr>
              <w:spacing w:after="0"/>
              <w:rPr>
                <w:sz w:val="18"/>
                <w:szCs w:val="18"/>
                <w:color w:val="auto"/>
              </w:rPr>
            </w:pPr>
          </w:p>
        </w:tc>
        <w:tc>
          <w:tcPr>
            <w:tcW w:w="460" w:type="dxa"/>
            <w:vAlign w:val="bottom"/>
            <w:tcBorders>
              <w:bottom w:val="single" w:sz="8" w:color="auto"/>
            </w:tcBorders>
            <w:shd w:val="clear" w:color="auto" w:fill="CFF0FC"/>
          </w:tcPr>
          <w:p>
            <w:pPr>
              <w:spacing w:after="0"/>
              <w:rPr>
                <w:sz w:val="18"/>
                <w:szCs w:val="18"/>
                <w:color w:val="auto"/>
              </w:rPr>
            </w:pPr>
          </w:p>
        </w:tc>
        <w:tc>
          <w:tcPr>
            <w:tcW w:w="9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41,098</w:t>
            </w:r>
          </w:p>
        </w:tc>
        <w:tc>
          <w:tcPr>
            <w:tcW w:w="100" w:type="dxa"/>
            <w:vAlign w:val="bottom"/>
            <w:tcBorders>
              <w:bottom w:val="single" w:sz="8" w:color="CFF0FC"/>
            </w:tcBorders>
            <w:shd w:val="clear" w:color="auto" w:fill="CFF0FC"/>
          </w:tcPr>
          <w:p>
            <w:pPr>
              <w:spacing w:after="0"/>
              <w:rPr>
                <w:sz w:val="18"/>
                <w:szCs w:val="18"/>
                <w:color w:val="auto"/>
              </w:rPr>
            </w:pPr>
          </w:p>
        </w:tc>
      </w:tr>
      <w:tr>
        <w:trPr>
          <w:trHeight w:val="209"/>
        </w:trPr>
        <w:tc>
          <w:tcPr>
            <w:tcW w:w="4640" w:type="dxa"/>
            <w:vAlign w:val="bottom"/>
          </w:tcPr>
          <w:p>
            <w:pPr>
              <w:ind w:left="520"/>
              <w:spacing w:after="0"/>
              <w:rPr>
                <w:sz w:val="20"/>
                <w:szCs w:val="20"/>
                <w:color w:val="auto"/>
              </w:rPr>
            </w:pPr>
            <w:r>
              <w:rPr>
                <w:rFonts w:ascii="Arial" w:cs="Arial" w:eastAsia="Arial" w:hAnsi="Arial"/>
                <w:sz w:val="18"/>
                <w:szCs w:val="18"/>
                <w:color w:val="auto"/>
              </w:rPr>
              <w:t>Total operating expenses</w:t>
            </w:r>
          </w:p>
        </w:tc>
        <w:tc>
          <w:tcPr>
            <w:tcW w:w="300" w:type="dxa"/>
            <w:vAlign w:val="bottom"/>
            <w:tcBorders>
              <w:bottom w:val="single" w:sz="8" w:color="auto"/>
            </w:tcBorders>
          </w:tcPr>
          <w:p>
            <w:pPr>
              <w:spacing w:after="0"/>
              <w:rPr>
                <w:sz w:val="18"/>
                <w:szCs w:val="18"/>
                <w:color w:val="auto"/>
              </w:rPr>
            </w:pP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67,728</w:t>
            </w:r>
          </w:p>
        </w:tc>
        <w:tc>
          <w:tcPr>
            <w:tcW w:w="300" w:type="dxa"/>
            <w:vAlign w:val="bottom"/>
          </w:tcPr>
          <w:p>
            <w:pPr>
              <w:spacing w:after="0"/>
              <w:rPr>
                <w:sz w:val="18"/>
                <w:szCs w:val="18"/>
                <w:color w:val="auto"/>
              </w:rPr>
            </w:pPr>
          </w:p>
        </w:tc>
        <w:tc>
          <w:tcPr>
            <w:tcW w:w="1020" w:type="dxa"/>
            <w:vAlign w:val="bottom"/>
            <w:tcBorders>
              <w:bottom w:val="single" w:sz="8" w:color="auto"/>
            </w:tcBorders>
          </w:tcPr>
          <w:p>
            <w:pPr>
              <w:spacing w:after="0"/>
              <w:rPr>
                <w:sz w:val="18"/>
                <w:szCs w:val="18"/>
                <w:color w:val="auto"/>
              </w:rPr>
            </w:pPr>
          </w:p>
        </w:tc>
        <w:tc>
          <w:tcPr>
            <w:tcW w:w="6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68,259</w:t>
            </w:r>
          </w:p>
        </w:tc>
        <w:tc>
          <w:tcPr>
            <w:tcW w:w="260" w:type="dxa"/>
            <w:vAlign w:val="bottom"/>
          </w:tcPr>
          <w:p>
            <w:pPr>
              <w:spacing w:after="0"/>
              <w:rPr>
                <w:sz w:val="18"/>
                <w:szCs w:val="18"/>
                <w:color w:val="auto"/>
              </w:rPr>
            </w:pPr>
          </w:p>
        </w:tc>
        <w:tc>
          <w:tcPr>
            <w:tcW w:w="360" w:type="dxa"/>
            <w:vAlign w:val="bottom"/>
            <w:tcBorders>
              <w:bottom w:val="single" w:sz="8" w:color="auto"/>
            </w:tcBorders>
          </w:tcPr>
          <w:p>
            <w:pPr>
              <w:spacing w:after="0"/>
              <w:rPr>
                <w:sz w:val="18"/>
                <w:szCs w:val="18"/>
                <w:color w:val="auto"/>
              </w:rPr>
            </w:pP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192,374</w:t>
            </w:r>
          </w:p>
        </w:tc>
        <w:tc>
          <w:tcPr>
            <w:tcW w:w="260" w:type="dxa"/>
            <w:vAlign w:val="bottom"/>
          </w:tcPr>
          <w:p>
            <w:pPr>
              <w:spacing w:after="0"/>
              <w:rPr>
                <w:sz w:val="18"/>
                <w:szCs w:val="18"/>
                <w:color w:val="auto"/>
              </w:rPr>
            </w:pPr>
          </w:p>
        </w:tc>
        <w:tc>
          <w:tcPr>
            <w:tcW w:w="460" w:type="dxa"/>
            <w:vAlign w:val="bottom"/>
            <w:tcBorders>
              <w:bottom w:val="single" w:sz="8" w:color="auto"/>
            </w:tcBorders>
          </w:tcPr>
          <w:p>
            <w:pPr>
              <w:spacing w:after="0"/>
              <w:rPr>
                <w:sz w:val="18"/>
                <w:szCs w:val="18"/>
                <w:color w:val="auto"/>
              </w:rPr>
            </w:pP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134,129</w:t>
            </w:r>
          </w:p>
        </w:tc>
        <w:tc>
          <w:tcPr>
            <w:tcW w:w="100" w:type="dxa"/>
            <w:vAlign w:val="bottom"/>
          </w:tcPr>
          <w:p>
            <w:pPr>
              <w:spacing w:after="0"/>
              <w:rPr>
                <w:sz w:val="18"/>
                <w:szCs w:val="18"/>
                <w:color w:val="auto"/>
              </w:rPr>
            </w:pPr>
          </w:p>
        </w:tc>
      </w:tr>
      <w:tr>
        <w:trPr>
          <w:trHeight w:val="209"/>
        </w:trPr>
        <w:tc>
          <w:tcPr>
            <w:tcW w:w="4640" w:type="dxa"/>
            <w:vAlign w:val="bottom"/>
            <w:shd w:val="clear" w:color="auto" w:fill="CFF0FC"/>
          </w:tcPr>
          <w:p>
            <w:pPr>
              <w:ind w:left="20"/>
              <w:spacing w:after="0"/>
              <w:rPr>
                <w:sz w:val="20"/>
                <w:szCs w:val="20"/>
                <w:color w:val="auto"/>
              </w:rPr>
            </w:pPr>
            <w:r>
              <w:rPr>
                <w:rFonts w:ascii="Arial" w:cs="Arial" w:eastAsia="Arial" w:hAnsi="Arial"/>
                <w:sz w:val="18"/>
                <w:szCs w:val="18"/>
                <w:color w:val="auto"/>
              </w:rPr>
              <w:t>Loss from operations</w:t>
            </w:r>
          </w:p>
        </w:tc>
        <w:tc>
          <w:tcPr>
            <w:tcW w:w="300" w:type="dxa"/>
            <w:vAlign w:val="bottom"/>
            <w:shd w:val="clear" w:color="auto" w:fill="CFF0FC"/>
          </w:tcPr>
          <w:p>
            <w:pPr>
              <w:spacing w:after="0"/>
              <w:rPr>
                <w:sz w:val="18"/>
                <w:szCs w:val="18"/>
                <w:color w:val="auto"/>
              </w:rPr>
            </w:pPr>
          </w:p>
        </w:tc>
        <w:tc>
          <w:tcPr>
            <w:tcW w:w="10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(24,190</w:t>
            </w:r>
          </w:p>
        </w:tc>
        <w:tc>
          <w:tcPr>
            <w:tcW w:w="300" w:type="dxa"/>
            <w:vAlign w:val="bottom"/>
            <w:shd w:val="clear" w:color="auto" w:fill="CFF0FC"/>
          </w:tcPr>
          <w:p>
            <w:pPr>
              <w:jc w:val="right"/>
              <w:ind w:right="130"/>
              <w:spacing w:after="0"/>
              <w:rPr>
                <w:sz w:val="20"/>
                <w:szCs w:val="20"/>
                <w:color w:val="auto"/>
              </w:rPr>
            </w:pPr>
            <w:r>
              <w:rPr>
                <w:rFonts w:ascii="Arial" w:cs="Arial" w:eastAsia="Arial" w:hAnsi="Arial"/>
                <w:sz w:val="18"/>
                <w:szCs w:val="18"/>
                <w:color w:val="auto"/>
                <w:w w:val="99"/>
              </w:rPr>
              <w:t>)</w:t>
            </w:r>
          </w:p>
        </w:tc>
        <w:tc>
          <w:tcPr>
            <w:tcW w:w="1020" w:type="dxa"/>
            <w:vAlign w:val="bottom"/>
            <w:shd w:val="clear" w:color="auto" w:fill="CFF0FC"/>
          </w:tcPr>
          <w:p>
            <w:pPr>
              <w:spacing w:after="0"/>
              <w:rPr>
                <w:sz w:val="18"/>
                <w:szCs w:val="18"/>
                <w:color w:val="auto"/>
              </w:rPr>
            </w:pPr>
          </w:p>
        </w:tc>
        <w:tc>
          <w:tcPr>
            <w:tcW w:w="620" w:type="dxa"/>
            <w:vAlign w:val="bottom"/>
            <w:shd w:val="clear" w:color="auto" w:fill="CFF0FC"/>
          </w:tcPr>
          <w:p>
            <w:pPr>
              <w:jc w:val="right"/>
              <w:spacing w:after="0"/>
              <w:rPr>
                <w:sz w:val="20"/>
                <w:szCs w:val="20"/>
                <w:color w:val="auto"/>
              </w:rPr>
            </w:pPr>
            <w:r>
              <w:rPr>
                <w:rFonts w:ascii="Arial" w:cs="Arial" w:eastAsia="Arial" w:hAnsi="Arial"/>
                <w:sz w:val="18"/>
                <w:szCs w:val="18"/>
                <w:color w:val="auto"/>
                <w:w w:val="94"/>
              </w:rPr>
              <w:t>(36,768</w:t>
            </w:r>
          </w:p>
        </w:tc>
        <w:tc>
          <w:tcPr>
            <w:tcW w:w="260" w:type="dxa"/>
            <w:vAlign w:val="bottom"/>
            <w:shd w:val="clear" w:color="auto" w:fill="CFF0FC"/>
          </w:tcPr>
          <w:p>
            <w:pPr>
              <w:jc w:val="right"/>
              <w:ind w:right="121"/>
              <w:spacing w:after="0"/>
              <w:rPr>
                <w:sz w:val="20"/>
                <w:szCs w:val="20"/>
                <w:color w:val="auto"/>
              </w:rPr>
            </w:pPr>
            <w:r>
              <w:rPr>
                <w:rFonts w:ascii="Arial" w:cs="Arial" w:eastAsia="Arial" w:hAnsi="Arial"/>
                <w:sz w:val="16"/>
                <w:szCs w:val="16"/>
                <w:color w:val="auto"/>
                <w:w w:val="74"/>
              </w:rPr>
              <w:t>)</w:t>
            </w:r>
          </w:p>
        </w:tc>
        <w:tc>
          <w:tcPr>
            <w:tcW w:w="360" w:type="dxa"/>
            <w:vAlign w:val="bottom"/>
            <w:shd w:val="clear" w:color="auto" w:fill="CFF0FC"/>
          </w:tcPr>
          <w:p>
            <w:pPr>
              <w:spacing w:after="0"/>
              <w:rPr>
                <w:sz w:val="18"/>
                <w:szCs w:val="18"/>
                <w:color w:val="auto"/>
              </w:rPr>
            </w:pPr>
          </w:p>
        </w:tc>
        <w:tc>
          <w:tcPr>
            <w:tcW w:w="9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(70,764</w:t>
            </w:r>
          </w:p>
        </w:tc>
        <w:tc>
          <w:tcPr>
            <w:tcW w:w="260" w:type="dxa"/>
            <w:vAlign w:val="bottom"/>
            <w:shd w:val="clear" w:color="auto" w:fill="CFF0FC"/>
          </w:tcPr>
          <w:p>
            <w:pPr>
              <w:jc w:val="right"/>
              <w:ind w:right="90"/>
              <w:spacing w:after="0"/>
              <w:rPr>
                <w:sz w:val="20"/>
                <w:szCs w:val="20"/>
                <w:color w:val="auto"/>
              </w:rPr>
            </w:pPr>
            <w:r>
              <w:rPr>
                <w:rFonts w:ascii="Arial" w:cs="Arial" w:eastAsia="Arial" w:hAnsi="Arial"/>
                <w:sz w:val="18"/>
                <w:szCs w:val="18"/>
                <w:color w:val="auto"/>
                <w:w w:val="99"/>
              </w:rPr>
              <w:t>)</w:t>
            </w:r>
          </w:p>
        </w:tc>
        <w:tc>
          <w:tcPr>
            <w:tcW w:w="460" w:type="dxa"/>
            <w:vAlign w:val="bottom"/>
            <w:shd w:val="clear" w:color="auto" w:fill="CFF0FC"/>
          </w:tcPr>
          <w:p>
            <w:pPr>
              <w:spacing w:after="0"/>
              <w:rPr>
                <w:sz w:val="18"/>
                <w:szCs w:val="18"/>
                <w:color w:val="auto"/>
              </w:rPr>
            </w:pPr>
          </w:p>
        </w:tc>
        <w:tc>
          <w:tcPr>
            <w:tcW w:w="9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(52,664</w:t>
            </w:r>
          </w:p>
        </w:tc>
        <w:tc>
          <w:tcPr>
            <w:tcW w:w="100" w:type="dxa"/>
            <w:vAlign w:val="bottom"/>
            <w:shd w:val="clear" w:color="auto" w:fill="CFF0FC"/>
          </w:tcPr>
          <w:p>
            <w:pPr>
              <w:jc w:val="right"/>
              <w:spacing w:after="0"/>
              <w:rPr>
                <w:sz w:val="20"/>
                <w:szCs w:val="20"/>
                <w:color w:val="auto"/>
              </w:rPr>
            </w:pPr>
            <w:r>
              <w:rPr>
                <w:rFonts w:ascii="Arial" w:cs="Arial" w:eastAsia="Arial" w:hAnsi="Arial"/>
                <w:sz w:val="16"/>
                <w:szCs w:val="16"/>
                <w:color w:val="auto"/>
                <w:w w:val="74"/>
              </w:rPr>
              <w:t>)</w:t>
            </w:r>
          </w:p>
        </w:tc>
      </w:tr>
      <w:tr>
        <w:trPr>
          <w:trHeight w:val="216"/>
        </w:trPr>
        <w:tc>
          <w:tcPr>
            <w:tcW w:w="4640" w:type="dxa"/>
            <w:vAlign w:val="bottom"/>
          </w:tcPr>
          <w:p>
            <w:pPr>
              <w:ind w:left="20"/>
              <w:spacing w:after="0"/>
              <w:rPr>
                <w:sz w:val="20"/>
                <w:szCs w:val="20"/>
                <w:color w:val="auto"/>
              </w:rPr>
            </w:pPr>
            <w:r>
              <w:rPr>
                <w:rFonts w:ascii="Arial" w:cs="Arial" w:eastAsia="Arial" w:hAnsi="Arial"/>
                <w:sz w:val="18"/>
                <w:szCs w:val="18"/>
                <w:color w:val="auto"/>
              </w:rPr>
              <w:t>Other income, net</w:t>
            </w:r>
          </w:p>
        </w:tc>
        <w:tc>
          <w:tcPr>
            <w:tcW w:w="300" w:type="dxa"/>
            <w:vAlign w:val="bottom"/>
            <w:tcBorders>
              <w:bottom w:val="single" w:sz="8" w:color="auto"/>
            </w:tcBorders>
          </w:tcPr>
          <w:p>
            <w:pPr>
              <w:spacing w:after="0"/>
              <w:rPr>
                <w:sz w:val="18"/>
                <w:szCs w:val="18"/>
                <w:color w:val="auto"/>
              </w:rPr>
            </w:pP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1,442</w:t>
            </w:r>
          </w:p>
        </w:tc>
        <w:tc>
          <w:tcPr>
            <w:tcW w:w="300" w:type="dxa"/>
            <w:vAlign w:val="bottom"/>
          </w:tcPr>
          <w:p>
            <w:pPr>
              <w:spacing w:after="0"/>
              <w:rPr>
                <w:sz w:val="18"/>
                <w:szCs w:val="18"/>
                <w:color w:val="auto"/>
              </w:rPr>
            </w:pPr>
          </w:p>
        </w:tc>
        <w:tc>
          <w:tcPr>
            <w:tcW w:w="1020" w:type="dxa"/>
            <w:vAlign w:val="bottom"/>
            <w:tcBorders>
              <w:bottom w:val="single" w:sz="8" w:color="auto"/>
            </w:tcBorders>
          </w:tcPr>
          <w:p>
            <w:pPr>
              <w:spacing w:after="0"/>
              <w:rPr>
                <w:sz w:val="18"/>
                <w:szCs w:val="18"/>
                <w:color w:val="auto"/>
              </w:rPr>
            </w:pPr>
          </w:p>
        </w:tc>
        <w:tc>
          <w:tcPr>
            <w:tcW w:w="6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123</w:t>
            </w:r>
          </w:p>
        </w:tc>
        <w:tc>
          <w:tcPr>
            <w:tcW w:w="260" w:type="dxa"/>
            <w:vAlign w:val="bottom"/>
          </w:tcPr>
          <w:p>
            <w:pPr>
              <w:spacing w:after="0"/>
              <w:rPr>
                <w:sz w:val="18"/>
                <w:szCs w:val="18"/>
                <w:color w:val="auto"/>
              </w:rPr>
            </w:pPr>
          </w:p>
        </w:tc>
        <w:tc>
          <w:tcPr>
            <w:tcW w:w="360" w:type="dxa"/>
            <w:vAlign w:val="bottom"/>
            <w:tcBorders>
              <w:bottom w:val="single" w:sz="8" w:color="auto"/>
            </w:tcBorders>
          </w:tcPr>
          <w:p>
            <w:pPr>
              <w:spacing w:after="0"/>
              <w:rPr>
                <w:sz w:val="18"/>
                <w:szCs w:val="18"/>
                <w:color w:val="auto"/>
              </w:rPr>
            </w:pP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1,821</w:t>
            </w:r>
          </w:p>
        </w:tc>
        <w:tc>
          <w:tcPr>
            <w:tcW w:w="260" w:type="dxa"/>
            <w:vAlign w:val="bottom"/>
          </w:tcPr>
          <w:p>
            <w:pPr>
              <w:spacing w:after="0"/>
              <w:rPr>
                <w:sz w:val="18"/>
                <w:szCs w:val="18"/>
                <w:color w:val="auto"/>
              </w:rPr>
            </w:pPr>
          </w:p>
        </w:tc>
        <w:tc>
          <w:tcPr>
            <w:tcW w:w="460" w:type="dxa"/>
            <w:vAlign w:val="bottom"/>
            <w:tcBorders>
              <w:bottom w:val="single" w:sz="8" w:color="auto"/>
            </w:tcBorders>
          </w:tcPr>
          <w:p>
            <w:pPr>
              <w:spacing w:after="0"/>
              <w:rPr>
                <w:sz w:val="18"/>
                <w:szCs w:val="18"/>
                <w:color w:val="auto"/>
              </w:rPr>
            </w:pP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143</w:t>
            </w:r>
          </w:p>
        </w:tc>
        <w:tc>
          <w:tcPr>
            <w:tcW w:w="100" w:type="dxa"/>
            <w:vAlign w:val="bottom"/>
          </w:tcPr>
          <w:p>
            <w:pPr>
              <w:spacing w:after="0"/>
              <w:rPr>
                <w:sz w:val="18"/>
                <w:szCs w:val="18"/>
                <w:color w:val="auto"/>
              </w:rPr>
            </w:pPr>
          </w:p>
        </w:tc>
      </w:tr>
      <w:tr>
        <w:trPr>
          <w:trHeight w:val="168"/>
        </w:trPr>
        <w:tc>
          <w:tcPr>
            <w:tcW w:w="4640" w:type="dxa"/>
            <w:vAlign w:val="bottom"/>
            <w:shd w:val="clear" w:color="auto" w:fill="CFF0FC"/>
          </w:tcPr>
          <w:p>
            <w:pPr>
              <w:ind w:left="300"/>
              <w:spacing w:after="0" w:line="168" w:lineRule="exact"/>
              <w:rPr>
                <w:sz w:val="20"/>
                <w:szCs w:val="20"/>
                <w:color w:val="auto"/>
              </w:rPr>
            </w:pPr>
            <w:r>
              <w:rPr>
                <w:rFonts w:ascii="Arial" w:cs="Arial" w:eastAsia="Arial" w:hAnsi="Arial"/>
                <w:sz w:val="18"/>
                <w:szCs w:val="18"/>
                <w:color w:val="auto"/>
              </w:rPr>
              <w:t>Loss before provision for (benefit from) income</w:t>
            </w:r>
          </w:p>
        </w:tc>
        <w:tc>
          <w:tcPr>
            <w:tcW w:w="300" w:type="dxa"/>
            <w:vAlign w:val="bottom"/>
            <w:shd w:val="clear" w:color="auto" w:fill="CFF0FC"/>
          </w:tcPr>
          <w:p>
            <w:pPr>
              <w:spacing w:after="0"/>
              <w:rPr>
                <w:sz w:val="14"/>
                <w:szCs w:val="14"/>
                <w:color w:val="auto"/>
              </w:rPr>
            </w:pPr>
          </w:p>
        </w:tc>
        <w:tc>
          <w:tcPr>
            <w:tcW w:w="1060" w:type="dxa"/>
            <w:vAlign w:val="bottom"/>
            <w:shd w:val="clear" w:color="auto" w:fill="CFF0FC"/>
          </w:tcPr>
          <w:p>
            <w:pPr>
              <w:spacing w:after="0"/>
              <w:rPr>
                <w:sz w:val="14"/>
                <w:szCs w:val="14"/>
                <w:color w:val="auto"/>
              </w:rPr>
            </w:pPr>
          </w:p>
        </w:tc>
        <w:tc>
          <w:tcPr>
            <w:tcW w:w="300" w:type="dxa"/>
            <w:vAlign w:val="bottom"/>
            <w:shd w:val="clear" w:color="auto" w:fill="CFF0FC"/>
          </w:tcPr>
          <w:p>
            <w:pPr>
              <w:spacing w:after="0"/>
              <w:rPr>
                <w:sz w:val="14"/>
                <w:szCs w:val="14"/>
                <w:color w:val="auto"/>
              </w:rPr>
            </w:pPr>
          </w:p>
        </w:tc>
        <w:tc>
          <w:tcPr>
            <w:tcW w:w="1020" w:type="dxa"/>
            <w:vAlign w:val="bottom"/>
            <w:shd w:val="clear" w:color="auto" w:fill="CFF0FC"/>
          </w:tcPr>
          <w:p>
            <w:pPr>
              <w:spacing w:after="0"/>
              <w:rPr>
                <w:sz w:val="14"/>
                <w:szCs w:val="14"/>
                <w:color w:val="auto"/>
              </w:rPr>
            </w:pPr>
          </w:p>
        </w:tc>
        <w:tc>
          <w:tcPr>
            <w:tcW w:w="620" w:type="dxa"/>
            <w:vAlign w:val="bottom"/>
            <w:shd w:val="clear" w:color="auto" w:fill="CFF0FC"/>
          </w:tcPr>
          <w:p>
            <w:pPr>
              <w:spacing w:after="0"/>
              <w:rPr>
                <w:sz w:val="14"/>
                <w:szCs w:val="14"/>
                <w:color w:val="auto"/>
              </w:rPr>
            </w:pPr>
          </w:p>
        </w:tc>
        <w:tc>
          <w:tcPr>
            <w:tcW w:w="260" w:type="dxa"/>
            <w:vAlign w:val="bottom"/>
            <w:shd w:val="clear" w:color="auto" w:fill="CFF0FC"/>
          </w:tcPr>
          <w:p>
            <w:pPr>
              <w:spacing w:after="0"/>
              <w:rPr>
                <w:sz w:val="14"/>
                <w:szCs w:val="14"/>
                <w:color w:val="auto"/>
              </w:rPr>
            </w:pPr>
          </w:p>
        </w:tc>
        <w:tc>
          <w:tcPr>
            <w:tcW w:w="360" w:type="dxa"/>
            <w:vAlign w:val="bottom"/>
            <w:shd w:val="clear" w:color="auto" w:fill="CFF0FC"/>
          </w:tcPr>
          <w:p>
            <w:pPr>
              <w:spacing w:after="0"/>
              <w:rPr>
                <w:sz w:val="14"/>
                <w:szCs w:val="14"/>
                <w:color w:val="auto"/>
              </w:rPr>
            </w:pPr>
          </w:p>
        </w:tc>
        <w:tc>
          <w:tcPr>
            <w:tcW w:w="960" w:type="dxa"/>
            <w:vAlign w:val="bottom"/>
            <w:shd w:val="clear" w:color="auto" w:fill="CFF0FC"/>
          </w:tcPr>
          <w:p>
            <w:pPr>
              <w:spacing w:after="0"/>
              <w:rPr>
                <w:sz w:val="14"/>
                <w:szCs w:val="14"/>
                <w:color w:val="auto"/>
              </w:rPr>
            </w:pPr>
          </w:p>
        </w:tc>
        <w:tc>
          <w:tcPr>
            <w:tcW w:w="260" w:type="dxa"/>
            <w:vAlign w:val="bottom"/>
            <w:shd w:val="clear" w:color="auto" w:fill="CFF0FC"/>
          </w:tcPr>
          <w:p>
            <w:pPr>
              <w:spacing w:after="0"/>
              <w:rPr>
                <w:sz w:val="14"/>
                <w:szCs w:val="14"/>
                <w:color w:val="auto"/>
              </w:rPr>
            </w:pPr>
          </w:p>
        </w:tc>
        <w:tc>
          <w:tcPr>
            <w:tcW w:w="460" w:type="dxa"/>
            <w:vAlign w:val="bottom"/>
            <w:shd w:val="clear" w:color="auto" w:fill="CFF0FC"/>
          </w:tcPr>
          <w:p>
            <w:pPr>
              <w:spacing w:after="0"/>
              <w:rPr>
                <w:sz w:val="14"/>
                <w:szCs w:val="14"/>
                <w:color w:val="auto"/>
              </w:rPr>
            </w:pPr>
          </w:p>
        </w:tc>
        <w:tc>
          <w:tcPr>
            <w:tcW w:w="900" w:type="dxa"/>
            <w:vAlign w:val="bottom"/>
            <w:shd w:val="clear" w:color="auto" w:fill="CFF0FC"/>
          </w:tcPr>
          <w:p>
            <w:pPr>
              <w:spacing w:after="0"/>
              <w:rPr>
                <w:sz w:val="14"/>
                <w:szCs w:val="14"/>
                <w:color w:val="auto"/>
              </w:rPr>
            </w:pPr>
          </w:p>
        </w:tc>
        <w:tc>
          <w:tcPr>
            <w:tcW w:w="100" w:type="dxa"/>
            <w:vAlign w:val="bottom"/>
            <w:shd w:val="clear" w:color="auto" w:fill="CFF0FC"/>
          </w:tcPr>
          <w:p>
            <w:pPr>
              <w:spacing w:after="0"/>
              <w:rPr>
                <w:sz w:val="14"/>
                <w:szCs w:val="14"/>
                <w:color w:val="auto"/>
              </w:rPr>
            </w:pPr>
          </w:p>
        </w:tc>
      </w:tr>
      <w:tr>
        <w:trPr>
          <w:trHeight w:val="230"/>
        </w:trPr>
        <w:tc>
          <w:tcPr>
            <w:tcW w:w="4640" w:type="dxa"/>
            <w:vAlign w:val="bottom"/>
            <w:shd w:val="clear" w:color="auto" w:fill="CFF0FC"/>
          </w:tcPr>
          <w:p>
            <w:pPr>
              <w:ind w:left="300"/>
              <w:spacing w:after="0"/>
              <w:rPr>
                <w:sz w:val="20"/>
                <w:szCs w:val="20"/>
                <w:color w:val="auto"/>
              </w:rPr>
            </w:pPr>
            <w:r>
              <w:rPr>
                <w:rFonts w:ascii="Arial" w:cs="Arial" w:eastAsia="Arial" w:hAnsi="Arial"/>
                <w:sz w:val="18"/>
                <w:szCs w:val="18"/>
                <w:color w:val="auto"/>
              </w:rPr>
              <w:t>taxes</w:t>
            </w:r>
          </w:p>
        </w:tc>
        <w:tc>
          <w:tcPr>
            <w:tcW w:w="300" w:type="dxa"/>
            <w:vAlign w:val="bottom"/>
            <w:shd w:val="clear" w:color="auto" w:fill="CFF0FC"/>
          </w:tcPr>
          <w:p>
            <w:pPr>
              <w:spacing w:after="0"/>
              <w:rPr>
                <w:sz w:val="20"/>
                <w:szCs w:val="20"/>
                <w:color w:val="auto"/>
              </w:rPr>
            </w:pPr>
          </w:p>
        </w:tc>
        <w:tc>
          <w:tcPr>
            <w:tcW w:w="1360" w:type="dxa"/>
            <w:vAlign w:val="bottom"/>
            <w:gridSpan w:val="2"/>
            <w:shd w:val="clear" w:color="auto" w:fill="CFF0FC"/>
          </w:tcPr>
          <w:p>
            <w:pPr>
              <w:jc w:val="right"/>
              <w:ind w:right="130"/>
              <w:spacing w:after="0"/>
              <w:rPr>
                <w:sz w:val="20"/>
                <w:szCs w:val="20"/>
                <w:color w:val="auto"/>
              </w:rPr>
            </w:pPr>
            <w:r>
              <w:rPr>
                <w:rFonts w:ascii="Arial" w:cs="Arial" w:eastAsia="Arial" w:hAnsi="Arial"/>
                <w:sz w:val="18"/>
                <w:szCs w:val="18"/>
                <w:color w:val="auto"/>
              </w:rPr>
              <w:t>(22,748 )</w:t>
            </w:r>
          </w:p>
        </w:tc>
        <w:tc>
          <w:tcPr>
            <w:tcW w:w="1020" w:type="dxa"/>
            <w:vAlign w:val="bottom"/>
            <w:shd w:val="clear" w:color="auto" w:fill="CFF0FC"/>
          </w:tcPr>
          <w:p>
            <w:pPr>
              <w:spacing w:after="0"/>
              <w:rPr>
                <w:sz w:val="20"/>
                <w:szCs w:val="20"/>
                <w:color w:val="auto"/>
              </w:rPr>
            </w:pPr>
          </w:p>
        </w:tc>
        <w:tc>
          <w:tcPr>
            <w:tcW w:w="880" w:type="dxa"/>
            <w:vAlign w:val="bottom"/>
            <w:gridSpan w:val="2"/>
            <w:shd w:val="clear" w:color="auto" w:fill="CFF0FC"/>
          </w:tcPr>
          <w:p>
            <w:pPr>
              <w:jc w:val="right"/>
              <w:ind w:right="121"/>
              <w:spacing w:after="0"/>
              <w:rPr>
                <w:sz w:val="20"/>
                <w:szCs w:val="20"/>
                <w:color w:val="auto"/>
              </w:rPr>
            </w:pPr>
            <w:r>
              <w:rPr>
                <w:rFonts w:ascii="Arial" w:cs="Arial" w:eastAsia="Arial" w:hAnsi="Arial"/>
                <w:sz w:val="18"/>
                <w:szCs w:val="18"/>
                <w:color w:val="auto"/>
                <w:w w:val="91"/>
              </w:rPr>
              <w:t>(36,645 )</w:t>
            </w:r>
          </w:p>
        </w:tc>
        <w:tc>
          <w:tcPr>
            <w:tcW w:w="360" w:type="dxa"/>
            <w:vAlign w:val="bottom"/>
            <w:shd w:val="clear" w:color="auto" w:fill="CFF0FC"/>
          </w:tcPr>
          <w:p>
            <w:pPr>
              <w:spacing w:after="0"/>
              <w:rPr>
                <w:sz w:val="20"/>
                <w:szCs w:val="20"/>
                <w:color w:val="auto"/>
              </w:rPr>
            </w:pPr>
          </w:p>
        </w:tc>
        <w:tc>
          <w:tcPr>
            <w:tcW w:w="1220" w:type="dxa"/>
            <w:vAlign w:val="bottom"/>
            <w:gridSpan w:val="2"/>
            <w:shd w:val="clear" w:color="auto" w:fill="CFF0FC"/>
          </w:tcPr>
          <w:p>
            <w:pPr>
              <w:jc w:val="right"/>
              <w:ind w:right="90"/>
              <w:spacing w:after="0"/>
              <w:rPr>
                <w:sz w:val="20"/>
                <w:szCs w:val="20"/>
                <w:color w:val="auto"/>
              </w:rPr>
            </w:pPr>
            <w:r>
              <w:rPr>
                <w:rFonts w:ascii="Arial" w:cs="Arial" w:eastAsia="Arial" w:hAnsi="Arial"/>
                <w:sz w:val="18"/>
                <w:szCs w:val="18"/>
                <w:color w:val="auto"/>
              </w:rPr>
              <w:t>(68,943 )</w:t>
            </w:r>
          </w:p>
        </w:tc>
        <w:tc>
          <w:tcPr>
            <w:tcW w:w="460" w:type="dxa"/>
            <w:vAlign w:val="bottom"/>
            <w:shd w:val="clear" w:color="auto" w:fill="CFF0FC"/>
          </w:tcPr>
          <w:p>
            <w:pPr>
              <w:spacing w:after="0"/>
              <w:rPr>
                <w:sz w:val="20"/>
                <w:szCs w:val="20"/>
                <w:color w:val="auto"/>
              </w:rPr>
            </w:pPr>
          </w:p>
        </w:tc>
        <w:tc>
          <w:tcPr>
            <w:tcW w:w="1000" w:type="dxa"/>
            <w:vAlign w:val="bottom"/>
            <w:gridSpan w:val="2"/>
            <w:shd w:val="clear" w:color="auto" w:fill="CFF0FC"/>
          </w:tcPr>
          <w:p>
            <w:pPr>
              <w:jc w:val="right"/>
              <w:spacing w:after="0"/>
              <w:rPr>
                <w:sz w:val="20"/>
                <w:szCs w:val="20"/>
                <w:color w:val="auto"/>
              </w:rPr>
            </w:pPr>
            <w:r>
              <w:rPr>
                <w:rFonts w:ascii="Arial" w:cs="Arial" w:eastAsia="Arial" w:hAnsi="Arial"/>
                <w:sz w:val="18"/>
                <w:szCs w:val="18"/>
                <w:color w:val="auto"/>
              </w:rPr>
              <w:t>(52,521 )</w:t>
            </w:r>
          </w:p>
        </w:tc>
      </w:tr>
      <w:tr>
        <w:trPr>
          <w:trHeight w:val="216"/>
        </w:trPr>
        <w:tc>
          <w:tcPr>
            <w:tcW w:w="4640" w:type="dxa"/>
            <w:vAlign w:val="bottom"/>
          </w:tcPr>
          <w:p>
            <w:pPr>
              <w:ind w:left="20"/>
              <w:spacing w:after="0"/>
              <w:rPr>
                <w:sz w:val="20"/>
                <w:szCs w:val="20"/>
                <w:color w:val="auto"/>
              </w:rPr>
            </w:pPr>
            <w:r>
              <w:rPr>
                <w:rFonts w:ascii="Arial" w:cs="Arial" w:eastAsia="Arial" w:hAnsi="Arial"/>
                <w:sz w:val="18"/>
                <w:szCs w:val="18"/>
                <w:color w:val="auto"/>
              </w:rPr>
              <w:t>Provision for (benefit from) income taxes</w:t>
            </w:r>
          </w:p>
        </w:tc>
        <w:tc>
          <w:tcPr>
            <w:tcW w:w="300" w:type="dxa"/>
            <w:vAlign w:val="bottom"/>
          </w:tcPr>
          <w:p>
            <w:pPr>
              <w:spacing w:after="0"/>
              <w:rPr>
                <w:sz w:val="18"/>
                <w:szCs w:val="18"/>
                <w:color w:val="auto"/>
              </w:rPr>
            </w:pPr>
          </w:p>
        </w:tc>
        <w:tc>
          <w:tcPr>
            <w:tcW w:w="1360" w:type="dxa"/>
            <w:vAlign w:val="bottom"/>
            <w:gridSpan w:val="2"/>
          </w:tcPr>
          <w:p>
            <w:pPr>
              <w:jc w:val="right"/>
              <w:ind w:right="130"/>
              <w:spacing w:after="0"/>
              <w:rPr>
                <w:sz w:val="20"/>
                <w:szCs w:val="20"/>
                <w:color w:val="auto"/>
              </w:rPr>
            </w:pPr>
            <w:r>
              <w:rPr>
                <w:rFonts w:ascii="Arial" w:cs="Arial" w:eastAsia="Arial" w:hAnsi="Arial"/>
                <w:sz w:val="18"/>
                <w:szCs w:val="18"/>
                <w:color w:val="auto"/>
              </w:rPr>
              <w:t>(204 )</w:t>
            </w:r>
          </w:p>
        </w:tc>
        <w:tc>
          <w:tcPr>
            <w:tcW w:w="1020" w:type="dxa"/>
            <w:vAlign w:val="bottom"/>
          </w:tcPr>
          <w:p>
            <w:pPr>
              <w:spacing w:after="0"/>
              <w:rPr>
                <w:sz w:val="18"/>
                <w:szCs w:val="18"/>
                <w:color w:val="auto"/>
              </w:rPr>
            </w:pPr>
          </w:p>
        </w:tc>
        <w:tc>
          <w:tcPr>
            <w:tcW w:w="880" w:type="dxa"/>
            <w:vAlign w:val="bottom"/>
            <w:gridSpan w:val="2"/>
          </w:tcPr>
          <w:p>
            <w:pPr>
              <w:jc w:val="right"/>
              <w:ind w:right="121"/>
              <w:spacing w:after="0"/>
              <w:rPr>
                <w:sz w:val="20"/>
                <w:szCs w:val="20"/>
                <w:color w:val="auto"/>
              </w:rPr>
            </w:pPr>
            <w:r>
              <w:rPr>
                <w:rFonts w:ascii="Arial" w:cs="Arial" w:eastAsia="Arial" w:hAnsi="Arial"/>
                <w:sz w:val="18"/>
                <w:szCs w:val="18"/>
                <w:color w:val="auto"/>
              </w:rPr>
              <w:t>(86 )</w:t>
            </w:r>
          </w:p>
        </w:tc>
        <w:tc>
          <w:tcPr>
            <w:tcW w:w="36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389</w:t>
            </w:r>
          </w:p>
        </w:tc>
        <w:tc>
          <w:tcPr>
            <w:tcW w:w="26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560</w:t>
            </w:r>
          </w:p>
        </w:tc>
        <w:tc>
          <w:tcPr>
            <w:tcW w:w="100" w:type="dxa"/>
            <w:vAlign w:val="bottom"/>
          </w:tcPr>
          <w:p>
            <w:pPr>
              <w:spacing w:after="0"/>
              <w:rPr>
                <w:sz w:val="18"/>
                <w:szCs w:val="18"/>
                <w:color w:val="auto"/>
              </w:rPr>
            </w:pPr>
          </w:p>
        </w:tc>
      </w:tr>
      <w:tr>
        <w:trPr>
          <w:trHeight w:val="209"/>
        </w:trPr>
        <w:tc>
          <w:tcPr>
            <w:tcW w:w="4640" w:type="dxa"/>
            <w:vAlign w:val="bottom"/>
            <w:shd w:val="clear" w:color="auto" w:fill="CFF0FC"/>
          </w:tcPr>
          <w:p>
            <w:pPr>
              <w:ind w:left="20"/>
              <w:spacing w:after="0"/>
              <w:rPr>
                <w:sz w:val="20"/>
                <w:szCs w:val="20"/>
                <w:color w:val="auto"/>
              </w:rPr>
            </w:pPr>
            <w:r>
              <w:rPr>
                <w:rFonts w:ascii="Arial" w:cs="Arial" w:eastAsia="Arial" w:hAnsi="Arial"/>
                <w:sz w:val="18"/>
                <w:szCs w:val="18"/>
                <w:color w:val="auto"/>
              </w:rPr>
              <w:t>Net loss</w:t>
            </w:r>
          </w:p>
        </w:tc>
        <w:tc>
          <w:tcPr>
            <w:tcW w:w="300" w:type="dxa"/>
            <w:vAlign w:val="bottom"/>
            <w:tcBorders>
              <w:top w:val="single" w:sz="8" w:color="auto"/>
            </w:tcBorders>
            <w:shd w:val="clear" w:color="auto" w:fill="CFF0FC"/>
          </w:tcPr>
          <w:p>
            <w:pPr>
              <w:jc w:val="right"/>
              <w:ind w:right="110"/>
              <w:spacing w:after="0"/>
              <w:rPr>
                <w:sz w:val="20"/>
                <w:szCs w:val="20"/>
                <w:color w:val="auto"/>
              </w:rPr>
            </w:pPr>
            <w:r>
              <w:rPr>
                <w:rFonts w:ascii="Arial" w:cs="Arial" w:eastAsia="Arial" w:hAnsi="Arial"/>
                <w:sz w:val="18"/>
                <w:szCs w:val="18"/>
                <w:color w:val="auto"/>
                <w:w w:val="79"/>
              </w:rPr>
              <w:t>$</w:t>
            </w:r>
          </w:p>
        </w:tc>
        <w:tc>
          <w:tcPr>
            <w:tcW w:w="106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(22,544</w:t>
            </w:r>
          </w:p>
        </w:tc>
        <w:tc>
          <w:tcPr>
            <w:tcW w:w="300" w:type="dxa"/>
            <w:vAlign w:val="bottom"/>
            <w:shd w:val="clear" w:color="auto" w:fill="CFF0FC"/>
          </w:tcPr>
          <w:p>
            <w:pPr>
              <w:jc w:val="right"/>
              <w:ind w:right="130"/>
              <w:spacing w:after="0"/>
              <w:rPr>
                <w:sz w:val="20"/>
                <w:szCs w:val="20"/>
                <w:color w:val="auto"/>
              </w:rPr>
            </w:pPr>
            <w:r>
              <w:rPr>
                <w:rFonts w:ascii="Arial" w:cs="Arial" w:eastAsia="Arial" w:hAnsi="Arial"/>
                <w:sz w:val="18"/>
                <w:szCs w:val="18"/>
                <w:color w:val="auto"/>
                <w:w w:val="99"/>
              </w:rPr>
              <w:t>)</w:t>
            </w:r>
          </w:p>
        </w:tc>
        <w:tc>
          <w:tcPr>
            <w:tcW w:w="1020" w:type="dxa"/>
            <w:vAlign w:val="bottom"/>
            <w:tcBorders>
              <w:top w:val="single" w:sz="8" w:color="auto"/>
            </w:tcBorders>
            <w:shd w:val="clear" w:color="auto" w:fill="CFF0FC"/>
          </w:tcPr>
          <w:p>
            <w:pPr>
              <w:jc w:val="right"/>
              <w:ind w:right="830"/>
              <w:spacing w:after="0"/>
              <w:rPr>
                <w:sz w:val="20"/>
                <w:szCs w:val="20"/>
                <w:color w:val="auto"/>
              </w:rPr>
            </w:pPr>
            <w:r>
              <w:rPr>
                <w:rFonts w:ascii="Arial" w:cs="Arial" w:eastAsia="Arial" w:hAnsi="Arial"/>
                <w:sz w:val="18"/>
                <w:szCs w:val="18"/>
                <w:color w:val="auto"/>
                <w:w w:val="79"/>
              </w:rPr>
              <w:t>$</w:t>
            </w:r>
          </w:p>
        </w:tc>
        <w:tc>
          <w:tcPr>
            <w:tcW w:w="62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94"/>
              </w:rPr>
              <w:t>(36,559</w:t>
            </w:r>
          </w:p>
        </w:tc>
        <w:tc>
          <w:tcPr>
            <w:tcW w:w="260" w:type="dxa"/>
            <w:vAlign w:val="bottom"/>
            <w:shd w:val="clear" w:color="auto" w:fill="CFF0FC"/>
          </w:tcPr>
          <w:p>
            <w:pPr>
              <w:jc w:val="right"/>
              <w:ind w:right="121"/>
              <w:spacing w:after="0"/>
              <w:rPr>
                <w:sz w:val="20"/>
                <w:szCs w:val="20"/>
                <w:color w:val="auto"/>
              </w:rPr>
            </w:pPr>
            <w:r>
              <w:rPr>
                <w:rFonts w:ascii="Arial" w:cs="Arial" w:eastAsia="Arial" w:hAnsi="Arial"/>
                <w:sz w:val="16"/>
                <w:szCs w:val="16"/>
                <w:color w:val="auto"/>
                <w:w w:val="74"/>
              </w:rPr>
              <w:t>)</w:t>
            </w:r>
          </w:p>
        </w:tc>
        <w:tc>
          <w:tcPr>
            <w:tcW w:w="360" w:type="dxa"/>
            <w:vAlign w:val="bottom"/>
            <w:tcBorders>
              <w:top w:val="single" w:sz="8" w:color="auto"/>
            </w:tcBorders>
            <w:shd w:val="clear" w:color="auto" w:fill="CFF0FC"/>
          </w:tcPr>
          <w:p>
            <w:pPr>
              <w:jc w:val="right"/>
              <w:ind w:right="170"/>
              <w:spacing w:after="0"/>
              <w:rPr>
                <w:sz w:val="20"/>
                <w:szCs w:val="20"/>
                <w:color w:val="auto"/>
              </w:rPr>
            </w:pPr>
            <w:r>
              <w:rPr>
                <w:rFonts w:ascii="Arial" w:cs="Arial" w:eastAsia="Arial" w:hAnsi="Arial"/>
                <w:sz w:val="18"/>
                <w:szCs w:val="18"/>
                <w:color w:val="auto"/>
                <w:w w:val="79"/>
              </w:rPr>
              <w:t>$</w:t>
            </w:r>
          </w:p>
        </w:tc>
        <w:tc>
          <w:tcPr>
            <w:tcW w:w="96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(69,332</w:t>
            </w:r>
          </w:p>
        </w:tc>
        <w:tc>
          <w:tcPr>
            <w:tcW w:w="260" w:type="dxa"/>
            <w:vAlign w:val="bottom"/>
            <w:shd w:val="clear" w:color="auto" w:fill="CFF0FC"/>
          </w:tcPr>
          <w:p>
            <w:pPr>
              <w:jc w:val="right"/>
              <w:ind w:right="90"/>
              <w:spacing w:after="0"/>
              <w:rPr>
                <w:sz w:val="20"/>
                <w:szCs w:val="20"/>
                <w:color w:val="auto"/>
              </w:rPr>
            </w:pPr>
            <w:r>
              <w:rPr>
                <w:rFonts w:ascii="Arial" w:cs="Arial" w:eastAsia="Arial" w:hAnsi="Arial"/>
                <w:sz w:val="18"/>
                <w:szCs w:val="18"/>
                <w:color w:val="auto"/>
                <w:w w:val="99"/>
              </w:rPr>
              <w:t>)</w:t>
            </w:r>
          </w:p>
        </w:tc>
        <w:tc>
          <w:tcPr>
            <w:tcW w:w="460" w:type="dxa"/>
            <w:vAlign w:val="bottom"/>
            <w:tcBorders>
              <w:top w:val="single" w:sz="8" w:color="auto"/>
            </w:tcBorders>
            <w:shd w:val="clear" w:color="auto" w:fill="CFF0FC"/>
          </w:tcPr>
          <w:p>
            <w:pPr>
              <w:jc w:val="right"/>
              <w:ind w:right="270"/>
              <w:spacing w:after="0"/>
              <w:rPr>
                <w:sz w:val="20"/>
                <w:szCs w:val="20"/>
                <w:color w:val="auto"/>
              </w:rPr>
            </w:pPr>
            <w:r>
              <w:rPr>
                <w:rFonts w:ascii="Arial" w:cs="Arial" w:eastAsia="Arial" w:hAnsi="Arial"/>
                <w:sz w:val="18"/>
                <w:szCs w:val="18"/>
                <w:color w:val="auto"/>
                <w:w w:val="79"/>
              </w:rPr>
              <w:t>$</w:t>
            </w:r>
          </w:p>
        </w:tc>
        <w:tc>
          <w:tcPr>
            <w:tcW w:w="90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(53,081</w:t>
            </w:r>
          </w:p>
        </w:tc>
        <w:tc>
          <w:tcPr>
            <w:tcW w:w="100" w:type="dxa"/>
            <w:vAlign w:val="bottom"/>
            <w:shd w:val="clear" w:color="auto" w:fill="CFF0FC"/>
          </w:tcPr>
          <w:p>
            <w:pPr>
              <w:jc w:val="right"/>
              <w:spacing w:after="0"/>
              <w:rPr>
                <w:sz w:val="20"/>
                <w:szCs w:val="20"/>
                <w:color w:val="auto"/>
              </w:rPr>
            </w:pPr>
            <w:r>
              <w:rPr>
                <w:rFonts w:ascii="Arial" w:cs="Arial" w:eastAsia="Arial" w:hAnsi="Arial"/>
                <w:sz w:val="16"/>
                <w:szCs w:val="16"/>
                <w:color w:val="auto"/>
                <w:w w:val="74"/>
              </w:rPr>
              <w:t>)</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3815080</wp:posOffset>
            </wp:positionH>
            <wp:positionV relativeFrom="paragraph">
              <wp:posOffset>-1532255</wp:posOffset>
            </wp:positionV>
            <wp:extent cx="76835" cy="145415"/>
            <wp:wrapNone/>
            <wp:docPr id="234" name="Picture 2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4"/>
                    <pic:cNvPicPr>
                      <a:picLocks noChangeAspect="1" noChangeArrowheads="1"/>
                    </pic:cNvPicPr>
                  </pic:nvPicPr>
                  <pic:blipFill>
                    <a:blip r:embed="rId241">
                      <a:extLst>
                        <a:ext uri="{28A0092B-C50C-407E-A947-70E740481C1C}"/>
                      </a:extLst>
                    </a:blip>
                    <a:srcRect/>
                    <a:stretch>
                      <a:fillRect/>
                    </a:stretch>
                  </pic:blipFill>
                  <pic:spPr bwMode="auto">
                    <a:xfrm>
                      <a:off x="0" y="0"/>
                      <a:ext cx="76835" cy="145415"/>
                    </a:xfrm>
                    <a:prstGeom prst="rect">
                      <a:avLst/>
                    </a:prstGeom>
                    <a:noFill/>
                  </pic:spPr>
                </pic:pic>
              </a:graphicData>
            </a:graphic>
          </wp:anchor>
        </w:drawing>
        <w:drawing>
          <wp:anchor simplePos="0" relativeHeight="251657728" behindDoc="1" locked="0" layoutInCell="0" allowOverlap="1">
            <wp:simplePos x="0" y="0"/>
            <wp:positionH relativeFrom="column">
              <wp:posOffset>5039995</wp:posOffset>
            </wp:positionH>
            <wp:positionV relativeFrom="paragraph">
              <wp:posOffset>-1532255</wp:posOffset>
            </wp:positionV>
            <wp:extent cx="76835" cy="145415"/>
            <wp:wrapNone/>
            <wp:docPr id="235" name="Picture 2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5"/>
                    <pic:cNvPicPr>
                      <a:picLocks noChangeAspect="1" noChangeArrowheads="1"/>
                    </pic:cNvPicPr>
                  </pic:nvPicPr>
                  <pic:blipFill>
                    <a:blip r:embed="rId242">
                      <a:extLst>
                        <a:ext uri="{28A0092B-C50C-407E-A947-70E740481C1C}"/>
                      </a:extLst>
                    </a:blip>
                    <a:srcRect/>
                    <a:stretch>
                      <a:fillRect/>
                    </a:stretch>
                  </pic:blipFill>
                  <pic:spPr bwMode="auto">
                    <a:xfrm>
                      <a:off x="0" y="0"/>
                      <a:ext cx="76835" cy="145415"/>
                    </a:xfrm>
                    <a:prstGeom prst="rect">
                      <a:avLst/>
                    </a:prstGeom>
                    <a:noFill/>
                  </pic:spPr>
                </pic:pic>
              </a:graphicData>
            </a:graphic>
          </wp:anchor>
        </w:drawing>
        <w:drawing>
          <wp:anchor simplePos="0" relativeHeight="251657728" behindDoc="1" locked="0" layoutInCell="0" allowOverlap="1">
            <wp:simplePos x="0" y="0"/>
            <wp:positionH relativeFrom="column">
              <wp:posOffset>6050280</wp:posOffset>
            </wp:positionH>
            <wp:positionV relativeFrom="paragraph">
              <wp:posOffset>-1532255</wp:posOffset>
            </wp:positionV>
            <wp:extent cx="68580" cy="145415"/>
            <wp:wrapNone/>
            <wp:docPr id="236" name="Picture 2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6"/>
                    <pic:cNvPicPr>
                      <a:picLocks noChangeAspect="1" noChangeArrowheads="1"/>
                    </pic:cNvPicPr>
                  </pic:nvPicPr>
                  <pic:blipFill>
                    <a:blip r:embed="rId243">
                      <a:extLst>
                        <a:ext uri="{28A0092B-C50C-407E-A947-70E740481C1C}"/>
                      </a:extLst>
                    </a:blip>
                    <a:srcRect/>
                    <a:stretch>
                      <a:fillRect/>
                    </a:stretch>
                  </pic:blipFill>
                  <pic:spPr bwMode="auto">
                    <a:xfrm>
                      <a:off x="0" y="0"/>
                      <a:ext cx="68580" cy="14541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-1532255</wp:posOffset>
            </wp:positionV>
            <wp:extent cx="68580" cy="145415"/>
            <wp:wrapNone/>
            <wp:docPr id="237" name="Picture 2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7"/>
                    <pic:cNvPicPr>
                      <a:picLocks noChangeAspect="1" noChangeArrowheads="1"/>
                    </pic:cNvPicPr>
                  </pic:nvPicPr>
                  <pic:blipFill>
                    <a:blip r:embed="rId244">
                      <a:extLst>
                        <a:ext uri="{28A0092B-C50C-407E-A947-70E740481C1C}"/>
                      </a:extLst>
                    </a:blip>
                    <a:srcRect/>
                    <a:stretch>
                      <a:fillRect/>
                    </a:stretch>
                  </pic:blipFill>
                  <pic:spPr bwMode="auto">
                    <a:xfrm>
                      <a:off x="0" y="0"/>
                      <a:ext cx="68580" cy="145415"/>
                    </a:xfrm>
                    <a:prstGeom prst="rect">
                      <a:avLst/>
                    </a:prstGeom>
                    <a:noFill/>
                  </pic:spPr>
                </pic:pic>
              </a:graphicData>
            </a:graphic>
          </wp:anchor>
        </w:drawing>
        <w:drawing>
          <wp:anchor simplePos="0" relativeHeight="251657728" behindDoc="1" locked="0" layoutInCell="0" allowOverlap="1">
            <wp:simplePos x="0" y="0"/>
            <wp:positionH relativeFrom="column">
              <wp:posOffset>3815080</wp:posOffset>
            </wp:positionH>
            <wp:positionV relativeFrom="paragraph">
              <wp:posOffset>-975360</wp:posOffset>
            </wp:positionV>
            <wp:extent cx="76835" cy="154305"/>
            <wp:wrapNone/>
            <wp:docPr id="238" name="Picture 2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8"/>
                    <pic:cNvPicPr>
                      <a:picLocks noChangeAspect="1" noChangeArrowheads="1"/>
                    </pic:cNvPicPr>
                  </pic:nvPicPr>
                  <pic:blipFill>
                    <a:blip r:embed="rId245">
                      <a:extLst>
                        <a:ext uri="{28A0092B-C50C-407E-A947-70E740481C1C}"/>
                      </a:extLst>
                    </a:blip>
                    <a:srcRect/>
                    <a:stretch>
                      <a:fillRect/>
                    </a:stretch>
                  </pic:blipFill>
                  <pic:spPr bwMode="auto">
                    <a:xfrm>
                      <a:off x="0" y="0"/>
                      <a:ext cx="76835" cy="154305"/>
                    </a:xfrm>
                    <a:prstGeom prst="rect">
                      <a:avLst/>
                    </a:prstGeom>
                    <a:noFill/>
                  </pic:spPr>
                </pic:pic>
              </a:graphicData>
            </a:graphic>
          </wp:anchor>
        </w:drawing>
        <w:drawing>
          <wp:anchor simplePos="0" relativeHeight="251657728" behindDoc="1" locked="0" layoutInCell="0" allowOverlap="1">
            <wp:simplePos x="0" y="0"/>
            <wp:positionH relativeFrom="column">
              <wp:posOffset>5039995</wp:posOffset>
            </wp:positionH>
            <wp:positionV relativeFrom="paragraph">
              <wp:posOffset>-975360</wp:posOffset>
            </wp:positionV>
            <wp:extent cx="76835" cy="154305"/>
            <wp:wrapNone/>
            <wp:docPr id="239" name="Picture 2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9"/>
                    <pic:cNvPicPr>
                      <a:picLocks noChangeAspect="1" noChangeArrowheads="1"/>
                    </pic:cNvPicPr>
                  </pic:nvPicPr>
                  <pic:blipFill>
                    <a:blip r:embed="rId246">
                      <a:extLst>
                        <a:ext uri="{28A0092B-C50C-407E-A947-70E740481C1C}"/>
                      </a:extLst>
                    </a:blip>
                    <a:srcRect/>
                    <a:stretch>
                      <a:fillRect/>
                    </a:stretch>
                  </pic:blipFill>
                  <pic:spPr bwMode="auto">
                    <a:xfrm>
                      <a:off x="0" y="0"/>
                      <a:ext cx="76835" cy="154305"/>
                    </a:xfrm>
                    <a:prstGeom prst="rect">
                      <a:avLst/>
                    </a:prstGeom>
                    <a:noFill/>
                  </pic:spPr>
                </pic:pic>
              </a:graphicData>
            </a:graphic>
          </wp:anchor>
        </w:drawing>
        <w:drawing>
          <wp:anchor simplePos="0" relativeHeight="251657728" behindDoc="1" locked="0" layoutInCell="0" allowOverlap="1">
            <wp:simplePos x="0" y="0"/>
            <wp:positionH relativeFrom="column">
              <wp:posOffset>6050280</wp:posOffset>
            </wp:positionH>
            <wp:positionV relativeFrom="paragraph">
              <wp:posOffset>-975360</wp:posOffset>
            </wp:positionV>
            <wp:extent cx="68580" cy="154305"/>
            <wp:wrapNone/>
            <wp:docPr id="240" name="Picture 2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0"/>
                    <pic:cNvPicPr>
                      <a:picLocks noChangeAspect="1" noChangeArrowheads="1"/>
                    </pic:cNvPicPr>
                  </pic:nvPicPr>
                  <pic:blipFill>
                    <a:blip r:embed="rId247">
                      <a:extLst>
                        <a:ext uri="{28A0092B-C50C-407E-A947-70E740481C1C}"/>
                      </a:extLst>
                    </a:blip>
                    <a:srcRect/>
                    <a:stretch>
                      <a:fillRect/>
                    </a:stretch>
                  </pic:blipFill>
                  <pic:spPr bwMode="auto">
                    <a:xfrm>
                      <a:off x="0" y="0"/>
                      <a:ext cx="68580" cy="15430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-975360</wp:posOffset>
            </wp:positionV>
            <wp:extent cx="68580" cy="154305"/>
            <wp:wrapNone/>
            <wp:docPr id="241" name="Picture 2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1"/>
                    <pic:cNvPicPr>
                      <a:picLocks noChangeAspect="1" noChangeArrowheads="1"/>
                    </pic:cNvPicPr>
                  </pic:nvPicPr>
                  <pic:blipFill>
                    <a:blip r:embed="rId248">
                      <a:extLst>
                        <a:ext uri="{28A0092B-C50C-407E-A947-70E740481C1C}"/>
                      </a:extLst>
                    </a:blip>
                    <a:srcRect/>
                    <a:stretch>
                      <a:fillRect/>
                    </a:stretch>
                  </pic:blipFill>
                  <pic:spPr bwMode="auto">
                    <a:xfrm>
                      <a:off x="0" y="0"/>
                      <a:ext cx="68580" cy="154305"/>
                    </a:xfrm>
                    <a:prstGeom prst="rect">
                      <a:avLst/>
                    </a:prstGeom>
                    <a:noFill/>
                  </pic:spPr>
                </pic:pic>
              </a:graphicData>
            </a:graphic>
          </wp:anchor>
        </w:drawing>
      </w:r>
    </w:p>
    <w:p>
      <w:pPr>
        <w:spacing w:after="0" w:line="137" w:lineRule="exact"/>
        <w:rPr>
          <w:sz w:val="20"/>
          <w:szCs w:val="20"/>
          <w:color w:val="auto"/>
        </w:rPr>
      </w:pPr>
    </w:p>
    <w:p>
      <w:pPr>
        <w:ind w:left="380" w:hanging="372"/>
        <w:spacing w:after="0"/>
        <w:tabs>
          <w:tab w:leader="none" w:pos="380" w:val="left"/>
        </w:tabs>
        <w:numPr>
          <w:ilvl w:val="0"/>
          <w:numId w:val="27"/>
        </w:numPr>
        <w:rPr>
          <w:rFonts w:ascii="Arial" w:cs="Arial" w:eastAsia="Arial" w:hAnsi="Arial"/>
          <w:sz w:val="14"/>
          <w:szCs w:val="14"/>
          <w:color w:val="auto"/>
        </w:rPr>
      </w:pPr>
      <w:r>
        <w:rPr>
          <w:rFonts w:ascii="Arial" w:cs="Arial" w:eastAsia="Arial" w:hAnsi="Arial"/>
          <w:sz w:val="14"/>
          <w:szCs w:val="14"/>
          <w:color w:val="auto"/>
        </w:rPr>
        <w:t>Amounts include stock-based compensation expense as follows: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-98425</wp:posOffset>
            </wp:positionV>
            <wp:extent cx="855980" cy="8255"/>
            <wp:wrapNone/>
            <wp:docPr id="242" name="Picture 2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2"/>
                    <pic:cNvPicPr>
                      <a:picLocks noChangeAspect="1" noChangeArrowheads="1"/>
                    </pic:cNvPicPr>
                  </pic:nvPicPr>
                  <pic:blipFill>
                    <a:blip r:embed="rId249">
                      <a:extLst>
                        <a:ext uri="{28A0092B-C50C-407E-A947-70E740481C1C}"/>
                      </a:extLst>
                    </a:blip>
                    <a:srcRect/>
                    <a:stretch>
                      <a:fillRect/>
                    </a:stretch>
                  </pic:blipFill>
                  <pic:spPr bwMode="auto">
                    <a:xfrm>
                      <a:off x="0" y="0"/>
                      <a:ext cx="855980" cy="8255"/>
                    </a:xfrm>
                    <a:prstGeom prst="rect">
                      <a:avLst/>
                    </a:prstGeom>
                    <a:noFill/>
                  </pic:spPr>
                </pic:pic>
              </a:graphicData>
            </a:graphic>
          </wp:anchor>
        </w:drawing>
      </w:r>
    </w:p>
    <w:p>
      <w:pPr>
        <w:spacing w:after="0" w:line="206"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46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2360" w:type="dxa"/>
            <w:vAlign w:val="bottom"/>
            <w:gridSpan w:val="3"/>
          </w:tcPr>
          <w:p>
            <w:pPr>
              <w:jc w:val="right"/>
              <w:ind w:right="130"/>
              <w:spacing w:after="0"/>
              <w:rPr>
                <w:sz w:val="20"/>
                <w:szCs w:val="20"/>
                <w:color w:val="auto"/>
              </w:rPr>
            </w:pPr>
            <w:r>
              <w:rPr>
                <w:rFonts w:ascii="Arial" w:cs="Arial" w:eastAsia="Arial" w:hAnsi="Arial"/>
                <w:sz w:val="18"/>
                <w:szCs w:val="18"/>
                <w:b w:val="1"/>
                <w:bCs w:val="1"/>
                <w:color w:val="auto"/>
              </w:rPr>
              <w:t>Three Months Ended</w:t>
            </w:r>
          </w:p>
        </w:tc>
        <w:tc>
          <w:tcPr>
            <w:tcW w:w="6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2580" w:type="dxa"/>
            <w:vAlign w:val="bottom"/>
            <w:gridSpan w:val="4"/>
          </w:tcPr>
          <w:p>
            <w:pPr>
              <w:jc w:val="right"/>
              <w:ind w:right="610"/>
              <w:spacing w:after="0"/>
              <w:rPr>
                <w:sz w:val="20"/>
                <w:szCs w:val="20"/>
                <w:color w:val="auto"/>
              </w:rPr>
            </w:pPr>
            <w:r>
              <w:rPr>
                <w:rFonts w:ascii="Arial" w:cs="Arial" w:eastAsia="Arial" w:hAnsi="Arial"/>
                <w:sz w:val="18"/>
                <w:szCs w:val="18"/>
                <w:b w:val="1"/>
                <w:bCs w:val="1"/>
                <w:color w:val="auto"/>
              </w:rPr>
              <w:t>Nine Months Ended</w:t>
            </w:r>
          </w:p>
        </w:tc>
        <w:tc>
          <w:tcPr>
            <w:tcW w:w="100" w:type="dxa"/>
            <w:vAlign w:val="bottom"/>
          </w:tcPr>
          <w:p>
            <w:pPr>
              <w:spacing w:after="0"/>
              <w:rPr>
                <w:sz w:val="18"/>
                <w:szCs w:val="18"/>
                <w:color w:val="auto"/>
              </w:rPr>
            </w:pPr>
          </w:p>
        </w:tc>
      </w:tr>
      <w:tr>
        <w:trPr>
          <w:trHeight w:val="234"/>
        </w:trPr>
        <w:tc>
          <w:tcPr>
            <w:tcW w:w="4680" w:type="dxa"/>
            <w:vAlign w:val="bottom"/>
          </w:tcPr>
          <w:p>
            <w:pPr>
              <w:spacing w:after="0"/>
              <w:rPr>
                <w:sz w:val="20"/>
                <w:szCs w:val="20"/>
                <w:color w:val="auto"/>
              </w:rPr>
            </w:pPr>
          </w:p>
        </w:tc>
        <w:tc>
          <w:tcPr>
            <w:tcW w:w="300" w:type="dxa"/>
            <w:vAlign w:val="bottom"/>
            <w:tcBorders>
              <w:bottom w:val="single" w:sz="8" w:color="auto"/>
            </w:tcBorders>
          </w:tcPr>
          <w:p>
            <w:pPr>
              <w:spacing w:after="0"/>
              <w:rPr>
                <w:sz w:val="20"/>
                <w:szCs w:val="20"/>
                <w:color w:val="auto"/>
              </w:rPr>
            </w:pPr>
          </w:p>
        </w:tc>
        <w:tc>
          <w:tcPr>
            <w:tcW w:w="2360" w:type="dxa"/>
            <w:vAlign w:val="bottom"/>
            <w:tcBorders>
              <w:bottom w:val="single" w:sz="8" w:color="auto"/>
            </w:tcBorders>
            <w:gridSpan w:val="3"/>
          </w:tcPr>
          <w:p>
            <w:pPr>
              <w:jc w:val="right"/>
              <w:ind w:right="390"/>
              <w:spacing w:after="0"/>
              <w:rPr>
                <w:sz w:val="20"/>
                <w:szCs w:val="20"/>
                <w:color w:val="auto"/>
              </w:rPr>
            </w:pPr>
            <w:r>
              <w:rPr>
                <w:rFonts w:ascii="Arial" w:cs="Arial" w:eastAsia="Arial" w:hAnsi="Arial"/>
                <w:sz w:val="18"/>
                <w:szCs w:val="18"/>
                <w:b w:val="1"/>
                <w:bCs w:val="1"/>
                <w:color w:val="auto"/>
              </w:rPr>
              <w:t>September 30,</w:t>
            </w:r>
          </w:p>
        </w:tc>
        <w:tc>
          <w:tcPr>
            <w:tcW w:w="620" w:type="dxa"/>
            <w:vAlign w:val="bottom"/>
            <w:tcBorders>
              <w:bottom w:val="single" w:sz="8" w:color="auto"/>
            </w:tcBorders>
          </w:tcPr>
          <w:p>
            <w:pPr>
              <w:spacing w:after="0"/>
              <w:rPr>
                <w:sz w:val="20"/>
                <w:szCs w:val="20"/>
                <w:color w:val="auto"/>
              </w:rPr>
            </w:pPr>
          </w:p>
        </w:tc>
        <w:tc>
          <w:tcPr>
            <w:tcW w:w="260" w:type="dxa"/>
            <w:vAlign w:val="bottom"/>
          </w:tcPr>
          <w:p>
            <w:pPr>
              <w:spacing w:after="0"/>
              <w:rPr>
                <w:sz w:val="20"/>
                <w:szCs w:val="20"/>
                <w:color w:val="auto"/>
              </w:rPr>
            </w:pPr>
          </w:p>
        </w:tc>
        <w:tc>
          <w:tcPr>
            <w:tcW w:w="340" w:type="dxa"/>
            <w:vAlign w:val="bottom"/>
            <w:tcBorders>
              <w:bottom w:val="single" w:sz="8" w:color="auto"/>
            </w:tcBorders>
          </w:tcPr>
          <w:p>
            <w:pPr>
              <w:spacing w:after="0"/>
              <w:rPr>
                <w:sz w:val="20"/>
                <w:szCs w:val="20"/>
                <w:color w:val="auto"/>
              </w:rPr>
            </w:pPr>
          </w:p>
        </w:tc>
        <w:tc>
          <w:tcPr>
            <w:tcW w:w="1700" w:type="dxa"/>
            <w:vAlign w:val="bottom"/>
            <w:tcBorders>
              <w:bottom w:val="single" w:sz="8" w:color="auto"/>
            </w:tcBorders>
            <w:gridSpan w:val="3"/>
          </w:tcPr>
          <w:p>
            <w:pPr>
              <w:jc w:val="right"/>
              <w:spacing w:after="0"/>
              <w:rPr>
                <w:sz w:val="20"/>
                <w:szCs w:val="20"/>
                <w:color w:val="auto"/>
              </w:rPr>
            </w:pPr>
            <w:r>
              <w:rPr>
                <w:rFonts w:ascii="Arial" w:cs="Arial" w:eastAsia="Arial" w:hAnsi="Arial"/>
                <w:sz w:val="18"/>
                <w:szCs w:val="18"/>
                <w:b w:val="1"/>
                <w:bCs w:val="1"/>
                <w:color w:val="auto"/>
              </w:rPr>
              <w:t>September 30,</w:t>
            </w:r>
          </w:p>
        </w:tc>
        <w:tc>
          <w:tcPr>
            <w:tcW w:w="880" w:type="dxa"/>
            <w:vAlign w:val="bottom"/>
            <w:tcBorders>
              <w:bottom w:val="single" w:sz="8" w:color="auto"/>
            </w:tcBorders>
          </w:tcPr>
          <w:p>
            <w:pPr>
              <w:spacing w:after="0"/>
              <w:rPr>
                <w:sz w:val="20"/>
                <w:szCs w:val="20"/>
                <w:color w:val="auto"/>
              </w:rPr>
            </w:pPr>
          </w:p>
        </w:tc>
        <w:tc>
          <w:tcPr>
            <w:tcW w:w="100" w:type="dxa"/>
            <w:vAlign w:val="bottom"/>
          </w:tcPr>
          <w:p>
            <w:pPr>
              <w:spacing w:after="0"/>
              <w:rPr>
                <w:sz w:val="20"/>
                <w:szCs w:val="20"/>
                <w:color w:val="auto"/>
              </w:rPr>
            </w:pPr>
          </w:p>
        </w:tc>
      </w:tr>
      <w:tr>
        <w:trPr>
          <w:trHeight w:val="209"/>
        </w:trPr>
        <w:tc>
          <w:tcPr>
            <w:tcW w:w="4680" w:type="dxa"/>
            <w:vAlign w:val="bottom"/>
          </w:tcPr>
          <w:p>
            <w:pPr>
              <w:spacing w:after="0"/>
              <w:rPr>
                <w:sz w:val="18"/>
                <w:szCs w:val="18"/>
                <w:color w:val="auto"/>
              </w:rPr>
            </w:pPr>
          </w:p>
        </w:tc>
        <w:tc>
          <w:tcPr>
            <w:tcW w:w="300" w:type="dxa"/>
            <w:vAlign w:val="bottom"/>
            <w:tcBorders>
              <w:bottom w:val="single" w:sz="8" w:color="auto"/>
            </w:tcBorders>
          </w:tcPr>
          <w:p>
            <w:pPr>
              <w:spacing w:after="0"/>
              <w:rPr>
                <w:sz w:val="18"/>
                <w:szCs w:val="18"/>
                <w:color w:val="auto"/>
              </w:rPr>
            </w:pPr>
          </w:p>
        </w:tc>
        <w:tc>
          <w:tcPr>
            <w:tcW w:w="1040" w:type="dxa"/>
            <w:vAlign w:val="bottom"/>
            <w:tcBorders>
              <w:bottom w:val="single" w:sz="8" w:color="auto"/>
            </w:tcBorders>
          </w:tcPr>
          <w:p>
            <w:pPr>
              <w:jc w:val="right"/>
              <w:ind w:right="410"/>
              <w:spacing w:after="0"/>
              <w:rPr>
                <w:sz w:val="20"/>
                <w:szCs w:val="20"/>
                <w:color w:val="auto"/>
              </w:rPr>
            </w:pPr>
            <w:r>
              <w:rPr>
                <w:rFonts w:ascii="Arial" w:cs="Arial" w:eastAsia="Arial" w:hAnsi="Arial"/>
                <w:sz w:val="18"/>
                <w:szCs w:val="18"/>
                <w:b w:val="1"/>
                <w:bCs w:val="1"/>
                <w:color w:val="auto"/>
              </w:rPr>
              <w:t>2022</w:t>
            </w:r>
          </w:p>
        </w:tc>
        <w:tc>
          <w:tcPr>
            <w:tcW w:w="280" w:type="dxa"/>
            <w:vAlign w:val="bottom"/>
          </w:tcPr>
          <w:p>
            <w:pPr>
              <w:spacing w:after="0"/>
              <w:rPr>
                <w:sz w:val="18"/>
                <w:szCs w:val="18"/>
                <w:color w:val="auto"/>
              </w:rPr>
            </w:pP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2021</w:t>
            </w:r>
          </w:p>
        </w:tc>
        <w:tc>
          <w:tcPr>
            <w:tcW w:w="620" w:type="dxa"/>
            <w:vAlign w:val="bottom"/>
            <w:tcBorders>
              <w:bottom w:val="single" w:sz="8" w:color="auto"/>
            </w:tcBorders>
          </w:tcPr>
          <w:p>
            <w:pPr>
              <w:spacing w:after="0"/>
              <w:rPr>
                <w:sz w:val="18"/>
                <w:szCs w:val="18"/>
                <w:color w:val="auto"/>
              </w:rPr>
            </w:pPr>
          </w:p>
        </w:tc>
        <w:tc>
          <w:tcPr>
            <w:tcW w:w="260" w:type="dxa"/>
            <w:vAlign w:val="bottom"/>
          </w:tcPr>
          <w:p>
            <w:pPr>
              <w:spacing w:after="0"/>
              <w:rPr>
                <w:sz w:val="18"/>
                <w:szCs w:val="18"/>
                <w:color w:val="auto"/>
              </w:rPr>
            </w:pPr>
          </w:p>
        </w:tc>
        <w:tc>
          <w:tcPr>
            <w:tcW w:w="340" w:type="dxa"/>
            <w:vAlign w:val="bottom"/>
            <w:tcBorders>
              <w:bottom w:val="single" w:sz="8" w:color="auto"/>
            </w:tcBorders>
          </w:tcPr>
          <w:p>
            <w:pPr>
              <w:spacing w:after="0"/>
              <w:rPr>
                <w:sz w:val="18"/>
                <w:szCs w:val="18"/>
                <w:color w:val="auto"/>
              </w:rPr>
            </w:pPr>
          </w:p>
        </w:tc>
        <w:tc>
          <w:tcPr>
            <w:tcW w:w="960" w:type="dxa"/>
            <w:vAlign w:val="bottom"/>
            <w:tcBorders>
              <w:bottom w:val="single" w:sz="8" w:color="auto"/>
            </w:tcBorders>
          </w:tcPr>
          <w:p>
            <w:pPr>
              <w:jc w:val="right"/>
              <w:ind w:right="370"/>
              <w:spacing w:after="0"/>
              <w:rPr>
                <w:sz w:val="20"/>
                <w:szCs w:val="20"/>
                <w:color w:val="auto"/>
              </w:rPr>
            </w:pPr>
            <w:r>
              <w:rPr>
                <w:rFonts w:ascii="Arial" w:cs="Arial" w:eastAsia="Arial" w:hAnsi="Arial"/>
                <w:sz w:val="18"/>
                <w:szCs w:val="18"/>
                <w:b w:val="1"/>
                <w:bCs w:val="1"/>
                <w:color w:val="auto"/>
              </w:rPr>
              <w:t>2022</w:t>
            </w:r>
          </w:p>
        </w:tc>
        <w:tc>
          <w:tcPr>
            <w:tcW w:w="260" w:type="dxa"/>
            <w:vAlign w:val="bottom"/>
          </w:tcPr>
          <w:p>
            <w:pPr>
              <w:spacing w:after="0"/>
              <w:rPr>
                <w:sz w:val="18"/>
                <w:szCs w:val="18"/>
                <w:color w:val="auto"/>
              </w:rPr>
            </w:pPr>
          </w:p>
        </w:tc>
        <w:tc>
          <w:tcPr>
            <w:tcW w:w="480" w:type="dxa"/>
            <w:vAlign w:val="bottom"/>
            <w:tcBorders>
              <w:bottom w:val="single" w:sz="8" w:color="auto"/>
            </w:tcBorders>
          </w:tcPr>
          <w:p>
            <w:pPr>
              <w:spacing w:after="0"/>
              <w:rPr>
                <w:sz w:val="18"/>
                <w:szCs w:val="18"/>
                <w:color w:val="auto"/>
              </w:rPr>
            </w:pPr>
          </w:p>
        </w:tc>
        <w:tc>
          <w:tcPr>
            <w:tcW w:w="880" w:type="dxa"/>
            <w:vAlign w:val="bottom"/>
            <w:tcBorders>
              <w:bottom w:val="single" w:sz="8" w:color="auto"/>
            </w:tcBorders>
          </w:tcPr>
          <w:p>
            <w:pPr>
              <w:jc w:val="right"/>
              <w:ind w:right="410"/>
              <w:spacing w:after="0"/>
              <w:rPr>
                <w:sz w:val="20"/>
                <w:szCs w:val="20"/>
                <w:color w:val="auto"/>
              </w:rPr>
            </w:pPr>
            <w:r>
              <w:rPr>
                <w:rFonts w:ascii="Arial" w:cs="Arial" w:eastAsia="Arial" w:hAnsi="Arial"/>
                <w:sz w:val="18"/>
                <w:szCs w:val="18"/>
                <w:b w:val="1"/>
                <w:bCs w:val="1"/>
                <w:color w:val="auto"/>
                <w:w w:val="89"/>
              </w:rPr>
              <w:t>2021</w:t>
            </w:r>
          </w:p>
        </w:tc>
        <w:tc>
          <w:tcPr>
            <w:tcW w:w="100" w:type="dxa"/>
            <w:vAlign w:val="bottom"/>
          </w:tcPr>
          <w:p>
            <w:pPr>
              <w:spacing w:after="0"/>
              <w:rPr>
                <w:sz w:val="18"/>
                <w:szCs w:val="18"/>
                <w:color w:val="auto"/>
              </w:rPr>
            </w:pPr>
          </w:p>
        </w:tc>
      </w:tr>
      <w:tr>
        <w:trPr>
          <w:trHeight w:val="223"/>
        </w:trPr>
        <w:tc>
          <w:tcPr>
            <w:tcW w:w="468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4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040" w:type="dxa"/>
            <w:vAlign w:val="bottom"/>
          </w:tcPr>
          <w:p>
            <w:pPr>
              <w:spacing w:after="0"/>
              <w:rPr>
                <w:sz w:val="19"/>
                <w:szCs w:val="19"/>
                <w:color w:val="auto"/>
              </w:rPr>
            </w:pPr>
          </w:p>
        </w:tc>
        <w:tc>
          <w:tcPr>
            <w:tcW w:w="1220" w:type="dxa"/>
            <w:vAlign w:val="bottom"/>
            <w:gridSpan w:val="3"/>
          </w:tcPr>
          <w:p>
            <w:pPr>
              <w:jc w:val="right"/>
              <w:ind w:right="30"/>
              <w:spacing w:after="0"/>
              <w:rPr>
                <w:sz w:val="20"/>
                <w:szCs w:val="20"/>
                <w:color w:val="auto"/>
              </w:rPr>
            </w:pPr>
            <w:r>
              <w:rPr>
                <w:rFonts w:ascii="Arial" w:cs="Arial" w:eastAsia="Arial" w:hAnsi="Arial"/>
                <w:sz w:val="18"/>
                <w:szCs w:val="18"/>
                <w:b w:val="1"/>
                <w:bCs w:val="1"/>
                <w:i w:val="1"/>
                <w:iCs w:val="1"/>
                <w:color w:val="auto"/>
                <w:w w:val="87"/>
              </w:rPr>
              <w:t>(in thousands)</w:t>
            </w:r>
          </w:p>
        </w:tc>
        <w:tc>
          <w:tcPr>
            <w:tcW w:w="96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100" w:type="dxa"/>
            <w:vAlign w:val="bottom"/>
          </w:tcPr>
          <w:p>
            <w:pPr>
              <w:spacing w:after="0"/>
              <w:rPr>
                <w:sz w:val="19"/>
                <w:szCs w:val="19"/>
                <w:color w:val="auto"/>
              </w:rPr>
            </w:pPr>
          </w:p>
        </w:tc>
      </w:tr>
      <w:tr>
        <w:trPr>
          <w:trHeight w:val="229"/>
        </w:trPr>
        <w:tc>
          <w:tcPr>
            <w:tcW w:w="4680" w:type="dxa"/>
            <w:vAlign w:val="bottom"/>
            <w:shd w:val="clear" w:color="auto" w:fill="CFF0FC"/>
          </w:tcPr>
          <w:p>
            <w:pPr>
              <w:ind w:left="20"/>
              <w:spacing w:after="0"/>
              <w:rPr>
                <w:sz w:val="20"/>
                <w:szCs w:val="20"/>
                <w:color w:val="auto"/>
              </w:rPr>
            </w:pPr>
            <w:r>
              <w:rPr>
                <w:rFonts w:ascii="Arial" w:cs="Arial" w:eastAsia="Arial" w:hAnsi="Arial"/>
                <w:sz w:val="18"/>
                <w:szCs w:val="18"/>
                <w:color w:val="auto"/>
              </w:rPr>
              <w:t>Cost of revenue</w:t>
            </w:r>
          </w:p>
        </w:tc>
        <w:tc>
          <w:tcPr>
            <w:tcW w:w="300" w:type="dxa"/>
            <w:vAlign w:val="bottom"/>
            <w:shd w:val="clear" w:color="auto" w:fill="CFF0FC"/>
          </w:tcPr>
          <w:p>
            <w:pPr>
              <w:jc w:val="right"/>
              <w:ind w:right="110"/>
              <w:spacing w:after="0"/>
              <w:rPr>
                <w:sz w:val="20"/>
                <w:szCs w:val="20"/>
                <w:color w:val="auto"/>
              </w:rPr>
            </w:pPr>
            <w:r>
              <w:rPr>
                <w:rFonts w:ascii="Arial" w:cs="Arial" w:eastAsia="Arial" w:hAnsi="Arial"/>
                <w:sz w:val="18"/>
                <w:szCs w:val="18"/>
                <w:color w:val="auto"/>
                <w:w w:val="79"/>
              </w:rPr>
              <w:t>$</w:t>
            </w:r>
          </w:p>
        </w:tc>
        <w:tc>
          <w:tcPr>
            <w:tcW w:w="10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1,793</w:t>
            </w:r>
          </w:p>
        </w:tc>
        <w:tc>
          <w:tcPr>
            <w:tcW w:w="1320" w:type="dxa"/>
            <w:vAlign w:val="bottom"/>
            <w:gridSpan w:val="2"/>
            <w:shd w:val="clear" w:color="auto" w:fill="CFF0FC"/>
          </w:tcPr>
          <w:p>
            <w:pPr>
              <w:jc w:val="right"/>
              <w:ind w:right="850"/>
              <w:spacing w:after="0"/>
              <w:rPr>
                <w:sz w:val="20"/>
                <w:szCs w:val="20"/>
                <w:color w:val="auto"/>
              </w:rPr>
            </w:pPr>
            <w:r>
              <w:rPr>
                <w:rFonts w:ascii="Arial" w:cs="Arial" w:eastAsia="Arial" w:hAnsi="Arial"/>
                <w:sz w:val="18"/>
                <w:szCs w:val="18"/>
                <w:color w:val="auto"/>
              </w:rPr>
              <w:t>$</w:t>
            </w:r>
          </w:p>
        </w:tc>
        <w:tc>
          <w:tcPr>
            <w:tcW w:w="6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425</w:t>
            </w:r>
          </w:p>
        </w:tc>
        <w:tc>
          <w:tcPr>
            <w:tcW w:w="600" w:type="dxa"/>
            <w:vAlign w:val="bottom"/>
            <w:gridSpan w:val="2"/>
            <w:shd w:val="clear" w:color="auto" w:fill="CFF0FC"/>
          </w:tcPr>
          <w:p>
            <w:pPr>
              <w:jc w:val="right"/>
              <w:ind w:right="150"/>
              <w:spacing w:after="0"/>
              <w:rPr>
                <w:sz w:val="20"/>
                <w:szCs w:val="20"/>
                <w:color w:val="auto"/>
              </w:rPr>
            </w:pPr>
            <w:r>
              <w:rPr>
                <w:rFonts w:ascii="Arial" w:cs="Arial" w:eastAsia="Arial" w:hAnsi="Arial"/>
                <w:sz w:val="18"/>
                <w:szCs w:val="18"/>
                <w:color w:val="auto"/>
              </w:rPr>
              <w:t>$</w:t>
            </w:r>
          </w:p>
        </w:tc>
        <w:tc>
          <w:tcPr>
            <w:tcW w:w="9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4,385</w:t>
            </w:r>
          </w:p>
        </w:tc>
        <w:tc>
          <w:tcPr>
            <w:tcW w:w="740" w:type="dxa"/>
            <w:vAlign w:val="bottom"/>
            <w:gridSpan w:val="2"/>
            <w:shd w:val="clear" w:color="auto" w:fill="CFF0FC"/>
          </w:tcPr>
          <w:p>
            <w:pPr>
              <w:jc w:val="right"/>
              <w:ind w:right="290"/>
              <w:spacing w:after="0"/>
              <w:rPr>
                <w:sz w:val="20"/>
                <w:szCs w:val="20"/>
                <w:color w:val="auto"/>
              </w:rPr>
            </w:pPr>
            <w:r>
              <w:rPr>
                <w:rFonts w:ascii="Arial" w:cs="Arial" w:eastAsia="Arial" w:hAnsi="Arial"/>
                <w:sz w:val="18"/>
                <w:szCs w:val="18"/>
                <w:color w:val="auto"/>
              </w:rPr>
              <w:t>$</w:t>
            </w:r>
          </w:p>
        </w:tc>
        <w:tc>
          <w:tcPr>
            <w:tcW w:w="8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909</w:t>
            </w:r>
          </w:p>
        </w:tc>
        <w:tc>
          <w:tcPr>
            <w:tcW w:w="100" w:type="dxa"/>
            <w:vAlign w:val="bottom"/>
            <w:shd w:val="clear" w:color="auto" w:fill="CFF0FC"/>
          </w:tcPr>
          <w:p>
            <w:pPr>
              <w:spacing w:after="0"/>
              <w:rPr>
                <w:sz w:val="19"/>
                <w:szCs w:val="19"/>
                <w:color w:val="auto"/>
              </w:rPr>
            </w:pPr>
          </w:p>
        </w:tc>
      </w:tr>
      <w:tr>
        <w:trPr>
          <w:trHeight w:val="229"/>
        </w:trPr>
        <w:tc>
          <w:tcPr>
            <w:tcW w:w="4680" w:type="dxa"/>
            <w:vAlign w:val="bottom"/>
          </w:tcPr>
          <w:p>
            <w:pPr>
              <w:ind w:left="20"/>
              <w:spacing w:after="0"/>
              <w:rPr>
                <w:sz w:val="20"/>
                <w:szCs w:val="20"/>
                <w:color w:val="auto"/>
              </w:rPr>
            </w:pPr>
            <w:r>
              <w:rPr>
                <w:rFonts w:ascii="Arial" w:cs="Arial" w:eastAsia="Arial" w:hAnsi="Arial"/>
                <w:sz w:val="18"/>
                <w:szCs w:val="18"/>
                <w:color w:val="auto"/>
              </w:rPr>
              <w:t>Research and development</w:t>
            </w:r>
          </w:p>
        </w:tc>
        <w:tc>
          <w:tcPr>
            <w:tcW w:w="30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7,486</w:t>
            </w:r>
          </w:p>
        </w:tc>
        <w:tc>
          <w:tcPr>
            <w:tcW w:w="280" w:type="dxa"/>
            <w:vAlign w:val="bottom"/>
          </w:tcPr>
          <w:p>
            <w:pPr>
              <w:spacing w:after="0"/>
              <w:rPr>
                <w:sz w:val="19"/>
                <w:szCs w:val="19"/>
                <w:color w:val="auto"/>
              </w:rPr>
            </w:pPr>
          </w:p>
        </w:tc>
        <w:tc>
          <w:tcPr>
            <w:tcW w:w="1040" w:type="dxa"/>
            <w:vAlign w:val="bottom"/>
          </w:tcPr>
          <w:p>
            <w:pPr>
              <w:spacing w:after="0"/>
              <w:rPr>
                <w:sz w:val="19"/>
                <w:szCs w:val="19"/>
                <w:color w:val="auto"/>
              </w:rPr>
            </w:pPr>
          </w:p>
        </w:tc>
        <w:tc>
          <w:tcPr>
            <w:tcW w:w="620" w:type="dxa"/>
            <w:vAlign w:val="bottom"/>
          </w:tcPr>
          <w:p>
            <w:pPr>
              <w:jc w:val="right"/>
              <w:spacing w:after="0"/>
              <w:rPr>
                <w:sz w:val="20"/>
                <w:szCs w:val="20"/>
                <w:color w:val="auto"/>
              </w:rPr>
            </w:pPr>
            <w:r>
              <w:rPr>
                <w:rFonts w:ascii="Arial" w:cs="Arial" w:eastAsia="Arial" w:hAnsi="Arial"/>
                <w:sz w:val="18"/>
                <w:szCs w:val="18"/>
                <w:color w:val="auto"/>
              </w:rPr>
              <w:t>7,390</w:t>
            </w:r>
          </w:p>
        </w:tc>
        <w:tc>
          <w:tcPr>
            <w:tcW w:w="26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19,153</w:t>
            </w:r>
          </w:p>
        </w:tc>
        <w:tc>
          <w:tcPr>
            <w:tcW w:w="26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9,454</w:t>
            </w:r>
          </w:p>
        </w:tc>
        <w:tc>
          <w:tcPr>
            <w:tcW w:w="100" w:type="dxa"/>
            <w:vAlign w:val="bottom"/>
          </w:tcPr>
          <w:p>
            <w:pPr>
              <w:spacing w:after="0"/>
              <w:rPr>
                <w:sz w:val="19"/>
                <w:szCs w:val="19"/>
                <w:color w:val="auto"/>
              </w:rPr>
            </w:pPr>
          </w:p>
        </w:tc>
      </w:tr>
      <w:tr>
        <w:trPr>
          <w:trHeight w:val="229"/>
        </w:trPr>
        <w:tc>
          <w:tcPr>
            <w:tcW w:w="4680" w:type="dxa"/>
            <w:vAlign w:val="bottom"/>
            <w:shd w:val="clear" w:color="auto" w:fill="CFF0FC"/>
          </w:tcPr>
          <w:p>
            <w:pPr>
              <w:ind w:left="20"/>
              <w:spacing w:after="0"/>
              <w:rPr>
                <w:sz w:val="20"/>
                <w:szCs w:val="20"/>
                <w:color w:val="auto"/>
              </w:rPr>
            </w:pPr>
            <w:r>
              <w:rPr>
                <w:rFonts w:ascii="Arial" w:cs="Arial" w:eastAsia="Arial" w:hAnsi="Arial"/>
                <w:sz w:val="18"/>
                <w:szCs w:val="18"/>
                <w:color w:val="auto"/>
              </w:rPr>
              <w:t>Sales and marketing</w:t>
            </w:r>
          </w:p>
        </w:tc>
        <w:tc>
          <w:tcPr>
            <w:tcW w:w="300" w:type="dxa"/>
            <w:vAlign w:val="bottom"/>
            <w:shd w:val="clear" w:color="auto" w:fill="CFF0FC"/>
          </w:tcPr>
          <w:p>
            <w:pPr>
              <w:spacing w:after="0"/>
              <w:rPr>
                <w:sz w:val="19"/>
                <w:szCs w:val="19"/>
                <w:color w:val="auto"/>
              </w:rPr>
            </w:pPr>
          </w:p>
        </w:tc>
        <w:tc>
          <w:tcPr>
            <w:tcW w:w="10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5,029</w:t>
            </w:r>
          </w:p>
        </w:tc>
        <w:tc>
          <w:tcPr>
            <w:tcW w:w="280" w:type="dxa"/>
            <w:vAlign w:val="bottom"/>
            <w:shd w:val="clear" w:color="auto" w:fill="CFF0FC"/>
          </w:tcPr>
          <w:p>
            <w:pPr>
              <w:spacing w:after="0"/>
              <w:rPr>
                <w:sz w:val="19"/>
                <w:szCs w:val="19"/>
                <w:color w:val="auto"/>
              </w:rPr>
            </w:pPr>
          </w:p>
        </w:tc>
        <w:tc>
          <w:tcPr>
            <w:tcW w:w="1040" w:type="dxa"/>
            <w:vAlign w:val="bottom"/>
            <w:shd w:val="clear" w:color="auto" w:fill="CFF0FC"/>
          </w:tcPr>
          <w:p>
            <w:pPr>
              <w:spacing w:after="0"/>
              <w:rPr>
                <w:sz w:val="19"/>
                <w:szCs w:val="19"/>
                <w:color w:val="auto"/>
              </w:rPr>
            </w:pPr>
          </w:p>
        </w:tc>
        <w:tc>
          <w:tcPr>
            <w:tcW w:w="6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2,312</w:t>
            </w:r>
          </w:p>
        </w:tc>
        <w:tc>
          <w:tcPr>
            <w:tcW w:w="260" w:type="dxa"/>
            <w:vAlign w:val="bottom"/>
            <w:shd w:val="clear" w:color="auto" w:fill="CFF0FC"/>
          </w:tcPr>
          <w:p>
            <w:pPr>
              <w:spacing w:after="0"/>
              <w:rPr>
                <w:sz w:val="19"/>
                <w:szCs w:val="19"/>
                <w:color w:val="auto"/>
              </w:rPr>
            </w:pPr>
          </w:p>
        </w:tc>
        <w:tc>
          <w:tcPr>
            <w:tcW w:w="340" w:type="dxa"/>
            <w:vAlign w:val="bottom"/>
            <w:shd w:val="clear" w:color="auto" w:fill="CFF0FC"/>
          </w:tcPr>
          <w:p>
            <w:pPr>
              <w:spacing w:after="0"/>
              <w:rPr>
                <w:sz w:val="19"/>
                <w:szCs w:val="19"/>
                <w:color w:val="auto"/>
              </w:rPr>
            </w:pPr>
          </w:p>
        </w:tc>
        <w:tc>
          <w:tcPr>
            <w:tcW w:w="9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11,474</w:t>
            </w:r>
          </w:p>
        </w:tc>
        <w:tc>
          <w:tcPr>
            <w:tcW w:w="260" w:type="dxa"/>
            <w:vAlign w:val="bottom"/>
            <w:shd w:val="clear" w:color="auto" w:fill="CFF0FC"/>
          </w:tcPr>
          <w:p>
            <w:pPr>
              <w:spacing w:after="0"/>
              <w:rPr>
                <w:sz w:val="19"/>
                <w:szCs w:val="19"/>
                <w:color w:val="auto"/>
              </w:rPr>
            </w:pPr>
          </w:p>
        </w:tc>
        <w:tc>
          <w:tcPr>
            <w:tcW w:w="480" w:type="dxa"/>
            <w:vAlign w:val="bottom"/>
            <w:shd w:val="clear" w:color="auto" w:fill="CFF0FC"/>
          </w:tcPr>
          <w:p>
            <w:pPr>
              <w:spacing w:after="0"/>
              <w:rPr>
                <w:sz w:val="19"/>
                <w:szCs w:val="19"/>
                <w:color w:val="auto"/>
              </w:rPr>
            </w:pPr>
          </w:p>
        </w:tc>
        <w:tc>
          <w:tcPr>
            <w:tcW w:w="8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4,001</w:t>
            </w:r>
          </w:p>
        </w:tc>
        <w:tc>
          <w:tcPr>
            <w:tcW w:w="100" w:type="dxa"/>
            <w:vAlign w:val="bottom"/>
            <w:shd w:val="clear" w:color="auto" w:fill="CFF0FC"/>
          </w:tcPr>
          <w:p>
            <w:pPr>
              <w:spacing w:after="0"/>
              <w:rPr>
                <w:sz w:val="19"/>
                <w:szCs w:val="19"/>
                <w:color w:val="auto"/>
              </w:rPr>
            </w:pPr>
          </w:p>
        </w:tc>
      </w:tr>
      <w:tr>
        <w:trPr>
          <w:trHeight w:val="216"/>
        </w:trPr>
        <w:tc>
          <w:tcPr>
            <w:tcW w:w="4680" w:type="dxa"/>
            <w:vAlign w:val="bottom"/>
          </w:tcPr>
          <w:p>
            <w:pPr>
              <w:ind w:left="20"/>
              <w:spacing w:after="0"/>
              <w:rPr>
                <w:sz w:val="20"/>
                <w:szCs w:val="20"/>
                <w:color w:val="auto"/>
              </w:rPr>
            </w:pPr>
            <w:r>
              <w:rPr>
                <w:rFonts w:ascii="Arial" w:cs="Arial" w:eastAsia="Arial" w:hAnsi="Arial"/>
                <w:sz w:val="18"/>
                <w:szCs w:val="18"/>
                <w:color w:val="auto"/>
              </w:rPr>
              <w:t>General and administrative</w:t>
            </w:r>
          </w:p>
        </w:tc>
        <w:tc>
          <w:tcPr>
            <w:tcW w:w="300" w:type="dxa"/>
            <w:vAlign w:val="bottom"/>
            <w:tcBorders>
              <w:bottom w:val="single" w:sz="8" w:color="auto"/>
            </w:tcBorders>
          </w:tcPr>
          <w:p>
            <w:pPr>
              <w:spacing w:after="0"/>
              <w:rPr>
                <w:sz w:val="18"/>
                <w:szCs w:val="18"/>
                <w:color w:val="auto"/>
              </w:rPr>
            </w:pP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4,184</w:t>
            </w:r>
          </w:p>
        </w:tc>
        <w:tc>
          <w:tcPr>
            <w:tcW w:w="280" w:type="dxa"/>
            <w:vAlign w:val="bottom"/>
          </w:tcPr>
          <w:p>
            <w:pPr>
              <w:spacing w:after="0"/>
              <w:rPr>
                <w:sz w:val="18"/>
                <w:szCs w:val="18"/>
                <w:color w:val="auto"/>
              </w:rPr>
            </w:pPr>
          </w:p>
        </w:tc>
        <w:tc>
          <w:tcPr>
            <w:tcW w:w="1040" w:type="dxa"/>
            <w:vAlign w:val="bottom"/>
            <w:tcBorders>
              <w:bottom w:val="single" w:sz="8" w:color="auto"/>
            </w:tcBorders>
          </w:tcPr>
          <w:p>
            <w:pPr>
              <w:spacing w:after="0"/>
              <w:rPr>
                <w:sz w:val="18"/>
                <w:szCs w:val="18"/>
                <w:color w:val="auto"/>
              </w:rPr>
            </w:pPr>
          </w:p>
        </w:tc>
        <w:tc>
          <w:tcPr>
            <w:tcW w:w="6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4,412</w:t>
            </w:r>
          </w:p>
        </w:tc>
        <w:tc>
          <w:tcPr>
            <w:tcW w:w="260" w:type="dxa"/>
            <w:vAlign w:val="bottom"/>
          </w:tcPr>
          <w:p>
            <w:pPr>
              <w:spacing w:after="0"/>
              <w:rPr>
                <w:sz w:val="18"/>
                <w:szCs w:val="18"/>
                <w:color w:val="auto"/>
              </w:rPr>
            </w:pPr>
          </w:p>
        </w:tc>
        <w:tc>
          <w:tcPr>
            <w:tcW w:w="340" w:type="dxa"/>
            <w:vAlign w:val="bottom"/>
            <w:tcBorders>
              <w:bottom w:val="single" w:sz="8" w:color="auto"/>
            </w:tcBorders>
          </w:tcPr>
          <w:p>
            <w:pPr>
              <w:spacing w:after="0"/>
              <w:rPr>
                <w:sz w:val="18"/>
                <w:szCs w:val="18"/>
                <w:color w:val="auto"/>
              </w:rPr>
            </w:pP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11,819</w:t>
            </w:r>
          </w:p>
        </w:tc>
        <w:tc>
          <w:tcPr>
            <w:tcW w:w="260" w:type="dxa"/>
            <w:vAlign w:val="bottom"/>
          </w:tcPr>
          <w:p>
            <w:pPr>
              <w:spacing w:after="0"/>
              <w:rPr>
                <w:sz w:val="18"/>
                <w:szCs w:val="18"/>
                <w:color w:val="auto"/>
              </w:rPr>
            </w:pPr>
          </w:p>
        </w:tc>
        <w:tc>
          <w:tcPr>
            <w:tcW w:w="480" w:type="dxa"/>
            <w:vAlign w:val="bottom"/>
            <w:tcBorders>
              <w:bottom w:val="single" w:sz="8" w:color="auto"/>
            </w:tcBorders>
          </w:tcPr>
          <w:p>
            <w:pPr>
              <w:spacing w:after="0"/>
              <w:rPr>
                <w:sz w:val="18"/>
                <w:szCs w:val="18"/>
                <w:color w:val="auto"/>
              </w:rPr>
            </w:pP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5,773</w:t>
            </w:r>
          </w:p>
        </w:tc>
        <w:tc>
          <w:tcPr>
            <w:tcW w:w="100" w:type="dxa"/>
            <w:vAlign w:val="bottom"/>
          </w:tcPr>
          <w:p>
            <w:pPr>
              <w:spacing w:after="0"/>
              <w:rPr>
                <w:sz w:val="18"/>
                <w:szCs w:val="18"/>
                <w:color w:val="auto"/>
              </w:rPr>
            </w:pPr>
          </w:p>
        </w:tc>
      </w:tr>
      <w:tr>
        <w:trPr>
          <w:trHeight w:val="209"/>
        </w:trPr>
        <w:tc>
          <w:tcPr>
            <w:tcW w:w="4680" w:type="dxa"/>
            <w:vAlign w:val="bottom"/>
            <w:tcBorders>
              <w:bottom w:val="single" w:sz="8" w:color="CFF0FC"/>
            </w:tcBorders>
            <w:shd w:val="clear" w:color="auto" w:fill="CFF0FC"/>
          </w:tcPr>
          <w:p>
            <w:pPr>
              <w:ind w:left="20"/>
              <w:spacing w:after="0"/>
              <w:rPr>
                <w:sz w:val="20"/>
                <w:szCs w:val="20"/>
                <w:color w:val="auto"/>
              </w:rPr>
            </w:pPr>
            <w:r>
              <w:rPr>
                <w:rFonts w:ascii="Arial" w:cs="Arial" w:eastAsia="Arial" w:hAnsi="Arial"/>
                <w:sz w:val="18"/>
                <w:szCs w:val="18"/>
                <w:color w:val="auto"/>
              </w:rPr>
              <w:t>Total stock-based compensation expense</w:t>
            </w:r>
          </w:p>
        </w:tc>
        <w:tc>
          <w:tcPr>
            <w:tcW w:w="300" w:type="dxa"/>
            <w:vAlign w:val="bottom"/>
            <w:tcBorders>
              <w:bottom w:val="single" w:sz="8" w:color="auto"/>
            </w:tcBorders>
            <w:shd w:val="clear" w:color="auto" w:fill="CFF0FC"/>
          </w:tcPr>
          <w:p>
            <w:pPr>
              <w:jc w:val="right"/>
              <w:ind w:right="110"/>
              <w:spacing w:after="0"/>
              <w:rPr>
                <w:sz w:val="20"/>
                <w:szCs w:val="20"/>
                <w:color w:val="auto"/>
              </w:rPr>
            </w:pPr>
            <w:r>
              <w:rPr>
                <w:rFonts w:ascii="Arial" w:cs="Arial" w:eastAsia="Arial" w:hAnsi="Arial"/>
                <w:sz w:val="18"/>
                <w:szCs w:val="18"/>
                <w:color w:val="auto"/>
                <w:w w:val="79"/>
              </w:rPr>
              <w:t>$</w:t>
            </w:r>
          </w:p>
        </w:tc>
        <w:tc>
          <w:tcPr>
            <w:tcW w:w="10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18,492</w:t>
            </w:r>
          </w:p>
        </w:tc>
        <w:tc>
          <w:tcPr>
            <w:tcW w:w="280" w:type="dxa"/>
            <w:vAlign w:val="bottom"/>
            <w:tcBorders>
              <w:bottom w:val="single" w:sz="8" w:color="CFF0FC"/>
            </w:tcBorders>
            <w:shd w:val="clear" w:color="auto" w:fill="CFF0FC"/>
          </w:tcPr>
          <w:p>
            <w:pPr>
              <w:spacing w:after="0"/>
              <w:rPr>
                <w:sz w:val="18"/>
                <w:szCs w:val="18"/>
                <w:color w:val="auto"/>
              </w:rPr>
            </w:pPr>
          </w:p>
        </w:tc>
        <w:tc>
          <w:tcPr>
            <w:tcW w:w="1040" w:type="dxa"/>
            <w:vAlign w:val="bottom"/>
            <w:tcBorders>
              <w:bottom w:val="single" w:sz="8" w:color="auto"/>
            </w:tcBorders>
            <w:shd w:val="clear" w:color="auto" w:fill="CFF0FC"/>
          </w:tcPr>
          <w:p>
            <w:pPr>
              <w:jc w:val="right"/>
              <w:ind w:right="850"/>
              <w:spacing w:after="0"/>
              <w:rPr>
                <w:sz w:val="20"/>
                <w:szCs w:val="20"/>
                <w:color w:val="auto"/>
              </w:rPr>
            </w:pPr>
            <w:r>
              <w:rPr>
                <w:rFonts w:ascii="Arial" w:cs="Arial" w:eastAsia="Arial" w:hAnsi="Arial"/>
                <w:sz w:val="18"/>
                <w:szCs w:val="18"/>
                <w:color w:val="auto"/>
                <w:w w:val="79"/>
              </w:rPr>
              <w:t>$</w:t>
            </w:r>
          </w:p>
        </w:tc>
        <w:tc>
          <w:tcPr>
            <w:tcW w:w="6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14,539</w:t>
            </w:r>
          </w:p>
        </w:tc>
        <w:tc>
          <w:tcPr>
            <w:tcW w:w="260" w:type="dxa"/>
            <w:vAlign w:val="bottom"/>
            <w:tcBorders>
              <w:bottom w:val="single" w:sz="8" w:color="CFF0FC"/>
            </w:tcBorders>
            <w:shd w:val="clear" w:color="auto" w:fill="CFF0FC"/>
          </w:tcPr>
          <w:p>
            <w:pPr>
              <w:spacing w:after="0"/>
              <w:rPr>
                <w:sz w:val="18"/>
                <w:szCs w:val="18"/>
                <w:color w:val="auto"/>
              </w:rPr>
            </w:pPr>
          </w:p>
        </w:tc>
        <w:tc>
          <w:tcPr>
            <w:tcW w:w="340" w:type="dxa"/>
            <w:vAlign w:val="bottom"/>
            <w:tcBorders>
              <w:bottom w:val="single" w:sz="8" w:color="auto"/>
            </w:tcBorders>
            <w:shd w:val="clear" w:color="auto" w:fill="CFF0FC"/>
          </w:tcPr>
          <w:p>
            <w:pPr>
              <w:jc w:val="right"/>
              <w:ind w:right="150"/>
              <w:spacing w:after="0"/>
              <w:rPr>
                <w:sz w:val="20"/>
                <w:szCs w:val="20"/>
                <w:color w:val="auto"/>
              </w:rPr>
            </w:pPr>
            <w:r>
              <w:rPr>
                <w:rFonts w:ascii="Arial" w:cs="Arial" w:eastAsia="Arial" w:hAnsi="Arial"/>
                <w:sz w:val="18"/>
                <w:szCs w:val="18"/>
                <w:color w:val="auto"/>
                <w:w w:val="79"/>
              </w:rPr>
              <w:t>$</w:t>
            </w:r>
          </w:p>
        </w:tc>
        <w:tc>
          <w:tcPr>
            <w:tcW w:w="9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46,831</w:t>
            </w:r>
          </w:p>
        </w:tc>
        <w:tc>
          <w:tcPr>
            <w:tcW w:w="260" w:type="dxa"/>
            <w:vAlign w:val="bottom"/>
            <w:tcBorders>
              <w:bottom w:val="single" w:sz="8" w:color="CFF0FC"/>
            </w:tcBorders>
            <w:shd w:val="clear" w:color="auto" w:fill="CFF0FC"/>
          </w:tcPr>
          <w:p>
            <w:pPr>
              <w:spacing w:after="0"/>
              <w:rPr>
                <w:sz w:val="18"/>
                <w:szCs w:val="18"/>
                <w:color w:val="auto"/>
              </w:rPr>
            </w:pPr>
          </w:p>
        </w:tc>
        <w:tc>
          <w:tcPr>
            <w:tcW w:w="480" w:type="dxa"/>
            <w:vAlign w:val="bottom"/>
            <w:tcBorders>
              <w:bottom w:val="single" w:sz="8" w:color="auto"/>
            </w:tcBorders>
            <w:shd w:val="clear" w:color="auto" w:fill="CFF0FC"/>
          </w:tcPr>
          <w:p>
            <w:pPr>
              <w:jc w:val="right"/>
              <w:ind w:right="290"/>
              <w:spacing w:after="0"/>
              <w:rPr>
                <w:sz w:val="20"/>
                <w:szCs w:val="20"/>
                <w:color w:val="auto"/>
              </w:rPr>
            </w:pPr>
            <w:r>
              <w:rPr>
                <w:rFonts w:ascii="Arial" w:cs="Arial" w:eastAsia="Arial" w:hAnsi="Arial"/>
                <w:sz w:val="18"/>
                <w:szCs w:val="18"/>
                <w:color w:val="auto"/>
                <w:w w:val="79"/>
              </w:rPr>
              <w:t>$</w:t>
            </w:r>
          </w:p>
        </w:tc>
        <w:tc>
          <w:tcPr>
            <w:tcW w:w="8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20,137</w:t>
            </w:r>
          </w:p>
        </w:tc>
        <w:tc>
          <w:tcPr>
            <w:tcW w:w="100" w:type="dxa"/>
            <w:vAlign w:val="bottom"/>
            <w:tcBorders>
              <w:bottom w:val="single" w:sz="8" w:color="CFF0FC"/>
            </w:tcBorders>
            <w:shd w:val="clear" w:color="auto" w:fill="CFF0FC"/>
          </w:tcPr>
          <w:p>
            <w:pPr>
              <w:spacing w:after="0"/>
              <w:rPr>
                <w:sz w:val="18"/>
                <w:szCs w:val="18"/>
                <w:color w:val="auto"/>
              </w:rPr>
            </w:pPr>
          </w:p>
        </w:tc>
      </w:tr>
      <w:tr>
        <w:trPr>
          <w:trHeight w:val="533"/>
        </w:trPr>
        <w:tc>
          <w:tcPr>
            <w:tcW w:w="468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040" w:type="dxa"/>
            <w:vAlign w:val="bottom"/>
          </w:tcPr>
          <w:p>
            <w:pPr>
              <w:jc w:val="right"/>
              <w:ind w:right="210"/>
              <w:spacing w:after="0"/>
              <w:rPr>
                <w:sz w:val="20"/>
                <w:szCs w:val="20"/>
                <w:color w:val="auto"/>
              </w:rPr>
            </w:pPr>
            <w:r>
              <w:rPr>
                <w:rFonts w:ascii="Arial" w:cs="Arial" w:eastAsia="Arial" w:hAnsi="Arial"/>
                <w:sz w:val="18"/>
                <w:szCs w:val="18"/>
                <w:color w:val="auto"/>
              </w:rPr>
              <w:t>32</w:t>
            </w:r>
          </w:p>
        </w:tc>
        <w:tc>
          <w:tcPr>
            <w:tcW w:w="28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100" w:type="dxa"/>
            <w:vAlign w:val="bottom"/>
          </w:tcPr>
          <w:p>
            <w:pPr>
              <w:spacing w:after="0"/>
              <w:rPr>
                <w:sz w:val="24"/>
                <w:szCs w:val="24"/>
                <w:color w:val="auto"/>
              </w:rPr>
            </w:pPr>
          </w:p>
        </w:tc>
      </w:tr>
      <w:tr>
        <w:trPr>
          <w:trHeight w:val="101"/>
        </w:trPr>
        <w:tc>
          <w:tcPr>
            <w:tcW w:w="4680" w:type="dxa"/>
            <w:vAlign w:val="bottom"/>
            <w:tcBorders>
              <w:bottom w:val="single" w:sz="8" w:color="9A9A9A"/>
            </w:tcBorders>
          </w:tcPr>
          <w:p>
            <w:pPr>
              <w:spacing w:after="0"/>
              <w:rPr>
                <w:sz w:val="8"/>
                <w:szCs w:val="8"/>
                <w:color w:val="auto"/>
              </w:rPr>
            </w:pPr>
          </w:p>
        </w:tc>
        <w:tc>
          <w:tcPr>
            <w:tcW w:w="300" w:type="dxa"/>
            <w:vAlign w:val="bottom"/>
            <w:tcBorders>
              <w:bottom w:val="single" w:sz="8" w:color="9A9A9A"/>
            </w:tcBorders>
          </w:tcPr>
          <w:p>
            <w:pPr>
              <w:spacing w:after="0"/>
              <w:rPr>
                <w:sz w:val="8"/>
                <w:szCs w:val="8"/>
                <w:color w:val="auto"/>
              </w:rPr>
            </w:pPr>
          </w:p>
        </w:tc>
        <w:tc>
          <w:tcPr>
            <w:tcW w:w="1040" w:type="dxa"/>
            <w:vAlign w:val="bottom"/>
            <w:tcBorders>
              <w:bottom w:val="single" w:sz="8" w:color="9A9A9A"/>
            </w:tcBorders>
          </w:tcPr>
          <w:p>
            <w:pPr>
              <w:spacing w:after="0"/>
              <w:rPr>
                <w:sz w:val="8"/>
                <w:szCs w:val="8"/>
                <w:color w:val="auto"/>
              </w:rPr>
            </w:pPr>
          </w:p>
        </w:tc>
        <w:tc>
          <w:tcPr>
            <w:tcW w:w="280" w:type="dxa"/>
            <w:vAlign w:val="bottom"/>
            <w:tcBorders>
              <w:bottom w:val="single" w:sz="8" w:color="9A9A9A"/>
            </w:tcBorders>
          </w:tcPr>
          <w:p>
            <w:pPr>
              <w:spacing w:after="0"/>
              <w:rPr>
                <w:sz w:val="8"/>
                <w:szCs w:val="8"/>
                <w:color w:val="auto"/>
              </w:rPr>
            </w:pPr>
          </w:p>
        </w:tc>
        <w:tc>
          <w:tcPr>
            <w:tcW w:w="1040" w:type="dxa"/>
            <w:vAlign w:val="bottom"/>
            <w:tcBorders>
              <w:bottom w:val="single" w:sz="8" w:color="9A9A9A"/>
            </w:tcBorders>
          </w:tcPr>
          <w:p>
            <w:pPr>
              <w:spacing w:after="0"/>
              <w:rPr>
                <w:sz w:val="8"/>
                <w:szCs w:val="8"/>
                <w:color w:val="auto"/>
              </w:rPr>
            </w:pPr>
          </w:p>
        </w:tc>
        <w:tc>
          <w:tcPr>
            <w:tcW w:w="620" w:type="dxa"/>
            <w:vAlign w:val="bottom"/>
            <w:tcBorders>
              <w:bottom w:val="single" w:sz="8" w:color="9A9A9A"/>
            </w:tcBorders>
          </w:tcPr>
          <w:p>
            <w:pPr>
              <w:spacing w:after="0"/>
              <w:rPr>
                <w:sz w:val="8"/>
                <w:szCs w:val="8"/>
                <w:color w:val="auto"/>
              </w:rPr>
            </w:pPr>
          </w:p>
        </w:tc>
        <w:tc>
          <w:tcPr>
            <w:tcW w:w="260" w:type="dxa"/>
            <w:vAlign w:val="bottom"/>
            <w:tcBorders>
              <w:bottom w:val="single" w:sz="8" w:color="9A9A9A"/>
            </w:tcBorders>
          </w:tcPr>
          <w:p>
            <w:pPr>
              <w:spacing w:after="0"/>
              <w:rPr>
                <w:sz w:val="8"/>
                <w:szCs w:val="8"/>
                <w:color w:val="auto"/>
              </w:rPr>
            </w:pPr>
          </w:p>
        </w:tc>
        <w:tc>
          <w:tcPr>
            <w:tcW w:w="340" w:type="dxa"/>
            <w:vAlign w:val="bottom"/>
            <w:tcBorders>
              <w:bottom w:val="single" w:sz="8" w:color="9A9A9A"/>
            </w:tcBorders>
          </w:tcPr>
          <w:p>
            <w:pPr>
              <w:spacing w:after="0"/>
              <w:rPr>
                <w:sz w:val="8"/>
                <w:szCs w:val="8"/>
                <w:color w:val="auto"/>
              </w:rPr>
            </w:pPr>
          </w:p>
        </w:tc>
        <w:tc>
          <w:tcPr>
            <w:tcW w:w="960" w:type="dxa"/>
            <w:vAlign w:val="bottom"/>
            <w:tcBorders>
              <w:bottom w:val="single" w:sz="8" w:color="9A9A9A"/>
            </w:tcBorders>
          </w:tcPr>
          <w:p>
            <w:pPr>
              <w:spacing w:after="0"/>
              <w:rPr>
                <w:sz w:val="8"/>
                <w:szCs w:val="8"/>
                <w:color w:val="auto"/>
              </w:rPr>
            </w:pPr>
          </w:p>
        </w:tc>
        <w:tc>
          <w:tcPr>
            <w:tcW w:w="260" w:type="dxa"/>
            <w:vAlign w:val="bottom"/>
            <w:tcBorders>
              <w:bottom w:val="single" w:sz="8" w:color="9A9A9A"/>
            </w:tcBorders>
          </w:tcPr>
          <w:p>
            <w:pPr>
              <w:spacing w:after="0"/>
              <w:rPr>
                <w:sz w:val="8"/>
                <w:szCs w:val="8"/>
                <w:color w:val="auto"/>
              </w:rPr>
            </w:pPr>
          </w:p>
        </w:tc>
        <w:tc>
          <w:tcPr>
            <w:tcW w:w="480" w:type="dxa"/>
            <w:vAlign w:val="bottom"/>
            <w:tcBorders>
              <w:bottom w:val="single" w:sz="8" w:color="9A9A9A"/>
            </w:tcBorders>
          </w:tcPr>
          <w:p>
            <w:pPr>
              <w:spacing w:after="0"/>
              <w:rPr>
                <w:sz w:val="8"/>
                <w:szCs w:val="8"/>
                <w:color w:val="auto"/>
              </w:rPr>
            </w:pPr>
          </w:p>
        </w:tc>
        <w:tc>
          <w:tcPr>
            <w:tcW w:w="880" w:type="dxa"/>
            <w:vAlign w:val="bottom"/>
            <w:tcBorders>
              <w:bottom w:val="single" w:sz="8" w:color="9A9A9A"/>
            </w:tcBorders>
          </w:tcPr>
          <w:p>
            <w:pPr>
              <w:spacing w:after="0"/>
              <w:rPr>
                <w:sz w:val="8"/>
                <w:szCs w:val="8"/>
                <w:color w:val="auto"/>
              </w:rPr>
            </w:pPr>
          </w:p>
        </w:tc>
        <w:tc>
          <w:tcPr>
            <w:tcW w:w="100" w:type="dxa"/>
            <w:vAlign w:val="bottom"/>
            <w:tcBorders>
              <w:bottom w:val="single" w:sz="8" w:color="9A9A9A"/>
            </w:tcBorders>
          </w:tcPr>
          <w:p>
            <w:pPr>
              <w:spacing w:after="0"/>
              <w:rPr>
                <w:sz w:val="8"/>
                <w:szCs w:val="8"/>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3823970</wp:posOffset>
            </wp:positionH>
            <wp:positionV relativeFrom="paragraph">
              <wp:posOffset>-427355</wp:posOffset>
            </wp:positionV>
            <wp:extent cx="76835" cy="8255"/>
            <wp:wrapNone/>
            <wp:docPr id="243" name="Picture 2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3"/>
                    <pic:cNvPicPr>
                      <a:picLocks noChangeAspect="1" noChangeArrowheads="1"/>
                    </pic:cNvPicPr>
                  </pic:nvPicPr>
                  <pic:blipFill>
                    <a:blip r:embed="rId250">
                      <a:extLst>
                        <a:ext uri="{28A0092B-C50C-407E-A947-70E740481C1C}"/>
                      </a:extLst>
                    </a:blip>
                    <a:srcRect/>
                    <a:stretch>
                      <a:fillRect/>
                    </a:stretch>
                  </pic:blipFill>
                  <pic:spPr bwMode="auto">
                    <a:xfrm>
                      <a:off x="0" y="0"/>
                      <a:ext cx="76835" cy="8255"/>
                    </a:xfrm>
                    <a:prstGeom prst="rect">
                      <a:avLst/>
                    </a:prstGeom>
                    <a:noFill/>
                  </pic:spPr>
                </pic:pic>
              </a:graphicData>
            </a:graphic>
          </wp:anchor>
        </w:drawing>
        <w:drawing>
          <wp:anchor simplePos="0" relativeHeight="251657728" behindDoc="1" locked="0" layoutInCell="0" allowOverlap="1">
            <wp:simplePos x="0" y="0"/>
            <wp:positionH relativeFrom="column">
              <wp:posOffset>5048250</wp:posOffset>
            </wp:positionH>
            <wp:positionV relativeFrom="paragraph">
              <wp:posOffset>-427355</wp:posOffset>
            </wp:positionV>
            <wp:extent cx="76835" cy="8255"/>
            <wp:wrapNone/>
            <wp:docPr id="244" name="Picture 2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4"/>
                    <pic:cNvPicPr>
                      <a:picLocks noChangeAspect="1" noChangeArrowheads="1"/>
                    </pic:cNvPicPr>
                  </pic:nvPicPr>
                  <pic:blipFill>
                    <a:blip r:embed="rId251">
                      <a:extLst>
                        <a:ext uri="{28A0092B-C50C-407E-A947-70E740481C1C}"/>
                      </a:extLst>
                    </a:blip>
                    <a:srcRect/>
                    <a:stretch>
                      <a:fillRect/>
                    </a:stretch>
                  </pic:blipFill>
                  <pic:spPr bwMode="auto">
                    <a:xfrm>
                      <a:off x="0" y="0"/>
                      <a:ext cx="76835" cy="8255"/>
                    </a:xfrm>
                    <a:prstGeom prst="rect">
                      <a:avLst/>
                    </a:prstGeom>
                    <a:noFill/>
                  </pic:spPr>
                </pic:pic>
              </a:graphicData>
            </a:graphic>
          </wp:anchor>
        </w:drawing>
        <w:drawing>
          <wp:anchor simplePos="0" relativeHeight="251657728" behindDoc="1" locked="0" layoutInCell="0" allowOverlap="1">
            <wp:simplePos x="0" y="0"/>
            <wp:positionH relativeFrom="column">
              <wp:posOffset>6050280</wp:posOffset>
            </wp:positionH>
            <wp:positionV relativeFrom="paragraph">
              <wp:posOffset>-427355</wp:posOffset>
            </wp:positionV>
            <wp:extent cx="68580" cy="8255"/>
            <wp:wrapNone/>
            <wp:docPr id="245" name="Picture 2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5"/>
                    <pic:cNvPicPr>
                      <a:picLocks noChangeAspect="1" noChangeArrowheads="1"/>
                    </pic:cNvPicPr>
                  </pic:nvPicPr>
                  <pic:blipFill>
                    <a:blip r:embed="rId252">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-427355</wp:posOffset>
            </wp:positionV>
            <wp:extent cx="68580" cy="8255"/>
            <wp:wrapNone/>
            <wp:docPr id="246" name="Picture 2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6"/>
                    <pic:cNvPicPr>
                      <a:picLocks noChangeAspect="1" noChangeArrowheads="1"/>
                    </pic:cNvPicPr>
                  </pic:nvPicPr>
                  <pic:blipFill>
                    <a:blip r:embed="rId253">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7116445</wp:posOffset>
            </wp:positionH>
            <wp:positionV relativeFrom="paragraph">
              <wp:posOffset>-29210</wp:posOffset>
            </wp:positionV>
            <wp:extent cx="33655" cy="42545"/>
            <wp:wrapNone/>
            <wp:docPr id="247" name="Picture 2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7"/>
                    <pic:cNvPicPr>
                      <a:picLocks noChangeAspect="1" noChangeArrowheads="1"/>
                    </pic:cNvPicPr>
                  </pic:nvPicPr>
                  <pic:blipFill>
                    <a:blip r:embed="rId254">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3655" cy="42545"/>
            <wp:wrapNone/>
            <wp:docPr id="248" name="Picture 2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8"/>
                    <pic:cNvPicPr>
                      <a:picLocks noChangeAspect="1" noChangeArrowheads="1"/>
                    </pic:cNvPicPr>
                  </pic:nvPicPr>
                  <pic:blipFill>
                    <a:blip r:embed="rId255">
                      <a:extLst>
                        <a:ext uri="{28A0092B-C50C-407E-A947-70E740481C1C}"/>
                      </a:extLst>
                    </a:blip>
                    <a:srcRect/>
                    <a:stretch>
                      <a:fillRect/>
                    </a:stretch>
                  </pic:blipFill>
                  <pic:spPr bwMode="auto">
                    <a:xfrm>
                      <a:off x="0" y="0"/>
                      <a:ext cx="33655" cy="42545"/>
                    </a:xfrm>
                    <a:prstGeom prst="rect">
                      <a:avLst/>
                    </a:prstGeom>
                    <a:noFill/>
                  </pic:spPr>
                </pic:pic>
              </a:graphicData>
            </a:graphic>
          </wp:anchor>
        </w:drawing>
      </w:r>
    </w:p>
    <w:p>
      <w:pPr>
        <w:sectPr>
          <w:pgSz w:w="11900" w:h="16838" w:orient="portrait"/>
          <w:cols w:equalWidth="0" w:num="1">
            <w:col w:w="11240"/>
          </w:cols>
          <w:pgMar w:left="320" w:top="651" w:right="339" w:bottom="1440" w:gutter="0" w:footer="0" w:header="0"/>
        </w:sectPr>
      </w:pPr>
    </w:p>
    <w:bookmarkStart w:id="32" w:name="page33"/>
    <w:bookmarkEnd w:id="32"/>
    <w:p>
      <w:pPr>
        <w:ind w:right="160" w:firstLine="509"/>
        <w:spacing w:after="0" w:line="277" w:lineRule="auto"/>
        <w:rPr>
          <w:sz w:val="20"/>
          <w:szCs w:val="20"/>
          <w:color w:val="auto"/>
        </w:rPr>
      </w:pPr>
      <w:r>
        <w:rPr>
          <w:rFonts w:ascii="Arial" w:cs="Arial" w:eastAsia="Arial" w:hAnsi="Arial"/>
          <w:sz w:val="18"/>
          <w:szCs w:val="18"/>
          <w:color w:val="auto"/>
        </w:rPr>
        <w:t>The following table sets forth the components of our condensed consolidated statements of operations and comprehensive loss data, for each of the periods presented, as a percentage of revenue.</w:t>
      </w:r>
    </w:p>
    <w:p>
      <w:pPr>
        <w:spacing w:after="0" w:line="120"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1360" w:type="dxa"/>
            <w:vAlign w:val="bottom"/>
          </w:tcPr>
          <w:p>
            <w:pPr>
              <w:spacing w:after="0"/>
              <w:rPr>
                <w:sz w:val="17"/>
                <w:szCs w:val="17"/>
                <w:color w:val="auto"/>
              </w:rPr>
            </w:pPr>
          </w:p>
        </w:tc>
        <w:tc>
          <w:tcPr>
            <w:tcW w:w="3260" w:type="dxa"/>
            <w:vAlign w:val="bottom"/>
          </w:tcPr>
          <w:p>
            <w:pPr>
              <w:spacing w:after="0"/>
              <w:rPr>
                <w:sz w:val="17"/>
                <w:szCs w:val="17"/>
                <w:color w:val="auto"/>
              </w:rPr>
            </w:pPr>
          </w:p>
        </w:tc>
        <w:tc>
          <w:tcPr>
            <w:tcW w:w="3380" w:type="dxa"/>
            <w:vAlign w:val="bottom"/>
            <w:gridSpan w:val="4"/>
          </w:tcPr>
          <w:p>
            <w:pPr>
              <w:jc w:val="center"/>
              <w:spacing w:after="0"/>
              <w:rPr>
                <w:sz w:val="20"/>
                <w:szCs w:val="20"/>
                <w:color w:val="auto"/>
              </w:rPr>
            </w:pPr>
            <w:r>
              <w:rPr>
                <w:rFonts w:ascii="Arial" w:cs="Arial" w:eastAsia="Arial" w:hAnsi="Arial"/>
                <w:sz w:val="18"/>
                <w:szCs w:val="18"/>
                <w:b w:val="1"/>
                <w:bCs w:val="1"/>
                <w:color w:val="auto"/>
                <w:w w:val="92"/>
              </w:rPr>
              <w:t>Three Months Ended</w:t>
            </w:r>
          </w:p>
        </w:tc>
        <w:tc>
          <w:tcPr>
            <w:tcW w:w="160" w:type="dxa"/>
            <w:vAlign w:val="bottom"/>
          </w:tcPr>
          <w:p>
            <w:pPr>
              <w:spacing w:after="0"/>
              <w:rPr>
                <w:sz w:val="17"/>
                <w:szCs w:val="17"/>
                <w:color w:val="auto"/>
              </w:rPr>
            </w:pPr>
          </w:p>
        </w:tc>
        <w:tc>
          <w:tcPr>
            <w:tcW w:w="3080" w:type="dxa"/>
            <w:vAlign w:val="bottom"/>
            <w:gridSpan w:val="4"/>
          </w:tcPr>
          <w:p>
            <w:pPr>
              <w:jc w:val="center"/>
              <w:spacing w:after="0"/>
              <w:rPr>
                <w:sz w:val="20"/>
                <w:szCs w:val="20"/>
                <w:color w:val="auto"/>
              </w:rPr>
            </w:pPr>
            <w:r>
              <w:rPr>
                <w:rFonts w:ascii="Arial" w:cs="Arial" w:eastAsia="Arial" w:hAnsi="Arial"/>
                <w:sz w:val="18"/>
                <w:szCs w:val="18"/>
                <w:b w:val="1"/>
                <w:bCs w:val="1"/>
                <w:color w:val="auto"/>
                <w:w w:val="91"/>
              </w:rPr>
              <w:t>Nine Months Ended</w:t>
            </w:r>
          </w:p>
        </w:tc>
      </w:tr>
      <w:tr>
        <w:trPr>
          <w:trHeight w:val="234"/>
        </w:trPr>
        <w:tc>
          <w:tcPr>
            <w:tcW w:w="1360" w:type="dxa"/>
            <w:vAlign w:val="bottom"/>
          </w:tcPr>
          <w:p>
            <w:pPr>
              <w:spacing w:after="0"/>
              <w:rPr>
                <w:sz w:val="20"/>
                <w:szCs w:val="20"/>
                <w:color w:val="auto"/>
              </w:rPr>
            </w:pPr>
          </w:p>
        </w:tc>
        <w:tc>
          <w:tcPr>
            <w:tcW w:w="3260" w:type="dxa"/>
            <w:vAlign w:val="bottom"/>
          </w:tcPr>
          <w:p>
            <w:pPr>
              <w:spacing w:after="0"/>
              <w:rPr>
                <w:sz w:val="20"/>
                <w:szCs w:val="20"/>
                <w:color w:val="auto"/>
              </w:rPr>
            </w:pPr>
          </w:p>
        </w:tc>
        <w:tc>
          <w:tcPr>
            <w:tcW w:w="1040" w:type="dxa"/>
            <w:vAlign w:val="bottom"/>
            <w:tcBorders>
              <w:bottom w:val="single" w:sz="8" w:color="auto"/>
            </w:tcBorders>
          </w:tcPr>
          <w:p>
            <w:pPr>
              <w:spacing w:after="0"/>
              <w:rPr>
                <w:sz w:val="20"/>
                <w:szCs w:val="20"/>
                <w:color w:val="auto"/>
              </w:rPr>
            </w:pPr>
          </w:p>
        </w:tc>
        <w:tc>
          <w:tcPr>
            <w:tcW w:w="2340" w:type="dxa"/>
            <w:vAlign w:val="bottom"/>
            <w:tcBorders>
              <w:bottom w:val="single" w:sz="8" w:color="auto"/>
            </w:tcBorders>
            <w:gridSpan w:val="3"/>
          </w:tcPr>
          <w:p>
            <w:pPr>
              <w:jc w:val="center"/>
              <w:ind w:right="950"/>
              <w:spacing w:after="0"/>
              <w:rPr>
                <w:sz w:val="20"/>
                <w:szCs w:val="20"/>
                <w:color w:val="auto"/>
              </w:rPr>
            </w:pPr>
            <w:r>
              <w:rPr>
                <w:rFonts w:ascii="Arial" w:cs="Arial" w:eastAsia="Arial" w:hAnsi="Arial"/>
                <w:sz w:val="18"/>
                <w:szCs w:val="18"/>
                <w:b w:val="1"/>
                <w:bCs w:val="1"/>
                <w:color w:val="auto"/>
                <w:w w:val="89"/>
              </w:rPr>
              <w:t>September 30,</w:t>
            </w:r>
          </w:p>
        </w:tc>
        <w:tc>
          <w:tcPr>
            <w:tcW w:w="160" w:type="dxa"/>
            <w:vAlign w:val="bottom"/>
          </w:tcPr>
          <w:p>
            <w:pPr>
              <w:spacing w:after="0"/>
              <w:rPr>
                <w:sz w:val="20"/>
                <w:szCs w:val="20"/>
                <w:color w:val="auto"/>
              </w:rPr>
            </w:pPr>
          </w:p>
        </w:tc>
        <w:tc>
          <w:tcPr>
            <w:tcW w:w="960" w:type="dxa"/>
            <w:vAlign w:val="bottom"/>
            <w:tcBorders>
              <w:bottom w:val="single" w:sz="8" w:color="auto"/>
            </w:tcBorders>
          </w:tcPr>
          <w:p>
            <w:pPr>
              <w:spacing w:after="0"/>
              <w:rPr>
                <w:sz w:val="20"/>
                <w:szCs w:val="20"/>
                <w:color w:val="auto"/>
              </w:rPr>
            </w:pPr>
          </w:p>
        </w:tc>
        <w:tc>
          <w:tcPr>
            <w:tcW w:w="2120" w:type="dxa"/>
            <w:vAlign w:val="bottom"/>
            <w:tcBorders>
              <w:bottom w:val="single" w:sz="8" w:color="auto"/>
            </w:tcBorders>
            <w:gridSpan w:val="3"/>
          </w:tcPr>
          <w:p>
            <w:pPr>
              <w:jc w:val="center"/>
              <w:ind w:right="890"/>
              <w:spacing w:after="0"/>
              <w:rPr>
                <w:sz w:val="20"/>
                <w:szCs w:val="20"/>
                <w:color w:val="auto"/>
              </w:rPr>
            </w:pPr>
            <w:r>
              <w:rPr>
                <w:rFonts w:ascii="Arial" w:cs="Arial" w:eastAsia="Arial" w:hAnsi="Arial"/>
                <w:sz w:val="18"/>
                <w:szCs w:val="18"/>
                <w:b w:val="1"/>
                <w:bCs w:val="1"/>
                <w:color w:val="auto"/>
                <w:w w:val="89"/>
              </w:rPr>
              <w:t>September 30,</w:t>
            </w:r>
          </w:p>
        </w:tc>
      </w:tr>
      <w:tr>
        <w:trPr>
          <w:trHeight w:val="209"/>
        </w:trPr>
        <w:tc>
          <w:tcPr>
            <w:tcW w:w="1360" w:type="dxa"/>
            <w:vAlign w:val="bottom"/>
          </w:tcPr>
          <w:p>
            <w:pPr>
              <w:spacing w:after="0"/>
              <w:rPr>
                <w:sz w:val="18"/>
                <w:szCs w:val="18"/>
                <w:color w:val="auto"/>
              </w:rPr>
            </w:pPr>
          </w:p>
        </w:tc>
        <w:tc>
          <w:tcPr>
            <w:tcW w:w="3260" w:type="dxa"/>
            <w:vAlign w:val="bottom"/>
          </w:tcPr>
          <w:p>
            <w:pPr>
              <w:spacing w:after="0"/>
              <w:rPr>
                <w:sz w:val="18"/>
                <w:szCs w:val="18"/>
                <w:color w:val="auto"/>
              </w:rPr>
            </w:pPr>
          </w:p>
        </w:tc>
        <w:tc>
          <w:tcPr>
            <w:tcW w:w="1040" w:type="dxa"/>
            <w:vAlign w:val="bottom"/>
          </w:tcPr>
          <w:p>
            <w:pPr>
              <w:jc w:val="center"/>
              <w:ind w:left="350"/>
              <w:spacing w:after="0"/>
              <w:rPr>
                <w:sz w:val="20"/>
                <w:szCs w:val="20"/>
                <w:color w:val="auto"/>
              </w:rPr>
            </w:pPr>
            <w:r>
              <w:rPr>
                <w:rFonts w:ascii="Arial" w:cs="Arial" w:eastAsia="Arial" w:hAnsi="Arial"/>
                <w:sz w:val="18"/>
                <w:szCs w:val="18"/>
                <w:b w:val="1"/>
                <w:bCs w:val="1"/>
                <w:color w:val="auto"/>
                <w:w w:val="89"/>
              </w:rPr>
              <w:t>2022</w:t>
            </w:r>
          </w:p>
        </w:tc>
        <w:tc>
          <w:tcPr>
            <w:tcW w:w="2340" w:type="dxa"/>
            <w:vAlign w:val="bottom"/>
            <w:gridSpan w:val="3"/>
          </w:tcPr>
          <w:p>
            <w:pPr>
              <w:jc w:val="center"/>
              <w:ind w:left="490"/>
              <w:spacing w:after="0"/>
              <w:rPr>
                <w:sz w:val="20"/>
                <w:szCs w:val="20"/>
                <w:color w:val="auto"/>
              </w:rPr>
            </w:pPr>
            <w:r>
              <w:rPr>
                <w:rFonts w:ascii="Arial" w:cs="Arial" w:eastAsia="Arial" w:hAnsi="Arial"/>
                <w:sz w:val="18"/>
                <w:szCs w:val="18"/>
                <w:b w:val="1"/>
                <w:bCs w:val="1"/>
                <w:color w:val="auto"/>
                <w:w w:val="89"/>
              </w:rPr>
              <w:t>2021</w:t>
            </w:r>
          </w:p>
        </w:tc>
        <w:tc>
          <w:tcPr>
            <w:tcW w:w="160" w:type="dxa"/>
            <w:vAlign w:val="bottom"/>
          </w:tcPr>
          <w:p>
            <w:pPr>
              <w:spacing w:after="0"/>
              <w:rPr>
                <w:sz w:val="18"/>
                <w:szCs w:val="18"/>
                <w:color w:val="auto"/>
              </w:rPr>
            </w:pPr>
          </w:p>
        </w:tc>
        <w:tc>
          <w:tcPr>
            <w:tcW w:w="960" w:type="dxa"/>
            <w:vAlign w:val="bottom"/>
          </w:tcPr>
          <w:p>
            <w:pPr>
              <w:jc w:val="center"/>
              <w:ind w:left="390"/>
              <w:spacing w:after="0"/>
              <w:rPr>
                <w:sz w:val="20"/>
                <w:szCs w:val="20"/>
                <w:color w:val="auto"/>
              </w:rPr>
            </w:pPr>
            <w:r>
              <w:rPr>
                <w:rFonts w:ascii="Arial" w:cs="Arial" w:eastAsia="Arial" w:hAnsi="Arial"/>
                <w:sz w:val="18"/>
                <w:szCs w:val="18"/>
                <w:b w:val="1"/>
                <w:bCs w:val="1"/>
                <w:color w:val="auto"/>
                <w:w w:val="89"/>
              </w:rPr>
              <w:t>2022</w:t>
            </w:r>
          </w:p>
        </w:tc>
        <w:tc>
          <w:tcPr>
            <w:tcW w:w="2120" w:type="dxa"/>
            <w:vAlign w:val="bottom"/>
            <w:gridSpan w:val="3"/>
          </w:tcPr>
          <w:p>
            <w:pPr>
              <w:jc w:val="center"/>
              <w:ind w:left="590"/>
              <w:spacing w:after="0"/>
              <w:rPr>
                <w:sz w:val="20"/>
                <w:szCs w:val="20"/>
                <w:color w:val="auto"/>
              </w:rPr>
            </w:pPr>
            <w:r>
              <w:rPr>
                <w:rFonts w:ascii="Arial" w:cs="Arial" w:eastAsia="Arial" w:hAnsi="Arial"/>
                <w:sz w:val="18"/>
                <w:szCs w:val="18"/>
                <w:b w:val="1"/>
                <w:bCs w:val="1"/>
                <w:color w:val="auto"/>
                <w:w w:val="89"/>
              </w:rPr>
              <w:t>2021</w:t>
            </w:r>
          </w:p>
        </w:tc>
      </w:tr>
      <w:tr>
        <w:trPr>
          <w:trHeight w:val="209"/>
        </w:trPr>
        <w:tc>
          <w:tcPr>
            <w:tcW w:w="4620" w:type="dxa"/>
            <w:vAlign w:val="bottom"/>
            <w:gridSpan w:val="2"/>
            <w:shd w:val="clear" w:color="auto" w:fill="CFF0FC"/>
          </w:tcPr>
          <w:p>
            <w:pPr>
              <w:ind w:left="20"/>
              <w:spacing w:after="0"/>
              <w:rPr>
                <w:sz w:val="20"/>
                <w:szCs w:val="20"/>
                <w:color w:val="auto"/>
              </w:rPr>
            </w:pPr>
            <w:r>
              <w:rPr>
                <w:rFonts w:ascii="Arial" w:cs="Arial" w:eastAsia="Arial" w:hAnsi="Arial"/>
                <w:sz w:val="18"/>
                <w:szCs w:val="18"/>
                <w:color w:val="auto"/>
              </w:rPr>
              <w:t>Revenue</w:t>
            </w:r>
          </w:p>
        </w:tc>
        <w:tc>
          <w:tcPr>
            <w:tcW w:w="1040" w:type="dxa"/>
            <w:vAlign w:val="bottom"/>
            <w:tcBorders>
              <w:top w:val="single" w:sz="8" w:color="auto"/>
            </w:tcBorders>
            <w:shd w:val="clear" w:color="auto" w:fill="CFF0FC"/>
          </w:tcPr>
          <w:p>
            <w:pPr>
              <w:jc w:val="center"/>
              <w:ind w:left="330"/>
              <w:spacing w:after="0"/>
              <w:rPr>
                <w:sz w:val="20"/>
                <w:szCs w:val="20"/>
                <w:color w:val="auto"/>
              </w:rPr>
            </w:pPr>
            <w:r>
              <w:rPr>
                <w:rFonts w:ascii="Arial" w:cs="Arial" w:eastAsia="Arial" w:hAnsi="Arial"/>
                <w:sz w:val="18"/>
                <w:szCs w:val="18"/>
                <w:color w:val="auto"/>
                <w:w w:val="91"/>
              </w:rPr>
              <w:t>100%</w:t>
            </w:r>
          </w:p>
        </w:tc>
        <w:tc>
          <w:tcPr>
            <w:tcW w:w="420" w:type="dxa"/>
            <w:vAlign w:val="bottom"/>
            <w:tcBorders>
              <w:top w:val="single" w:sz="8" w:color="auto"/>
            </w:tcBorders>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1740" w:type="dxa"/>
            <w:vAlign w:val="bottom"/>
            <w:tcBorders>
              <w:top w:val="single" w:sz="8" w:color="auto"/>
            </w:tcBorders>
            <w:shd w:val="clear" w:color="auto" w:fill="CFF0FC"/>
          </w:tcPr>
          <w:p>
            <w:pPr>
              <w:jc w:val="center"/>
              <w:spacing w:after="0"/>
              <w:rPr>
                <w:sz w:val="20"/>
                <w:szCs w:val="20"/>
                <w:color w:val="auto"/>
              </w:rPr>
            </w:pPr>
            <w:r>
              <w:rPr>
                <w:rFonts w:ascii="Arial" w:cs="Arial" w:eastAsia="Arial" w:hAnsi="Arial"/>
                <w:sz w:val="18"/>
                <w:szCs w:val="18"/>
                <w:color w:val="auto"/>
                <w:w w:val="91"/>
              </w:rPr>
              <w:t>100%</w:t>
            </w:r>
          </w:p>
        </w:tc>
        <w:tc>
          <w:tcPr>
            <w:tcW w:w="160" w:type="dxa"/>
            <w:vAlign w:val="bottom"/>
            <w:shd w:val="clear" w:color="auto" w:fill="CFF0FC"/>
          </w:tcPr>
          <w:p>
            <w:pPr>
              <w:spacing w:after="0"/>
              <w:rPr>
                <w:sz w:val="18"/>
                <w:szCs w:val="18"/>
                <w:color w:val="auto"/>
              </w:rPr>
            </w:pPr>
          </w:p>
        </w:tc>
        <w:tc>
          <w:tcPr>
            <w:tcW w:w="960" w:type="dxa"/>
            <w:vAlign w:val="bottom"/>
            <w:tcBorders>
              <w:top w:val="single" w:sz="8" w:color="auto"/>
            </w:tcBorders>
            <w:shd w:val="clear" w:color="auto" w:fill="CFF0FC"/>
          </w:tcPr>
          <w:p>
            <w:pPr>
              <w:jc w:val="center"/>
              <w:ind w:left="410"/>
              <w:spacing w:after="0"/>
              <w:rPr>
                <w:sz w:val="20"/>
                <w:szCs w:val="20"/>
                <w:color w:val="auto"/>
              </w:rPr>
            </w:pPr>
            <w:r>
              <w:rPr>
                <w:rFonts w:ascii="Arial" w:cs="Arial" w:eastAsia="Arial" w:hAnsi="Arial"/>
                <w:sz w:val="18"/>
                <w:szCs w:val="18"/>
                <w:color w:val="auto"/>
                <w:w w:val="91"/>
              </w:rPr>
              <w:t>100%</w:t>
            </w:r>
          </w:p>
        </w:tc>
        <w:tc>
          <w:tcPr>
            <w:tcW w:w="500" w:type="dxa"/>
            <w:vAlign w:val="bottom"/>
            <w:tcBorders>
              <w:top w:val="single" w:sz="8" w:color="auto"/>
            </w:tcBorders>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1460" w:type="dxa"/>
            <w:vAlign w:val="bottom"/>
            <w:tcBorders>
              <w:top w:val="single" w:sz="8" w:color="auto"/>
            </w:tcBorders>
            <w:shd w:val="clear" w:color="auto" w:fill="CFF0FC"/>
          </w:tcPr>
          <w:p>
            <w:pPr>
              <w:jc w:val="center"/>
              <w:spacing w:after="0"/>
              <w:rPr>
                <w:sz w:val="20"/>
                <w:szCs w:val="20"/>
                <w:color w:val="auto"/>
              </w:rPr>
            </w:pPr>
            <w:r>
              <w:rPr>
                <w:rFonts w:ascii="Arial" w:cs="Arial" w:eastAsia="Arial" w:hAnsi="Arial"/>
                <w:sz w:val="18"/>
                <w:szCs w:val="18"/>
                <w:color w:val="auto"/>
                <w:w w:val="91"/>
              </w:rPr>
              <w:t>100%</w:t>
            </w:r>
          </w:p>
        </w:tc>
      </w:tr>
      <w:tr>
        <w:trPr>
          <w:trHeight w:val="216"/>
        </w:trPr>
        <w:tc>
          <w:tcPr>
            <w:tcW w:w="4620" w:type="dxa"/>
            <w:vAlign w:val="bottom"/>
            <w:gridSpan w:val="2"/>
          </w:tcPr>
          <w:p>
            <w:pPr>
              <w:ind w:left="20"/>
              <w:spacing w:after="0"/>
              <w:rPr>
                <w:sz w:val="20"/>
                <w:szCs w:val="20"/>
                <w:color w:val="auto"/>
              </w:rPr>
            </w:pPr>
            <w:r>
              <w:rPr>
                <w:rFonts w:ascii="Arial" w:cs="Arial" w:eastAsia="Arial" w:hAnsi="Arial"/>
                <w:sz w:val="18"/>
                <w:szCs w:val="18"/>
                <w:color w:val="auto"/>
              </w:rPr>
              <w:t>Cost of revenue</w:t>
            </w:r>
          </w:p>
        </w:tc>
        <w:tc>
          <w:tcPr>
            <w:tcW w:w="1040" w:type="dxa"/>
            <w:vAlign w:val="bottom"/>
          </w:tcPr>
          <w:p>
            <w:pPr>
              <w:jc w:val="center"/>
              <w:ind w:left="330"/>
              <w:spacing w:after="0"/>
              <w:rPr>
                <w:sz w:val="20"/>
                <w:szCs w:val="20"/>
                <w:color w:val="auto"/>
              </w:rPr>
            </w:pPr>
            <w:r>
              <w:rPr>
                <w:rFonts w:ascii="Arial" w:cs="Arial" w:eastAsia="Arial" w:hAnsi="Arial"/>
                <w:sz w:val="18"/>
                <w:szCs w:val="18"/>
                <w:color w:val="auto"/>
                <w:w w:val="94"/>
              </w:rPr>
              <w:t>29%</w:t>
            </w:r>
          </w:p>
        </w:tc>
        <w:tc>
          <w:tcPr>
            <w:tcW w:w="2340" w:type="dxa"/>
            <w:vAlign w:val="bottom"/>
            <w:gridSpan w:val="3"/>
          </w:tcPr>
          <w:p>
            <w:pPr>
              <w:jc w:val="center"/>
              <w:ind w:left="490"/>
              <w:spacing w:after="0"/>
              <w:rPr>
                <w:sz w:val="20"/>
                <w:szCs w:val="20"/>
                <w:color w:val="auto"/>
              </w:rPr>
            </w:pPr>
            <w:r>
              <w:rPr>
                <w:rFonts w:ascii="Arial" w:cs="Arial" w:eastAsia="Arial" w:hAnsi="Arial"/>
                <w:sz w:val="18"/>
                <w:szCs w:val="18"/>
                <w:color w:val="auto"/>
                <w:w w:val="88"/>
              </w:rPr>
              <w:t>31%</w:t>
            </w:r>
          </w:p>
        </w:tc>
        <w:tc>
          <w:tcPr>
            <w:tcW w:w="1120" w:type="dxa"/>
            <w:vAlign w:val="bottom"/>
            <w:gridSpan w:val="2"/>
          </w:tcPr>
          <w:p>
            <w:pPr>
              <w:jc w:val="center"/>
              <w:ind w:left="570"/>
              <w:spacing w:after="0"/>
              <w:rPr>
                <w:sz w:val="20"/>
                <w:szCs w:val="20"/>
                <w:color w:val="auto"/>
              </w:rPr>
            </w:pPr>
            <w:r>
              <w:rPr>
                <w:rFonts w:ascii="Arial" w:cs="Arial" w:eastAsia="Arial" w:hAnsi="Arial"/>
                <w:sz w:val="18"/>
                <w:szCs w:val="18"/>
                <w:color w:val="auto"/>
                <w:w w:val="94"/>
              </w:rPr>
              <w:t>30%</w:t>
            </w:r>
          </w:p>
        </w:tc>
        <w:tc>
          <w:tcPr>
            <w:tcW w:w="2120" w:type="dxa"/>
            <w:vAlign w:val="bottom"/>
            <w:gridSpan w:val="3"/>
          </w:tcPr>
          <w:p>
            <w:pPr>
              <w:jc w:val="center"/>
              <w:ind w:left="570"/>
              <w:spacing w:after="0"/>
              <w:rPr>
                <w:sz w:val="20"/>
                <w:szCs w:val="20"/>
                <w:color w:val="auto"/>
              </w:rPr>
            </w:pPr>
            <w:r>
              <w:rPr>
                <w:rFonts w:ascii="Arial" w:cs="Arial" w:eastAsia="Arial" w:hAnsi="Arial"/>
                <w:sz w:val="18"/>
                <w:szCs w:val="18"/>
                <w:color w:val="auto"/>
                <w:w w:val="94"/>
              </w:rPr>
              <w:t>31%</w:t>
            </w:r>
          </w:p>
        </w:tc>
      </w:tr>
      <w:tr>
        <w:trPr>
          <w:trHeight w:val="209"/>
        </w:trPr>
        <w:tc>
          <w:tcPr>
            <w:tcW w:w="4620" w:type="dxa"/>
            <w:vAlign w:val="bottom"/>
            <w:tcBorders>
              <w:bottom w:val="single" w:sz="8" w:color="CFF0FC"/>
            </w:tcBorders>
            <w:gridSpan w:val="2"/>
            <w:shd w:val="clear" w:color="auto" w:fill="CFF0FC"/>
          </w:tcPr>
          <w:p>
            <w:pPr>
              <w:ind w:left="20"/>
              <w:spacing w:after="0"/>
              <w:rPr>
                <w:sz w:val="20"/>
                <w:szCs w:val="20"/>
                <w:color w:val="auto"/>
              </w:rPr>
            </w:pPr>
            <w:r>
              <w:rPr>
                <w:rFonts w:ascii="Arial" w:cs="Arial" w:eastAsia="Arial" w:hAnsi="Arial"/>
                <w:sz w:val="18"/>
                <w:szCs w:val="18"/>
                <w:color w:val="auto"/>
              </w:rPr>
              <w:t>Gross margin</w:t>
            </w:r>
          </w:p>
        </w:tc>
        <w:tc>
          <w:tcPr>
            <w:tcW w:w="1040" w:type="dxa"/>
            <w:vAlign w:val="bottom"/>
            <w:tcBorders>
              <w:top w:val="single" w:sz="8" w:color="auto"/>
              <w:bottom w:val="single" w:sz="8" w:color="auto"/>
            </w:tcBorders>
            <w:shd w:val="clear" w:color="auto" w:fill="CFF0FC"/>
          </w:tcPr>
          <w:p>
            <w:pPr>
              <w:jc w:val="center"/>
              <w:ind w:left="330"/>
              <w:spacing w:after="0"/>
              <w:rPr>
                <w:sz w:val="20"/>
                <w:szCs w:val="20"/>
                <w:color w:val="auto"/>
              </w:rPr>
            </w:pPr>
            <w:r>
              <w:rPr>
                <w:rFonts w:ascii="Arial" w:cs="Arial" w:eastAsia="Arial" w:hAnsi="Arial"/>
                <w:sz w:val="18"/>
                <w:szCs w:val="18"/>
                <w:color w:val="auto"/>
                <w:w w:val="94"/>
              </w:rPr>
              <w:t>71%</w:t>
            </w:r>
          </w:p>
        </w:tc>
        <w:tc>
          <w:tcPr>
            <w:tcW w:w="420" w:type="dxa"/>
            <w:vAlign w:val="bottom"/>
            <w:tcBorders>
              <w:top w:val="single" w:sz="8" w:color="auto"/>
              <w:bottom w:val="single" w:sz="8" w:color="auto"/>
            </w:tcBorders>
            <w:shd w:val="clear" w:color="auto" w:fill="CFF0FC"/>
          </w:tcPr>
          <w:p>
            <w:pPr>
              <w:spacing w:after="0"/>
              <w:rPr>
                <w:sz w:val="18"/>
                <w:szCs w:val="18"/>
                <w:color w:val="auto"/>
              </w:rPr>
            </w:pPr>
          </w:p>
        </w:tc>
        <w:tc>
          <w:tcPr>
            <w:tcW w:w="180" w:type="dxa"/>
            <w:vAlign w:val="bottom"/>
            <w:tcBorders>
              <w:bottom w:val="single" w:sz="8" w:color="CFF0FC"/>
            </w:tcBorders>
            <w:shd w:val="clear" w:color="auto" w:fill="CFF0FC"/>
          </w:tcPr>
          <w:p>
            <w:pPr>
              <w:spacing w:after="0"/>
              <w:rPr>
                <w:sz w:val="18"/>
                <w:szCs w:val="18"/>
                <w:color w:val="auto"/>
              </w:rPr>
            </w:pPr>
          </w:p>
        </w:tc>
        <w:tc>
          <w:tcPr>
            <w:tcW w:w="1740" w:type="dxa"/>
            <w:vAlign w:val="bottom"/>
            <w:tcBorders>
              <w:top w:val="single" w:sz="8" w:color="auto"/>
              <w:bottom w:val="single" w:sz="8" w:color="auto"/>
            </w:tcBorders>
            <w:shd w:val="clear" w:color="auto" w:fill="CFF0FC"/>
          </w:tcPr>
          <w:p>
            <w:pPr>
              <w:jc w:val="center"/>
              <w:spacing w:after="0"/>
              <w:rPr>
                <w:sz w:val="20"/>
                <w:szCs w:val="20"/>
                <w:color w:val="auto"/>
              </w:rPr>
            </w:pPr>
            <w:r>
              <w:rPr>
                <w:rFonts w:ascii="Arial" w:cs="Arial" w:eastAsia="Arial" w:hAnsi="Arial"/>
                <w:sz w:val="18"/>
                <w:szCs w:val="18"/>
                <w:color w:val="auto"/>
                <w:w w:val="88"/>
              </w:rPr>
              <w:t>69%</w:t>
            </w:r>
          </w:p>
        </w:tc>
        <w:tc>
          <w:tcPr>
            <w:tcW w:w="160" w:type="dxa"/>
            <w:vAlign w:val="bottom"/>
            <w:tcBorders>
              <w:bottom w:val="single" w:sz="8" w:color="CFF0FC"/>
            </w:tcBorders>
            <w:shd w:val="clear" w:color="auto" w:fill="CFF0FC"/>
          </w:tcPr>
          <w:p>
            <w:pPr>
              <w:spacing w:after="0"/>
              <w:rPr>
                <w:sz w:val="18"/>
                <w:szCs w:val="18"/>
                <w:color w:val="auto"/>
              </w:rPr>
            </w:pPr>
          </w:p>
        </w:tc>
        <w:tc>
          <w:tcPr>
            <w:tcW w:w="960" w:type="dxa"/>
            <w:vAlign w:val="bottom"/>
            <w:tcBorders>
              <w:top w:val="single" w:sz="8" w:color="auto"/>
              <w:bottom w:val="single" w:sz="8" w:color="auto"/>
            </w:tcBorders>
            <w:shd w:val="clear" w:color="auto" w:fill="CFF0FC"/>
          </w:tcPr>
          <w:p>
            <w:pPr>
              <w:jc w:val="center"/>
              <w:ind w:left="410"/>
              <w:spacing w:after="0"/>
              <w:rPr>
                <w:sz w:val="20"/>
                <w:szCs w:val="20"/>
                <w:color w:val="auto"/>
              </w:rPr>
            </w:pPr>
            <w:r>
              <w:rPr>
                <w:rFonts w:ascii="Arial" w:cs="Arial" w:eastAsia="Arial" w:hAnsi="Arial"/>
                <w:sz w:val="18"/>
                <w:szCs w:val="18"/>
                <w:color w:val="auto"/>
                <w:w w:val="94"/>
              </w:rPr>
              <w:t>70%</w:t>
            </w:r>
          </w:p>
        </w:tc>
        <w:tc>
          <w:tcPr>
            <w:tcW w:w="500" w:type="dxa"/>
            <w:vAlign w:val="bottom"/>
            <w:tcBorders>
              <w:top w:val="single" w:sz="8" w:color="auto"/>
              <w:bottom w:val="single" w:sz="8" w:color="auto"/>
            </w:tcBorders>
            <w:shd w:val="clear" w:color="auto" w:fill="CFF0FC"/>
          </w:tcPr>
          <w:p>
            <w:pPr>
              <w:spacing w:after="0"/>
              <w:rPr>
                <w:sz w:val="18"/>
                <w:szCs w:val="18"/>
                <w:color w:val="auto"/>
              </w:rPr>
            </w:pPr>
          </w:p>
        </w:tc>
        <w:tc>
          <w:tcPr>
            <w:tcW w:w="160" w:type="dxa"/>
            <w:vAlign w:val="bottom"/>
            <w:tcBorders>
              <w:bottom w:val="single" w:sz="8" w:color="CFF0FC"/>
            </w:tcBorders>
            <w:shd w:val="clear" w:color="auto" w:fill="CFF0FC"/>
          </w:tcPr>
          <w:p>
            <w:pPr>
              <w:spacing w:after="0"/>
              <w:rPr>
                <w:sz w:val="18"/>
                <w:szCs w:val="18"/>
                <w:color w:val="auto"/>
              </w:rPr>
            </w:pPr>
          </w:p>
        </w:tc>
        <w:tc>
          <w:tcPr>
            <w:tcW w:w="1460" w:type="dxa"/>
            <w:vAlign w:val="bottom"/>
            <w:tcBorders>
              <w:top w:val="single" w:sz="8" w:color="auto"/>
              <w:bottom w:val="single" w:sz="8" w:color="auto"/>
            </w:tcBorders>
            <w:shd w:val="clear" w:color="auto" w:fill="CFF0FC"/>
          </w:tcPr>
          <w:p>
            <w:pPr>
              <w:jc w:val="center"/>
              <w:spacing w:after="0"/>
              <w:rPr>
                <w:sz w:val="20"/>
                <w:szCs w:val="20"/>
                <w:color w:val="auto"/>
              </w:rPr>
            </w:pPr>
            <w:r>
              <w:rPr>
                <w:rFonts w:ascii="Arial" w:cs="Arial" w:eastAsia="Arial" w:hAnsi="Arial"/>
                <w:sz w:val="18"/>
                <w:szCs w:val="18"/>
                <w:color w:val="auto"/>
                <w:w w:val="94"/>
              </w:rPr>
              <w:t>69%</w:t>
            </w:r>
          </w:p>
        </w:tc>
      </w:tr>
      <w:tr>
        <w:trPr>
          <w:trHeight w:val="209"/>
        </w:trPr>
        <w:tc>
          <w:tcPr>
            <w:tcW w:w="4620" w:type="dxa"/>
            <w:vAlign w:val="bottom"/>
            <w:gridSpan w:val="2"/>
          </w:tcPr>
          <w:p>
            <w:pPr>
              <w:ind w:left="20"/>
              <w:spacing w:after="0"/>
              <w:rPr>
                <w:sz w:val="20"/>
                <w:szCs w:val="20"/>
                <w:color w:val="auto"/>
              </w:rPr>
            </w:pPr>
            <w:r>
              <w:rPr>
                <w:rFonts w:ascii="Arial" w:cs="Arial" w:eastAsia="Arial" w:hAnsi="Arial"/>
                <w:sz w:val="18"/>
                <w:szCs w:val="18"/>
                <w:color w:val="auto"/>
              </w:rPr>
              <w:t>Operating expenses:</w:t>
            </w:r>
          </w:p>
        </w:tc>
        <w:tc>
          <w:tcPr>
            <w:tcW w:w="104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7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460" w:type="dxa"/>
            <w:vAlign w:val="bottom"/>
          </w:tcPr>
          <w:p>
            <w:pPr>
              <w:spacing w:after="0"/>
              <w:rPr>
                <w:sz w:val="18"/>
                <w:szCs w:val="18"/>
                <w:color w:val="auto"/>
              </w:rPr>
            </w:pPr>
          </w:p>
        </w:tc>
      </w:tr>
      <w:tr>
        <w:trPr>
          <w:trHeight w:val="216"/>
        </w:trPr>
        <w:tc>
          <w:tcPr>
            <w:tcW w:w="4620" w:type="dxa"/>
            <w:vAlign w:val="bottom"/>
            <w:gridSpan w:val="2"/>
            <w:shd w:val="clear" w:color="auto" w:fill="CFF0FC"/>
          </w:tcPr>
          <w:p>
            <w:pPr>
              <w:ind w:left="200"/>
              <w:spacing w:after="0"/>
              <w:rPr>
                <w:sz w:val="20"/>
                <w:szCs w:val="20"/>
                <w:color w:val="auto"/>
              </w:rPr>
            </w:pPr>
            <w:r>
              <w:rPr>
                <w:rFonts w:ascii="Arial" w:cs="Arial" w:eastAsia="Arial" w:hAnsi="Arial"/>
                <w:sz w:val="18"/>
                <w:szCs w:val="18"/>
                <w:color w:val="auto"/>
              </w:rPr>
              <w:t>Research and development</w:t>
            </w:r>
          </w:p>
        </w:tc>
        <w:tc>
          <w:tcPr>
            <w:tcW w:w="1040" w:type="dxa"/>
            <w:vAlign w:val="bottom"/>
            <w:shd w:val="clear" w:color="auto" w:fill="CFF0FC"/>
          </w:tcPr>
          <w:p>
            <w:pPr>
              <w:jc w:val="center"/>
              <w:ind w:left="330"/>
              <w:spacing w:after="0"/>
              <w:rPr>
                <w:sz w:val="20"/>
                <w:szCs w:val="20"/>
                <w:color w:val="auto"/>
              </w:rPr>
            </w:pPr>
            <w:r>
              <w:rPr>
                <w:rFonts w:ascii="Arial" w:cs="Arial" w:eastAsia="Arial" w:hAnsi="Arial"/>
                <w:sz w:val="18"/>
                <w:szCs w:val="18"/>
                <w:color w:val="auto"/>
                <w:w w:val="94"/>
              </w:rPr>
              <w:t>35%</w:t>
            </w:r>
          </w:p>
        </w:tc>
        <w:tc>
          <w:tcPr>
            <w:tcW w:w="2340" w:type="dxa"/>
            <w:vAlign w:val="bottom"/>
            <w:gridSpan w:val="3"/>
            <w:shd w:val="clear" w:color="auto" w:fill="CFF0FC"/>
          </w:tcPr>
          <w:p>
            <w:pPr>
              <w:jc w:val="center"/>
              <w:ind w:left="490"/>
              <w:spacing w:after="0"/>
              <w:rPr>
                <w:sz w:val="20"/>
                <w:szCs w:val="20"/>
                <w:color w:val="auto"/>
              </w:rPr>
            </w:pPr>
            <w:r>
              <w:rPr>
                <w:rFonts w:ascii="Arial" w:cs="Arial" w:eastAsia="Arial" w:hAnsi="Arial"/>
                <w:sz w:val="18"/>
                <w:szCs w:val="18"/>
                <w:color w:val="auto"/>
                <w:w w:val="88"/>
              </w:rPr>
              <w:t>41%</w:t>
            </w:r>
          </w:p>
        </w:tc>
        <w:tc>
          <w:tcPr>
            <w:tcW w:w="1120" w:type="dxa"/>
            <w:vAlign w:val="bottom"/>
            <w:gridSpan w:val="2"/>
            <w:shd w:val="clear" w:color="auto" w:fill="CFF0FC"/>
          </w:tcPr>
          <w:p>
            <w:pPr>
              <w:jc w:val="center"/>
              <w:ind w:left="570"/>
              <w:spacing w:after="0"/>
              <w:rPr>
                <w:sz w:val="20"/>
                <w:szCs w:val="20"/>
                <w:color w:val="auto"/>
              </w:rPr>
            </w:pPr>
            <w:r>
              <w:rPr>
                <w:rFonts w:ascii="Arial" w:cs="Arial" w:eastAsia="Arial" w:hAnsi="Arial"/>
                <w:sz w:val="18"/>
                <w:szCs w:val="18"/>
                <w:color w:val="auto"/>
                <w:w w:val="94"/>
              </w:rPr>
              <w:t>34%</w:t>
            </w:r>
          </w:p>
        </w:tc>
        <w:tc>
          <w:tcPr>
            <w:tcW w:w="2120" w:type="dxa"/>
            <w:vAlign w:val="bottom"/>
            <w:gridSpan w:val="3"/>
            <w:shd w:val="clear" w:color="auto" w:fill="CFF0FC"/>
          </w:tcPr>
          <w:p>
            <w:pPr>
              <w:jc w:val="center"/>
              <w:ind w:left="570"/>
              <w:spacing w:after="0"/>
              <w:rPr>
                <w:sz w:val="20"/>
                <w:szCs w:val="20"/>
                <w:color w:val="auto"/>
              </w:rPr>
            </w:pPr>
            <w:r>
              <w:rPr>
                <w:rFonts w:ascii="Arial" w:cs="Arial" w:eastAsia="Arial" w:hAnsi="Arial"/>
                <w:sz w:val="18"/>
                <w:szCs w:val="18"/>
                <w:color w:val="auto"/>
                <w:w w:val="94"/>
              </w:rPr>
              <w:t>29%</w:t>
            </w:r>
          </w:p>
        </w:tc>
      </w:tr>
      <w:tr>
        <w:trPr>
          <w:trHeight w:val="216"/>
        </w:trPr>
        <w:tc>
          <w:tcPr>
            <w:tcW w:w="4620" w:type="dxa"/>
            <w:vAlign w:val="bottom"/>
            <w:gridSpan w:val="2"/>
          </w:tcPr>
          <w:p>
            <w:pPr>
              <w:ind w:left="200"/>
              <w:spacing w:after="0"/>
              <w:rPr>
                <w:sz w:val="20"/>
                <w:szCs w:val="20"/>
                <w:color w:val="auto"/>
              </w:rPr>
            </w:pPr>
            <w:r>
              <w:rPr>
                <w:rFonts w:ascii="Arial" w:cs="Arial" w:eastAsia="Arial" w:hAnsi="Arial"/>
                <w:sz w:val="18"/>
                <w:szCs w:val="18"/>
                <w:color w:val="auto"/>
              </w:rPr>
              <w:t>Sales and marketing</w:t>
            </w:r>
          </w:p>
        </w:tc>
        <w:tc>
          <w:tcPr>
            <w:tcW w:w="1040" w:type="dxa"/>
            <w:vAlign w:val="bottom"/>
          </w:tcPr>
          <w:p>
            <w:pPr>
              <w:jc w:val="center"/>
              <w:ind w:left="330"/>
              <w:spacing w:after="0"/>
              <w:rPr>
                <w:sz w:val="20"/>
                <w:szCs w:val="20"/>
                <w:color w:val="auto"/>
              </w:rPr>
            </w:pPr>
            <w:r>
              <w:rPr>
                <w:rFonts w:ascii="Arial" w:cs="Arial" w:eastAsia="Arial" w:hAnsi="Arial"/>
                <w:sz w:val="18"/>
                <w:szCs w:val="18"/>
                <w:color w:val="auto"/>
                <w:w w:val="94"/>
              </w:rPr>
              <w:t>53%</w:t>
            </w:r>
          </w:p>
        </w:tc>
        <w:tc>
          <w:tcPr>
            <w:tcW w:w="2340" w:type="dxa"/>
            <w:vAlign w:val="bottom"/>
            <w:gridSpan w:val="3"/>
          </w:tcPr>
          <w:p>
            <w:pPr>
              <w:jc w:val="center"/>
              <w:ind w:left="490"/>
              <w:spacing w:after="0"/>
              <w:rPr>
                <w:sz w:val="20"/>
                <w:szCs w:val="20"/>
                <w:color w:val="auto"/>
              </w:rPr>
            </w:pPr>
            <w:r>
              <w:rPr>
                <w:rFonts w:ascii="Arial" w:cs="Arial" w:eastAsia="Arial" w:hAnsi="Arial"/>
                <w:sz w:val="18"/>
                <w:szCs w:val="18"/>
                <w:color w:val="auto"/>
                <w:w w:val="88"/>
              </w:rPr>
              <w:t>49%</w:t>
            </w:r>
          </w:p>
        </w:tc>
        <w:tc>
          <w:tcPr>
            <w:tcW w:w="1120" w:type="dxa"/>
            <w:vAlign w:val="bottom"/>
            <w:gridSpan w:val="2"/>
          </w:tcPr>
          <w:p>
            <w:pPr>
              <w:jc w:val="center"/>
              <w:ind w:left="570"/>
              <w:spacing w:after="0"/>
              <w:rPr>
                <w:sz w:val="20"/>
                <w:szCs w:val="20"/>
                <w:color w:val="auto"/>
              </w:rPr>
            </w:pPr>
            <w:r>
              <w:rPr>
                <w:rFonts w:ascii="Arial" w:cs="Arial" w:eastAsia="Arial" w:hAnsi="Arial"/>
                <w:sz w:val="18"/>
                <w:szCs w:val="18"/>
                <w:color w:val="auto"/>
                <w:w w:val="94"/>
              </w:rPr>
              <w:t>55%</w:t>
            </w:r>
          </w:p>
        </w:tc>
        <w:tc>
          <w:tcPr>
            <w:tcW w:w="2120" w:type="dxa"/>
            <w:vAlign w:val="bottom"/>
            <w:gridSpan w:val="3"/>
          </w:tcPr>
          <w:p>
            <w:pPr>
              <w:jc w:val="center"/>
              <w:ind w:left="570"/>
              <w:spacing w:after="0"/>
              <w:rPr>
                <w:sz w:val="20"/>
                <w:szCs w:val="20"/>
                <w:color w:val="auto"/>
              </w:rPr>
            </w:pPr>
            <w:r>
              <w:rPr>
                <w:rFonts w:ascii="Arial" w:cs="Arial" w:eastAsia="Arial" w:hAnsi="Arial"/>
                <w:sz w:val="18"/>
                <w:szCs w:val="18"/>
                <w:color w:val="auto"/>
                <w:w w:val="94"/>
              </w:rPr>
              <w:t>50%</w:t>
            </w:r>
          </w:p>
        </w:tc>
      </w:tr>
      <w:tr>
        <w:trPr>
          <w:trHeight w:val="216"/>
        </w:trPr>
        <w:tc>
          <w:tcPr>
            <w:tcW w:w="4620" w:type="dxa"/>
            <w:vAlign w:val="bottom"/>
            <w:tcBorders>
              <w:bottom w:val="single" w:sz="8" w:color="CFF0FC"/>
            </w:tcBorders>
            <w:gridSpan w:val="2"/>
            <w:shd w:val="clear" w:color="auto" w:fill="CFF0FC"/>
          </w:tcPr>
          <w:p>
            <w:pPr>
              <w:ind w:left="200"/>
              <w:spacing w:after="0"/>
              <w:rPr>
                <w:sz w:val="20"/>
                <w:szCs w:val="20"/>
                <w:color w:val="auto"/>
              </w:rPr>
            </w:pPr>
            <w:r>
              <w:rPr>
                <w:rFonts w:ascii="Arial" w:cs="Arial" w:eastAsia="Arial" w:hAnsi="Arial"/>
                <w:sz w:val="18"/>
                <w:szCs w:val="18"/>
                <w:color w:val="auto"/>
              </w:rPr>
              <w:t>General and administrative</w:t>
            </w:r>
          </w:p>
        </w:tc>
        <w:tc>
          <w:tcPr>
            <w:tcW w:w="1040" w:type="dxa"/>
            <w:vAlign w:val="bottom"/>
            <w:tcBorders>
              <w:bottom w:val="single" w:sz="8" w:color="auto"/>
            </w:tcBorders>
            <w:shd w:val="clear" w:color="auto" w:fill="CFF0FC"/>
          </w:tcPr>
          <w:p>
            <w:pPr>
              <w:jc w:val="center"/>
              <w:ind w:left="330"/>
              <w:spacing w:after="0"/>
              <w:rPr>
                <w:sz w:val="20"/>
                <w:szCs w:val="20"/>
                <w:color w:val="auto"/>
              </w:rPr>
            </w:pPr>
            <w:r>
              <w:rPr>
                <w:rFonts w:ascii="Arial" w:cs="Arial" w:eastAsia="Arial" w:hAnsi="Arial"/>
                <w:sz w:val="18"/>
                <w:szCs w:val="18"/>
                <w:color w:val="auto"/>
                <w:w w:val="94"/>
              </w:rPr>
              <w:t>22%</w:t>
            </w:r>
          </w:p>
        </w:tc>
        <w:tc>
          <w:tcPr>
            <w:tcW w:w="420" w:type="dxa"/>
            <w:vAlign w:val="bottom"/>
            <w:tcBorders>
              <w:bottom w:val="single" w:sz="8" w:color="auto"/>
            </w:tcBorders>
            <w:shd w:val="clear" w:color="auto" w:fill="CFF0FC"/>
          </w:tcPr>
          <w:p>
            <w:pPr>
              <w:spacing w:after="0"/>
              <w:rPr>
                <w:sz w:val="18"/>
                <w:szCs w:val="18"/>
                <w:color w:val="auto"/>
              </w:rPr>
            </w:pPr>
          </w:p>
        </w:tc>
        <w:tc>
          <w:tcPr>
            <w:tcW w:w="180" w:type="dxa"/>
            <w:vAlign w:val="bottom"/>
            <w:tcBorders>
              <w:bottom w:val="single" w:sz="8" w:color="CFF0FC"/>
            </w:tcBorders>
            <w:shd w:val="clear" w:color="auto" w:fill="CFF0FC"/>
          </w:tcPr>
          <w:p>
            <w:pPr>
              <w:spacing w:after="0"/>
              <w:rPr>
                <w:sz w:val="18"/>
                <w:szCs w:val="18"/>
                <w:color w:val="auto"/>
              </w:rPr>
            </w:pPr>
          </w:p>
        </w:tc>
        <w:tc>
          <w:tcPr>
            <w:tcW w:w="1740" w:type="dxa"/>
            <w:vAlign w:val="bottom"/>
            <w:tcBorders>
              <w:bottom w:val="single" w:sz="8" w:color="auto"/>
            </w:tcBorders>
            <w:shd w:val="clear" w:color="auto" w:fill="CFF0FC"/>
          </w:tcPr>
          <w:p>
            <w:pPr>
              <w:jc w:val="center"/>
              <w:spacing w:after="0"/>
              <w:rPr>
                <w:sz w:val="20"/>
                <w:szCs w:val="20"/>
                <w:color w:val="auto"/>
              </w:rPr>
            </w:pPr>
            <w:r>
              <w:rPr>
                <w:rFonts w:ascii="Arial" w:cs="Arial" w:eastAsia="Arial" w:hAnsi="Arial"/>
                <w:sz w:val="18"/>
                <w:szCs w:val="18"/>
                <w:color w:val="auto"/>
                <w:w w:val="88"/>
              </w:rPr>
              <w:t>61%</w:t>
            </w:r>
          </w:p>
        </w:tc>
        <w:tc>
          <w:tcPr>
            <w:tcW w:w="160" w:type="dxa"/>
            <w:vAlign w:val="bottom"/>
            <w:tcBorders>
              <w:bottom w:val="single" w:sz="8" w:color="CFF0FC"/>
            </w:tcBorders>
            <w:shd w:val="clear" w:color="auto" w:fill="CFF0FC"/>
          </w:tcPr>
          <w:p>
            <w:pPr>
              <w:spacing w:after="0"/>
              <w:rPr>
                <w:sz w:val="18"/>
                <w:szCs w:val="18"/>
                <w:color w:val="auto"/>
              </w:rPr>
            </w:pPr>
          </w:p>
        </w:tc>
        <w:tc>
          <w:tcPr>
            <w:tcW w:w="960" w:type="dxa"/>
            <w:vAlign w:val="bottom"/>
            <w:tcBorders>
              <w:bottom w:val="single" w:sz="8" w:color="auto"/>
            </w:tcBorders>
            <w:shd w:val="clear" w:color="auto" w:fill="CFF0FC"/>
          </w:tcPr>
          <w:p>
            <w:pPr>
              <w:jc w:val="center"/>
              <w:ind w:left="410"/>
              <w:spacing w:after="0"/>
              <w:rPr>
                <w:sz w:val="20"/>
                <w:szCs w:val="20"/>
                <w:color w:val="auto"/>
              </w:rPr>
            </w:pPr>
            <w:r>
              <w:rPr>
                <w:rFonts w:ascii="Arial" w:cs="Arial" w:eastAsia="Arial" w:hAnsi="Arial"/>
                <w:sz w:val="18"/>
                <w:szCs w:val="18"/>
                <w:color w:val="auto"/>
                <w:w w:val="94"/>
              </w:rPr>
              <w:t>23%</w:t>
            </w:r>
          </w:p>
        </w:tc>
        <w:tc>
          <w:tcPr>
            <w:tcW w:w="500" w:type="dxa"/>
            <w:vAlign w:val="bottom"/>
            <w:tcBorders>
              <w:bottom w:val="single" w:sz="8" w:color="auto"/>
            </w:tcBorders>
            <w:shd w:val="clear" w:color="auto" w:fill="CFF0FC"/>
          </w:tcPr>
          <w:p>
            <w:pPr>
              <w:spacing w:after="0"/>
              <w:rPr>
                <w:sz w:val="18"/>
                <w:szCs w:val="18"/>
                <w:color w:val="auto"/>
              </w:rPr>
            </w:pPr>
          </w:p>
        </w:tc>
        <w:tc>
          <w:tcPr>
            <w:tcW w:w="160" w:type="dxa"/>
            <w:vAlign w:val="bottom"/>
            <w:tcBorders>
              <w:bottom w:val="single" w:sz="8" w:color="CFF0FC"/>
            </w:tcBorders>
            <w:shd w:val="clear" w:color="auto" w:fill="CFF0FC"/>
          </w:tcPr>
          <w:p>
            <w:pPr>
              <w:spacing w:after="0"/>
              <w:rPr>
                <w:sz w:val="18"/>
                <w:szCs w:val="18"/>
                <w:color w:val="auto"/>
              </w:rPr>
            </w:pPr>
          </w:p>
        </w:tc>
        <w:tc>
          <w:tcPr>
            <w:tcW w:w="1460" w:type="dxa"/>
            <w:vAlign w:val="bottom"/>
            <w:tcBorders>
              <w:bottom w:val="single" w:sz="8" w:color="auto"/>
            </w:tcBorders>
            <w:shd w:val="clear" w:color="auto" w:fill="CFF0FC"/>
          </w:tcPr>
          <w:p>
            <w:pPr>
              <w:jc w:val="center"/>
              <w:spacing w:after="0"/>
              <w:rPr>
                <w:sz w:val="20"/>
                <w:szCs w:val="20"/>
                <w:color w:val="auto"/>
              </w:rPr>
            </w:pPr>
            <w:r>
              <w:rPr>
                <w:rFonts w:ascii="Arial" w:cs="Arial" w:eastAsia="Arial" w:hAnsi="Arial"/>
                <w:sz w:val="18"/>
                <w:szCs w:val="18"/>
                <w:color w:val="auto"/>
                <w:w w:val="94"/>
              </w:rPr>
              <w:t>35%</w:t>
            </w:r>
          </w:p>
        </w:tc>
      </w:tr>
      <w:tr>
        <w:trPr>
          <w:trHeight w:val="209"/>
        </w:trPr>
        <w:tc>
          <w:tcPr>
            <w:tcW w:w="4620" w:type="dxa"/>
            <w:vAlign w:val="bottom"/>
            <w:gridSpan w:val="2"/>
          </w:tcPr>
          <w:p>
            <w:pPr>
              <w:ind w:left="520"/>
              <w:spacing w:after="0"/>
              <w:rPr>
                <w:sz w:val="20"/>
                <w:szCs w:val="20"/>
                <w:color w:val="auto"/>
              </w:rPr>
            </w:pPr>
            <w:r>
              <w:rPr>
                <w:rFonts w:ascii="Arial" w:cs="Arial" w:eastAsia="Arial" w:hAnsi="Arial"/>
                <w:sz w:val="18"/>
                <w:szCs w:val="18"/>
                <w:color w:val="auto"/>
              </w:rPr>
              <w:t>Total operating expenses</w:t>
            </w:r>
          </w:p>
        </w:tc>
        <w:tc>
          <w:tcPr>
            <w:tcW w:w="1040" w:type="dxa"/>
            <w:vAlign w:val="bottom"/>
          </w:tcPr>
          <w:p>
            <w:pPr>
              <w:jc w:val="center"/>
              <w:ind w:left="330"/>
              <w:spacing w:after="0"/>
              <w:rPr>
                <w:sz w:val="20"/>
                <w:szCs w:val="20"/>
                <w:color w:val="auto"/>
              </w:rPr>
            </w:pPr>
            <w:r>
              <w:rPr>
                <w:rFonts w:ascii="Arial" w:cs="Arial" w:eastAsia="Arial" w:hAnsi="Arial"/>
                <w:sz w:val="18"/>
                <w:szCs w:val="18"/>
                <w:color w:val="auto"/>
                <w:w w:val="91"/>
              </w:rPr>
              <w:t>110%</w:t>
            </w:r>
          </w:p>
        </w:tc>
        <w:tc>
          <w:tcPr>
            <w:tcW w:w="2340" w:type="dxa"/>
            <w:vAlign w:val="bottom"/>
            <w:gridSpan w:val="3"/>
          </w:tcPr>
          <w:p>
            <w:pPr>
              <w:jc w:val="center"/>
              <w:ind w:left="510"/>
              <w:spacing w:after="0"/>
              <w:rPr>
                <w:sz w:val="20"/>
                <w:szCs w:val="20"/>
                <w:color w:val="auto"/>
              </w:rPr>
            </w:pPr>
            <w:r>
              <w:rPr>
                <w:rFonts w:ascii="Arial" w:cs="Arial" w:eastAsia="Arial" w:hAnsi="Arial"/>
                <w:sz w:val="18"/>
                <w:szCs w:val="18"/>
                <w:color w:val="auto"/>
                <w:w w:val="91"/>
              </w:rPr>
              <w:t>150%</w:t>
            </w:r>
          </w:p>
        </w:tc>
        <w:tc>
          <w:tcPr>
            <w:tcW w:w="1120" w:type="dxa"/>
            <w:vAlign w:val="bottom"/>
            <w:gridSpan w:val="2"/>
          </w:tcPr>
          <w:p>
            <w:pPr>
              <w:jc w:val="center"/>
              <w:ind w:left="570"/>
              <w:spacing w:after="0"/>
              <w:rPr>
                <w:sz w:val="20"/>
                <w:szCs w:val="20"/>
                <w:color w:val="auto"/>
              </w:rPr>
            </w:pPr>
            <w:r>
              <w:rPr>
                <w:rFonts w:ascii="Arial" w:cs="Arial" w:eastAsia="Arial" w:hAnsi="Arial"/>
                <w:sz w:val="18"/>
                <w:szCs w:val="18"/>
                <w:color w:val="auto"/>
                <w:w w:val="91"/>
              </w:rPr>
              <w:t>111%</w:t>
            </w:r>
          </w:p>
        </w:tc>
        <w:tc>
          <w:tcPr>
            <w:tcW w:w="2120" w:type="dxa"/>
            <w:vAlign w:val="bottom"/>
            <w:gridSpan w:val="3"/>
          </w:tcPr>
          <w:p>
            <w:pPr>
              <w:jc w:val="center"/>
              <w:ind w:left="570"/>
              <w:spacing w:after="0"/>
              <w:rPr>
                <w:sz w:val="20"/>
                <w:szCs w:val="20"/>
                <w:color w:val="auto"/>
              </w:rPr>
            </w:pPr>
            <w:r>
              <w:rPr>
                <w:rFonts w:ascii="Arial" w:cs="Arial" w:eastAsia="Arial" w:hAnsi="Arial"/>
                <w:sz w:val="18"/>
                <w:szCs w:val="18"/>
                <w:color w:val="auto"/>
                <w:w w:val="91"/>
              </w:rPr>
              <w:t>114%</w:t>
            </w:r>
          </w:p>
        </w:tc>
      </w:tr>
      <w:tr>
        <w:trPr>
          <w:trHeight w:val="209"/>
        </w:trPr>
        <w:tc>
          <w:tcPr>
            <w:tcW w:w="4620" w:type="dxa"/>
            <w:vAlign w:val="bottom"/>
            <w:gridSpan w:val="2"/>
            <w:shd w:val="clear" w:color="auto" w:fill="CFF0FC"/>
          </w:tcPr>
          <w:p>
            <w:pPr>
              <w:ind w:left="20"/>
              <w:spacing w:after="0"/>
              <w:rPr>
                <w:sz w:val="20"/>
                <w:szCs w:val="20"/>
                <w:color w:val="auto"/>
              </w:rPr>
            </w:pPr>
            <w:r>
              <w:rPr>
                <w:rFonts w:ascii="Arial" w:cs="Arial" w:eastAsia="Arial" w:hAnsi="Arial"/>
                <w:sz w:val="18"/>
                <w:szCs w:val="18"/>
                <w:color w:val="auto"/>
              </w:rPr>
              <w:t>Loss from operations</w:t>
            </w:r>
          </w:p>
        </w:tc>
        <w:tc>
          <w:tcPr>
            <w:tcW w:w="1040" w:type="dxa"/>
            <w:vAlign w:val="bottom"/>
            <w:tcBorders>
              <w:top w:val="single" w:sz="8" w:color="auto"/>
            </w:tcBorders>
            <w:shd w:val="clear" w:color="auto" w:fill="CFF0FC"/>
          </w:tcPr>
          <w:p>
            <w:pPr>
              <w:jc w:val="center"/>
              <w:ind w:left="330"/>
              <w:spacing w:after="0"/>
              <w:rPr>
                <w:sz w:val="20"/>
                <w:szCs w:val="20"/>
                <w:color w:val="auto"/>
              </w:rPr>
            </w:pPr>
            <w:r>
              <w:rPr>
                <w:rFonts w:ascii="Arial" w:cs="Arial" w:eastAsia="Arial" w:hAnsi="Arial"/>
                <w:sz w:val="18"/>
                <w:szCs w:val="18"/>
                <w:color w:val="auto"/>
                <w:w w:val="95"/>
              </w:rPr>
              <w:t>(39)%</w:t>
            </w:r>
          </w:p>
        </w:tc>
        <w:tc>
          <w:tcPr>
            <w:tcW w:w="420" w:type="dxa"/>
            <w:vAlign w:val="bottom"/>
            <w:tcBorders>
              <w:top w:val="single" w:sz="8" w:color="auto"/>
            </w:tcBorders>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1740" w:type="dxa"/>
            <w:vAlign w:val="bottom"/>
            <w:tcBorders>
              <w:top w:val="single" w:sz="8" w:color="auto"/>
            </w:tcBorders>
            <w:shd w:val="clear" w:color="auto" w:fill="CFF0FC"/>
          </w:tcPr>
          <w:p>
            <w:pPr>
              <w:jc w:val="center"/>
              <w:spacing w:after="0"/>
              <w:rPr>
                <w:sz w:val="20"/>
                <w:szCs w:val="20"/>
                <w:color w:val="auto"/>
              </w:rPr>
            </w:pPr>
            <w:r>
              <w:rPr>
                <w:rFonts w:ascii="Arial" w:cs="Arial" w:eastAsia="Arial" w:hAnsi="Arial"/>
                <w:sz w:val="18"/>
                <w:szCs w:val="18"/>
                <w:color w:val="auto"/>
                <w:w w:val="91"/>
              </w:rPr>
              <w:t>(81)%</w:t>
            </w:r>
          </w:p>
        </w:tc>
        <w:tc>
          <w:tcPr>
            <w:tcW w:w="160" w:type="dxa"/>
            <w:vAlign w:val="bottom"/>
            <w:shd w:val="clear" w:color="auto" w:fill="CFF0FC"/>
          </w:tcPr>
          <w:p>
            <w:pPr>
              <w:spacing w:after="0"/>
              <w:rPr>
                <w:sz w:val="18"/>
                <w:szCs w:val="18"/>
                <w:color w:val="auto"/>
              </w:rPr>
            </w:pPr>
          </w:p>
        </w:tc>
        <w:tc>
          <w:tcPr>
            <w:tcW w:w="960" w:type="dxa"/>
            <w:vAlign w:val="bottom"/>
            <w:tcBorders>
              <w:top w:val="single" w:sz="8" w:color="auto"/>
            </w:tcBorders>
            <w:shd w:val="clear" w:color="auto" w:fill="CFF0FC"/>
          </w:tcPr>
          <w:p>
            <w:pPr>
              <w:jc w:val="center"/>
              <w:ind w:left="410"/>
              <w:spacing w:after="0"/>
              <w:rPr>
                <w:sz w:val="20"/>
                <w:szCs w:val="20"/>
                <w:color w:val="auto"/>
              </w:rPr>
            </w:pPr>
            <w:r>
              <w:rPr>
                <w:rFonts w:ascii="Arial" w:cs="Arial" w:eastAsia="Arial" w:hAnsi="Arial"/>
                <w:sz w:val="18"/>
                <w:szCs w:val="18"/>
                <w:color w:val="auto"/>
                <w:w w:val="95"/>
              </w:rPr>
              <w:t>(41)%</w:t>
            </w:r>
          </w:p>
        </w:tc>
        <w:tc>
          <w:tcPr>
            <w:tcW w:w="500" w:type="dxa"/>
            <w:vAlign w:val="bottom"/>
            <w:tcBorders>
              <w:top w:val="single" w:sz="8" w:color="auto"/>
            </w:tcBorders>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1460" w:type="dxa"/>
            <w:vAlign w:val="bottom"/>
            <w:tcBorders>
              <w:top w:val="single" w:sz="8" w:color="auto"/>
            </w:tcBorders>
            <w:shd w:val="clear" w:color="auto" w:fill="CFF0FC"/>
          </w:tcPr>
          <w:p>
            <w:pPr>
              <w:jc w:val="center"/>
              <w:spacing w:after="0"/>
              <w:rPr>
                <w:sz w:val="20"/>
                <w:szCs w:val="20"/>
                <w:color w:val="auto"/>
              </w:rPr>
            </w:pPr>
            <w:r>
              <w:rPr>
                <w:rFonts w:ascii="Arial" w:cs="Arial" w:eastAsia="Arial" w:hAnsi="Arial"/>
                <w:sz w:val="18"/>
                <w:szCs w:val="18"/>
                <w:color w:val="auto"/>
                <w:w w:val="95"/>
              </w:rPr>
              <w:t>(45)%</w:t>
            </w:r>
          </w:p>
        </w:tc>
      </w:tr>
      <w:tr>
        <w:trPr>
          <w:trHeight w:val="216"/>
        </w:trPr>
        <w:tc>
          <w:tcPr>
            <w:tcW w:w="4620" w:type="dxa"/>
            <w:vAlign w:val="bottom"/>
            <w:gridSpan w:val="2"/>
          </w:tcPr>
          <w:p>
            <w:pPr>
              <w:ind w:left="20"/>
              <w:spacing w:after="0"/>
              <w:rPr>
                <w:sz w:val="20"/>
                <w:szCs w:val="20"/>
                <w:color w:val="auto"/>
              </w:rPr>
            </w:pPr>
            <w:r>
              <w:rPr>
                <w:rFonts w:ascii="Arial" w:cs="Arial" w:eastAsia="Arial" w:hAnsi="Arial"/>
                <w:sz w:val="18"/>
                <w:szCs w:val="18"/>
                <w:color w:val="auto"/>
              </w:rPr>
              <w:t>Other income, net</w:t>
            </w:r>
          </w:p>
        </w:tc>
        <w:tc>
          <w:tcPr>
            <w:tcW w:w="1040" w:type="dxa"/>
            <w:vAlign w:val="bottom"/>
          </w:tcPr>
          <w:p>
            <w:pPr>
              <w:jc w:val="center"/>
              <w:ind w:left="350"/>
              <w:spacing w:after="0"/>
              <w:rPr>
                <w:sz w:val="20"/>
                <w:szCs w:val="20"/>
                <w:color w:val="auto"/>
              </w:rPr>
            </w:pPr>
            <w:r>
              <w:rPr>
                <w:rFonts w:ascii="Arial" w:cs="Arial" w:eastAsia="Arial" w:hAnsi="Arial"/>
                <w:sz w:val="18"/>
                <w:szCs w:val="18"/>
                <w:color w:val="auto"/>
                <w:w w:val="92"/>
              </w:rPr>
              <w:t>2%</w:t>
            </w:r>
          </w:p>
        </w:tc>
        <w:tc>
          <w:tcPr>
            <w:tcW w:w="2340" w:type="dxa"/>
            <w:vAlign w:val="bottom"/>
            <w:gridSpan w:val="3"/>
          </w:tcPr>
          <w:p>
            <w:pPr>
              <w:jc w:val="center"/>
              <w:ind w:left="490"/>
              <w:spacing w:after="0"/>
              <w:rPr>
                <w:sz w:val="20"/>
                <w:szCs w:val="20"/>
                <w:color w:val="auto"/>
              </w:rPr>
            </w:pPr>
            <w:r>
              <w:rPr>
                <w:rFonts w:ascii="Arial" w:cs="Arial" w:eastAsia="Arial" w:hAnsi="Arial"/>
                <w:sz w:val="18"/>
                <w:szCs w:val="18"/>
                <w:color w:val="auto"/>
              </w:rPr>
              <w:t>*</w:t>
            </w:r>
          </w:p>
        </w:tc>
        <w:tc>
          <w:tcPr>
            <w:tcW w:w="1120" w:type="dxa"/>
            <w:vAlign w:val="bottom"/>
            <w:gridSpan w:val="2"/>
          </w:tcPr>
          <w:p>
            <w:pPr>
              <w:jc w:val="center"/>
              <w:ind w:left="550"/>
              <w:spacing w:after="0"/>
              <w:rPr>
                <w:sz w:val="20"/>
                <w:szCs w:val="20"/>
                <w:color w:val="auto"/>
              </w:rPr>
            </w:pPr>
            <w:r>
              <w:rPr>
                <w:rFonts w:ascii="Arial" w:cs="Arial" w:eastAsia="Arial" w:hAnsi="Arial"/>
                <w:sz w:val="18"/>
                <w:szCs w:val="18"/>
                <w:color w:val="auto"/>
                <w:w w:val="92"/>
              </w:rPr>
              <w:t>1%</w:t>
            </w:r>
          </w:p>
        </w:tc>
        <w:tc>
          <w:tcPr>
            <w:tcW w:w="2120" w:type="dxa"/>
            <w:vAlign w:val="bottom"/>
            <w:gridSpan w:val="3"/>
          </w:tcPr>
          <w:p>
            <w:pPr>
              <w:jc w:val="center"/>
              <w:ind w:left="570"/>
              <w:spacing w:after="0"/>
              <w:rPr>
                <w:sz w:val="20"/>
                <w:szCs w:val="20"/>
                <w:color w:val="auto"/>
              </w:rPr>
            </w:pPr>
            <w:r>
              <w:rPr>
                <w:rFonts w:ascii="Arial" w:cs="Arial" w:eastAsia="Arial" w:hAnsi="Arial"/>
                <w:sz w:val="18"/>
                <w:szCs w:val="18"/>
                <w:color w:val="auto"/>
              </w:rPr>
              <w:t>*</w:t>
            </w:r>
          </w:p>
        </w:tc>
      </w:tr>
      <w:tr>
        <w:trPr>
          <w:trHeight w:val="168"/>
        </w:trPr>
        <w:tc>
          <w:tcPr>
            <w:tcW w:w="4620" w:type="dxa"/>
            <w:vAlign w:val="bottom"/>
            <w:gridSpan w:val="2"/>
            <w:shd w:val="clear" w:color="auto" w:fill="CFF0FC"/>
          </w:tcPr>
          <w:p>
            <w:pPr>
              <w:ind w:left="300"/>
              <w:spacing w:after="0" w:line="168" w:lineRule="exact"/>
              <w:rPr>
                <w:sz w:val="20"/>
                <w:szCs w:val="20"/>
                <w:color w:val="auto"/>
              </w:rPr>
            </w:pPr>
            <w:r>
              <w:rPr>
                <w:rFonts w:ascii="Arial" w:cs="Arial" w:eastAsia="Arial" w:hAnsi="Arial"/>
                <w:sz w:val="18"/>
                <w:szCs w:val="18"/>
                <w:color w:val="auto"/>
              </w:rPr>
              <w:t>Loss before provision for (benefit from) income</w:t>
            </w:r>
          </w:p>
        </w:tc>
        <w:tc>
          <w:tcPr>
            <w:tcW w:w="1040" w:type="dxa"/>
            <w:vAlign w:val="bottom"/>
            <w:tcBorders>
              <w:top w:val="single" w:sz="8" w:color="auto"/>
            </w:tcBorders>
            <w:shd w:val="clear" w:color="auto" w:fill="CFF0FC"/>
          </w:tcPr>
          <w:p>
            <w:pPr>
              <w:spacing w:after="0"/>
              <w:rPr>
                <w:sz w:val="14"/>
                <w:szCs w:val="14"/>
                <w:color w:val="auto"/>
              </w:rPr>
            </w:pPr>
          </w:p>
        </w:tc>
        <w:tc>
          <w:tcPr>
            <w:tcW w:w="420" w:type="dxa"/>
            <w:vAlign w:val="bottom"/>
            <w:tcBorders>
              <w:top w:val="single" w:sz="8" w:color="auto"/>
            </w:tcBorders>
            <w:shd w:val="clear" w:color="auto" w:fill="CFF0FC"/>
          </w:tcPr>
          <w:p>
            <w:pPr>
              <w:spacing w:after="0"/>
              <w:rPr>
                <w:sz w:val="14"/>
                <w:szCs w:val="14"/>
                <w:color w:val="auto"/>
              </w:rPr>
            </w:pPr>
          </w:p>
        </w:tc>
        <w:tc>
          <w:tcPr>
            <w:tcW w:w="180" w:type="dxa"/>
            <w:vAlign w:val="bottom"/>
            <w:shd w:val="clear" w:color="auto" w:fill="CFF0FC"/>
          </w:tcPr>
          <w:p>
            <w:pPr>
              <w:spacing w:after="0"/>
              <w:rPr>
                <w:sz w:val="14"/>
                <w:szCs w:val="14"/>
                <w:color w:val="auto"/>
              </w:rPr>
            </w:pPr>
          </w:p>
        </w:tc>
        <w:tc>
          <w:tcPr>
            <w:tcW w:w="1740" w:type="dxa"/>
            <w:vAlign w:val="bottom"/>
            <w:tcBorders>
              <w:top w:val="single" w:sz="8" w:color="auto"/>
            </w:tcBorders>
            <w:shd w:val="clear" w:color="auto" w:fill="CFF0FC"/>
          </w:tcPr>
          <w:p>
            <w:pPr>
              <w:spacing w:after="0"/>
              <w:rPr>
                <w:sz w:val="14"/>
                <w:szCs w:val="14"/>
                <w:color w:val="auto"/>
              </w:rPr>
            </w:pPr>
          </w:p>
        </w:tc>
        <w:tc>
          <w:tcPr>
            <w:tcW w:w="160" w:type="dxa"/>
            <w:vAlign w:val="bottom"/>
            <w:shd w:val="clear" w:color="auto" w:fill="CFF0FC"/>
          </w:tcPr>
          <w:p>
            <w:pPr>
              <w:spacing w:after="0"/>
              <w:rPr>
                <w:sz w:val="14"/>
                <w:szCs w:val="14"/>
                <w:color w:val="auto"/>
              </w:rPr>
            </w:pPr>
          </w:p>
        </w:tc>
        <w:tc>
          <w:tcPr>
            <w:tcW w:w="960" w:type="dxa"/>
            <w:vAlign w:val="bottom"/>
            <w:tcBorders>
              <w:top w:val="single" w:sz="8" w:color="auto"/>
            </w:tcBorders>
            <w:shd w:val="clear" w:color="auto" w:fill="CFF0FC"/>
          </w:tcPr>
          <w:p>
            <w:pPr>
              <w:spacing w:after="0"/>
              <w:rPr>
                <w:sz w:val="14"/>
                <w:szCs w:val="14"/>
                <w:color w:val="auto"/>
              </w:rPr>
            </w:pPr>
          </w:p>
        </w:tc>
        <w:tc>
          <w:tcPr>
            <w:tcW w:w="500" w:type="dxa"/>
            <w:vAlign w:val="bottom"/>
            <w:tcBorders>
              <w:top w:val="single" w:sz="8" w:color="auto"/>
            </w:tcBorders>
            <w:shd w:val="clear" w:color="auto" w:fill="CFF0FC"/>
          </w:tcPr>
          <w:p>
            <w:pPr>
              <w:spacing w:after="0"/>
              <w:rPr>
                <w:sz w:val="14"/>
                <w:szCs w:val="14"/>
                <w:color w:val="auto"/>
              </w:rPr>
            </w:pPr>
          </w:p>
        </w:tc>
        <w:tc>
          <w:tcPr>
            <w:tcW w:w="160" w:type="dxa"/>
            <w:vAlign w:val="bottom"/>
            <w:shd w:val="clear" w:color="auto" w:fill="CFF0FC"/>
          </w:tcPr>
          <w:p>
            <w:pPr>
              <w:spacing w:after="0"/>
              <w:rPr>
                <w:sz w:val="14"/>
                <w:szCs w:val="14"/>
                <w:color w:val="auto"/>
              </w:rPr>
            </w:pPr>
          </w:p>
        </w:tc>
        <w:tc>
          <w:tcPr>
            <w:tcW w:w="1460" w:type="dxa"/>
            <w:vAlign w:val="bottom"/>
            <w:tcBorders>
              <w:top w:val="single" w:sz="8" w:color="auto"/>
            </w:tcBorders>
            <w:shd w:val="clear" w:color="auto" w:fill="CFF0FC"/>
          </w:tcPr>
          <w:p>
            <w:pPr>
              <w:spacing w:after="0"/>
              <w:rPr>
                <w:sz w:val="14"/>
                <w:szCs w:val="14"/>
                <w:color w:val="auto"/>
              </w:rPr>
            </w:pPr>
          </w:p>
        </w:tc>
      </w:tr>
      <w:tr>
        <w:trPr>
          <w:trHeight w:val="230"/>
        </w:trPr>
        <w:tc>
          <w:tcPr>
            <w:tcW w:w="4620" w:type="dxa"/>
            <w:vAlign w:val="bottom"/>
            <w:gridSpan w:val="2"/>
            <w:shd w:val="clear" w:color="auto" w:fill="CFF0FC"/>
          </w:tcPr>
          <w:p>
            <w:pPr>
              <w:ind w:left="300"/>
              <w:spacing w:after="0"/>
              <w:rPr>
                <w:sz w:val="20"/>
                <w:szCs w:val="20"/>
                <w:color w:val="auto"/>
              </w:rPr>
            </w:pPr>
            <w:r>
              <w:rPr>
                <w:rFonts w:ascii="Arial" w:cs="Arial" w:eastAsia="Arial" w:hAnsi="Arial"/>
                <w:sz w:val="18"/>
                <w:szCs w:val="18"/>
                <w:color w:val="auto"/>
              </w:rPr>
              <w:t>taxes</w:t>
            </w:r>
          </w:p>
        </w:tc>
        <w:tc>
          <w:tcPr>
            <w:tcW w:w="1040" w:type="dxa"/>
            <w:vAlign w:val="bottom"/>
            <w:shd w:val="clear" w:color="auto" w:fill="CFF0FC"/>
          </w:tcPr>
          <w:p>
            <w:pPr>
              <w:jc w:val="center"/>
              <w:ind w:left="330"/>
              <w:spacing w:after="0"/>
              <w:rPr>
                <w:sz w:val="20"/>
                <w:szCs w:val="20"/>
                <w:color w:val="auto"/>
              </w:rPr>
            </w:pPr>
            <w:r>
              <w:rPr>
                <w:rFonts w:ascii="Arial" w:cs="Arial" w:eastAsia="Arial" w:hAnsi="Arial"/>
                <w:sz w:val="18"/>
                <w:szCs w:val="18"/>
                <w:color w:val="auto"/>
                <w:w w:val="95"/>
              </w:rPr>
              <w:t>(37)%</w:t>
            </w:r>
          </w:p>
        </w:tc>
        <w:tc>
          <w:tcPr>
            <w:tcW w:w="2340" w:type="dxa"/>
            <w:vAlign w:val="bottom"/>
            <w:gridSpan w:val="3"/>
            <w:shd w:val="clear" w:color="auto" w:fill="CFF0FC"/>
          </w:tcPr>
          <w:p>
            <w:pPr>
              <w:jc w:val="center"/>
              <w:ind w:left="490"/>
              <w:spacing w:after="0"/>
              <w:rPr>
                <w:sz w:val="20"/>
                <w:szCs w:val="20"/>
                <w:color w:val="auto"/>
              </w:rPr>
            </w:pPr>
            <w:r>
              <w:rPr>
                <w:rFonts w:ascii="Arial" w:cs="Arial" w:eastAsia="Arial" w:hAnsi="Arial"/>
                <w:sz w:val="18"/>
                <w:szCs w:val="18"/>
                <w:color w:val="auto"/>
                <w:w w:val="91"/>
              </w:rPr>
              <w:t>(81)%</w:t>
            </w:r>
          </w:p>
        </w:tc>
        <w:tc>
          <w:tcPr>
            <w:tcW w:w="1120" w:type="dxa"/>
            <w:vAlign w:val="bottom"/>
            <w:gridSpan w:val="2"/>
            <w:shd w:val="clear" w:color="auto" w:fill="CFF0FC"/>
          </w:tcPr>
          <w:p>
            <w:pPr>
              <w:jc w:val="center"/>
              <w:ind w:left="570"/>
              <w:spacing w:after="0"/>
              <w:rPr>
                <w:sz w:val="20"/>
                <w:szCs w:val="20"/>
                <w:color w:val="auto"/>
              </w:rPr>
            </w:pPr>
            <w:r>
              <w:rPr>
                <w:rFonts w:ascii="Arial" w:cs="Arial" w:eastAsia="Arial" w:hAnsi="Arial"/>
                <w:sz w:val="18"/>
                <w:szCs w:val="18"/>
                <w:color w:val="auto"/>
                <w:w w:val="95"/>
              </w:rPr>
              <w:t>(40)%</w:t>
            </w:r>
          </w:p>
        </w:tc>
        <w:tc>
          <w:tcPr>
            <w:tcW w:w="2120" w:type="dxa"/>
            <w:vAlign w:val="bottom"/>
            <w:gridSpan w:val="3"/>
            <w:shd w:val="clear" w:color="auto" w:fill="CFF0FC"/>
          </w:tcPr>
          <w:p>
            <w:pPr>
              <w:jc w:val="center"/>
              <w:ind w:left="570"/>
              <w:spacing w:after="0"/>
              <w:rPr>
                <w:sz w:val="20"/>
                <w:szCs w:val="20"/>
                <w:color w:val="auto"/>
              </w:rPr>
            </w:pPr>
            <w:r>
              <w:rPr>
                <w:rFonts w:ascii="Arial" w:cs="Arial" w:eastAsia="Arial" w:hAnsi="Arial"/>
                <w:sz w:val="18"/>
                <w:szCs w:val="18"/>
                <w:color w:val="auto"/>
                <w:w w:val="95"/>
              </w:rPr>
              <w:t>(45)%</w:t>
            </w:r>
          </w:p>
        </w:tc>
      </w:tr>
      <w:tr>
        <w:trPr>
          <w:trHeight w:val="216"/>
        </w:trPr>
        <w:tc>
          <w:tcPr>
            <w:tcW w:w="4620" w:type="dxa"/>
            <w:vAlign w:val="bottom"/>
            <w:gridSpan w:val="2"/>
          </w:tcPr>
          <w:p>
            <w:pPr>
              <w:ind w:left="20"/>
              <w:spacing w:after="0"/>
              <w:rPr>
                <w:sz w:val="20"/>
                <w:szCs w:val="20"/>
                <w:color w:val="auto"/>
              </w:rPr>
            </w:pPr>
            <w:r>
              <w:rPr>
                <w:rFonts w:ascii="Arial" w:cs="Arial" w:eastAsia="Arial" w:hAnsi="Arial"/>
                <w:sz w:val="18"/>
                <w:szCs w:val="18"/>
                <w:color w:val="auto"/>
              </w:rPr>
              <w:t>Provision for (benefit from) income taxes</w:t>
            </w:r>
          </w:p>
        </w:tc>
        <w:tc>
          <w:tcPr>
            <w:tcW w:w="1040" w:type="dxa"/>
            <w:vAlign w:val="bottom"/>
          </w:tcPr>
          <w:p>
            <w:pPr>
              <w:jc w:val="center"/>
              <w:ind w:left="330"/>
              <w:spacing w:after="0"/>
              <w:rPr>
                <w:sz w:val="20"/>
                <w:szCs w:val="20"/>
                <w:color w:val="auto"/>
              </w:rPr>
            </w:pPr>
            <w:r>
              <w:rPr>
                <w:rFonts w:ascii="Arial" w:cs="Arial" w:eastAsia="Arial" w:hAnsi="Arial"/>
                <w:sz w:val="18"/>
                <w:szCs w:val="18"/>
                <w:color w:val="auto"/>
              </w:rPr>
              <w:t>*</w:t>
            </w:r>
          </w:p>
        </w:tc>
        <w:tc>
          <w:tcPr>
            <w:tcW w:w="2340" w:type="dxa"/>
            <w:vAlign w:val="bottom"/>
            <w:gridSpan w:val="3"/>
          </w:tcPr>
          <w:p>
            <w:pPr>
              <w:jc w:val="center"/>
              <w:ind w:left="490"/>
              <w:spacing w:after="0"/>
              <w:rPr>
                <w:sz w:val="20"/>
                <w:szCs w:val="20"/>
                <w:color w:val="auto"/>
              </w:rPr>
            </w:pPr>
            <w:r>
              <w:rPr>
                <w:rFonts w:ascii="Arial" w:cs="Arial" w:eastAsia="Arial" w:hAnsi="Arial"/>
                <w:sz w:val="18"/>
                <w:szCs w:val="18"/>
                <w:color w:val="auto"/>
              </w:rPr>
              <w:t>*</w:t>
            </w:r>
          </w:p>
        </w:tc>
        <w:tc>
          <w:tcPr>
            <w:tcW w:w="1120" w:type="dxa"/>
            <w:vAlign w:val="bottom"/>
            <w:gridSpan w:val="2"/>
          </w:tcPr>
          <w:p>
            <w:pPr>
              <w:jc w:val="center"/>
              <w:ind w:left="570"/>
              <w:spacing w:after="0"/>
              <w:rPr>
                <w:sz w:val="20"/>
                <w:szCs w:val="20"/>
                <w:color w:val="auto"/>
              </w:rPr>
            </w:pPr>
            <w:r>
              <w:rPr>
                <w:rFonts w:ascii="Arial" w:cs="Arial" w:eastAsia="Arial" w:hAnsi="Arial"/>
                <w:sz w:val="18"/>
                <w:szCs w:val="18"/>
                <w:color w:val="auto"/>
              </w:rPr>
              <w:t>*</w:t>
            </w:r>
          </w:p>
        </w:tc>
        <w:tc>
          <w:tcPr>
            <w:tcW w:w="2120" w:type="dxa"/>
            <w:vAlign w:val="bottom"/>
            <w:gridSpan w:val="3"/>
          </w:tcPr>
          <w:p>
            <w:pPr>
              <w:jc w:val="center"/>
              <w:ind w:left="570"/>
              <w:spacing w:after="0"/>
              <w:rPr>
                <w:sz w:val="20"/>
                <w:szCs w:val="20"/>
                <w:color w:val="auto"/>
              </w:rPr>
            </w:pPr>
            <w:r>
              <w:rPr>
                <w:rFonts w:ascii="Arial" w:cs="Arial" w:eastAsia="Arial" w:hAnsi="Arial"/>
                <w:sz w:val="18"/>
                <w:szCs w:val="18"/>
                <w:color w:val="auto"/>
              </w:rPr>
              <w:t>*</w:t>
            </w:r>
          </w:p>
        </w:tc>
      </w:tr>
      <w:tr>
        <w:trPr>
          <w:trHeight w:val="209"/>
        </w:trPr>
        <w:tc>
          <w:tcPr>
            <w:tcW w:w="4620" w:type="dxa"/>
            <w:vAlign w:val="bottom"/>
            <w:gridSpan w:val="2"/>
            <w:shd w:val="clear" w:color="auto" w:fill="CFF0FC"/>
          </w:tcPr>
          <w:p>
            <w:pPr>
              <w:ind w:left="20"/>
              <w:spacing w:after="0"/>
              <w:rPr>
                <w:sz w:val="20"/>
                <w:szCs w:val="20"/>
                <w:color w:val="auto"/>
              </w:rPr>
            </w:pPr>
            <w:r>
              <w:rPr>
                <w:rFonts w:ascii="Arial" w:cs="Arial" w:eastAsia="Arial" w:hAnsi="Arial"/>
                <w:sz w:val="18"/>
                <w:szCs w:val="18"/>
                <w:color w:val="auto"/>
              </w:rPr>
              <w:t>Net loss</w:t>
            </w:r>
          </w:p>
        </w:tc>
        <w:tc>
          <w:tcPr>
            <w:tcW w:w="1040" w:type="dxa"/>
            <w:vAlign w:val="bottom"/>
            <w:tcBorders>
              <w:top w:val="single" w:sz="8" w:color="auto"/>
            </w:tcBorders>
            <w:shd w:val="clear" w:color="auto" w:fill="CFF0FC"/>
          </w:tcPr>
          <w:p>
            <w:pPr>
              <w:jc w:val="center"/>
              <w:ind w:left="330"/>
              <w:spacing w:after="0"/>
              <w:rPr>
                <w:sz w:val="20"/>
                <w:szCs w:val="20"/>
                <w:color w:val="auto"/>
              </w:rPr>
            </w:pPr>
            <w:r>
              <w:rPr>
                <w:rFonts w:ascii="Arial" w:cs="Arial" w:eastAsia="Arial" w:hAnsi="Arial"/>
                <w:sz w:val="18"/>
                <w:szCs w:val="18"/>
                <w:color w:val="auto"/>
                <w:w w:val="95"/>
              </w:rPr>
              <w:t>(37)%</w:t>
            </w:r>
          </w:p>
        </w:tc>
        <w:tc>
          <w:tcPr>
            <w:tcW w:w="420" w:type="dxa"/>
            <w:vAlign w:val="bottom"/>
            <w:tcBorders>
              <w:top w:val="single" w:sz="8" w:color="auto"/>
            </w:tcBorders>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1740" w:type="dxa"/>
            <w:vAlign w:val="bottom"/>
            <w:tcBorders>
              <w:top w:val="single" w:sz="8" w:color="auto"/>
            </w:tcBorders>
            <w:shd w:val="clear" w:color="auto" w:fill="CFF0FC"/>
          </w:tcPr>
          <w:p>
            <w:pPr>
              <w:jc w:val="center"/>
              <w:spacing w:after="0"/>
              <w:rPr>
                <w:sz w:val="20"/>
                <w:szCs w:val="20"/>
                <w:color w:val="auto"/>
              </w:rPr>
            </w:pPr>
            <w:r>
              <w:rPr>
                <w:rFonts w:ascii="Arial" w:cs="Arial" w:eastAsia="Arial" w:hAnsi="Arial"/>
                <w:sz w:val="18"/>
                <w:szCs w:val="18"/>
                <w:color w:val="auto"/>
                <w:w w:val="91"/>
              </w:rPr>
              <w:t>(80)%</w:t>
            </w:r>
          </w:p>
        </w:tc>
        <w:tc>
          <w:tcPr>
            <w:tcW w:w="160" w:type="dxa"/>
            <w:vAlign w:val="bottom"/>
            <w:shd w:val="clear" w:color="auto" w:fill="CFF0FC"/>
          </w:tcPr>
          <w:p>
            <w:pPr>
              <w:spacing w:after="0"/>
              <w:rPr>
                <w:sz w:val="18"/>
                <w:szCs w:val="18"/>
                <w:color w:val="auto"/>
              </w:rPr>
            </w:pPr>
          </w:p>
        </w:tc>
        <w:tc>
          <w:tcPr>
            <w:tcW w:w="960" w:type="dxa"/>
            <w:vAlign w:val="bottom"/>
            <w:tcBorders>
              <w:top w:val="single" w:sz="8" w:color="auto"/>
            </w:tcBorders>
            <w:shd w:val="clear" w:color="auto" w:fill="CFF0FC"/>
          </w:tcPr>
          <w:p>
            <w:pPr>
              <w:jc w:val="center"/>
              <w:ind w:left="410"/>
              <w:spacing w:after="0"/>
              <w:rPr>
                <w:sz w:val="20"/>
                <w:szCs w:val="20"/>
                <w:color w:val="auto"/>
              </w:rPr>
            </w:pPr>
            <w:r>
              <w:rPr>
                <w:rFonts w:ascii="Arial" w:cs="Arial" w:eastAsia="Arial" w:hAnsi="Arial"/>
                <w:sz w:val="18"/>
                <w:szCs w:val="18"/>
                <w:color w:val="auto"/>
                <w:w w:val="95"/>
              </w:rPr>
              <w:t>(40)%</w:t>
            </w:r>
          </w:p>
        </w:tc>
        <w:tc>
          <w:tcPr>
            <w:tcW w:w="500" w:type="dxa"/>
            <w:vAlign w:val="bottom"/>
            <w:tcBorders>
              <w:top w:val="single" w:sz="8" w:color="auto"/>
            </w:tcBorders>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1460" w:type="dxa"/>
            <w:vAlign w:val="bottom"/>
            <w:tcBorders>
              <w:top w:val="single" w:sz="8" w:color="auto"/>
            </w:tcBorders>
            <w:shd w:val="clear" w:color="auto" w:fill="CFF0FC"/>
          </w:tcPr>
          <w:p>
            <w:pPr>
              <w:jc w:val="center"/>
              <w:spacing w:after="0"/>
              <w:rPr>
                <w:sz w:val="20"/>
                <w:szCs w:val="20"/>
                <w:color w:val="auto"/>
              </w:rPr>
            </w:pPr>
            <w:r>
              <w:rPr>
                <w:rFonts w:ascii="Arial" w:cs="Arial" w:eastAsia="Arial" w:hAnsi="Arial"/>
                <w:sz w:val="18"/>
                <w:szCs w:val="18"/>
                <w:color w:val="auto"/>
                <w:w w:val="95"/>
              </w:rPr>
              <w:t>(45)%</w:t>
            </w:r>
          </w:p>
        </w:tc>
      </w:tr>
      <w:tr>
        <w:trPr>
          <w:trHeight w:val="162"/>
        </w:trPr>
        <w:tc>
          <w:tcPr>
            <w:tcW w:w="1360" w:type="dxa"/>
            <w:vAlign w:val="bottom"/>
            <w:tcBorders>
              <w:bottom w:val="single" w:sz="8" w:color="auto"/>
            </w:tcBorders>
          </w:tcPr>
          <w:p>
            <w:pPr>
              <w:spacing w:after="0"/>
              <w:rPr>
                <w:sz w:val="14"/>
                <w:szCs w:val="14"/>
                <w:color w:val="auto"/>
              </w:rPr>
            </w:pPr>
          </w:p>
        </w:tc>
        <w:tc>
          <w:tcPr>
            <w:tcW w:w="326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7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460" w:type="dxa"/>
            <w:vAlign w:val="bottom"/>
          </w:tcPr>
          <w:p>
            <w:pPr>
              <w:spacing w:after="0"/>
              <w:rPr>
                <w:sz w:val="14"/>
                <w:szCs w:val="1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3866515</wp:posOffset>
            </wp:positionH>
            <wp:positionV relativeFrom="paragraph">
              <wp:posOffset>-1643380</wp:posOffset>
            </wp:positionV>
            <wp:extent cx="102870" cy="145415"/>
            <wp:wrapNone/>
            <wp:docPr id="249" name="Picture 2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9"/>
                    <pic:cNvPicPr>
                      <a:picLocks noChangeAspect="1" noChangeArrowheads="1"/>
                    </pic:cNvPicPr>
                  </pic:nvPicPr>
                  <pic:blipFill>
                    <a:blip r:embed="rId256">
                      <a:extLst>
                        <a:ext uri="{28A0092B-C50C-407E-A947-70E740481C1C}"/>
                      </a:extLst>
                    </a:blip>
                    <a:srcRect/>
                    <a:stretch>
                      <a:fillRect/>
                    </a:stretch>
                  </pic:blipFill>
                  <pic:spPr bwMode="auto">
                    <a:xfrm>
                      <a:off x="0" y="0"/>
                      <a:ext cx="102870" cy="145415"/>
                    </a:xfrm>
                    <a:prstGeom prst="rect">
                      <a:avLst/>
                    </a:prstGeom>
                    <a:noFill/>
                  </pic:spPr>
                </pic:pic>
              </a:graphicData>
            </a:graphic>
          </wp:anchor>
        </w:drawing>
        <w:drawing>
          <wp:anchor simplePos="0" relativeHeight="251657728" behindDoc="1" locked="0" layoutInCell="0" allowOverlap="1">
            <wp:simplePos x="0" y="0"/>
            <wp:positionH relativeFrom="column">
              <wp:posOffset>5073650</wp:posOffset>
            </wp:positionH>
            <wp:positionV relativeFrom="paragraph">
              <wp:posOffset>-1643380</wp:posOffset>
            </wp:positionV>
            <wp:extent cx="102870" cy="145415"/>
            <wp:wrapNone/>
            <wp:docPr id="250" name="Picture 2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0"/>
                    <pic:cNvPicPr>
                      <a:picLocks noChangeAspect="1" noChangeArrowheads="1"/>
                    </pic:cNvPicPr>
                  </pic:nvPicPr>
                  <pic:blipFill>
                    <a:blip r:embed="rId257">
                      <a:extLst>
                        <a:ext uri="{28A0092B-C50C-407E-A947-70E740481C1C}"/>
                      </a:extLst>
                    </a:blip>
                    <a:srcRect/>
                    <a:stretch>
                      <a:fillRect/>
                    </a:stretch>
                  </pic:blipFill>
                  <pic:spPr bwMode="auto">
                    <a:xfrm>
                      <a:off x="0" y="0"/>
                      <a:ext cx="102870" cy="145415"/>
                    </a:xfrm>
                    <a:prstGeom prst="rect">
                      <a:avLst/>
                    </a:prstGeom>
                    <a:noFill/>
                  </pic:spPr>
                </pic:pic>
              </a:graphicData>
            </a:graphic>
          </wp:anchor>
        </w:drawing>
        <w:drawing>
          <wp:anchor simplePos="0" relativeHeight="251657728" behindDoc="1" locked="0" layoutInCell="0" allowOverlap="1">
            <wp:simplePos x="0" y="0"/>
            <wp:positionH relativeFrom="column">
              <wp:posOffset>6109970</wp:posOffset>
            </wp:positionH>
            <wp:positionV relativeFrom="paragraph">
              <wp:posOffset>-1643380</wp:posOffset>
            </wp:positionV>
            <wp:extent cx="102870" cy="145415"/>
            <wp:wrapNone/>
            <wp:docPr id="251" name="Picture 2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1"/>
                    <pic:cNvPicPr>
                      <a:picLocks noChangeAspect="1" noChangeArrowheads="1"/>
                    </pic:cNvPicPr>
                  </pic:nvPicPr>
                  <pic:blipFill>
                    <a:blip r:embed="rId258">
                      <a:extLst>
                        <a:ext uri="{28A0092B-C50C-407E-A947-70E740481C1C}"/>
                      </a:extLst>
                    </a:blip>
                    <a:srcRect/>
                    <a:stretch>
                      <a:fillRect/>
                    </a:stretch>
                  </pic:blipFill>
                  <pic:spPr bwMode="auto">
                    <a:xfrm>
                      <a:off x="0" y="0"/>
                      <a:ext cx="102870" cy="145415"/>
                    </a:xfrm>
                    <a:prstGeom prst="rect">
                      <a:avLst/>
                    </a:prstGeom>
                    <a:noFill/>
                  </pic:spPr>
                </pic:pic>
              </a:graphicData>
            </a:graphic>
          </wp:anchor>
        </w:drawing>
        <w:drawing>
          <wp:anchor simplePos="0" relativeHeight="251657728" behindDoc="1" locked="0" layoutInCell="0" allowOverlap="1">
            <wp:simplePos x="0" y="0"/>
            <wp:positionH relativeFrom="column">
              <wp:posOffset>3866515</wp:posOffset>
            </wp:positionH>
            <wp:positionV relativeFrom="paragraph">
              <wp:posOffset>-1086485</wp:posOffset>
            </wp:positionV>
            <wp:extent cx="102870" cy="154305"/>
            <wp:wrapNone/>
            <wp:docPr id="252" name="Picture 2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2"/>
                    <pic:cNvPicPr>
                      <a:picLocks noChangeAspect="1" noChangeArrowheads="1"/>
                    </pic:cNvPicPr>
                  </pic:nvPicPr>
                  <pic:blipFill>
                    <a:blip r:embed="rId259">
                      <a:extLst>
                        <a:ext uri="{28A0092B-C50C-407E-A947-70E740481C1C}"/>
                      </a:extLst>
                    </a:blip>
                    <a:srcRect/>
                    <a:stretch>
                      <a:fillRect/>
                    </a:stretch>
                  </pic:blipFill>
                  <pic:spPr bwMode="auto">
                    <a:xfrm>
                      <a:off x="0" y="0"/>
                      <a:ext cx="102870" cy="154305"/>
                    </a:xfrm>
                    <a:prstGeom prst="rect">
                      <a:avLst/>
                    </a:prstGeom>
                    <a:noFill/>
                  </pic:spPr>
                </pic:pic>
              </a:graphicData>
            </a:graphic>
          </wp:anchor>
        </w:drawing>
        <w:drawing>
          <wp:anchor simplePos="0" relativeHeight="251657728" behindDoc="1" locked="0" layoutInCell="0" allowOverlap="1">
            <wp:simplePos x="0" y="0"/>
            <wp:positionH relativeFrom="column">
              <wp:posOffset>5073650</wp:posOffset>
            </wp:positionH>
            <wp:positionV relativeFrom="paragraph">
              <wp:posOffset>-1086485</wp:posOffset>
            </wp:positionV>
            <wp:extent cx="102870" cy="154305"/>
            <wp:wrapNone/>
            <wp:docPr id="253" name="Picture 2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3"/>
                    <pic:cNvPicPr>
                      <a:picLocks noChangeAspect="1" noChangeArrowheads="1"/>
                    </pic:cNvPicPr>
                  </pic:nvPicPr>
                  <pic:blipFill>
                    <a:blip r:embed="rId260">
                      <a:extLst>
                        <a:ext uri="{28A0092B-C50C-407E-A947-70E740481C1C}"/>
                      </a:extLst>
                    </a:blip>
                    <a:srcRect/>
                    <a:stretch>
                      <a:fillRect/>
                    </a:stretch>
                  </pic:blipFill>
                  <pic:spPr bwMode="auto">
                    <a:xfrm>
                      <a:off x="0" y="0"/>
                      <a:ext cx="102870" cy="154305"/>
                    </a:xfrm>
                    <a:prstGeom prst="rect">
                      <a:avLst/>
                    </a:prstGeom>
                    <a:noFill/>
                  </pic:spPr>
                </pic:pic>
              </a:graphicData>
            </a:graphic>
          </wp:anchor>
        </w:drawing>
        <w:drawing>
          <wp:anchor simplePos="0" relativeHeight="251657728" behindDoc="1" locked="0" layoutInCell="0" allowOverlap="1">
            <wp:simplePos x="0" y="0"/>
            <wp:positionH relativeFrom="column">
              <wp:posOffset>6109970</wp:posOffset>
            </wp:positionH>
            <wp:positionV relativeFrom="paragraph">
              <wp:posOffset>-1086485</wp:posOffset>
            </wp:positionV>
            <wp:extent cx="102870" cy="154305"/>
            <wp:wrapNone/>
            <wp:docPr id="254" name="Picture 2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4"/>
                    <pic:cNvPicPr>
                      <a:picLocks noChangeAspect="1" noChangeArrowheads="1"/>
                    </pic:cNvPicPr>
                  </pic:nvPicPr>
                  <pic:blipFill>
                    <a:blip r:embed="rId261">
                      <a:extLst>
                        <a:ext uri="{28A0092B-C50C-407E-A947-70E740481C1C}"/>
                      </a:extLst>
                    </a:blip>
                    <a:srcRect/>
                    <a:stretch>
                      <a:fillRect/>
                    </a:stretch>
                  </pic:blipFill>
                  <pic:spPr bwMode="auto">
                    <a:xfrm>
                      <a:off x="0" y="0"/>
                      <a:ext cx="102870" cy="154305"/>
                    </a:xfrm>
                    <a:prstGeom prst="rect">
                      <a:avLst/>
                    </a:prstGeom>
                    <a:noFill/>
                  </pic:spPr>
                </pic:pic>
              </a:graphicData>
            </a:graphic>
          </wp:anchor>
        </w:drawing>
      </w:r>
    </w:p>
    <w:p>
      <w:pPr>
        <w:spacing w:after="0" w:line="69" w:lineRule="exact"/>
        <w:rPr>
          <w:sz w:val="20"/>
          <w:szCs w:val="20"/>
          <w:color w:val="auto"/>
        </w:rPr>
      </w:pPr>
    </w:p>
    <w:p>
      <w:pPr>
        <w:ind w:left="300" w:hanging="292"/>
        <w:spacing w:after="0"/>
        <w:tabs>
          <w:tab w:leader="none" w:pos="300" w:val="left"/>
        </w:tabs>
        <w:numPr>
          <w:ilvl w:val="0"/>
          <w:numId w:val="28"/>
        </w:numPr>
        <w:rPr>
          <w:rFonts w:ascii="Arial" w:cs="Arial" w:eastAsia="Arial" w:hAnsi="Arial"/>
          <w:sz w:val="14"/>
          <w:szCs w:val="14"/>
          <w:color w:val="auto"/>
        </w:rPr>
      </w:pPr>
      <w:r>
        <w:rPr>
          <w:rFonts w:ascii="Arial" w:cs="Arial" w:eastAsia="Arial" w:hAnsi="Arial"/>
          <w:sz w:val="14"/>
          <w:szCs w:val="14"/>
          <w:color w:val="auto"/>
        </w:rPr>
        <w:t>Less than 1%</w:t>
      </w:r>
    </w:p>
    <w:p>
      <w:pPr>
        <w:spacing w:after="0" w:line="109" w:lineRule="exact"/>
        <w:rPr>
          <w:sz w:val="20"/>
          <w:szCs w:val="20"/>
          <w:color w:val="auto"/>
        </w:rPr>
      </w:pPr>
    </w:p>
    <w:p>
      <w:pPr>
        <w:spacing w:after="0"/>
        <w:rPr>
          <w:sz w:val="20"/>
          <w:szCs w:val="20"/>
          <w:color w:val="auto"/>
        </w:rPr>
      </w:pPr>
      <w:r>
        <w:rPr>
          <w:rFonts w:ascii="Arial" w:cs="Arial" w:eastAsia="Arial" w:hAnsi="Arial"/>
          <w:sz w:val="14"/>
          <w:szCs w:val="14"/>
          <w:color w:val="auto"/>
        </w:rPr>
        <w:t>Note: Certain figures may not sum due to rounding</w:t>
      </w:r>
    </w:p>
    <w:p>
      <w:pPr>
        <w:spacing w:after="0" w:line="329" w:lineRule="exact"/>
        <w:rPr>
          <w:sz w:val="20"/>
          <w:szCs w:val="20"/>
          <w:color w:val="auto"/>
        </w:rPr>
      </w:pPr>
    </w:p>
    <w:p>
      <w:pPr>
        <w:ind w:right="3700"/>
        <w:spacing w:after="0" w:line="386" w:lineRule="auto"/>
        <w:rPr>
          <w:sz w:val="20"/>
          <w:szCs w:val="20"/>
          <w:color w:val="auto"/>
        </w:rPr>
      </w:pPr>
      <w:r>
        <w:rPr>
          <w:rFonts w:ascii="Arial" w:cs="Arial" w:eastAsia="Arial" w:hAnsi="Arial"/>
          <w:sz w:val="18"/>
          <w:szCs w:val="18"/>
          <w:b w:val="1"/>
          <w:bCs w:val="1"/>
          <w:i w:val="1"/>
          <w:iCs w:val="1"/>
          <w:color w:val="auto"/>
        </w:rPr>
        <w:t xml:space="preserve">Comparison of Three Months Ended September 30, 2022 to Three Months Ended September 30, 2021 </w:t>
      </w:r>
      <w:r>
        <w:rPr>
          <w:rFonts w:ascii="Arial" w:cs="Arial" w:eastAsia="Arial" w:hAnsi="Arial"/>
          <w:sz w:val="18"/>
          <w:szCs w:val="18"/>
          <w:i w:val="1"/>
          <w:iCs w:val="1"/>
          <w:color w:val="auto"/>
        </w:rPr>
        <w:t>Revenue</w:t>
      </w:r>
    </w:p>
    <w:p>
      <w:pPr>
        <w:spacing w:after="0" w:line="58" w:lineRule="exact"/>
        <w:rPr>
          <w:sz w:val="20"/>
          <w:szCs w:val="20"/>
          <w:color w:val="auto"/>
        </w:rPr>
      </w:pPr>
    </w:p>
    <w:p>
      <w:pPr>
        <w:jc w:val="center"/>
        <w:ind w:left="1360"/>
        <w:spacing w:after="0"/>
        <w:rPr>
          <w:sz w:val="20"/>
          <w:szCs w:val="20"/>
          <w:color w:val="auto"/>
        </w:rPr>
      </w:pPr>
      <w:r>
        <w:rPr>
          <w:rFonts w:ascii="Arial" w:cs="Arial" w:eastAsia="Arial" w:hAnsi="Arial"/>
          <w:sz w:val="18"/>
          <w:szCs w:val="18"/>
          <w:b w:val="1"/>
          <w:bCs w:val="1"/>
          <w:color w:val="auto"/>
        </w:rPr>
        <w:t>Three Months Ended</w:t>
      </w:r>
    </w:p>
    <w:p>
      <w:pPr>
        <w:spacing w:after="0" w:line="2" w:lineRule="exact"/>
        <w:rPr>
          <w:sz w:val="20"/>
          <w:szCs w:val="20"/>
          <w:color w:val="auto"/>
        </w:rPr>
      </w:pPr>
    </w:p>
    <w:p>
      <w:pPr>
        <w:jc w:val="center"/>
        <w:ind w:left="1360"/>
        <w:spacing w:after="0"/>
        <w:rPr>
          <w:sz w:val="20"/>
          <w:szCs w:val="20"/>
          <w:color w:val="auto"/>
        </w:rPr>
      </w:pPr>
      <w:r>
        <w:rPr>
          <w:rFonts w:ascii="Arial" w:cs="Arial" w:eastAsia="Arial" w:hAnsi="Arial"/>
          <w:sz w:val="18"/>
          <w:szCs w:val="18"/>
          <w:b w:val="1"/>
          <w:bCs w:val="1"/>
          <w:color w:val="auto"/>
        </w:rPr>
        <w:t>September 30,</w:t>
      </w:r>
    </w:p>
    <w:p>
      <w:pPr>
        <w:spacing w:after="0" w:line="7" w:lineRule="exact"/>
        <w:rPr>
          <w:sz w:val="20"/>
          <w:szCs w:val="20"/>
          <w:color w:val="auto"/>
        </w:rPr>
      </w:pPr>
    </w:p>
    <w:tbl>
      <w:tblPr>
        <w:tblLayout w:type="fixed"/>
        <w:tblInd w:w="0" w:type="dxa"/>
        <w:tblCellMar>
          <w:top w:w="0" w:type="dxa"/>
          <w:left w:w="0" w:type="dxa"/>
          <w:bottom w:w="0" w:type="dxa"/>
          <w:right w:w="0" w:type="dxa"/>
        </w:tblCellMar>
      </w:tblPr>
      <w:tr>
        <w:trPr>
          <w:trHeight w:val="209"/>
        </w:trPr>
        <w:tc>
          <w:tcPr>
            <w:tcW w:w="4800" w:type="dxa"/>
            <w:vAlign w:val="bottom"/>
          </w:tcPr>
          <w:p>
            <w:pPr>
              <w:spacing w:after="0"/>
              <w:rPr>
                <w:sz w:val="18"/>
                <w:szCs w:val="18"/>
                <w:color w:val="auto"/>
              </w:rPr>
            </w:pPr>
          </w:p>
        </w:tc>
        <w:tc>
          <w:tcPr>
            <w:tcW w:w="300" w:type="dxa"/>
            <w:vAlign w:val="bottom"/>
            <w:tcBorders>
              <w:top w:val="single" w:sz="8" w:color="auto"/>
              <w:bottom w:val="single" w:sz="8" w:color="auto"/>
            </w:tcBorders>
          </w:tcPr>
          <w:p>
            <w:pPr>
              <w:spacing w:after="0"/>
              <w:rPr>
                <w:sz w:val="18"/>
                <w:szCs w:val="18"/>
                <w:color w:val="auto"/>
              </w:rPr>
            </w:pPr>
          </w:p>
        </w:tc>
        <w:tc>
          <w:tcPr>
            <w:tcW w:w="1060" w:type="dxa"/>
            <w:vAlign w:val="bottom"/>
            <w:tcBorders>
              <w:top w:val="single" w:sz="8" w:color="auto"/>
              <w:bottom w:val="single" w:sz="8" w:color="auto"/>
            </w:tcBorders>
          </w:tcPr>
          <w:p>
            <w:pPr>
              <w:jc w:val="right"/>
              <w:ind w:right="410"/>
              <w:spacing w:after="0"/>
              <w:rPr>
                <w:sz w:val="20"/>
                <w:szCs w:val="20"/>
                <w:color w:val="auto"/>
              </w:rPr>
            </w:pPr>
            <w:r>
              <w:rPr>
                <w:rFonts w:ascii="Arial" w:cs="Arial" w:eastAsia="Arial" w:hAnsi="Arial"/>
                <w:sz w:val="18"/>
                <w:szCs w:val="18"/>
                <w:b w:val="1"/>
                <w:bCs w:val="1"/>
                <w:color w:val="auto"/>
              </w:rPr>
              <w:t>2022</w:t>
            </w:r>
          </w:p>
        </w:tc>
        <w:tc>
          <w:tcPr>
            <w:tcW w:w="300" w:type="dxa"/>
            <w:vAlign w:val="bottom"/>
            <w:tcBorders>
              <w:top w:val="single" w:sz="8" w:color="auto"/>
            </w:tcBorders>
          </w:tcPr>
          <w:p>
            <w:pPr>
              <w:spacing w:after="0"/>
              <w:rPr>
                <w:sz w:val="18"/>
                <w:szCs w:val="18"/>
                <w:color w:val="auto"/>
              </w:rPr>
            </w:pPr>
          </w:p>
        </w:tc>
        <w:tc>
          <w:tcPr>
            <w:tcW w:w="200" w:type="dxa"/>
            <w:vAlign w:val="bottom"/>
            <w:tcBorders>
              <w:top w:val="single" w:sz="8" w:color="auto"/>
              <w:bottom w:val="single" w:sz="8" w:color="auto"/>
            </w:tcBorders>
          </w:tcPr>
          <w:p>
            <w:pPr>
              <w:spacing w:after="0"/>
              <w:rPr>
                <w:sz w:val="18"/>
                <w:szCs w:val="18"/>
                <w:color w:val="auto"/>
              </w:rPr>
            </w:pPr>
          </w:p>
        </w:tc>
        <w:tc>
          <w:tcPr>
            <w:tcW w:w="1160" w:type="dxa"/>
            <w:vAlign w:val="bottom"/>
            <w:tcBorders>
              <w:top w:val="single" w:sz="8" w:color="auto"/>
              <w:bottom w:val="single" w:sz="8" w:color="auto"/>
            </w:tcBorders>
          </w:tcPr>
          <w:p>
            <w:pPr>
              <w:jc w:val="right"/>
              <w:ind w:right="410"/>
              <w:spacing w:after="0"/>
              <w:rPr>
                <w:sz w:val="20"/>
                <w:szCs w:val="20"/>
                <w:color w:val="auto"/>
              </w:rPr>
            </w:pPr>
            <w:r>
              <w:rPr>
                <w:rFonts w:ascii="Arial" w:cs="Arial" w:eastAsia="Arial" w:hAnsi="Arial"/>
                <w:sz w:val="18"/>
                <w:szCs w:val="18"/>
                <w:b w:val="1"/>
                <w:bCs w:val="1"/>
                <w:color w:val="auto"/>
              </w:rPr>
              <w:t>2021</w:t>
            </w:r>
          </w:p>
        </w:tc>
        <w:tc>
          <w:tcPr>
            <w:tcW w:w="260" w:type="dxa"/>
            <w:vAlign w:val="bottom"/>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1140" w:type="dxa"/>
            <w:vAlign w:val="bottom"/>
            <w:tcBorders>
              <w:bottom w:val="single" w:sz="8" w:color="auto"/>
            </w:tcBorders>
          </w:tcPr>
          <w:p>
            <w:pPr>
              <w:jc w:val="right"/>
              <w:ind w:right="230"/>
              <w:spacing w:after="0"/>
              <w:rPr>
                <w:sz w:val="20"/>
                <w:szCs w:val="20"/>
                <w:color w:val="auto"/>
              </w:rPr>
            </w:pPr>
            <w:r>
              <w:rPr>
                <w:rFonts w:ascii="Arial" w:cs="Arial" w:eastAsia="Arial" w:hAnsi="Arial"/>
                <w:sz w:val="18"/>
                <w:szCs w:val="18"/>
                <w:b w:val="1"/>
                <w:bCs w:val="1"/>
                <w:color w:val="auto"/>
                <w:w w:val="98"/>
              </w:rPr>
              <w:t>$ Change</w:t>
            </w:r>
          </w:p>
        </w:tc>
        <w:tc>
          <w:tcPr>
            <w:tcW w:w="280" w:type="dxa"/>
            <w:vAlign w:val="bottom"/>
          </w:tcPr>
          <w:p>
            <w:pPr>
              <w:spacing w:after="0"/>
              <w:rPr>
                <w:sz w:val="18"/>
                <w:szCs w:val="18"/>
                <w:color w:val="auto"/>
              </w:rPr>
            </w:pPr>
          </w:p>
        </w:tc>
        <w:tc>
          <w:tcPr>
            <w:tcW w:w="1520" w:type="dxa"/>
            <w:vAlign w:val="bottom"/>
            <w:tcBorders>
              <w:bottom w:val="single" w:sz="8" w:color="auto"/>
            </w:tcBorders>
          </w:tcPr>
          <w:p>
            <w:pPr>
              <w:jc w:val="center"/>
              <w:spacing w:after="0"/>
              <w:rPr>
                <w:sz w:val="20"/>
                <w:szCs w:val="20"/>
                <w:color w:val="auto"/>
              </w:rPr>
            </w:pPr>
            <w:r>
              <w:rPr>
                <w:rFonts w:ascii="Arial" w:cs="Arial" w:eastAsia="Arial" w:hAnsi="Arial"/>
                <w:sz w:val="18"/>
                <w:szCs w:val="18"/>
                <w:b w:val="1"/>
                <w:bCs w:val="1"/>
                <w:color w:val="auto"/>
                <w:w w:val="91"/>
              </w:rPr>
              <w:t>% Change</w:t>
            </w:r>
          </w:p>
        </w:tc>
      </w:tr>
      <w:tr>
        <w:trPr>
          <w:trHeight w:val="223"/>
        </w:trPr>
        <w:tc>
          <w:tcPr>
            <w:tcW w:w="48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6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Arial" w:cs="Arial" w:eastAsia="Arial" w:hAnsi="Arial"/>
                <w:sz w:val="18"/>
                <w:szCs w:val="18"/>
                <w:b w:val="1"/>
                <w:bCs w:val="1"/>
                <w:i w:val="1"/>
                <w:iCs w:val="1"/>
                <w:color w:val="auto"/>
                <w:w w:val="91"/>
              </w:rPr>
              <w:t>(in thousands,</w:t>
            </w:r>
          </w:p>
        </w:tc>
        <w:tc>
          <w:tcPr>
            <w:tcW w:w="1620" w:type="dxa"/>
            <w:vAlign w:val="bottom"/>
            <w:gridSpan w:val="3"/>
          </w:tcPr>
          <w:p>
            <w:pPr>
              <w:jc w:val="right"/>
              <w:ind w:right="50"/>
              <w:spacing w:after="0"/>
              <w:rPr>
                <w:sz w:val="20"/>
                <w:szCs w:val="20"/>
                <w:color w:val="auto"/>
              </w:rPr>
            </w:pPr>
            <w:r>
              <w:rPr>
                <w:rFonts w:ascii="Arial" w:cs="Arial" w:eastAsia="Arial" w:hAnsi="Arial"/>
                <w:sz w:val="18"/>
                <w:szCs w:val="18"/>
                <w:b w:val="1"/>
                <w:bCs w:val="1"/>
                <w:i w:val="1"/>
                <w:iCs w:val="1"/>
                <w:color w:val="auto"/>
                <w:w w:val="83"/>
              </w:rPr>
              <w:t>except percentages)</w:t>
            </w:r>
          </w:p>
        </w:tc>
        <w:tc>
          <w:tcPr>
            <w:tcW w:w="280" w:type="dxa"/>
            <w:vAlign w:val="bottom"/>
          </w:tcPr>
          <w:p>
            <w:pPr>
              <w:spacing w:after="0"/>
              <w:rPr>
                <w:sz w:val="19"/>
                <w:szCs w:val="19"/>
                <w:color w:val="auto"/>
              </w:rPr>
            </w:pPr>
          </w:p>
        </w:tc>
        <w:tc>
          <w:tcPr>
            <w:tcW w:w="1520" w:type="dxa"/>
            <w:vAlign w:val="bottom"/>
          </w:tcPr>
          <w:p>
            <w:pPr>
              <w:spacing w:after="0"/>
              <w:rPr>
                <w:sz w:val="19"/>
                <w:szCs w:val="19"/>
                <w:color w:val="auto"/>
              </w:rPr>
            </w:pPr>
          </w:p>
        </w:tc>
      </w:tr>
      <w:tr>
        <w:trPr>
          <w:trHeight w:val="229"/>
        </w:trPr>
        <w:tc>
          <w:tcPr>
            <w:tcW w:w="4800" w:type="dxa"/>
            <w:vAlign w:val="bottom"/>
            <w:shd w:val="clear" w:color="auto" w:fill="CFF0FC"/>
          </w:tcPr>
          <w:p>
            <w:pPr>
              <w:ind w:left="20"/>
              <w:spacing w:after="0"/>
              <w:rPr>
                <w:sz w:val="20"/>
                <w:szCs w:val="20"/>
                <w:color w:val="auto"/>
              </w:rPr>
            </w:pPr>
            <w:r>
              <w:rPr>
                <w:rFonts w:ascii="Arial" w:cs="Arial" w:eastAsia="Arial" w:hAnsi="Arial"/>
                <w:sz w:val="18"/>
                <w:szCs w:val="18"/>
                <w:color w:val="auto"/>
              </w:rPr>
              <w:t>Revenue</w:t>
            </w:r>
          </w:p>
        </w:tc>
        <w:tc>
          <w:tcPr>
            <w:tcW w:w="300" w:type="dxa"/>
            <w:vAlign w:val="bottom"/>
            <w:shd w:val="clear" w:color="auto" w:fill="CFF0FC"/>
          </w:tcPr>
          <w:p>
            <w:pPr>
              <w:jc w:val="right"/>
              <w:ind w:right="90"/>
              <w:spacing w:after="0"/>
              <w:rPr>
                <w:sz w:val="20"/>
                <w:szCs w:val="20"/>
                <w:color w:val="auto"/>
              </w:rPr>
            </w:pPr>
            <w:r>
              <w:rPr>
                <w:rFonts w:ascii="Arial" w:cs="Arial" w:eastAsia="Arial" w:hAnsi="Arial"/>
                <w:sz w:val="18"/>
                <w:szCs w:val="18"/>
                <w:color w:val="auto"/>
                <w:w w:val="99"/>
              </w:rPr>
              <w:t>$</w:t>
            </w:r>
          </w:p>
        </w:tc>
        <w:tc>
          <w:tcPr>
            <w:tcW w:w="10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61,614</w:t>
            </w:r>
          </w:p>
        </w:tc>
        <w:tc>
          <w:tcPr>
            <w:tcW w:w="500" w:type="dxa"/>
            <w:vAlign w:val="bottom"/>
            <w:gridSpan w:val="2"/>
            <w:shd w:val="clear" w:color="auto" w:fill="CFF0FC"/>
          </w:tcPr>
          <w:p>
            <w:pPr>
              <w:jc w:val="right"/>
              <w:ind w:right="100"/>
              <w:spacing w:after="0"/>
              <w:rPr>
                <w:sz w:val="20"/>
                <w:szCs w:val="20"/>
                <w:color w:val="auto"/>
              </w:rPr>
            </w:pPr>
            <w:r>
              <w:rPr>
                <w:rFonts w:ascii="Arial" w:cs="Arial" w:eastAsia="Arial" w:hAnsi="Arial"/>
                <w:sz w:val="18"/>
                <w:szCs w:val="18"/>
                <w:color w:val="auto"/>
              </w:rPr>
              <w:t>$</w:t>
            </w:r>
          </w:p>
        </w:tc>
        <w:tc>
          <w:tcPr>
            <w:tcW w:w="11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45,473</w:t>
            </w:r>
          </w:p>
        </w:tc>
        <w:tc>
          <w:tcPr>
            <w:tcW w:w="480" w:type="dxa"/>
            <w:vAlign w:val="bottom"/>
            <w:gridSpan w:val="2"/>
            <w:shd w:val="clear" w:color="auto" w:fill="CFF0FC"/>
          </w:tcPr>
          <w:p>
            <w:pPr>
              <w:jc w:val="right"/>
              <w:ind w:right="120"/>
              <w:spacing w:after="0"/>
              <w:rPr>
                <w:sz w:val="20"/>
                <w:szCs w:val="20"/>
                <w:color w:val="auto"/>
              </w:rPr>
            </w:pPr>
            <w:r>
              <w:rPr>
                <w:rFonts w:ascii="Arial" w:cs="Arial" w:eastAsia="Arial" w:hAnsi="Arial"/>
                <w:sz w:val="18"/>
                <w:szCs w:val="18"/>
                <w:color w:val="auto"/>
              </w:rPr>
              <w:t>$</w:t>
            </w:r>
          </w:p>
        </w:tc>
        <w:tc>
          <w:tcPr>
            <w:tcW w:w="11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16,141</w:t>
            </w:r>
          </w:p>
        </w:tc>
        <w:tc>
          <w:tcPr>
            <w:tcW w:w="1800" w:type="dxa"/>
            <w:vAlign w:val="bottom"/>
            <w:gridSpan w:val="2"/>
            <w:shd w:val="clear" w:color="auto" w:fill="CFF0FC"/>
          </w:tcPr>
          <w:p>
            <w:pPr>
              <w:jc w:val="right"/>
              <w:ind w:right="510"/>
              <w:spacing w:after="0"/>
              <w:rPr>
                <w:sz w:val="20"/>
                <w:szCs w:val="20"/>
                <w:color w:val="auto"/>
              </w:rPr>
            </w:pPr>
            <w:r>
              <w:rPr>
                <w:rFonts w:ascii="Arial" w:cs="Arial" w:eastAsia="Arial" w:hAnsi="Arial"/>
                <w:sz w:val="18"/>
                <w:szCs w:val="18"/>
                <w:color w:val="auto"/>
              </w:rPr>
              <w:t>35%</w:t>
            </w:r>
          </w:p>
        </w:tc>
      </w:tr>
    </w:tbl>
    <w:p>
      <w:pPr>
        <w:spacing w:after="0" w:line="228" w:lineRule="exact"/>
        <w:rPr>
          <w:sz w:val="20"/>
          <w:szCs w:val="20"/>
          <w:color w:val="auto"/>
        </w:rPr>
      </w:pPr>
    </w:p>
    <w:p>
      <w:pPr>
        <w:ind w:left="520"/>
        <w:spacing w:after="0"/>
        <w:rPr>
          <w:sz w:val="20"/>
          <w:szCs w:val="20"/>
          <w:color w:val="auto"/>
        </w:rPr>
      </w:pPr>
      <w:r>
        <w:rPr>
          <w:rFonts w:ascii="Arial" w:cs="Arial" w:eastAsia="Arial" w:hAnsi="Arial"/>
          <w:sz w:val="16"/>
          <w:szCs w:val="16"/>
          <w:color w:val="auto"/>
        </w:rPr>
        <w:t>Revenue increased $16.1 million, or 35%, during the three months ended September 30, 2022 compared to the three months ended September 30,</w:t>
      </w:r>
    </w:p>
    <w:p>
      <w:pPr>
        <w:spacing w:after="0" w:line="46" w:lineRule="exact"/>
        <w:rPr>
          <w:sz w:val="20"/>
          <w:szCs w:val="20"/>
          <w:color w:val="auto"/>
        </w:rPr>
      </w:pPr>
    </w:p>
    <w:p>
      <w:pPr>
        <w:ind w:right="40"/>
        <w:spacing w:after="0" w:line="244" w:lineRule="auto"/>
        <w:rPr>
          <w:sz w:val="20"/>
          <w:szCs w:val="20"/>
          <w:color w:val="auto"/>
        </w:rPr>
      </w:pPr>
      <w:r>
        <w:rPr>
          <w:rFonts w:ascii="Arial" w:cs="Arial" w:eastAsia="Arial" w:hAnsi="Arial"/>
          <w:sz w:val="18"/>
          <w:szCs w:val="18"/>
          <w:color w:val="auto"/>
        </w:rPr>
        <w:t>2021. The increase in revenue was primarily due to growth of our paying customer base of 35% and revenue generated from our existing paying customers as reflected by our dollar-based net retention of 123% as of September 30, 2022.</w:t>
      </w:r>
    </w:p>
    <w:p>
      <w:pPr>
        <w:spacing w:after="0" w:line="293"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4780" w:type="dxa"/>
            <w:vAlign w:val="bottom"/>
          </w:tcPr>
          <w:p>
            <w:pPr>
              <w:spacing w:after="0"/>
              <w:rPr>
                <w:sz w:val="20"/>
                <w:szCs w:val="20"/>
                <w:color w:val="auto"/>
              </w:rPr>
            </w:pPr>
            <w:r>
              <w:rPr>
                <w:rFonts w:ascii="Arial" w:cs="Arial" w:eastAsia="Arial" w:hAnsi="Arial"/>
                <w:sz w:val="18"/>
                <w:szCs w:val="18"/>
                <w:i w:val="1"/>
                <w:iCs w:val="1"/>
                <w:color w:val="auto"/>
              </w:rPr>
              <w:t>Cost of Revenue and Gross Margin</w:t>
            </w:r>
          </w:p>
        </w:tc>
        <w:tc>
          <w:tcPr>
            <w:tcW w:w="860" w:type="dxa"/>
            <w:vAlign w:val="bottom"/>
          </w:tcPr>
          <w:p>
            <w:pPr>
              <w:spacing w:after="0"/>
              <w:rPr>
                <w:sz w:val="20"/>
                <w:szCs w:val="20"/>
                <w:color w:val="auto"/>
              </w:rPr>
            </w:pPr>
          </w:p>
        </w:tc>
        <w:tc>
          <w:tcPr>
            <w:tcW w:w="52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16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18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5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373"/>
        </w:trPr>
        <w:tc>
          <w:tcPr>
            <w:tcW w:w="4780" w:type="dxa"/>
            <w:vAlign w:val="bottom"/>
          </w:tcPr>
          <w:p>
            <w:pPr>
              <w:spacing w:after="0"/>
              <w:rPr>
                <w:sz w:val="24"/>
                <w:szCs w:val="24"/>
                <w:color w:val="auto"/>
              </w:rPr>
            </w:pPr>
          </w:p>
        </w:tc>
        <w:tc>
          <w:tcPr>
            <w:tcW w:w="3300" w:type="dxa"/>
            <w:vAlign w:val="bottom"/>
            <w:gridSpan w:val="6"/>
          </w:tcPr>
          <w:p>
            <w:pPr>
              <w:jc w:val="right"/>
              <w:ind w:right="890"/>
              <w:spacing w:after="0"/>
              <w:rPr>
                <w:sz w:val="20"/>
                <w:szCs w:val="20"/>
                <w:color w:val="auto"/>
              </w:rPr>
            </w:pPr>
            <w:r>
              <w:rPr>
                <w:rFonts w:ascii="Arial" w:cs="Arial" w:eastAsia="Arial" w:hAnsi="Arial"/>
                <w:sz w:val="18"/>
                <w:szCs w:val="18"/>
                <w:b w:val="1"/>
                <w:bCs w:val="1"/>
                <w:color w:val="auto"/>
              </w:rPr>
              <w:t>Three Months Ended</w:t>
            </w:r>
          </w:p>
        </w:tc>
        <w:tc>
          <w:tcPr>
            <w:tcW w:w="200" w:type="dxa"/>
            <w:vAlign w:val="bottom"/>
          </w:tcPr>
          <w:p>
            <w:pPr>
              <w:spacing w:after="0"/>
              <w:rPr>
                <w:sz w:val="24"/>
                <w:szCs w:val="24"/>
                <w:color w:val="auto"/>
              </w:rPr>
            </w:pPr>
          </w:p>
        </w:tc>
        <w:tc>
          <w:tcPr>
            <w:tcW w:w="118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5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34"/>
        </w:trPr>
        <w:tc>
          <w:tcPr>
            <w:tcW w:w="4780" w:type="dxa"/>
            <w:vAlign w:val="bottom"/>
          </w:tcPr>
          <w:p>
            <w:pPr>
              <w:spacing w:after="0"/>
              <w:rPr>
                <w:sz w:val="20"/>
                <w:szCs w:val="20"/>
                <w:color w:val="auto"/>
              </w:rPr>
            </w:pPr>
          </w:p>
        </w:tc>
        <w:tc>
          <w:tcPr>
            <w:tcW w:w="860" w:type="dxa"/>
            <w:vAlign w:val="bottom"/>
          </w:tcPr>
          <w:p>
            <w:pPr>
              <w:spacing w:after="0"/>
              <w:rPr>
                <w:sz w:val="20"/>
                <w:szCs w:val="20"/>
                <w:color w:val="auto"/>
              </w:rPr>
            </w:pPr>
          </w:p>
        </w:tc>
        <w:tc>
          <w:tcPr>
            <w:tcW w:w="2440" w:type="dxa"/>
            <w:vAlign w:val="bottom"/>
            <w:gridSpan w:val="5"/>
          </w:tcPr>
          <w:p>
            <w:pPr>
              <w:jc w:val="right"/>
              <w:ind w:right="1150"/>
              <w:spacing w:after="0"/>
              <w:rPr>
                <w:sz w:val="20"/>
                <w:szCs w:val="20"/>
                <w:color w:val="auto"/>
              </w:rPr>
            </w:pPr>
            <w:r>
              <w:rPr>
                <w:rFonts w:ascii="Arial" w:cs="Arial" w:eastAsia="Arial" w:hAnsi="Arial"/>
                <w:sz w:val="18"/>
                <w:szCs w:val="18"/>
                <w:b w:val="1"/>
                <w:bCs w:val="1"/>
                <w:color w:val="auto"/>
                <w:w w:val="95"/>
              </w:rPr>
              <w:t>September 30,</w:t>
            </w:r>
          </w:p>
        </w:tc>
        <w:tc>
          <w:tcPr>
            <w:tcW w:w="200" w:type="dxa"/>
            <w:vAlign w:val="bottom"/>
          </w:tcPr>
          <w:p>
            <w:pPr>
              <w:spacing w:after="0"/>
              <w:rPr>
                <w:sz w:val="20"/>
                <w:szCs w:val="20"/>
                <w:color w:val="auto"/>
              </w:rPr>
            </w:pPr>
          </w:p>
        </w:tc>
        <w:tc>
          <w:tcPr>
            <w:tcW w:w="1180" w:type="dxa"/>
            <w:vAlign w:val="bottom"/>
            <w:vMerge w:val="restart"/>
          </w:tcPr>
          <w:p>
            <w:pPr>
              <w:jc w:val="center"/>
              <w:ind w:right="130"/>
              <w:spacing w:after="0"/>
              <w:rPr>
                <w:sz w:val="20"/>
                <w:szCs w:val="20"/>
                <w:color w:val="auto"/>
              </w:rPr>
            </w:pPr>
            <w:r>
              <w:rPr>
                <w:rFonts w:ascii="Arial" w:cs="Arial" w:eastAsia="Arial" w:hAnsi="Arial"/>
                <w:sz w:val="18"/>
                <w:szCs w:val="18"/>
                <w:b w:val="1"/>
                <w:bCs w:val="1"/>
                <w:color w:val="auto"/>
                <w:w w:val="88"/>
              </w:rPr>
              <w:t>$ Change</w:t>
            </w:r>
          </w:p>
        </w:tc>
        <w:tc>
          <w:tcPr>
            <w:tcW w:w="260" w:type="dxa"/>
            <w:vAlign w:val="bottom"/>
          </w:tcPr>
          <w:p>
            <w:pPr>
              <w:spacing w:after="0"/>
              <w:rPr>
                <w:sz w:val="20"/>
                <w:szCs w:val="20"/>
                <w:color w:val="auto"/>
              </w:rPr>
            </w:pPr>
          </w:p>
        </w:tc>
        <w:tc>
          <w:tcPr>
            <w:tcW w:w="1520" w:type="dxa"/>
            <w:vAlign w:val="bottom"/>
            <w:vMerge w:val="restart"/>
          </w:tcPr>
          <w:p>
            <w:pPr>
              <w:jc w:val="center"/>
              <w:spacing w:after="0"/>
              <w:rPr>
                <w:sz w:val="20"/>
                <w:szCs w:val="20"/>
                <w:color w:val="auto"/>
              </w:rPr>
            </w:pPr>
            <w:r>
              <w:rPr>
                <w:rFonts w:ascii="Arial" w:cs="Arial" w:eastAsia="Arial" w:hAnsi="Arial"/>
                <w:sz w:val="18"/>
                <w:szCs w:val="18"/>
                <w:b w:val="1"/>
                <w:bCs w:val="1"/>
                <w:color w:val="auto"/>
                <w:w w:val="94"/>
              </w:rPr>
              <w:t>% Change</w:t>
            </w:r>
          </w:p>
        </w:tc>
        <w:tc>
          <w:tcPr>
            <w:tcW w:w="0" w:type="dxa"/>
            <w:vAlign w:val="bottom"/>
          </w:tcPr>
          <w:p>
            <w:pPr>
              <w:spacing w:after="0"/>
              <w:rPr>
                <w:sz w:val="1"/>
                <w:szCs w:val="1"/>
                <w:color w:val="auto"/>
              </w:rPr>
            </w:pPr>
          </w:p>
        </w:tc>
      </w:tr>
      <w:tr>
        <w:trPr>
          <w:trHeight w:val="209"/>
        </w:trPr>
        <w:tc>
          <w:tcPr>
            <w:tcW w:w="4780" w:type="dxa"/>
            <w:vAlign w:val="bottom"/>
          </w:tcPr>
          <w:p>
            <w:pPr>
              <w:spacing w:after="0"/>
              <w:rPr>
                <w:sz w:val="18"/>
                <w:szCs w:val="18"/>
                <w:color w:val="auto"/>
              </w:rPr>
            </w:pPr>
          </w:p>
        </w:tc>
        <w:tc>
          <w:tcPr>
            <w:tcW w:w="8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rPr>
              <w:t>2022</w:t>
            </w:r>
          </w:p>
        </w:tc>
        <w:tc>
          <w:tcPr>
            <w:tcW w:w="520" w:type="dxa"/>
            <w:vAlign w:val="bottom"/>
            <w:tcBorders>
              <w:top w:val="single" w:sz="8" w:color="auto"/>
              <w:bottom w:val="single" w:sz="8" w:color="auto"/>
            </w:tcBorders>
          </w:tcPr>
          <w:p>
            <w:pPr>
              <w:spacing w:after="0"/>
              <w:rPr>
                <w:sz w:val="18"/>
                <w:szCs w:val="18"/>
                <w:color w:val="auto"/>
              </w:rPr>
            </w:pPr>
          </w:p>
        </w:tc>
        <w:tc>
          <w:tcPr>
            <w:tcW w:w="300" w:type="dxa"/>
            <w:vAlign w:val="bottom"/>
            <w:tcBorders>
              <w:top w:val="single" w:sz="8" w:color="auto"/>
            </w:tcBorders>
          </w:tcPr>
          <w:p>
            <w:pPr>
              <w:spacing w:after="0"/>
              <w:rPr>
                <w:sz w:val="18"/>
                <w:szCs w:val="18"/>
                <w:color w:val="auto"/>
              </w:rPr>
            </w:pPr>
          </w:p>
        </w:tc>
        <w:tc>
          <w:tcPr>
            <w:tcW w:w="180" w:type="dxa"/>
            <w:vAlign w:val="bottom"/>
            <w:tcBorders>
              <w:top w:val="single" w:sz="8" w:color="auto"/>
              <w:bottom w:val="single" w:sz="8" w:color="auto"/>
            </w:tcBorders>
          </w:tcPr>
          <w:p>
            <w:pPr>
              <w:spacing w:after="0"/>
              <w:rPr>
                <w:sz w:val="18"/>
                <w:szCs w:val="18"/>
                <w:color w:val="auto"/>
              </w:rPr>
            </w:pPr>
          </w:p>
        </w:tc>
        <w:tc>
          <w:tcPr>
            <w:tcW w:w="1160" w:type="dxa"/>
            <w:vAlign w:val="bottom"/>
            <w:tcBorders>
              <w:top w:val="single" w:sz="8" w:color="auto"/>
              <w:bottom w:val="single" w:sz="8" w:color="auto"/>
            </w:tcBorders>
          </w:tcPr>
          <w:p>
            <w:pPr>
              <w:jc w:val="right"/>
              <w:ind w:right="410"/>
              <w:spacing w:after="0"/>
              <w:rPr>
                <w:sz w:val="20"/>
                <w:szCs w:val="20"/>
                <w:color w:val="auto"/>
              </w:rPr>
            </w:pPr>
            <w:r>
              <w:rPr>
                <w:rFonts w:ascii="Arial" w:cs="Arial" w:eastAsia="Arial" w:hAnsi="Arial"/>
                <w:sz w:val="18"/>
                <w:szCs w:val="18"/>
                <w:b w:val="1"/>
                <w:bCs w:val="1"/>
                <w:color w:val="auto"/>
              </w:rPr>
              <w:t>2021</w:t>
            </w:r>
          </w:p>
        </w:tc>
        <w:tc>
          <w:tcPr>
            <w:tcW w:w="280" w:type="dxa"/>
            <w:vAlign w:val="bottom"/>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1180" w:type="dxa"/>
            <w:vAlign w:val="bottom"/>
            <w:tcBorders>
              <w:bottom w:val="single" w:sz="8" w:color="auto"/>
            </w:tcBorders>
            <w:vMerge w:val="continue"/>
          </w:tcPr>
          <w:p>
            <w:pPr>
              <w:spacing w:after="0"/>
              <w:rPr>
                <w:sz w:val="18"/>
                <w:szCs w:val="18"/>
                <w:color w:val="auto"/>
              </w:rPr>
            </w:pPr>
          </w:p>
        </w:tc>
        <w:tc>
          <w:tcPr>
            <w:tcW w:w="260" w:type="dxa"/>
            <w:vAlign w:val="bottom"/>
          </w:tcPr>
          <w:p>
            <w:pPr>
              <w:spacing w:after="0"/>
              <w:rPr>
                <w:sz w:val="18"/>
                <w:szCs w:val="18"/>
                <w:color w:val="auto"/>
              </w:rPr>
            </w:pPr>
          </w:p>
        </w:tc>
        <w:tc>
          <w:tcPr>
            <w:tcW w:w="1520" w:type="dxa"/>
            <w:vAlign w:val="bottom"/>
            <w:tcBorders>
              <w:bottom w:val="single" w:sz="8" w:color="auto"/>
            </w:tcBorders>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4780" w:type="dxa"/>
            <w:vAlign w:val="bottom"/>
          </w:tcPr>
          <w:p>
            <w:pPr>
              <w:spacing w:after="0"/>
              <w:rPr>
                <w:sz w:val="19"/>
                <w:szCs w:val="19"/>
                <w:color w:val="auto"/>
              </w:rPr>
            </w:pPr>
          </w:p>
        </w:tc>
        <w:tc>
          <w:tcPr>
            <w:tcW w:w="86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Arial" w:cs="Arial" w:eastAsia="Arial" w:hAnsi="Arial"/>
                <w:sz w:val="18"/>
                <w:szCs w:val="18"/>
                <w:b w:val="1"/>
                <w:bCs w:val="1"/>
                <w:i w:val="1"/>
                <w:iCs w:val="1"/>
                <w:color w:val="auto"/>
                <w:w w:val="92"/>
              </w:rPr>
              <w:t>(in thousands,</w:t>
            </w:r>
          </w:p>
        </w:tc>
        <w:tc>
          <w:tcPr>
            <w:tcW w:w="1660" w:type="dxa"/>
            <w:vAlign w:val="bottom"/>
            <w:gridSpan w:val="3"/>
          </w:tcPr>
          <w:p>
            <w:pPr>
              <w:jc w:val="right"/>
              <w:ind w:right="90"/>
              <w:spacing w:after="0"/>
              <w:rPr>
                <w:sz w:val="20"/>
                <w:szCs w:val="20"/>
                <w:color w:val="auto"/>
              </w:rPr>
            </w:pPr>
            <w:r>
              <w:rPr>
                <w:rFonts w:ascii="Arial" w:cs="Arial" w:eastAsia="Arial" w:hAnsi="Arial"/>
                <w:sz w:val="18"/>
                <w:szCs w:val="18"/>
                <w:b w:val="1"/>
                <w:bCs w:val="1"/>
                <w:i w:val="1"/>
                <w:iCs w:val="1"/>
                <w:color w:val="auto"/>
                <w:w w:val="83"/>
              </w:rPr>
              <w:t>except percentages)</w:t>
            </w:r>
          </w:p>
        </w:tc>
        <w:tc>
          <w:tcPr>
            <w:tcW w:w="260" w:type="dxa"/>
            <w:vAlign w:val="bottom"/>
          </w:tcPr>
          <w:p>
            <w:pPr>
              <w:spacing w:after="0"/>
              <w:rPr>
                <w:sz w:val="19"/>
                <w:szCs w:val="19"/>
                <w:color w:val="auto"/>
              </w:rPr>
            </w:pPr>
          </w:p>
        </w:tc>
        <w:tc>
          <w:tcPr>
            <w:tcW w:w="15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4780" w:type="dxa"/>
            <w:vAlign w:val="bottom"/>
            <w:shd w:val="clear" w:color="auto" w:fill="CFF0FC"/>
          </w:tcPr>
          <w:p>
            <w:pPr>
              <w:ind w:left="20"/>
              <w:spacing w:after="0"/>
              <w:rPr>
                <w:sz w:val="20"/>
                <w:szCs w:val="20"/>
                <w:color w:val="auto"/>
              </w:rPr>
            </w:pPr>
            <w:r>
              <w:rPr>
                <w:rFonts w:ascii="Arial" w:cs="Arial" w:eastAsia="Arial" w:hAnsi="Arial"/>
                <w:sz w:val="18"/>
                <w:szCs w:val="18"/>
                <w:color w:val="auto"/>
              </w:rPr>
              <w:t>Cost of revenue</w:t>
            </w:r>
          </w:p>
        </w:tc>
        <w:tc>
          <w:tcPr>
            <w:tcW w:w="860" w:type="dxa"/>
            <w:vAlign w:val="bottom"/>
            <w:shd w:val="clear" w:color="auto" w:fill="CFF0FC"/>
          </w:tcPr>
          <w:p>
            <w:pPr>
              <w:jc w:val="right"/>
              <w:ind w:right="670"/>
              <w:spacing w:after="0"/>
              <w:rPr>
                <w:sz w:val="20"/>
                <w:szCs w:val="20"/>
                <w:color w:val="auto"/>
              </w:rPr>
            </w:pPr>
            <w:r>
              <w:rPr>
                <w:rFonts w:ascii="Arial" w:cs="Arial" w:eastAsia="Arial" w:hAnsi="Arial"/>
                <w:sz w:val="18"/>
                <w:szCs w:val="18"/>
                <w:color w:val="auto"/>
                <w:w w:val="79"/>
              </w:rPr>
              <w:t>$</w:t>
            </w:r>
          </w:p>
        </w:tc>
        <w:tc>
          <w:tcPr>
            <w:tcW w:w="520" w:type="dxa"/>
            <w:vAlign w:val="bottom"/>
            <w:shd w:val="clear" w:color="auto" w:fill="CFF0FC"/>
          </w:tcPr>
          <w:p>
            <w:pPr>
              <w:jc w:val="right"/>
              <w:spacing w:after="0"/>
              <w:rPr>
                <w:sz w:val="20"/>
                <w:szCs w:val="20"/>
                <w:color w:val="auto"/>
              </w:rPr>
            </w:pPr>
            <w:r>
              <w:rPr>
                <w:rFonts w:ascii="Arial" w:cs="Arial" w:eastAsia="Arial" w:hAnsi="Arial"/>
                <w:sz w:val="18"/>
                <w:szCs w:val="18"/>
                <w:color w:val="auto"/>
                <w:w w:val="87"/>
              </w:rPr>
              <w:t>18,076</w:t>
            </w:r>
          </w:p>
        </w:tc>
        <w:tc>
          <w:tcPr>
            <w:tcW w:w="300" w:type="dxa"/>
            <w:vAlign w:val="bottom"/>
            <w:shd w:val="clear" w:color="auto" w:fill="CFF0FC"/>
          </w:tcPr>
          <w:p>
            <w:pPr>
              <w:spacing w:after="0"/>
              <w:rPr>
                <w:sz w:val="19"/>
                <w:szCs w:val="19"/>
                <w:color w:val="auto"/>
              </w:rPr>
            </w:pPr>
          </w:p>
        </w:tc>
        <w:tc>
          <w:tcPr>
            <w:tcW w:w="180" w:type="dxa"/>
            <w:vAlign w:val="bottom"/>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11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13,982</w:t>
            </w:r>
          </w:p>
        </w:tc>
        <w:tc>
          <w:tcPr>
            <w:tcW w:w="280" w:type="dxa"/>
            <w:vAlign w:val="bottom"/>
            <w:shd w:val="clear" w:color="auto" w:fill="CFF0FC"/>
          </w:tcPr>
          <w:p>
            <w:pPr>
              <w:spacing w:after="0"/>
              <w:rPr>
                <w:sz w:val="19"/>
                <w:szCs w:val="19"/>
                <w:color w:val="auto"/>
              </w:rPr>
            </w:pPr>
          </w:p>
        </w:tc>
        <w:tc>
          <w:tcPr>
            <w:tcW w:w="200" w:type="dxa"/>
            <w:vAlign w:val="bottom"/>
            <w:shd w:val="clear" w:color="auto" w:fill="CFF0FC"/>
          </w:tcPr>
          <w:p>
            <w:pPr>
              <w:jc w:val="right"/>
              <w:ind w:right="10"/>
              <w:spacing w:after="0"/>
              <w:rPr>
                <w:sz w:val="20"/>
                <w:szCs w:val="20"/>
                <w:color w:val="auto"/>
              </w:rPr>
            </w:pPr>
            <w:r>
              <w:rPr>
                <w:rFonts w:ascii="Arial" w:cs="Arial" w:eastAsia="Arial" w:hAnsi="Arial"/>
                <w:sz w:val="18"/>
                <w:szCs w:val="18"/>
                <w:color w:val="auto"/>
                <w:w w:val="79"/>
              </w:rPr>
              <w:t>$</w:t>
            </w:r>
          </w:p>
        </w:tc>
        <w:tc>
          <w:tcPr>
            <w:tcW w:w="11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4,094</w:t>
            </w:r>
          </w:p>
        </w:tc>
        <w:tc>
          <w:tcPr>
            <w:tcW w:w="1780" w:type="dxa"/>
            <w:vAlign w:val="bottom"/>
            <w:gridSpan w:val="2"/>
            <w:shd w:val="clear" w:color="auto" w:fill="CFF0FC"/>
          </w:tcPr>
          <w:p>
            <w:pPr>
              <w:jc w:val="center"/>
              <w:ind w:left="170"/>
              <w:spacing w:after="0"/>
              <w:rPr>
                <w:sz w:val="20"/>
                <w:szCs w:val="20"/>
                <w:color w:val="auto"/>
              </w:rPr>
            </w:pPr>
            <w:r>
              <w:rPr>
                <w:rFonts w:ascii="Arial" w:cs="Arial" w:eastAsia="Arial" w:hAnsi="Arial"/>
                <w:sz w:val="18"/>
                <w:szCs w:val="18"/>
                <w:color w:val="auto"/>
                <w:w w:val="88"/>
              </w:rPr>
              <w:t>29%</w:t>
            </w:r>
          </w:p>
        </w:tc>
        <w:tc>
          <w:tcPr>
            <w:tcW w:w="0" w:type="dxa"/>
            <w:vAlign w:val="bottom"/>
          </w:tcPr>
          <w:p>
            <w:pPr>
              <w:spacing w:after="0"/>
              <w:rPr>
                <w:sz w:val="1"/>
                <w:szCs w:val="1"/>
                <w:color w:val="auto"/>
              </w:rPr>
            </w:pPr>
          </w:p>
        </w:tc>
      </w:tr>
      <w:tr>
        <w:trPr>
          <w:trHeight w:val="230"/>
        </w:trPr>
        <w:tc>
          <w:tcPr>
            <w:tcW w:w="4780" w:type="dxa"/>
            <w:vAlign w:val="bottom"/>
          </w:tcPr>
          <w:p>
            <w:pPr>
              <w:ind w:left="20"/>
              <w:spacing w:after="0"/>
              <w:rPr>
                <w:sz w:val="20"/>
                <w:szCs w:val="20"/>
                <w:color w:val="auto"/>
              </w:rPr>
            </w:pPr>
            <w:r>
              <w:rPr>
                <w:rFonts w:ascii="Arial" w:cs="Arial" w:eastAsia="Arial" w:hAnsi="Arial"/>
                <w:sz w:val="18"/>
                <w:szCs w:val="18"/>
                <w:color w:val="auto"/>
              </w:rPr>
              <w:t>Gross margin</w:t>
            </w:r>
          </w:p>
        </w:tc>
        <w:tc>
          <w:tcPr>
            <w:tcW w:w="860" w:type="dxa"/>
            <w:vAlign w:val="bottom"/>
          </w:tcPr>
          <w:p>
            <w:pPr>
              <w:spacing w:after="0"/>
              <w:rPr>
                <w:sz w:val="20"/>
                <w:szCs w:val="20"/>
                <w:color w:val="auto"/>
              </w:rPr>
            </w:pPr>
          </w:p>
        </w:tc>
        <w:tc>
          <w:tcPr>
            <w:tcW w:w="820" w:type="dxa"/>
            <w:vAlign w:val="bottom"/>
            <w:gridSpan w:val="2"/>
          </w:tcPr>
          <w:p>
            <w:pPr>
              <w:jc w:val="right"/>
              <w:ind w:right="140"/>
              <w:spacing w:after="0"/>
              <w:rPr>
                <w:sz w:val="20"/>
                <w:szCs w:val="20"/>
                <w:color w:val="auto"/>
              </w:rPr>
            </w:pPr>
            <w:r>
              <w:rPr>
                <w:rFonts w:ascii="Arial" w:cs="Arial" w:eastAsia="Arial" w:hAnsi="Arial"/>
                <w:sz w:val="18"/>
                <w:szCs w:val="18"/>
                <w:color w:val="auto"/>
              </w:rPr>
              <w:t>71 %</w:t>
            </w:r>
          </w:p>
        </w:tc>
        <w:tc>
          <w:tcPr>
            <w:tcW w:w="180" w:type="dxa"/>
            <w:vAlign w:val="bottom"/>
          </w:tcPr>
          <w:p>
            <w:pPr>
              <w:spacing w:after="0"/>
              <w:rPr>
                <w:sz w:val="20"/>
                <w:szCs w:val="20"/>
                <w:color w:val="auto"/>
              </w:rPr>
            </w:pPr>
          </w:p>
        </w:tc>
        <w:tc>
          <w:tcPr>
            <w:tcW w:w="1440" w:type="dxa"/>
            <w:vAlign w:val="bottom"/>
            <w:gridSpan w:val="2"/>
          </w:tcPr>
          <w:p>
            <w:pPr>
              <w:jc w:val="right"/>
              <w:ind w:right="30"/>
              <w:spacing w:after="0"/>
              <w:rPr>
                <w:sz w:val="20"/>
                <w:szCs w:val="20"/>
                <w:color w:val="auto"/>
              </w:rPr>
            </w:pPr>
            <w:r>
              <w:rPr>
                <w:rFonts w:ascii="Arial" w:cs="Arial" w:eastAsia="Arial" w:hAnsi="Arial"/>
                <w:sz w:val="18"/>
                <w:szCs w:val="18"/>
                <w:color w:val="auto"/>
              </w:rPr>
              <w:t>69 %</w:t>
            </w:r>
          </w:p>
        </w:tc>
        <w:tc>
          <w:tcPr>
            <w:tcW w:w="200" w:type="dxa"/>
            <w:vAlign w:val="bottom"/>
          </w:tcPr>
          <w:p>
            <w:pPr>
              <w:spacing w:after="0"/>
              <w:rPr>
                <w:sz w:val="20"/>
                <w:szCs w:val="20"/>
                <w:color w:val="auto"/>
              </w:rPr>
            </w:pPr>
          </w:p>
        </w:tc>
        <w:tc>
          <w:tcPr>
            <w:tcW w:w="1180" w:type="dxa"/>
            <w:vAlign w:val="bottom"/>
          </w:tcPr>
          <w:p>
            <w:pPr>
              <w:jc w:val="center"/>
              <w:ind w:right="110"/>
              <w:spacing w:after="0"/>
              <w:rPr>
                <w:sz w:val="20"/>
                <w:szCs w:val="20"/>
                <w:color w:val="auto"/>
              </w:rPr>
            </w:pPr>
            <w:r>
              <w:rPr>
                <w:rFonts w:ascii="Arial" w:cs="Arial" w:eastAsia="Arial" w:hAnsi="Arial"/>
                <w:sz w:val="18"/>
                <w:szCs w:val="18"/>
                <w:color w:val="auto"/>
                <w:w w:val="99"/>
              </w:rPr>
              <w:t>N/A</w:t>
            </w:r>
          </w:p>
        </w:tc>
        <w:tc>
          <w:tcPr>
            <w:tcW w:w="260" w:type="dxa"/>
            <w:vAlign w:val="bottom"/>
          </w:tcPr>
          <w:p>
            <w:pPr>
              <w:spacing w:after="0"/>
              <w:rPr>
                <w:sz w:val="20"/>
                <w:szCs w:val="20"/>
                <w:color w:val="auto"/>
              </w:rPr>
            </w:pPr>
          </w:p>
        </w:tc>
        <w:tc>
          <w:tcPr>
            <w:tcW w:w="1520" w:type="dxa"/>
            <w:vAlign w:val="bottom"/>
          </w:tcPr>
          <w:p>
            <w:pPr>
              <w:jc w:val="center"/>
              <w:spacing w:after="0"/>
              <w:rPr>
                <w:sz w:val="20"/>
                <w:szCs w:val="20"/>
                <w:color w:val="auto"/>
              </w:rPr>
            </w:pPr>
            <w:r>
              <w:rPr>
                <w:rFonts w:ascii="Arial" w:cs="Arial" w:eastAsia="Arial" w:hAnsi="Arial"/>
                <w:sz w:val="18"/>
                <w:szCs w:val="18"/>
                <w:color w:val="auto"/>
                <w:w w:val="99"/>
              </w:rPr>
              <w:t>N/A</w:t>
            </w:r>
          </w:p>
        </w:tc>
        <w:tc>
          <w:tcPr>
            <w:tcW w:w="0" w:type="dxa"/>
            <w:vAlign w:val="bottom"/>
          </w:tcPr>
          <w:p>
            <w:pPr>
              <w:spacing w:after="0"/>
              <w:rPr>
                <w:sz w:val="1"/>
                <w:szCs w:val="1"/>
                <w:color w:val="auto"/>
              </w:rPr>
            </w:pPr>
          </w:p>
        </w:tc>
      </w:tr>
    </w:tbl>
    <w:p>
      <w:pPr>
        <w:spacing w:after="0" w:line="227" w:lineRule="exact"/>
        <w:rPr>
          <w:sz w:val="20"/>
          <w:szCs w:val="20"/>
          <w:color w:val="auto"/>
        </w:rPr>
      </w:pPr>
    </w:p>
    <w:p>
      <w:pPr>
        <w:ind w:right="40" w:firstLine="509"/>
        <w:spacing w:after="0" w:line="248" w:lineRule="auto"/>
        <w:rPr>
          <w:sz w:val="20"/>
          <w:szCs w:val="20"/>
          <w:color w:val="auto"/>
        </w:rPr>
      </w:pPr>
      <w:r>
        <w:rPr>
          <w:rFonts w:ascii="Arial" w:cs="Arial" w:eastAsia="Arial" w:hAnsi="Arial"/>
          <w:sz w:val="18"/>
          <w:szCs w:val="18"/>
          <w:color w:val="auto"/>
        </w:rPr>
        <w:t>Cost of revenue increased $4.1 million, or 29%, during the three months ended September 30, 2022 compared to the three months ended September 30, 2021. The increase was primarily due to an increase of $2.4 million in personnel and related expenses directly associated with an increase in headcount, including an increase in allocated overhead costs, and $1.4 million in third-party hosting costs as we increased capacity to support paying customer usage and growth of our paying customer base.</w:t>
      </w:r>
    </w:p>
    <w:p>
      <w:pPr>
        <w:spacing w:after="0" w:line="196" w:lineRule="exact"/>
        <w:rPr>
          <w:sz w:val="20"/>
          <w:szCs w:val="20"/>
          <w:color w:val="auto"/>
        </w:rPr>
      </w:pPr>
    </w:p>
    <w:p>
      <w:pPr>
        <w:ind w:right="40" w:firstLine="509"/>
        <w:spacing w:after="0" w:line="261" w:lineRule="auto"/>
        <w:rPr>
          <w:sz w:val="20"/>
          <w:szCs w:val="20"/>
          <w:color w:val="auto"/>
        </w:rPr>
      </w:pPr>
      <w:r>
        <w:rPr>
          <w:rFonts w:ascii="Arial" w:cs="Arial" w:eastAsia="Arial" w:hAnsi="Arial"/>
          <w:sz w:val="18"/>
          <w:szCs w:val="18"/>
          <w:color w:val="auto"/>
        </w:rPr>
        <w:t>Our gross margin increased during the three months ended September 30, 2022 compared to the three months ended September 30, 2021 mainly due to a decrease in our third-party hosting costs as a percentage of revenue.</w:t>
      </w:r>
    </w:p>
    <w:p>
      <w:pPr>
        <w:spacing w:after="0" w:line="6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255" name="Picture 2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5"/>
                    <pic:cNvPicPr>
                      <a:picLocks noChangeAspect="1" noChangeArrowheads="1"/>
                    </pic:cNvPicPr>
                  </pic:nvPicPr>
                  <pic:blipFill>
                    <a:blip r:embed="rId26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543" w:right="339" w:bottom="1440" w:gutter="0" w:footer="0" w:header="0"/>
        </w:sectPr>
      </w:pPr>
    </w:p>
    <w:bookmarkStart w:id="33" w:name="page34"/>
    <w:bookmarkEnd w:id="33"/>
    <w:tbl>
      <w:tblPr>
        <w:tblLayout w:type="fixed"/>
        <w:tblInd w:w="0" w:type="dxa"/>
        <w:tblCellMar>
          <w:top w:w="0" w:type="dxa"/>
          <w:left w:w="0" w:type="dxa"/>
          <w:bottom w:w="0" w:type="dxa"/>
          <w:right w:w="0" w:type="dxa"/>
        </w:tblCellMar>
      </w:tblPr>
      <w:tr>
        <w:trPr>
          <w:trHeight w:val="230"/>
        </w:trPr>
        <w:tc>
          <w:tcPr>
            <w:tcW w:w="4800" w:type="dxa"/>
            <w:vAlign w:val="bottom"/>
          </w:tcPr>
          <w:p>
            <w:pPr>
              <w:spacing w:after="0"/>
              <w:rPr>
                <w:sz w:val="20"/>
                <w:szCs w:val="20"/>
                <w:color w:val="auto"/>
              </w:rPr>
            </w:pPr>
            <w:r>
              <w:rPr>
                <w:rFonts w:ascii="Arial" w:cs="Arial" w:eastAsia="Arial" w:hAnsi="Arial"/>
                <w:sz w:val="18"/>
                <w:szCs w:val="18"/>
                <w:i w:val="1"/>
                <w:iCs w:val="1"/>
                <w:color w:val="auto"/>
              </w:rPr>
              <w:t>Operating Expenses</w:t>
            </w:r>
          </w:p>
        </w:tc>
        <w:tc>
          <w:tcPr>
            <w:tcW w:w="300" w:type="dxa"/>
            <w:vAlign w:val="bottom"/>
          </w:tcPr>
          <w:p>
            <w:pPr>
              <w:spacing w:after="0"/>
              <w:rPr>
                <w:sz w:val="20"/>
                <w:szCs w:val="20"/>
                <w:color w:val="auto"/>
              </w:rPr>
            </w:pPr>
          </w:p>
        </w:tc>
        <w:tc>
          <w:tcPr>
            <w:tcW w:w="106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16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14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5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13"/>
        </w:trPr>
        <w:tc>
          <w:tcPr>
            <w:tcW w:w="48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2720" w:type="dxa"/>
            <w:vAlign w:val="bottom"/>
            <w:gridSpan w:val="4"/>
          </w:tcPr>
          <w:p>
            <w:pPr>
              <w:jc w:val="right"/>
              <w:ind w:right="610"/>
              <w:spacing w:after="0"/>
              <w:rPr>
                <w:sz w:val="20"/>
                <w:szCs w:val="20"/>
                <w:color w:val="auto"/>
              </w:rPr>
            </w:pPr>
            <w:r>
              <w:rPr>
                <w:rFonts w:ascii="Arial" w:cs="Arial" w:eastAsia="Arial" w:hAnsi="Arial"/>
                <w:sz w:val="18"/>
                <w:szCs w:val="18"/>
                <w:b w:val="1"/>
                <w:bCs w:val="1"/>
                <w:color w:val="auto"/>
              </w:rPr>
              <w:t>Three Months Ended</w:t>
            </w:r>
          </w:p>
        </w:tc>
        <w:tc>
          <w:tcPr>
            <w:tcW w:w="2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5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34"/>
        </w:trPr>
        <w:tc>
          <w:tcPr>
            <w:tcW w:w="4800" w:type="dxa"/>
            <w:vAlign w:val="bottom"/>
          </w:tcPr>
          <w:p>
            <w:pPr>
              <w:spacing w:after="0"/>
              <w:rPr>
                <w:sz w:val="20"/>
                <w:szCs w:val="20"/>
                <w:color w:val="auto"/>
              </w:rPr>
            </w:pPr>
          </w:p>
        </w:tc>
        <w:tc>
          <w:tcPr>
            <w:tcW w:w="300" w:type="dxa"/>
            <w:vAlign w:val="bottom"/>
            <w:tcBorders>
              <w:bottom w:val="single" w:sz="8" w:color="auto"/>
            </w:tcBorders>
          </w:tcPr>
          <w:p>
            <w:pPr>
              <w:spacing w:after="0"/>
              <w:rPr>
                <w:sz w:val="20"/>
                <w:szCs w:val="20"/>
                <w:color w:val="auto"/>
              </w:rPr>
            </w:pPr>
          </w:p>
        </w:tc>
        <w:tc>
          <w:tcPr>
            <w:tcW w:w="2720" w:type="dxa"/>
            <w:vAlign w:val="bottom"/>
            <w:tcBorders>
              <w:bottom w:val="single" w:sz="8" w:color="auto"/>
            </w:tcBorders>
            <w:gridSpan w:val="4"/>
          </w:tcPr>
          <w:p>
            <w:pPr>
              <w:jc w:val="right"/>
              <w:ind w:right="870"/>
              <w:spacing w:after="0"/>
              <w:rPr>
                <w:sz w:val="20"/>
                <w:szCs w:val="20"/>
                <w:color w:val="auto"/>
              </w:rPr>
            </w:pPr>
            <w:r>
              <w:rPr>
                <w:rFonts w:ascii="Arial" w:cs="Arial" w:eastAsia="Arial" w:hAnsi="Arial"/>
                <w:sz w:val="18"/>
                <w:szCs w:val="18"/>
                <w:b w:val="1"/>
                <w:bCs w:val="1"/>
                <w:color w:val="auto"/>
              </w:rPr>
              <w:t>September 30,</w:t>
            </w:r>
          </w:p>
        </w:tc>
        <w:tc>
          <w:tcPr>
            <w:tcW w:w="26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140" w:type="dxa"/>
            <w:vAlign w:val="bottom"/>
            <w:vMerge w:val="restart"/>
          </w:tcPr>
          <w:p>
            <w:pPr>
              <w:jc w:val="right"/>
              <w:ind w:right="230"/>
              <w:spacing w:after="0"/>
              <w:rPr>
                <w:sz w:val="20"/>
                <w:szCs w:val="20"/>
                <w:color w:val="auto"/>
              </w:rPr>
            </w:pPr>
            <w:r>
              <w:rPr>
                <w:rFonts w:ascii="Arial" w:cs="Arial" w:eastAsia="Arial" w:hAnsi="Arial"/>
                <w:sz w:val="18"/>
                <w:szCs w:val="18"/>
                <w:b w:val="1"/>
                <w:bCs w:val="1"/>
                <w:color w:val="auto"/>
                <w:w w:val="98"/>
              </w:rPr>
              <w:t>$ Change</w:t>
            </w:r>
          </w:p>
        </w:tc>
        <w:tc>
          <w:tcPr>
            <w:tcW w:w="280" w:type="dxa"/>
            <w:vAlign w:val="bottom"/>
            <w:vMerge w:val="restart"/>
          </w:tcPr>
          <w:p>
            <w:pPr>
              <w:spacing w:after="0"/>
              <w:rPr>
                <w:sz w:val="20"/>
                <w:szCs w:val="20"/>
                <w:color w:val="auto"/>
              </w:rPr>
            </w:pPr>
          </w:p>
        </w:tc>
        <w:tc>
          <w:tcPr>
            <w:tcW w:w="1520" w:type="dxa"/>
            <w:vAlign w:val="bottom"/>
            <w:vMerge w:val="restart"/>
          </w:tcPr>
          <w:p>
            <w:pPr>
              <w:ind w:left="360"/>
              <w:spacing w:after="0"/>
              <w:rPr>
                <w:sz w:val="20"/>
                <w:szCs w:val="20"/>
                <w:color w:val="auto"/>
              </w:rPr>
            </w:pPr>
            <w:r>
              <w:rPr>
                <w:rFonts w:ascii="Arial" w:cs="Arial" w:eastAsia="Arial" w:hAnsi="Arial"/>
                <w:sz w:val="18"/>
                <w:szCs w:val="18"/>
                <w:b w:val="1"/>
                <w:bCs w:val="1"/>
                <w:color w:val="auto"/>
              </w:rPr>
              <w:t>% Change</w:t>
            </w:r>
          </w:p>
        </w:tc>
        <w:tc>
          <w:tcPr>
            <w:tcW w:w="0" w:type="dxa"/>
            <w:vAlign w:val="bottom"/>
          </w:tcPr>
          <w:p>
            <w:pPr>
              <w:spacing w:after="0"/>
              <w:rPr>
                <w:sz w:val="1"/>
                <w:szCs w:val="1"/>
                <w:color w:val="auto"/>
              </w:rPr>
            </w:pPr>
          </w:p>
        </w:tc>
      </w:tr>
      <w:tr>
        <w:trPr>
          <w:trHeight w:val="209"/>
        </w:trPr>
        <w:tc>
          <w:tcPr>
            <w:tcW w:w="4800" w:type="dxa"/>
            <w:vAlign w:val="bottom"/>
          </w:tcPr>
          <w:p>
            <w:pPr>
              <w:spacing w:after="0"/>
              <w:rPr>
                <w:sz w:val="18"/>
                <w:szCs w:val="18"/>
                <w:color w:val="auto"/>
              </w:rPr>
            </w:pPr>
          </w:p>
        </w:tc>
        <w:tc>
          <w:tcPr>
            <w:tcW w:w="300" w:type="dxa"/>
            <w:vAlign w:val="bottom"/>
            <w:tcBorders>
              <w:bottom w:val="single" w:sz="8" w:color="auto"/>
            </w:tcBorders>
          </w:tcPr>
          <w:p>
            <w:pPr>
              <w:spacing w:after="0"/>
              <w:rPr>
                <w:sz w:val="18"/>
                <w:szCs w:val="18"/>
                <w:color w:val="auto"/>
              </w:rPr>
            </w:pPr>
          </w:p>
        </w:tc>
        <w:tc>
          <w:tcPr>
            <w:tcW w:w="1060" w:type="dxa"/>
            <w:vAlign w:val="bottom"/>
            <w:tcBorders>
              <w:bottom w:val="single" w:sz="8" w:color="auto"/>
            </w:tcBorders>
          </w:tcPr>
          <w:p>
            <w:pPr>
              <w:jc w:val="right"/>
              <w:ind w:right="410"/>
              <w:spacing w:after="0"/>
              <w:rPr>
                <w:sz w:val="20"/>
                <w:szCs w:val="20"/>
                <w:color w:val="auto"/>
              </w:rPr>
            </w:pPr>
            <w:r>
              <w:rPr>
                <w:rFonts w:ascii="Arial" w:cs="Arial" w:eastAsia="Arial" w:hAnsi="Arial"/>
                <w:sz w:val="18"/>
                <w:szCs w:val="18"/>
                <w:b w:val="1"/>
                <w:bCs w:val="1"/>
                <w:color w:val="auto"/>
              </w:rPr>
              <w:t>2022</w:t>
            </w:r>
          </w:p>
        </w:tc>
        <w:tc>
          <w:tcPr>
            <w:tcW w:w="300" w:type="dxa"/>
            <w:vAlign w:val="bottom"/>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1160" w:type="dxa"/>
            <w:vAlign w:val="bottom"/>
            <w:tcBorders>
              <w:bottom w:val="single" w:sz="8" w:color="auto"/>
            </w:tcBorders>
          </w:tcPr>
          <w:p>
            <w:pPr>
              <w:jc w:val="right"/>
              <w:ind w:right="410"/>
              <w:spacing w:after="0"/>
              <w:rPr>
                <w:sz w:val="20"/>
                <w:szCs w:val="20"/>
                <w:color w:val="auto"/>
              </w:rPr>
            </w:pPr>
            <w:r>
              <w:rPr>
                <w:rFonts w:ascii="Arial" w:cs="Arial" w:eastAsia="Arial" w:hAnsi="Arial"/>
                <w:sz w:val="18"/>
                <w:szCs w:val="18"/>
                <w:b w:val="1"/>
                <w:bCs w:val="1"/>
                <w:color w:val="auto"/>
              </w:rPr>
              <w:t>2021</w:t>
            </w:r>
          </w:p>
        </w:tc>
        <w:tc>
          <w:tcPr>
            <w:tcW w:w="260" w:type="dxa"/>
            <w:vAlign w:val="bottom"/>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1140" w:type="dxa"/>
            <w:vAlign w:val="bottom"/>
            <w:tcBorders>
              <w:bottom w:val="single" w:sz="8" w:color="auto"/>
            </w:tcBorders>
            <w:vMerge w:val="continue"/>
          </w:tcPr>
          <w:p>
            <w:pPr>
              <w:spacing w:after="0"/>
              <w:rPr>
                <w:sz w:val="18"/>
                <w:szCs w:val="18"/>
                <w:color w:val="auto"/>
              </w:rPr>
            </w:pPr>
          </w:p>
        </w:tc>
        <w:tc>
          <w:tcPr>
            <w:tcW w:w="280" w:type="dxa"/>
            <w:vAlign w:val="bottom"/>
            <w:vMerge w:val="continue"/>
          </w:tcPr>
          <w:p>
            <w:pPr>
              <w:spacing w:after="0"/>
              <w:rPr>
                <w:sz w:val="18"/>
                <w:szCs w:val="18"/>
                <w:color w:val="auto"/>
              </w:rPr>
            </w:pPr>
          </w:p>
        </w:tc>
        <w:tc>
          <w:tcPr>
            <w:tcW w:w="1520" w:type="dxa"/>
            <w:vAlign w:val="bottom"/>
            <w:tcBorders>
              <w:bottom w:val="single" w:sz="8" w:color="auto"/>
            </w:tcBorders>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48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6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Arial" w:cs="Arial" w:eastAsia="Arial" w:hAnsi="Arial"/>
                <w:sz w:val="18"/>
                <w:szCs w:val="18"/>
                <w:b w:val="1"/>
                <w:bCs w:val="1"/>
                <w:i w:val="1"/>
                <w:iCs w:val="1"/>
                <w:color w:val="auto"/>
                <w:w w:val="91"/>
              </w:rPr>
              <w:t>(in thousands,</w:t>
            </w:r>
          </w:p>
        </w:tc>
        <w:tc>
          <w:tcPr>
            <w:tcW w:w="1620" w:type="dxa"/>
            <w:vAlign w:val="bottom"/>
            <w:gridSpan w:val="3"/>
          </w:tcPr>
          <w:p>
            <w:pPr>
              <w:jc w:val="right"/>
              <w:ind w:right="50"/>
              <w:spacing w:after="0"/>
              <w:rPr>
                <w:sz w:val="20"/>
                <w:szCs w:val="20"/>
                <w:color w:val="auto"/>
              </w:rPr>
            </w:pPr>
            <w:r>
              <w:rPr>
                <w:rFonts w:ascii="Arial" w:cs="Arial" w:eastAsia="Arial" w:hAnsi="Arial"/>
                <w:sz w:val="18"/>
                <w:szCs w:val="18"/>
                <w:b w:val="1"/>
                <w:bCs w:val="1"/>
                <w:i w:val="1"/>
                <w:iCs w:val="1"/>
                <w:color w:val="auto"/>
                <w:w w:val="83"/>
              </w:rPr>
              <w:t>except percentages)</w:t>
            </w:r>
          </w:p>
        </w:tc>
        <w:tc>
          <w:tcPr>
            <w:tcW w:w="280" w:type="dxa"/>
            <w:vAlign w:val="bottom"/>
          </w:tcPr>
          <w:p>
            <w:pPr>
              <w:spacing w:after="0"/>
              <w:rPr>
                <w:sz w:val="19"/>
                <w:szCs w:val="19"/>
                <w:color w:val="auto"/>
              </w:rPr>
            </w:pPr>
          </w:p>
        </w:tc>
        <w:tc>
          <w:tcPr>
            <w:tcW w:w="15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4800" w:type="dxa"/>
            <w:vAlign w:val="bottom"/>
            <w:shd w:val="clear" w:color="auto" w:fill="CFF0FC"/>
          </w:tcPr>
          <w:p>
            <w:pPr>
              <w:ind w:left="20"/>
              <w:spacing w:after="0"/>
              <w:rPr>
                <w:sz w:val="20"/>
                <w:szCs w:val="20"/>
                <w:color w:val="auto"/>
              </w:rPr>
            </w:pPr>
            <w:r>
              <w:rPr>
                <w:rFonts w:ascii="Arial" w:cs="Arial" w:eastAsia="Arial" w:hAnsi="Arial"/>
                <w:sz w:val="18"/>
                <w:szCs w:val="18"/>
                <w:color w:val="auto"/>
              </w:rPr>
              <w:t>Research and development</w:t>
            </w:r>
          </w:p>
        </w:tc>
        <w:tc>
          <w:tcPr>
            <w:tcW w:w="300" w:type="dxa"/>
            <w:vAlign w:val="bottom"/>
            <w:shd w:val="clear" w:color="auto" w:fill="CFF0FC"/>
          </w:tcPr>
          <w:p>
            <w:pPr>
              <w:jc w:val="right"/>
              <w:ind w:right="90"/>
              <w:spacing w:after="0"/>
              <w:rPr>
                <w:sz w:val="20"/>
                <w:szCs w:val="20"/>
                <w:color w:val="auto"/>
              </w:rPr>
            </w:pPr>
            <w:r>
              <w:rPr>
                <w:rFonts w:ascii="Arial" w:cs="Arial" w:eastAsia="Arial" w:hAnsi="Arial"/>
                <w:sz w:val="18"/>
                <w:szCs w:val="18"/>
                <w:color w:val="auto"/>
                <w:w w:val="99"/>
              </w:rPr>
              <w:t>$</w:t>
            </w:r>
          </w:p>
        </w:tc>
        <w:tc>
          <w:tcPr>
            <w:tcW w:w="10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21,590</w:t>
            </w:r>
          </w:p>
        </w:tc>
        <w:tc>
          <w:tcPr>
            <w:tcW w:w="500" w:type="dxa"/>
            <w:vAlign w:val="bottom"/>
            <w:gridSpan w:val="2"/>
            <w:shd w:val="clear" w:color="auto" w:fill="CFF0FC"/>
          </w:tcPr>
          <w:p>
            <w:pPr>
              <w:jc w:val="right"/>
              <w:ind w:right="10"/>
              <w:spacing w:after="0"/>
              <w:rPr>
                <w:sz w:val="20"/>
                <w:szCs w:val="20"/>
                <w:color w:val="auto"/>
              </w:rPr>
            </w:pPr>
            <w:r>
              <w:rPr>
                <w:rFonts w:ascii="Arial" w:cs="Arial" w:eastAsia="Arial" w:hAnsi="Arial"/>
                <w:sz w:val="18"/>
                <w:szCs w:val="18"/>
                <w:color w:val="auto"/>
              </w:rPr>
              <w:t>$</w:t>
            </w:r>
          </w:p>
        </w:tc>
        <w:tc>
          <w:tcPr>
            <w:tcW w:w="11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18,493</w:t>
            </w:r>
          </w:p>
        </w:tc>
        <w:tc>
          <w:tcPr>
            <w:tcW w:w="480" w:type="dxa"/>
            <w:vAlign w:val="bottom"/>
            <w:gridSpan w:val="2"/>
            <w:shd w:val="clear" w:color="auto" w:fill="CFF0FC"/>
          </w:tcPr>
          <w:p>
            <w:pPr>
              <w:jc w:val="right"/>
              <w:ind w:right="30"/>
              <w:spacing w:after="0"/>
              <w:rPr>
                <w:sz w:val="20"/>
                <w:szCs w:val="20"/>
                <w:color w:val="auto"/>
              </w:rPr>
            </w:pPr>
            <w:r>
              <w:rPr>
                <w:rFonts w:ascii="Arial" w:cs="Arial" w:eastAsia="Arial" w:hAnsi="Arial"/>
                <w:sz w:val="18"/>
                <w:szCs w:val="18"/>
                <w:color w:val="auto"/>
              </w:rPr>
              <w:t>$</w:t>
            </w:r>
          </w:p>
        </w:tc>
        <w:tc>
          <w:tcPr>
            <w:tcW w:w="11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3,097</w:t>
            </w:r>
          </w:p>
        </w:tc>
        <w:tc>
          <w:tcPr>
            <w:tcW w:w="280" w:type="dxa"/>
            <w:vAlign w:val="bottom"/>
            <w:shd w:val="clear" w:color="auto" w:fill="CFF0FC"/>
          </w:tcPr>
          <w:p>
            <w:pPr>
              <w:spacing w:after="0"/>
              <w:rPr>
                <w:sz w:val="19"/>
                <w:szCs w:val="19"/>
                <w:color w:val="auto"/>
              </w:rPr>
            </w:pPr>
          </w:p>
        </w:tc>
        <w:tc>
          <w:tcPr>
            <w:tcW w:w="1520" w:type="dxa"/>
            <w:vAlign w:val="bottom"/>
            <w:shd w:val="clear" w:color="auto" w:fill="CFF0FC"/>
          </w:tcPr>
          <w:p>
            <w:pPr>
              <w:jc w:val="center"/>
              <w:spacing w:after="0"/>
              <w:rPr>
                <w:sz w:val="20"/>
                <w:szCs w:val="20"/>
                <w:color w:val="auto"/>
              </w:rPr>
            </w:pPr>
            <w:r>
              <w:rPr>
                <w:rFonts w:ascii="Arial" w:cs="Arial" w:eastAsia="Arial" w:hAnsi="Arial"/>
                <w:sz w:val="18"/>
                <w:szCs w:val="18"/>
                <w:color w:val="auto"/>
                <w:w w:val="88"/>
              </w:rPr>
              <w:t>17%</w:t>
            </w:r>
          </w:p>
        </w:tc>
        <w:tc>
          <w:tcPr>
            <w:tcW w:w="0" w:type="dxa"/>
            <w:vAlign w:val="bottom"/>
          </w:tcPr>
          <w:p>
            <w:pPr>
              <w:spacing w:after="0"/>
              <w:rPr>
                <w:sz w:val="1"/>
                <w:szCs w:val="1"/>
                <w:color w:val="auto"/>
              </w:rPr>
            </w:pPr>
          </w:p>
        </w:tc>
      </w:tr>
      <w:tr>
        <w:trPr>
          <w:trHeight w:val="229"/>
        </w:trPr>
        <w:tc>
          <w:tcPr>
            <w:tcW w:w="4800" w:type="dxa"/>
            <w:vAlign w:val="bottom"/>
          </w:tcPr>
          <w:p>
            <w:pPr>
              <w:ind w:left="20"/>
              <w:spacing w:after="0"/>
              <w:rPr>
                <w:sz w:val="20"/>
                <w:szCs w:val="20"/>
                <w:color w:val="auto"/>
              </w:rPr>
            </w:pPr>
            <w:r>
              <w:rPr>
                <w:rFonts w:ascii="Arial" w:cs="Arial" w:eastAsia="Arial" w:hAnsi="Arial"/>
                <w:sz w:val="18"/>
                <w:szCs w:val="18"/>
                <w:color w:val="auto"/>
              </w:rPr>
              <w:t>Sales and marketing</w:t>
            </w:r>
          </w:p>
        </w:tc>
        <w:tc>
          <w:tcPr>
            <w:tcW w:w="30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32,528</w:t>
            </w:r>
          </w:p>
        </w:tc>
        <w:tc>
          <w:tcPr>
            <w:tcW w:w="3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22,199</w:t>
            </w:r>
          </w:p>
        </w:tc>
        <w:tc>
          <w:tcPr>
            <w:tcW w:w="26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10,329</w:t>
            </w:r>
          </w:p>
        </w:tc>
        <w:tc>
          <w:tcPr>
            <w:tcW w:w="280" w:type="dxa"/>
            <w:vAlign w:val="bottom"/>
          </w:tcPr>
          <w:p>
            <w:pPr>
              <w:spacing w:after="0"/>
              <w:rPr>
                <w:sz w:val="19"/>
                <w:szCs w:val="19"/>
                <w:color w:val="auto"/>
              </w:rPr>
            </w:pPr>
          </w:p>
        </w:tc>
        <w:tc>
          <w:tcPr>
            <w:tcW w:w="1520" w:type="dxa"/>
            <w:vAlign w:val="bottom"/>
          </w:tcPr>
          <w:p>
            <w:pPr>
              <w:jc w:val="center"/>
              <w:spacing w:after="0"/>
              <w:rPr>
                <w:sz w:val="20"/>
                <w:szCs w:val="20"/>
                <w:color w:val="auto"/>
              </w:rPr>
            </w:pPr>
            <w:r>
              <w:rPr>
                <w:rFonts w:ascii="Arial" w:cs="Arial" w:eastAsia="Arial" w:hAnsi="Arial"/>
                <w:sz w:val="18"/>
                <w:szCs w:val="18"/>
                <w:color w:val="auto"/>
                <w:w w:val="88"/>
              </w:rPr>
              <w:t>47%</w:t>
            </w:r>
          </w:p>
        </w:tc>
        <w:tc>
          <w:tcPr>
            <w:tcW w:w="0" w:type="dxa"/>
            <w:vAlign w:val="bottom"/>
          </w:tcPr>
          <w:p>
            <w:pPr>
              <w:spacing w:after="0"/>
              <w:rPr>
                <w:sz w:val="1"/>
                <w:szCs w:val="1"/>
                <w:color w:val="auto"/>
              </w:rPr>
            </w:pPr>
          </w:p>
        </w:tc>
      </w:tr>
      <w:tr>
        <w:trPr>
          <w:trHeight w:val="216"/>
        </w:trPr>
        <w:tc>
          <w:tcPr>
            <w:tcW w:w="4800" w:type="dxa"/>
            <w:vAlign w:val="bottom"/>
            <w:shd w:val="clear" w:color="auto" w:fill="CFF0FC"/>
          </w:tcPr>
          <w:p>
            <w:pPr>
              <w:ind w:left="20"/>
              <w:spacing w:after="0"/>
              <w:rPr>
                <w:sz w:val="20"/>
                <w:szCs w:val="20"/>
                <w:color w:val="auto"/>
              </w:rPr>
            </w:pPr>
            <w:r>
              <w:rPr>
                <w:rFonts w:ascii="Arial" w:cs="Arial" w:eastAsia="Arial" w:hAnsi="Arial"/>
                <w:sz w:val="18"/>
                <w:szCs w:val="18"/>
                <w:color w:val="auto"/>
              </w:rPr>
              <w:t>General and administrative</w:t>
            </w:r>
          </w:p>
        </w:tc>
        <w:tc>
          <w:tcPr>
            <w:tcW w:w="300" w:type="dxa"/>
            <w:vAlign w:val="bottom"/>
            <w:shd w:val="clear" w:color="auto" w:fill="CFF0FC"/>
          </w:tcPr>
          <w:p>
            <w:pPr>
              <w:spacing w:after="0"/>
              <w:rPr>
                <w:sz w:val="18"/>
                <w:szCs w:val="18"/>
                <w:color w:val="auto"/>
              </w:rPr>
            </w:pPr>
          </w:p>
        </w:tc>
        <w:tc>
          <w:tcPr>
            <w:tcW w:w="10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13,610</w:t>
            </w:r>
          </w:p>
        </w:tc>
        <w:tc>
          <w:tcPr>
            <w:tcW w:w="30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11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27,567</w:t>
            </w:r>
          </w:p>
        </w:tc>
        <w:tc>
          <w:tcPr>
            <w:tcW w:w="26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1420" w:type="dxa"/>
            <w:vAlign w:val="bottom"/>
            <w:gridSpan w:val="2"/>
            <w:shd w:val="clear" w:color="auto" w:fill="CFF0FC"/>
          </w:tcPr>
          <w:p>
            <w:pPr>
              <w:jc w:val="right"/>
              <w:ind w:right="200"/>
              <w:spacing w:after="0"/>
              <w:rPr>
                <w:sz w:val="20"/>
                <w:szCs w:val="20"/>
                <w:color w:val="auto"/>
              </w:rPr>
            </w:pPr>
            <w:r>
              <w:rPr>
                <w:rFonts w:ascii="Arial" w:cs="Arial" w:eastAsia="Arial" w:hAnsi="Arial"/>
                <w:sz w:val="18"/>
                <w:szCs w:val="18"/>
                <w:color w:val="auto"/>
              </w:rPr>
              <w:t>(13,957 )</w:t>
            </w:r>
          </w:p>
        </w:tc>
        <w:tc>
          <w:tcPr>
            <w:tcW w:w="1520" w:type="dxa"/>
            <w:vAlign w:val="bottom"/>
            <w:shd w:val="clear" w:color="auto" w:fill="CFF0FC"/>
          </w:tcPr>
          <w:p>
            <w:pPr>
              <w:jc w:val="center"/>
              <w:spacing w:after="0"/>
              <w:rPr>
                <w:sz w:val="20"/>
                <w:szCs w:val="20"/>
                <w:color w:val="auto"/>
              </w:rPr>
            </w:pPr>
            <w:r>
              <w:rPr>
                <w:rFonts w:ascii="Arial" w:cs="Arial" w:eastAsia="Arial" w:hAnsi="Arial"/>
                <w:sz w:val="18"/>
                <w:szCs w:val="18"/>
                <w:color w:val="auto"/>
                <w:w w:val="91"/>
              </w:rPr>
              <w:t>(51)%</w:t>
            </w:r>
          </w:p>
        </w:tc>
        <w:tc>
          <w:tcPr>
            <w:tcW w:w="0" w:type="dxa"/>
            <w:vAlign w:val="bottom"/>
          </w:tcPr>
          <w:p>
            <w:pPr>
              <w:spacing w:after="0"/>
              <w:rPr>
                <w:sz w:val="1"/>
                <w:szCs w:val="1"/>
                <w:color w:val="auto"/>
              </w:rPr>
            </w:pPr>
          </w:p>
        </w:tc>
      </w:tr>
      <w:tr>
        <w:trPr>
          <w:trHeight w:val="20"/>
        </w:trPr>
        <w:tc>
          <w:tcPr>
            <w:tcW w:w="4800" w:type="dxa"/>
            <w:vAlign w:val="bottom"/>
            <w:shd w:val="clear" w:color="auto" w:fill="CFF0FC"/>
          </w:tcPr>
          <w:p>
            <w:pPr>
              <w:spacing w:after="0" w:line="20" w:lineRule="exact"/>
              <w:rPr>
                <w:sz w:val="1"/>
                <w:szCs w:val="1"/>
                <w:color w:val="auto"/>
              </w:rPr>
            </w:pPr>
          </w:p>
        </w:tc>
        <w:tc>
          <w:tcPr>
            <w:tcW w:w="300" w:type="dxa"/>
            <w:vAlign w:val="bottom"/>
            <w:shd w:val="clear" w:color="auto" w:fill="000000"/>
          </w:tcPr>
          <w:p>
            <w:pPr>
              <w:spacing w:after="0" w:line="20" w:lineRule="exact"/>
              <w:rPr>
                <w:sz w:val="1"/>
                <w:szCs w:val="1"/>
                <w:color w:val="auto"/>
              </w:rPr>
            </w:pPr>
          </w:p>
        </w:tc>
        <w:tc>
          <w:tcPr>
            <w:tcW w:w="1060" w:type="dxa"/>
            <w:vAlign w:val="bottom"/>
            <w:shd w:val="clear" w:color="auto" w:fill="000000"/>
          </w:tcPr>
          <w:p>
            <w:pPr>
              <w:spacing w:after="0" w:line="20" w:lineRule="exact"/>
              <w:rPr>
                <w:sz w:val="1"/>
                <w:szCs w:val="1"/>
                <w:color w:val="auto"/>
              </w:rPr>
            </w:pPr>
          </w:p>
        </w:tc>
        <w:tc>
          <w:tcPr>
            <w:tcW w:w="300" w:type="dxa"/>
            <w:vAlign w:val="bottom"/>
            <w:shd w:val="clear" w:color="auto" w:fill="CFF0FC"/>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1160" w:type="dxa"/>
            <w:vAlign w:val="bottom"/>
            <w:shd w:val="clear" w:color="auto" w:fill="000000"/>
          </w:tcPr>
          <w:p>
            <w:pPr>
              <w:spacing w:after="0" w:line="20" w:lineRule="exact"/>
              <w:rPr>
                <w:sz w:val="1"/>
                <w:szCs w:val="1"/>
                <w:color w:val="auto"/>
              </w:rPr>
            </w:pPr>
          </w:p>
        </w:tc>
        <w:tc>
          <w:tcPr>
            <w:tcW w:w="260" w:type="dxa"/>
            <w:vAlign w:val="bottom"/>
            <w:shd w:val="clear" w:color="auto" w:fill="CFF0FC"/>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1140" w:type="dxa"/>
            <w:vAlign w:val="bottom"/>
            <w:shd w:val="clear" w:color="auto" w:fill="000000"/>
          </w:tcPr>
          <w:p>
            <w:pPr>
              <w:spacing w:after="0" w:line="20" w:lineRule="exact"/>
              <w:rPr>
                <w:sz w:val="1"/>
                <w:szCs w:val="1"/>
                <w:color w:val="auto"/>
              </w:rPr>
            </w:pPr>
          </w:p>
        </w:tc>
        <w:tc>
          <w:tcPr>
            <w:tcW w:w="280" w:type="dxa"/>
            <w:vAlign w:val="bottom"/>
            <w:shd w:val="clear" w:color="auto" w:fill="CFF0FC"/>
          </w:tcPr>
          <w:p>
            <w:pPr>
              <w:spacing w:after="0" w:line="20" w:lineRule="exact"/>
              <w:rPr>
                <w:sz w:val="1"/>
                <w:szCs w:val="1"/>
                <w:color w:val="auto"/>
              </w:rPr>
            </w:pPr>
          </w:p>
        </w:tc>
        <w:tc>
          <w:tcPr>
            <w:tcW w:w="1520" w:type="dxa"/>
            <w:vAlign w:val="bottom"/>
            <w:shd w:val="clear" w:color="auto" w:fill="CFF0FC"/>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9"/>
        </w:trPr>
        <w:tc>
          <w:tcPr>
            <w:tcW w:w="4800" w:type="dxa"/>
            <w:vAlign w:val="bottom"/>
          </w:tcPr>
          <w:p>
            <w:pPr>
              <w:ind w:left="20"/>
              <w:spacing w:after="0"/>
              <w:rPr>
                <w:sz w:val="20"/>
                <w:szCs w:val="20"/>
                <w:color w:val="auto"/>
              </w:rPr>
            </w:pPr>
            <w:r>
              <w:rPr>
                <w:rFonts w:ascii="Arial" w:cs="Arial" w:eastAsia="Arial" w:hAnsi="Arial"/>
                <w:sz w:val="18"/>
                <w:szCs w:val="18"/>
                <w:color w:val="auto"/>
              </w:rPr>
              <w:t>Total operating expenses</w:t>
            </w:r>
          </w:p>
        </w:tc>
        <w:tc>
          <w:tcPr>
            <w:tcW w:w="300" w:type="dxa"/>
            <w:vAlign w:val="bottom"/>
          </w:tcPr>
          <w:p>
            <w:pPr>
              <w:jc w:val="right"/>
              <w:ind w:right="90"/>
              <w:spacing w:after="0"/>
              <w:rPr>
                <w:sz w:val="20"/>
                <w:szCs w:val="20"/>
                <w:color w:val="auto"/>
              </w:rPr>
            </w:pPr>
            <w:r>
              <w:rPr>
                <w:rFonts w:ascii="Arial" w:cs="Arial" w:eastAsia="Arial" w:hAnsi="Arial"/>
                <w:sz w:val="18"/>
                <w:szCs w:val="18"/>
                <w:color w:val="auto"/>
                <w:w w:val="99"/>
              </w:rPr>
              <w:t>$</w:t>
            </w:r>
          </w:p>
        </w:tc>
        <w:tc>
          <w:tcPr>
            <w:tcW w:w="1060" w:type="dxa"/>
            <w:vAlign w:val="bottom"/>
          </w:tcPr>
          <w:p>
            <w:pPr>
              <w:jc w:val="right"/>
              <w:spacing w:after="0"/>
              <w:rPr>
                <w:sz w:val="20"/>
                <w:szCs w:val="20"/>
                <w:color w:val="auto"/>
              </w:rPr>
            </w:pPr>
            <w:r>
              <w:rPr>
                <w:rFonts w:ascii="Arial" w:cs="Arial" w:eastAsia="Arial" w:hAnsi="Arial"/>
                <w:sz w:val="18"/>
                <w:szCs w:val="18"/>
                <w:color w:val="auto"/>
              </w:rPr>
              <w:t>67,728</w:t>
            </w:r>
          </w:p>
        </w:tc>
        <w:tc>
          <w:tcPr>
            <w:tcW w:w="300" w:type="dxa"/>
            <w:vAlign w:val="bottom"/>
          </w:tcPr>
          <w:p>
            <w:pPr>
              <w:spacing w:after="0"/>
              <w:rPr>
                <w:sz w:val="18"/>
                <w:szCs w:val="18"/>
                <w:color w:val="auto"/>
              </w:rPr>
            </w:pPr>
          </w:p>
        </w:tc>
        <w:tc>
          <w:tcPr>
            <w:tcW w:w="200" w:type="dxa"/>
            <w:vAlign w:val="bottom"/>
          </w:tcPr>
          <w:p>
            <w:pPr>
              <w:jc w:val="right"/>
              <w:ind w:right="10"/>
              <w:spacing w:after="0"/>
              <w:rPr>
                <w:sz w:val="20"/>
                <w:szCs w:val="20"/>
                <w:color w:val="auto"/>
              </w:rPr>
            </w:pPr>
            <w:r>
              <w:rPr>
                <w:rFonts w:ascii="Arial" w:cs="Arial" w:eastAsia="Arial" w:hAnsi="Arial"/>
                <w:sz w:val="18"/>
                <w:szCs w:val="18"/>
                <w:color w:val="auto"/>
                <w:w w:val="79"/>
              </w:rPr>
              <w:t>$</w:t>
            </w:r>
          </w:p>
        </w:tc>
        <w:tc>
          <w:tcPr>
            <w:tcW w:w="1160" w:type="dxa"/>
            <w:vAlign w:val="bottom"/>
          </w:tcPr>
          <w:p>
            <w:pPr>
              <w:jc w:val="right"/>
              <w:spacing w:after="0"/>
              <w:rPr>
                <w:sz w:val="20"/>
                <w:szCs w:val="20"/>
                <w:color w:val="auto"/>
              </w:rPr>
            </w:pPr>
            <w:r>
              <w:rPr>
                <w:rFonts w:ascii="Arial" w:cs="Arial" w:eastAsia="Arial" w:hAnsi="Arial"/>
                <w:sz w:val="18"/>
                <w:szCs w:val="18"/>
                <w:color w:val="auto"/>
              </w:rPr>
              <w:t>68,259</w:t>
            </w:r>
          </w:p>
        </w:tc>
        <w:tc>
          <w:tcPr>
            <w:tcW w:w="260" w:type="dxa"/>
            <w:vAlign w:val="bottom"/>
          </w:tcPr>
          <w:p>
            <w:pPr>
              <w:spacing w:after="0"/>
              <w:rPr>
                <w:sz w:val="18"/>
                <w:szCs w:val="18"/>
                <w:color w:val="auto"/>
              </w:rPr>
            </w:pPr>
          </w:p>
        </w:tc>
        <w:tc>
          <w:tcPr>
            <w:tcW w:w="220" w:type="dxa"/>
            <w:vAlign w:val="bottom"/>
          </w:tcPr>
          <w:p>
            <w:pPr>
              <w:jc w:val="right"/>
              <w:ind w:right="30"/>
              <w:spacing w:after="0"/>
              <w:rPr>
                <w:sz w:val="20"/>
                <w:szCs w:val="20"/>
                <w:color w:val="auto"/>
              </w:rPr>
            </w:pPr>
            <w:r>
              <w:rPr>
                <w:rFonts w:ascii="Arial" w:cs="Arial" w:eastAsia="Arial" w:hAnsi="Arial"/>
                <w:sz w:val="18"/>
                <w:szCs w:val="18"/>
                <w:color w:val="auto"/>
                <w:w w:val="79"/>
              </w:rPr>
              <w:t>$</w:t>
            </w:r>
          </w:p>
        </w:tc>
        <w:tc>
          <w:tcPr>
            <w:tcW w:w="1420" w:type="dxa"/>
            <w:vAlign w:val="bottom"/>
            <w:gridSpan w:val="2"/>
          </w:tcPr>
          <w:p>
            <w:pPr>
              <w:jc w:val="right"/>
              <w:ind w:right="200"/>
              <w:spacing w:after="0"/>
              <w:rPr>
                <w:sz w:val="20"/>
                <w:szCs w:val="20"/>
                <w:color w:val="auto"/>
              </w:rPr>
            </w:pPr>
            <w:r>
              <w:rPr>
                <w:rFonts w:ascii="Arial" w:cs="Arial" w:eastAsia="Arial" w:hAnsi="Arial"/>
                <w:sz w:val="18"/>
                <w:szCs w:val="18"/>
                <w:color w:val="auto"/>
              </w:rPr>
              <w:t>(531 )</w:t>
            </w:r>
          </w:p>
        </w:tc>
        <w:tc>
          <w:tcPr>
            <w:tcW w:w="1520" w:type="dxa"/>
            <w:vAlign w:val="bottom"/>
          </w:tcPr>
          <w:p>
            <w:pPr>
              <w:jc w:val="center"/>
              <w:spacing w:after="0"/>
              <w:rPr>
                <w:sz w:val="20"/>
                <w:szCs w:val="20"/>
                <w:color w:val="auto"/>
              </w:rPr>
            </w:pPr>
            <w:r>
              <w:rPr>
                <w:rFonts w:ascii="Arial" w:cs="Arial" w:eastAsia="Arial" w:hAnsi="Arial"/>
                <w:sz w:val="18"/>
                <w:szCs w:val="18"/>
                <w:color w:val="auto"/>
                <w:w w:val="94"/>
              </w:rPr>
              <w:t>(1)%</w:t>
            </w:r>
          </w:p>
        </w:tc>
        <w:tc>
          <w:tcPr>
            <w:tcW w:w="0" w:type="dxa"/>
            <w:vAlign w:val="bottom"/>
          </w:tcPr>
          <w:p>
            <w:pPr>
              <w:spacing w:after="0"/>
              <w:rPr>
                <w:sz w:val="1"/>
                <w:szCs w:val="1"/>
                <w:color w:val="auto"/>
              </w:rPr>
            </w:pPr>
          </w:p>
        </w:tc>
      </w:tr>
      <w:tr>
        <w:trPr>
          <w:trHeight w:val="20"/>
        </w:trPr>
        <w:tc>
          <w:tcPr>
            <w:tcW w:w="4800" w:type="dxa"/>
            <w:vAlign w:val="bottom"/>
          </w:tcPr>
          <w:p>
            <w:pPr>
              <w:spacing w:after="0" w:line="20" w:lineRule="exact"/>
              <w:rPr>
                <w:sz w:val="1"/>
                <w:szCs w:val="1"/>
                <w:color w:val="auto"/>
              </w:rPr>
            </w:pPr>
          </w:p>
        </w:tc>
        <w:tc>
          <w:tcPr>
            <w:tcW w:w="300" w:type="dxa"/>
            <w:vAlign w:val="bottom"/>
            <w:shd w:val="clear" w:color="auto" w:fill="000000"/>
          </w:tcPr>
          <w:p>
            <w:pPr>
              <w:spacing w:after="0" w:line="20" w:lineRule="exact"/>
              <w:rPr>
                <w:sz w:val="1"/>
                <w:szCs w:val="1"/>
                <w:color w:val="auto"/>
              </w:rPr>
            </w:pPr>
          </w:p>
        </w:tc>
        <w:tc>
          <w:tcPr>
            <w:tcW w:w="1060" w:type="dxa"/>
            <w:vAlign w:val="bottom"/>
            <w:shd w:val="clear" w:color="auto" w:fill="000000"/>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1160" w:type="dxa"/>
            <w:vAlign w:val="bottom"/>
            <w:shd w:val="clear" w:color="auto" w:fill="000000"/>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1140" w:type="dxa"/>
            <w:vAlign w:val="bottom"/>
            <w:shd w:val="clear" w:color="auto" w:fill="000000"/>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5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3909695</wp:posOffset>
            </wp:positionH>
            <wp:positionV relativeFrom="paragraph">
              <wp:posOffset>-153670</wp:posOffset>
            </wp:positionV>
            <wp:extent cx="76835" cy="154305"/>
            <wp:wrapNone/>
            <wp:docPr id="256" name="Picture 2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6"/>
                    <pic:cNvPicPr>
                      <a:picLocks noChangeAspect="1" noChangeArrowheads="1"/>
                    </pic:cNvPicPr>
                  </pic:nvPicPr>
                  <pic:blipFill>
                    <a:blip r:embed="rId263">
                      <a:extLst>
                        <a:ext uri="{28A0092B-C50C-407E-A947-70E740481C1C}"/>
                      </a:extLst>
                    </a:blip>
                    <a:srcRect/>
                    <a:stretch>
                      <a:fillRect/>
                    </a:stretch>
                  </pic:blipFill>
                  <pic:spPr bwMode="auto">
                    <a:xfrm>
                      <a:off x="0" y="0"/>
                      <a:ext cx="76835" cy="154305"/>
                    </a:xfrm>
                    <a:prstGeom prst="rect">
                      <a:avLst/>
                    </a:prstGeom>
                    <a:noFill/>
                  </pic:spPr>
                </pic:pic>
              </a:graphicData>
            </a:graphic>
          </wp:anchor>
        </w:drawing>
        <w:drawing>
          <wp:anchor simplePos="0" relativeHeight="251657728" behindDoc="1" locked="0" layoutInCell="0" allowOverlap="1">
            <wp:simplePos x="0" y="0"/>
            <wp:positionH relativeFrom="column">
              <wp:posOffset>4962525</wp:posOffset>
            </wp:positionH>
            <wp:positionV relativeFrom="paragraph">
              <wp:posOffset>-153670</wp:posOffset>
            </wp:positionV>
            <wp:extent cx="68580" cy="154305"/>
            <wp:wrapNone/>
            <wp:docPr id="257" name="Picture 2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7"/>
                    <pic:cNvPicPr>
                      <a:picLocks noChangeAspect="1" noChangeArrowheads="1"/>
                    </pic:cNvPicPr>
                  </pic:nvPicPr>
                  <pic:blipFill>
                    <a:blip r:embed="rId264">
                      <a:extLst>
                        <a:ext uri="{28A0092B-C50C-407E-A947-70E740481C1C}"/>
                      </a:extLst>
                    </a:blip>
                    <a:srcRect/>
                    <a:stretch>
                      <a:fillRect/>
                    </a:stretch>
                  </pic:blipFill>
                  <pic:spPr bwMode="auto">
                    <a:xfrm>
                      <a:off x="0" y="0"/>
                      <a:ext cx="68580" cy="154305"/>
                    </a:xfrm>
                    <a:prstGeom prst="rect">
                      <a:avLst/>
                    </a:prstGeom>
                    <a:noFill/>
                  </pic:spPr>
                </pic:pic>
              </a:graphicData>
            </a:graphic>
          </wp:anchor>
        </w:drawing>
        <w:drawing>
          <wp:anchor simplePos="0" relativeHeight="251657728" behindDoc="1" locked="0" layoutInCell="0" allowOverlap="1">
            <wp:simplePos x="0" y="0"/>
            <wp:positionH relativeFrom="column">
              <wp:posOffset>5998845</wp:posOffset>
            </wp:positionH>
            <wp:positionV relativeFrom="paragraph">
              <wp:posOffset>-153670</wp:posOffset>
            </wp:positionV>
            <wp:extent cx="68580" cy="154305"/>
            <wp:wrapNone/>
            <wp:docPr id="258" name="Picture 2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8"/>
                    <pic:cNvPicPr>
                      <a:picLocks noChangeAspect="1" noChangeArrowheads="1"/>
                    </pic:cNvPicPr>
                  </pic:nvPicPr>
                  <pic:blipFill>
                    <a:blip r:embed="rId265">
                      <a:extLst>
                        <a:ext uri="{28A0092B-C50C-407E-A947-70E740481C1C}"/>
                      </a:extLst>
                    </a:blip>
                    <a:srcRect/>
                    <a:stretch>
                      <a:fillRect/>
                    </a:stretch>
                  </pic:blipFill>
                  <pic:spPr bwMode="auto">
                    <a:xfrm>
                      <a:off x="0" y="0"/>
                      <a:ext cx="68580" cy="154305"/>
                    </a:xfrm>
                    <a:prstGeom prst="rect">
                      <a:avLst/>
                    </a:prstGeom>
                    <a:noFill/>
                  </pic:spPr>
                </pic:pic>
              </a:graphicData>
            </a:graphic>
          </wp:anchor>
        </w:drawing>
      </w:r>
    </w:p>
    <w:p>
      <w:pPr>
        <w:spacing w:after="0" w:line="289"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Research and Development</w:t>
      </w:r>
    </w:p>
    <w:p>
      <w:pPr>
        <w:spacing w:after="0" w:line="103" w:lineRule="exact"/>
        <w:rPr>
          <w:sz w:val="20"/>
          <w:szCs w:val="20"/>
          <w:color w:val="auto"/>
        </w:rPr>
      </w:pPr>
    </w:p>
    <w:p>
      <w:pPr>
        <w:ind w:right="40" w:firstLine="509"/>
        <w:spacing w:after="0" w:line="246" w:lineRule="auto"/>
        <w:rPr>
          <w:sz w:val="20"/>
          <w:szCs w:val="20"/>
          <w:color w:val="auto"/>
        </w:rPr>
      </w:pPr>
      <w:r>
        <w:rPr>
          <w:rFonts w:ascii="Arial" w:cs="Arial" w:eastAsia="Arial" w:hAnsi="Arial"/>
          <w:sz w:val="18"/>
          <w:szCs w:val="18"/>
          <w:color w:val="auto"/>
        </w:rPr>
        <w:t>Research and development expenses increased $3.1 million, or 17%, during the three months ended September 30, 2022 compared to the three months ended September 30, 2021. The increase was primarily due to $5.0 million in personnel and related expenses directly associated with an increase in headcount, including an increase in allocated overhead costs. The increase was partially offset by a $2.2 million decrease in stock-based compensation expenses and related payroll taxes as a result of additional expense in the comparative three months ended September 30, 2021 due to the satisfaction of the performance-based vesting condition of certain equity awards in connection with the Direct Listing that did not recur in the quarter ended September 30, 2022.</w:t>
      </w:r>
    </w:p>
    <w:p>
      <w:pPr>
        <w:spacing w:after="0" w:line="291"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Sales and Marketing</w:t>
      </w:r>
    </w:p>
    <w:p>
      <w:pPr>
        <w:spacing w:after="0" w:line="117" w:lineRule="exact"/>
        <w:rPr>
          <w:sz w:val="20"/>
          <w:szCs w:val="20"/>
          <w:color w:val="auto"/>
        </w:rPr>
      </w:pPr>
    </w:p>
    <w:p>
      <w:pPr>
        <w:ind w:right="120" w:firstLine="509"/>
        <w:spacing w:after="0" w:line="276" w:lineRule="auto"/>
        <w:rPr>
          <w:sz w:val="20"/>
          <w:szCs w:val="20"/>
          <w:color w:val="auto"/>
        </w:rPr>
      </w:pPr>
      <w:r>
        <w:rPr>
          <w:rFonts w:ascii="Arial" w:cs="Arial" w:eastAsia="Arial" w:hAnsi="Arial"/>
          <w:sz w:val="16"/>
          <w:szCs w:val="16"/>
          <w:color w:val="auto"/>
        </w:rPr>
        <w:t>Sales and marketing expenses increased $10.3 million, or 47%, during the three months ended September 30, 2022 compared to the three months ended September 30, 2021. The increase was primarily due to an increase of $3.6 million in personnel and related expenses directly associated with an increase in headcount, including an increase in allocated overhead costs. The increase in headcount also contributed to an increase of $1.0 million in commissions related to an expansion of our customer base, contract value of deals, and sales team. Additionally, an increase of $3.6 million in stock-based compensation expenses and related payroll taxes as a result of increased headcount, increased value of stock-based awards, and additional expense due to the satisfaction of the performance-based vesting condition of certain equity awards in connection with the Direct Listing also contributed to the increase. This increase was also attributable to an increase of $0.7 million related to expenses to support our marketing, lead generation, and advertising programs.</w:t>
      </w:r>
    </w:p>
    <w:p>
      <w:pPr>
        <w:spacing w:after="0" w:line="285"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General and Administrative</w:t>
      </w:r>
    </w:p>
    <w:p>
      <w:pPr>
        <w:spacing w:after="0" w:line="103" w:lineRule="exact"/>
        <w:rPr>
          <w:sz w:val="20"/>
          <w:szCs w:val="20"/>
          <w:color w:val="auto"/>
        </w:rPr>
      </w:pPr>
    </w:p>
    <w:p>
      <w:pPr>
        <w:ind w:right="100" w:firstLine="509"/>
        <w:spacing w:after="0" w:line="268" w:lineRule="auto"/>
        <w:rPr>
          <w:sz w:val="20"/>
          <w:szCs w:val="20"/>
          <w:color w:val="auto"/>
        </w:rPr>
      </w:pPr>
      <w:r>
        <w:rPr>
          <w:rFonts w:ascii="Arial" w:cs="Arial" w:eastAsia="Arial" w:hAnsi="Arial"/>
          <w:sz w:val="17"/>
          <w:szCs w:val="17"/>
          <w:color w:val="auto"/>
        </w:rPr>
        <w:t>General and administrative expenses decreased $14.0 million, or 51%, during the three months ended September 30, 2022 compared to the three months ended September 30, 2021. The decrease was primarily attributable to a $15.6 million decrease in professional services attributable to increased fees incurred in the comparative period related to the Direct Listing. The decrease was partially offset by an increase in corporate expenses of $1.1 million, primarily related to increased insurance costs, and an increase in subscription software costs of $0.4 million.</w:t>
      </w:r>
    </w:p>
    <w:p>
      <w:pPr>
        <w:spacing w:after="0" w:line="273"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4800" w:type="dxa"/>
            <w:vAlign w:val="bottom"/>
            <w:gridSpan w:val="2"/>
          </w:tcPr>
          <w:p>
            <w:pPr>
              <w:jc w:val="right"/>
              <w:ind w:right="3480"/>
              <w:spacing w:after="0"/>
              <w:rPr>
                <w:sz w:val="20"/>
                <w:szCs w:val="20"/>
                <w:color w:val="auto"/>
              </w:rPr>
            </w:pPr>
            <w:r>
              <w:rPr>
                <w:rFonts w:ascii="Arial" w:cs="Arial" w:eastAsia="Arial" w:hAnsi="Arial"/>
                <w:sz w:val="18"/>
                <w:szCs w:val="18"/>
                <w:i w:val="1"/>
                <w:iCs w:val="1"/>
                <w:color w:val="auto"/>
                <w:w w:val="90"/>
              </w:rPr>
              <w:t>Other Income, net</w:t>
            </w:r>
          </w:p>
        </w:tc>
        <w:tc>
          <w:tcPr>
            <w:tcW w:w="88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98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18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5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13"/>
        </w:trPr>
        <w:tc>
          <w:tcPr>
            <w:tcW w:w="1360" w:type="dxa"/>
            <w:vAlign w:val="bottom"/>
          </w:tcPr>
          <w:p>
            <w:pPr>
              <w:spacing w:after="0"/>
              <w:rPr>
                <w:sz w:val="24"/>
                <w:szCs w:val="24"/>
                <w:color w:val="auto"/>
              </w:rPr>
            </w:pPr>
          </w:p>
        </w:tc>
        <w:tc>
          <w:tcPr>
            <w:tcW w:w="3440" w:type="dxa"/>
            <w:vAlign w:val="bottom"/>
          </w:tcPr>
          <w:p>
            <w:pPr>
              <w:spacing w:after="0"/>
              <w:rPr>
                <w:sz w:val="24"/>
                <w:szCs w:val="24"/>
                <w:color w:val="auto"/>
              </w:rPr>
            </w:pPr>
          </w:p>
        </w:tc>
        <w:tc>
          <w:tcPr>
            <w:tcW w:w="2600" w:type="dxa"/>
            <w:vAlign w:val="bottom"/>
            <w:gridSpan w:val="4"/>
          </w:tcPr>
          <w:p>
            <w:pPr>
              <w:jc w:val="center"/>
              <w:ind w:left="290"/>
              <w:spacing w:after="0"/>
              <w:rPr>
                <w:sz w:val="20"/>
                <w:szCs w:val="20"/>
                <w:color w:val="auto"/>
              </w:rPr>
            </w:pPr>
            <w:r>
              <w:rPr>
                <w:rFonts w:ascii="Arial" w:cs="Arial" w:eastAsia="Arial" w:hAnsi="Arial"/>
                <w:sz w:val="18"/>
                <w:szCs w:val="18"/>
                <w:b w:val="1"/>
                <w:bCs w:val="1"/>
                <w:color w:val="auto"/>
                <w:w w:val="90"/>
              </w:rPr>
              <w:t>Three Months Ended</w:t>
            </w:r>
          </w:p>
        </w:tc>
        <w:tc>
          <w:tcPr>
            <w:tcW w:w="38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18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5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34"/>
        </w:trPr>
        <w:tc>
          <w:tcPr>
            <w:tcW w:w="1360" w:type="dxa"/>
            <w:vAlign w:val="bottom"/>
          </w:tcPr>
          <w:p>
            <w:pPr>
              <w:spacing w:after="0"/>
              <w:rPr>
                <w:sz w:val="20"/>
                <w:szCs w:val="20"/>
                <w:color w:val="auto"/>
              </w:rPr>
            </w:pPr>
          </w:p>
        </w:tc>
        <w:tc>
          <w:tcPr>
            <w:tcW w:w="3440" w:type="dxa"/>
            <w:vAlign w:val="bottom"/>
          </w:tcPr>
          <w:p>
            <w:pPr>
              <w:spacing w:after="0"/>
              <w:rPr>
                <w:sz w:val="20"/>
                <w:szCs w:val="20"/>
                <w:color w:val="auto"/>
              </w:rPr>
            </w:pPr>
          </w:p>
        </w:tc>
        <w:tc>
          <w:tcPr>
            <w:tcW w:w="880" w:type="dxa"/>
            <w:vAlign w:val="bottom"/>
            <w:tcBorders>
              <w:bottom w:val="single" w:sz="8" w:color="auto"/>
            </w:tcBorders>
          </w:tcPr>
          <w:p>
            <w:pPr>
              <w:spacing w:after="0"/>
              <w:rPr>
                <w:sz w:val="20"/>
                <w:szCs w:val="20"/>
                <w:color w:val="auto"/>
              </w:rPr>
            </w:pPr>
          </w:p>
        </w:tc>
        <w:tc>
          <w:tcPr>
            <w:tcW w:w="1720" w:type="dxa"/>
            <w:vAlign w:val="bottom"/>
            <w:tcBorders>
              <w:bottom w:val="single" w:sz="8" w:color="auto"/>
            </w:tcBorders>
            <w:gridSpan w:val="3"/>
          </w:tcPr>
          <w:p>
            <w:pPr>
              <w:jc w:val="center"/>
              <w:ind w:right="410"/>
              <w:spacing w:after="0"/>
              <w:rPr>
                <w:sz w:val="20"/>
                <w:szCs w:val="20"/>
                <w:color w:val="auto"/>
              </w:rPr>
            </w:pPr>
            <w:r>
              <w:rPr>
                <w:rFonts w:ascii="Arial" w:cs="Arial" w:eastAsia="Arial" w:hAnsi="Arial"/>
                <w:sz w:val="18"/>
                <w:szCs w:val="18"/>
                <w:b w:val="1"/>
                <w:bCs w:val="1"/>
                <w:color w:val="auto"/>
                <w:w w:val="89"/>
              </w:rPr>
              <w:t>September 30,</w:t>
            </w:r>
          </w:p>
        </w:tc>
        <w:tc>
          <w:tcPr>
            <w:tcW w:w="380" w:type="dxa"/>
            <w:vAlign w:val="bottom"/>
            <w:tcBorders>
              <w:bottom w:val="single" w:sz="8" w:color="auto"/>
            </w:tcBorders>
          </w:tcPr>
          <w:p>
            <w:pPr>
              <w:spacing w:after="0"/>
              <w:rPr>
                <w:sz w:val="20"/>
                <w:szCs w:val="20"/>
                <w:color w:val="auto"/>
              </w:rPr>
            </w:pPr>
          </w:p>
        </w:tc>
        <w:tc>
          <w:tcPr>
            <w:tcW w:w="28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180" w:type="dxa"/>
            <w:vAlign w:val="bottom"/>
            <w:vMerge w:val="restart"/>
          </w:tcPr>
          <w:p>
            <w:pPr>
              <w:jc w:val="right"/>
              <w:ind w:right="250"/>
              <w:spacing w:after="0"/>
              <w:rPr>
                <w:sz w:val="20"/>
                <w:szCs w:val="20"/>
                <w:color w:val="auto"/>
              </w:rPr>
            </w:pPr>
            <w:r>
              <w:rPr>
                <w:rFonts w:ascii="Arial" w:cs="Arial" w:eastAsia="Arial" w:hAnsi="Arial"/>
                <w:sz w:val="18"/>
                <w:szCs w:val="18"/>
                <w:b w:val="1"/>
                <w:bCs w:val="1"/>
                <w:color w:val="auto"/>
              </w:rPr>
              <w:t>$ Change</w:t>
            </w:r>
          </w:p>
        </w:tc>
        <w:tc>
          <w:tcPr>
            <w:tcW w:w="260" w:type="dxa"/>
            <w:vAlign w:val="bottom"/>
          </w:tcPr>
          <w:p>
            <w:pPr>
              <w:spacing w:after="0"/>
              <w:rPr>
                <w:sz w:val="20"/>
                <w:szCs w:val="20"/>
                <w:color w:val="auto"/>
              </w:rPr>
            </w:pPr>
          </w:p>
        </w:tc>
        <w:tc>
          <w:tcPr>
            <w:tcW w:w="1520" w:type="dxa"/>
            <w:vAlign w:val="bottom"/>
            <w:vMerge w:val="restart"/>
          </w:tcPr>
          <w:p>
            <w:pPr>
              <w:jc w:val="center"/>
              <w:spacing w:after="0"/>
              <w:rPr>
                <w:sz w:val="20"/>
                <w:szCs w:val="20"/>
                <w:color w:val="auto"/>
              </w:rPr>
            </w:pPr>
            <w:r>
              <w:rPr>
                <w:rFonts w:ascii="Arial" w:cs="Arial" w:eastAsia="Arial" w:hAnsi="Arial"/>
                <w:sz w:val="18"/>
                <w:szCs w:val="18"/>
                <w:b w:val="1"/>
                <w:bCs w:val="1"/>
                <w:color w:val="auto"/>
                <w:w w:val="94"/>
              </w:rPr>
              <w:t>% Change</w:t>
            </w:r>
          </w:p>
        </w:tc>
        <w:tc>
          <w:tcPr>
            <w:tcW w:w="0" w:type="dxa"/>
            <w:vAlign w:val="bottom"/>
          </w:tcPr>
          <w:p>
            <w:pPr>
              <w:spacing w:after="0"/>
              <w:rPr>
                <w:sz w:val="1"/>
                <w:szCs w:val="1"/>
                <w:color w:val="auto"/>
              </w:rPr>
            </w:pPr>
          </w:p>
        </w:tc>
      </w:tr>
      <w:tr>
        <w:trPr>
          <w:trHeight w:val="209"/>
        </w:trPr>
        <w:tc>
          <w:tcPr>
            <w:tcW w:w="1360" w:type="dxa"/>
            <w:vAlign w:val="bottom"/>
          </w:tcPr>
          <w:p>
            <w:pPr>
              <w:spacing w:after="0"/>
              <w:rPr>
                <w:sz w:val="18"/>
                <w:szCs w:val="18"/>
                <w:color w:val="auto"/>
              </w:rPr>
            </w:pPr>
          </w:p>
        </w:tc>
        <w:tc>
          <w:tcPr>
            <w:tcW w:w="3440" w:type="dxa"/>
            <w:vAlign w:val="bottom"/>
          </w:tcPr>
          <w:p>
            <w:pPr>
              <w:spacing w:after="0"/>
              <w:rPr>
                <w:sz w:val="18"/>
                <w:szCs w:val="18"/>
                <w:color w:val="auto"/>
              </w:rPr>
            </w:pP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2022</w:t>
            </w:r>
          </w:p>
        </w:tc>
        <w:tc>
          <w:tcPr>
            <w:tcW w:w="440" w:type="dxa"/>
            <w:vAlign w:val="bottom"/>
            <w:tcBorders>
              <w:bottom w:val="single" w:sz="8" w:color="auto"/>
            </w:tcBorders>
          </w:tcPr>
          <w:p>
            <w:pPr>
              <w:spacing w:after="0"/>
              <w:rPr>
                <w:sz w:val="18"/>
                <w:szCs w:val="18"/>
                <w:color w:val="auto"/>
              </w:rPr>
            </w:pPr>
          </w:p>
        </w:tc>
        <w:tc>
          <w:tcPr>
            <w:tcW w:w="300" w:type="dxa"/>
            <w:vAlign w:val="bottom"/>
          </w:tcPr>
          <w:p>
            <w:pPr>
              <w:spacing w:after="0"/>
              <w:rPr>
                <w:sz w:val="18"/>
                <w:szCs w:val="18"/>
                <w:color w:val="auto"/>
              </w:rPr>
            </w:pPr>
          </w:p>
        </w:tc>
        <w:tc>
          <w:tcPr>
            <w:tcW w:w="98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b w:val="1"/>
                <w:bCs w:val="1"/>
                <w:color w:val="auto"/>
              </w:rPr>
              <w:t>2021</w:t>
            </w:r>
          </w:p>
        </w:tc>
        <w:tc>
          <w:tcPr>
            <w:tcW w:w="380" w:type="dxa"/>
            <w:vAlign w:val="bottom"/>
            <w:tcBorders>
              <w:bottom w:val="single" w:sz="8" w:color="auto"/>
            </w:tcBorders>
          </w:tcPr>
          <w:p>
            <w:pPr>
              <w:spacing w:after="0"/>
              <w:rPr>
                <w:sz w:val="18"/>
                <w:szCs w:val="18"/>
                <w:color w:val="auto"/>
              </w:rPr>
            </w:pPr>
          </w:p>
        </w:tc>
        <w:tc>
          <w:tcPr>
            <w:tcW w:w="280" w:type="dxa"/>
            <w:vAlign w:val="bottom"/>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1180" w:type="dxa"/>
            <w:vAlign w:val="bottom"/>
            <w:tcBorders>
              <w:bottom w:val="single" w:sz="8" w:color="auto"/>
            </w:tcBorders>
            <w:vMerge w:val="continue"/>
          </w:tcPr>
          <w:p>
            <w:pPr>
              <w:spacing w:after="0"/>
              <w:rPr>
                <w:sz w:val="18"/>
                <w:szCs w:val="18"/>
                <w:color w:val="auto"/>
              </w:rPr>
            </w:pPr>
          </w:p>
        </w:tc>
        <w:tc>
          <w:tcPr>
            <w:tcW w:w="260" w:type="dxa"/>
            <w:vAlign w:val="bottom"/>
          </w:tcPr>
          <w:p>
            <w:pPr>
              <w:spacing w:after="0"/>
              <w:rPr>
                <w:sz w:val="18"/>
                <w:szCs w:val="18"/>
                <w:color w:val="auto"/>
              </w:rPr>
            </w:pPr>
          </w:p>
        </w:tc>
        <w:tc>
          <w:tcPr>
            <w:tcW w:w="1520" w:type="dxa"/>
            <w:vAlign w:val="bottom"/>
            <w:tcBorders>
              <w:bottom w:val="single" w:sz="8" w:color="auto"/>
            </w:tcBorders>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1360" w:type="dxa"/>
            <w:vAlign w:val="bottom"/>
          </w:tcPr>
          <w:p>
            <w:pPr>
              <w:spacing w:after="0"/>
              <w:rPr>
                <w:sz w:val="19"/>
                <w:szCs w:val="19"/>
                <w:color w:val="auto"/>
              </w:rPr>
            </w:pPr>
          </w:p>
        </w:tc>
        <w:tc>
          <w:tcPr>
            <w:tcW w:w="344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360" w:type="dxa"/>
            <w:vAlign w:val="bottom"/>
            <w:gridSpan w:val="2"/>
          </w:tcPr>
          <w:p>
            <w:pPr>
              <w:jc w:val="right"/>
              <w:spacing w:after="0"/>
              <w:rPr>
                <w:sz w:val="20"/>
                <w:szCs w:val="20"/>
                <w:color w:val="auto"/>
              </w:rPr>
            </w:pPr>
            <w:r>
              <w:rPr>
                <w:rFonts w:ascii="Arial" w:cs="Arial" w:eastAsia="Arial" w:hAnsi="Arial"/>
                <w:sz w:val="18"/>
                <w:szCs w:val="18"/>
                <w:b w:val="1"/>
                <w:bCs w:val="1"/>
                <w:i w:val="1"/>
                <w:iCs w:val="1"/>
                <w:color w:val="auto"/>
              </w:rPr>
              <w:t>(in thousands,</w:t>
            </w:r>
          </w:p>
        </w:tc>
        <w:tc>
          <w:tcPr>
            <w:tcW w:w="1680" w:type="dxa"/>
            <w:vAlign w:val="bottom"/>
            <w:gridSpan w:val="3"/>
          </w:tcPr>
          <w:p>
            <w:pPr>
              <w:jc w:val="right"/>
              <w:ind w:right="70"/>
              <w:spacing w:after="0"/>
              <w:rPr>
                <w:sz w:val="20"/>
                <w:szCs w:val="20"/>
                <w:color w:val="auto"/>
              </w:rPr>
            </w:pPr>
            <w:r>
              <w:rPr>
                <w:rFonts w:ascii="Arial" w:cs="Arial" w:eastAsia="Arial" w:hAnsi="Arial"/>
                <w:sz w:val="18"/>
                <w:szCs w:val="18"/>
                <w:b w:val="1"/>
                <w:bCs w:val="1"/>
                <w:i w:val="1"/>
                <w:iCs w:val="1"/>
                <w:color w:val="auto"/>
                <w:w w:val="86"/>
              </w:rPr>
              <w:t>except percentages)</w:t>
            </w:r>
          </w:p>
        </w:tc>
        <w:tc>
          <w:tcPr>
            <w:tcW w:w="260" w:type="dxa"/>
            <w:vAlign w:val="bottom"/>
          </w:tcPr>
          <w:p>
            <w:pPr>
              <w:spacing w:after="0"/>
              <w:rPr>
                <w:sz w:val="19"/>
                <w:szCs w:val="19"/>
                <w:color w:val="auto"/>
              </w:rPr>
            </w:pPr>
          </w:p>
        </w:tc>
        <w:tc>
          <w:tcPr>
            <w:tcW w:w="15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4800" w:type="dxa"/>
            <w:vAlign w:val="bottom"/>
            <w:gridSpan w:val="2"/>
            <w:shd w:val="clear" w:color="auto" w:fill="CFF0FC"/>
          </w:tcPr>
          <w:p>
            <w:pPr>
              <w:jc w:val="right"/>
              <w:ind w:right="3480"/>
              <w:spacing w:after="0"/>
              <w:rPr>
                <w:sz w:val="20"/>
                <w:szCs w:val="20"/>
                <w:color w:val="auto"/>
              </w:rPr>
            </w:pPr>
            <w:r>
              <w:rPr>
                <w:rFonts w:ascii="Arial" w:cs="Arial" w:eastAsia="Arial" w:hAnsi="Arial"/>
                <w:sz w:val="18"/>
                <w:szCs w:val="18"/>
                <w:color w:val="auto"/>
                <w:w w:val="90"/>
              </w:rPr>
              <w:t>Other income, net</w:t>
            </w:r>
          </w:p>
        </w:tc>
        <w:tc>
          <w:tcPr>
            <w:tcW w:w="880" w:type="dxa"/>
            <w:vAlign w:val="bottom"/>
            <w:shd w:val="clear" w:color="auto" w:fill="CFF0FC"/>
          </w:tcPr>
          <w:p>
            <w:pPr>
              <w:jc w:val="right"/>
              <w:ind w:right="690"/>
              <w:spacing w:after="0"/>
              <w:rPr>
                <w:sz w:val="20"/>
                <w:szCs w:val="20"/>
                <w:color w:val="auto"/>
              </w:rPr>
            </w:pPr>
            <w:r>
              <w:rPr>
                <w:rFonts w:ascii="Arial" w:cs="Arial" w:eastAsia="Arial" w:hAnsi="Arial"/>
                <w:sz w:val="18"/>
                <w:szCs w:val="18"/>
                <w:color w:val="auto"/>
                <w:w w:val="79"/>
              </w:rPr>
              <w:t>$</w:t>
            </w:r>
          </w:p>
        </w:tc>
        <w:tc>
          <w:tcPr>
            <w:tcW w:w="440" w:type="dxa"/>
            <w:vAlign w:val="bottom"/>
            <w:shd w:val="clear" w:color="auto" w:fill="CFF0FC"/>
          </w:tcPr>
          <w:p>
            <w:pPr>
              <w:jc w:val="right"/>
              <w:spacing w:after="0"/>
              <w:rPr>
                <w:sz w:val="20"/>
                <w:szCs w:val="20"/>
                <w:color w:val="auto"/>
              </w:rPr>
            </w:pPr>
            <w:r>
              <w:rPr>
                <w:rFonts w:ascii="Arial" w:cs="Arial" w:eastAsia="Arial" w:hAnsi="Arial"/>
                <w:sz w:val="18"/>
                <w:szCs w:val="18"/>
                <w:color w:val="auto"/>
                <w:w w:val="93"/>
              </w:rPr>
              <w:t>1,442</w:t>
            </w:r>
          </w:p>
        </w:tc>
        <w:tc>
          <w:tcPr>
            <w:tcW w:w="1280" w:type="dxa"/>
            <w:vAlign w:val="bottom"/>
            <w:gridSpan w:val="2"/>
            <w:shd w:val="clear" w:color="auto" w:fill="CFF0FC"/>
          </w:tcPr>
          <w:p>
            <w:pPr>
              <w:jc w:val="right"/>
              <w:ind w:right="790"/>
              <w:spacing w:after="0"/>
              <w:rPr>
                <w:sz w:val="20"/>
                <w:szCs w:val="20"/>
                <w:color w:val="auto"/>
              </w:rPr>
            </w:pPr>
            <w:r>
              <w:rPr>
                <w:rFonts w:ascii="Arial" w:cs="Arial" w:eastAsia="Arial" w:hAnsi="Arial"/>
                <w:sz w:val="18"/>
                <w:szCs w:val="18"/>
                <w:color w:val="auto"/>
              </w:rPr>
              <w:t>$</w:t>
            </w:r>
          </w:p>
        </w:tc>
        <w:tc>
          <w:tcPr>
            <w:tcW w:w="3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123</w:t>
            </w:r>
          </w:p>
        </w:tc>
        <w:tc>
          <w:tcPr>
            <w:tcW w:w="500" w:type="dxa"/>
            <w:vAlign w:val="bottom"/>
            <w:gridSpan w:val="2"/>
            <w:shd w:val="clear" w:color="auto" w:fill="CFF0FC"/>
          </w:tcPr>
          <w:p>
            <w:pPr>
              <w:jc w:val="right"/>
              <w:ind w:right="120"/>
              <w:spacing w:after="0"/>
              <w:rPr>
                <w:sz w:val="20"/>
                <w:szCs w:val="20"/>
                <w:color w:val="auto"/>
              </w:rPr>
            </w:pPr>
            <w:r>
              <w:rPr>
                <w:rFonts w:ascii="Arial" w:cs="Arial" w:eastAsia="Arial" w:hAnsi="Arial"/>
                <w:sz w:val="18"/>
                <w:szCs w:val="18"/>
                <w:color w:val="auto"/>
              </w:rPr>
              <w:t>$</w:t>
            </w:r>
          </w:p>
        </w:tc>
        <w:tc>
          <w:tcPr>
            <w:tcW w:w="11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1,319</w:t>
            </w:r>
          </w:p>
        </w:tc>
        <w:tc>
          <w:tcPr>
            <w:tcW w:w="1780" w:type="dxa"/>
            <w:vAlign w:val="bottom"/>
            <w:gridSpan w:val="2"/>
            <w:shd w:val="clear" w:color="auto" w:fill="CFF0FC"/>
          </w:tcPr>
          <w:p>
            <w:pPr>
              <w:jc w:val="right"/>
              <w:ind w:right="61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148"/>
        </w:trPr>
        <w:tc>
          <w:tcPr>
            <w:tcW w:w="1360" w:type="dxa"/>
            <w:vAlign w:val="bottom"/>
            <w:tcBorders>
              <w:bottom w:val="single" w:sz="8" w:color="auto"/>
            </w:tcBorders>
          </w:tcPr>
          <w:p>
            <w:pPr>
              <w:spacing w:after="0"/>
              <w:rPr>
                <w:sz w:val="12"/>
                <w:szCs w:val="12"/>
                <w:color w:val="auto"/>
              </w:rPr>
            </w:pPr>
          </w:p>
        </w:tc>
        <w:tc>
          <w:tcPr>
            <w:tcW w:w="344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98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18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1520" w:type="dxa"/>
            <w:vAlign w:val="bottom"/>
          </w:tcPr>
          <w:p>
            <w:pPr>
              <w:spacing w:after="0"/>
              <w:rPr>
                <w:sz w:val="12"/>
                <w:szCs w:val="12"/>
                <w:color w:val="auto"/>
              </w:rPr>
            </w:pPr>
          </w:p>
        </w:tc>
        <w:tc>
          <w:tcPr>
            <w:tcW w:w="0" w:type="dxa"/>
            <w:vAlign w:val="bottom"/>
          </w:tcPr>
          <w:p>
            <w:pPr>
              <w:spacing w:after="0"/>
              <w:rPr>
                <w:sz w:val="1"/>
                <w:szCs w:val="1"/>
                <w:color w:val="auto"/>
              </w:rPr>
            </w:pPr>
          </w:p>
        </w:tc>
      </w:tr>
    </w:tbl>
    <w:p>
      <w:pPr>
        <w:spacing w:after="0" w:line="89" w:lineRule="exact"/>
        <w:rPr>
          <w:sz w:val="20"/>
          <w:szCs w:val="20"/>
          <w:color w:val="auto"/>
        </w:rPr>
      </w:pPr>
    </w:p>
    <w:p>
      <w:pPr>
        <w:ind w:left="300" w:hanging="292"/>
        <w:spacing w:after="0"/>
        <w:tabs>
          <w:tab w:leader="none" w:pos="300" w:val="left"/>
        </w:tabs>
        <w:numPr>
          <w:ilvl w:val="0"/>
          <w:numId w:val="29"/>
        </w:numPr>
        <w:rPr>
          <w:rFonts w:ascii="Arial" w:cs="Arial" w:eastAsia="Arial" w:hAnsi="Arial"/>
          <w:sz w:val="14"/>
          <w:szCs w:val="14"/>
          <w:color w:val="auto"/>
        </w:rPr>
      </w:pPr>
      <w:r>
        <w:rPr>
          <w:rFonts w:ascii="Arial" w:cs="Arial" w:eastAsia="Arial" w:hAnsi="Arial"/>
          <w:sz w:val="14"/>
          <w:szCs w:val="14"/>
          <w:color w:val="auto"/>
        </w:rPr>
        <w:t>Not meaningful</w:t>
      </w:r>
    </w:p>
    <w:p>
      <w:pPr>
        <w:spacing w:after="0" w:line="261" w:lineRule="exact"/>
        <w:rPr>
          <w:sz w:val="20"/>
          <w:szCs w:val="20"/>
          <w:color w:val="auto"/>
        </w:rPr>
      </w:pPr>
    </w:p>
    <w:p>
      <w:pPr>
        <w:ind w:right="100" w:firstLine="509"/>
        <w:spacing w:after="0" w:line="247" w:lineRule="auto"/>
        <w:rPr>
          <w:sz w:val="20"/>
          <w:szCs w:val="20"/>
          <w:color w:val="auto"/>
        </w:rPr>
      </w:pPr>
      <w:r>
        <w:rPr>
          <w:rFonts w:ascii="Arial" w:cs="Arial" w:eastAsia="Arial" w:hAnsi="Arial"/>
          <w:sz w:val="18"/>
          <w:szCs w:val="18"/>
          <w:color w:val="auto"/>
        </w:rPr>
        <w:t>Other income, net increased $1.3 million during the three months ended September 30, 2022 compared to the three months ended September 30, 2021. The increase was primarily related to a $1.2 million increase in interest income resulting from interest earned on the marketable securities purchased in the three months ended September 30, 2022.</w:t>
      </w:r>
    </w:p>
    <w:p>
      <w:pPr>
        <w:spacing w:after="0" w:line="7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259" name="Picture 2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9"/>
                    <pic:cNvPicPr>
                      <a:picLocks noChangeAspect="1" noChangeArrowheads="1"/>
                    </pic:cNvPicPr>
                  </pic:nvPicPr>
                  <pic:blipFill>
                    <a:blip r:embed="rId26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651" w:right="339" w:bottom="1440" w:gutter="0" w:footer="0" w:header="0"/>
        </w:sectPr>
      </w:pPr>
    </w:p>
    <w:bookmarkStart w:id="34" w:name="page35"/>
    <w:bookmarkEnd w:id="34"/>
    <w:tbl>
      <w:tblPr>
        <w:tblLayout w:type="fixed"/>
        <w:tblInd w:w="0" w:type="dxa"/>
        <w:tblCellMar>
          <w:top w:w="0" w:type="dxa"/>
          <w:left w:w="0" w:type="dxa"/>
          <w:bottom w:w="0" w:type="dxa"/>
          <w:right w:w="0" w:type="dxa"/>
        </w:tblCellMar>
      </w:tblPr>
      <w:tr>
        <w:trPr>
          <w:trHeight w:val="230"/>
        </w:trPr>
        <w:tc>
          <w:tcPr>
            <w:tcW w:w="4600" w:type="dxa"/>
            <w:vAlign w:val="bottom"/>
          </w:tcPr>
          <w:p>
            <w:pPr>
              <w:spacing w:after="0"/>
              <w:rPr>
                <w:sz w:val="20"/>
                <w:szCs w:val="20"/>
                <w:color w:val="auto"/>
              </w:rPr>
            </w:pPr>
            <w:r>
              <w:rPr>
                <w:rFonts w:ascii="Arial" w:cs="Arial" w:eastAsia="Arial" w:hAnsi="Arial"/>
                <w:sz w:val="18"/>
                <w:szCs w:val="18"/>
                <w:i w:val="1"/>
                <w:iCs w:val="1"/>
                <w:color w:val="auto"/>
              </w:rPr>
              <w:t>Provision for (Benefit from) Income Taxes</w:t>
            </w:r>
          </w:p>
        </w:tc>
        <w:tc>
          <w:tcPr>
            <w:tcW w:w="92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20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18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4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13"/>
        </w:trPr>
        <w:tc>
          <w:tcPr>
            <w:tcW w:w="4600" w:type="dxa"/>
            <w:vAlign w:val="bottom"/>
          </w:tcPr>
          <w:p>
            <w:pPr>
              <w:spacing w:after="0"/>
              <w:rPr>
                <w:sz w:val="24"/>
                <w:szCs w:val="24"/>
                <w:color w:val="auto"/>
              </w:rPr>
            </w:pPr>
          </w:p>
        </w:tc>
        <w:tc>
          <w:tcPr>
            <w:tcW w:w="2820" w:type="dxa"/>
            <w:vAlign w:val="bottom"/>
            <w:gridSpan w:val="4"/>
          </w:tcPr>
          <w:p>
            <w:pPr>
              <w:jc w:val="center"/>
              <w:ind w:left="370"/>
              <w:spacing w:after="0"/>
              <w:rPr>
                <w:sz w:val="20"/>
                <w:szCs w:val="20"/>
                <w:color w:val="auto"/>
              </w:rPr>
            </w:pPr>
            <w:r>
              <w:rPr>
                <w:rFonts w:ascii="Arial" w:cs="Arial" w:eastAsia="Arial" w:hAnsi="Arial"/>
                <w:sz w:val="18"/>
                <w:szCs w:val="18"/>
                <w:b w:val="1"/>
                <w:bCs w:val="1"/>
                <w:color w:val="auto"/>
                <w:w w:val="92"/>
              </w:rPr>
              <w:t>Three Months Ended</w:t>
            </w:r>
          </w:p>
        </w:tc>
        <w:tc>
          <w:tcPr>
            <w:tcW w:w="44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18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4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34"/>
        </w:trPr>
        <w:tc>
          <w:tcPr>
            <w:tcW w:w="4600" w:type="dxa"/>
            <w:vAlign w:val="bottom"/>
          </w:tcPr>
          <w:p>
            <w:pPr>
              <w:spacing w:after="0"/>
              <w:rPr>
                <w:sz w:val="20"/>
                <w:szCs w:val="20"/>
                <w:color w:val="auto"/>
              </w:rPr>
            </w:pPr>
          </w:p>
        </w:tc>
        <w:tc>
          <w:tcPr>
            <w:tcW w:w="920" w:type="dxa"/>
            <w:vAlign w:val="bottom"/>
            <w:tcBorders>
              <w:bottom w:val="single" w:sz="8" w:color="auto"/>
            </w:tcBorders>
          </w:tcPr>
          <w:p>
            <w:pPr>
              <w:spacing w:after="0"/>
              <w:rPr>
                <w:sz w:val="20"/>
                <w:szCs w:val="20"/>
                <w:color w:val="auto"/>
              </w:rPr>
            </w:pPr>
          </w:p>
        </w:tc>
        <w:tc>
          <w:tcPr>
            <w:tcW w:w="1900" w:type="dxa"/>
            <w:vAlign w:val="bottom"/>
            <w:tcBorders>
              <w:bottom w:val="single" w:sz="8" w:color="auto"/>
            </w:tcBorders>
            <w:gridSpan w:val="3"/>
          </w:tcPr>
          <w:p>
            <w:pPr>
              <w:jc w:val="center"/>
              <w:ind w:right="390"/>
              <w:spacing w:after="0"/>
              <w:rPr>
                <w:sz w:val="20"/>
                <w:szCs w:val="20"/>
                <w:color w:val="auto"/>
              </w:rPr>
            </w:pPr>
            <w:r>
              <w:rPr>
                <w:rFonts w:ascii="Arial" w:cs="Arial" w:eastAsia="Arial" w:hAnsi="Arial"/>
                <w:sz w:val="18"/>
                <w:szCs w:val="18"/>
                <w:b w:val="1"/>
                <w:bCs w:val="1"/>
                <w:color w:val="auto"/>
                <w:w w:val="89"/>
              </w:rPr>
              <w:t>September 30,</w:t>
            </w:r>
          </w:p>
        </w:tc>
        <w:tc>
          <w:tcPr>
            <w:tcW w:w="440" w:type="dxa"/>
            <w:vAlign w:val="bottom"/>
            <w:tcBorders>
              <w:bottom w:val="single" w:sz="8" w:color="auto"/>
            </w:tcBorders>
          </w:tcPr>
          <w:p>
            <w:pPr>
              <w:spacing w:after="0"/>
              <w:rPr>
                <w:sz w:val="20"/>
                <w:szCs w:val="20"/>
                <w:color w:val="auto"/>
              </w:rPr>
            </w:pPr>
          </w:p>
        </w:tc>
        <w:tc>
          <w:tcPr>
            <w:tcW w:w="26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180" w:type="dxa"/>
            <w:vAlign w:val="bottom"/>
            <w:vMerge w:val="restart"/>
          </w:tcPr>
          <w:p>
            <w:pPr>
              <w:ind w:left="120"/>
              <w:spacing w:after="0"/>
              <w:rPr>
                <w:sz w:val="20"/>
                <w:szCs w:val="20"/>
                <w:color w:val="auto"/>
              </w:rPr>
            </w:pPr>
            <w:r>
              <w:rPr>
                <w:rFonts w:ascii="Arial" w:cs="Arial" w:eastAsia="Arial" w:hAnsi="Arial"/>
                <w:sz w:val="18"/>
                <w:szCs w:val="18"/>
                <w:b w:val="1"/>
                <w:bCs w:val="1"/>
                <w:color w:val="auto"/>
              </w:rPr>
              <w:t>$ Change</w:t>
            </w:r>
          </w:p>
        </w:tc>
        <w:tc>
          <w:tcPr>
            <w:tcW w:w="260" w:type="dxa"/>
            <w:vAlign w:val="bottom"/>
            <w:vMerge w:val="restart"/>
          </w:tcPr>
          <w:p>
            <w:pPr>
              <w:spacing w:after="0"/>
              <w:rPr>
                <w:sz w:val="20"/>
                <w:szCs w:val="20"/>
                <w:color w:val="auto"/>
              </w:rPr>
            </w:pPr>
          </w:p>
        </w:tc>
        <w:tc>
          <w:tcPr>
            <w:tcW w:w="1460" w:type="dxa"/>
            <w:vAlign w:val="bottom"/>
            <w:vMerge w:val="restart"/>
          </w:tcPr>
          <w:p>
            <w:pPr>
              <w:jc w:val="center"/>
              <w:spacing w:after="0"/>
              <w:rPr>
                <w:sz w:val="20"/>
                <w:szCs w:val="20"/>
                <w:color w:val="auto"/>
              </w:rPr>
            </w:pPr>
            <w:r>
              <w:rPr>
                <w:rFonts w:ascii="Arial" w:cs="Arial" w:eastAsia="Arial" w:hAnsi="Arial"/>
                <w:sz w:val="18"/>
                <w:szCs w:val="18"/>
                <w:b w:val="1"/>
                <w:bCs w:val="1"/>
                <w:color w:val="auto"/>
                <w:w w:val="94"/>
              </w:rPr>
              <w:t>% Change</w:t>
            </w:r>
          </w:p>
        </w:tc>
        <w:tc>
          <w:tcPr>
            <w:tcW w:w="0" w:type="dxa"/>
            <w:vAlign w:val="bottom"/>
          </w:tcPr>
          <w:p>
            <w:pPr>
              <w:spacing w:after="0"/>
              <w:rPr>
                <w:sz w:val="1"/>
                <w:szCs w:val="1"/>
                <w:color w:val="auto"/>
              </w:rPr>
            </w:pPr>
          </w:p>
        </w:tc>
      </w:tr>
      <w:tr>
        <w:trPr>
          <w:trHeight w:val="209"/>
        </w:trPr>
        <w:tc>
          <w:tcPr>
            <w:tcW w:w="4600" w:type="dxa"/>
            <w:vAlign w:val="bottom"/>
          </w:tcPr>
          <w:p>
            <w:pPr>
              <w:spacing w:after="0"/>
              <w:rPr>
                <w:sz w:val="18"/>
                <w:szCs w:val="18"/>
                <w:color w:val="auto"/>
              </w:rPr>
            </w:pP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2022</w:t>
            </w:r>
          </w:p>
        </w:tc>
        <w:tc>
          <w:tcPr>
            <w:tcW w:w="400" w:type="dxa"/>
            <w:vAlign w:val="bottom"/>
            <w:tcBorders>
              <w:bottom w:val="single" w:sz="8" w:color="auto"/>
            </w:tcBorders>
          </w:tcPr>
          <w:p>
            <w:pPr>
              <w:spacing w:after="0"/>
              <w:rPr>
                <w:sz w:val="18"/>
                <w:szCs w:val="18"/>
                <w:color w:val="auto"/>
              </w:rPr>
            </w:pPr>
          </w:p>
        </w:tc>
        <w:tc>
          <w:tcPr>
            <w:tcW w:w="300" w:type="dxa"/>
            <w:vAlign w:val="bottom"/>
          </w:tcPr>
          <w:p>
            <w:pPr>
              <w:spacing w:after="0"/>
              <w:rPr>
                <w:sz w:val="18"/>
                <w:szCs w:val="18"/>
                <w:color w:val="auto"/>
              </w:rPr>
            </w:pPr>
          </w:p>
        </w:tc>
        <w:tc>
          <w:tcPr>
            <w:tcW w:w="1200" w:type="dxa"/>
            <w:vAlign w:val="bottom"/>
            <w:tcBorders>
              <w:bottom w:val="single" w:sz="8" w:color="auto"/>
            </w:tcBorders>
          </w:tcPr>
          <w:p>
            <w:pPr>
              <w:jc w:val="right"/>
              <w:ind w:right="110"/>
              <w:spacing w:after="0"/>
              <w:rPr>
                <w:sz w:val="20"/>
                <w:szCs w:val="20"/>
                <w:color w:val="auto"/>
              </w:rPr>
            </w:pPr>
            <w:r>
              <w:rPr>
                <w:rFonts w:ascii="Arial" w:cs="Arial" w:eastAsia="Arial" w:hAnsi="Arial"/>
                <w:sz w:val="18"/>
                <w:szCs w:val="18"/>
                <w:b w:val="1"/>
                <w:bCs w:val="1"/>
                <w:color w:val="auto"/>
              </w:rPr>
              <w:t>2021</w:t>
            </w:r>
          </w:p>
        </w:tc>
        <w:tc>
          <w:tcPr>
            <w:tcW w:w="440" w:type="dxa"/>
            <w:vAlign w:val="bottom"/>
            <w:tcBorders>
              <w:bottom w:val="single" w:sz="8" w:color="auto"/>
            </w:tcBorders>
          </w:tcPr>
          <w:p>
            <w:pPr>
              <w:spacing w:after="0"/>
              <w:rPr>
                <w:sz w:val="18"/>
                <w:szCs w:val="18"/>
                <w:color w:val="auto"/>
              </w:rPr>
            </w:pPr>
          </w:p>
        </w:tc>
        <w:tc>
          <w:tcPr>
            <w:tcW w:w="260" w:type="dxa"/>
            <w:vAlign w:val="bottom"/>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1180" w:type="dxa"/>
            <w:vAlign w:val="bottom"/>
            <w:tcBorders>
              <w:bottom w:val="single" w:sz="8" w:color="auto"/>
            </w:tcBorders>
            <w:vMerge w:val="continue"/>
          </w:tcPr>
          <w:p>
            <w:pPr>
              <w:spacing w:after="0"/>
              <w:rPr>
                <w:sz w:val="18"/>
                <w:szCs w:val="18"/>
                <w:color w:val="auto"/>
              </w:rPr>
            </w:pPr>
          </w:p>
        </w:tc>
        <w:tc>
          <w:tcPr>
            <w:tcW w:w="260" w:type="dxa"/>
            <w:vAlign w:val="bottom"/>
            <w:vMerge w:val="continue"/>
          </w:tcPr>
          <w:p>
            <w:pPr>
              <w:spacing w:after="0"/>
              <w:rPr>
                <w:sz w:val="18"/>
                <w:szCs w:val="18"/>
                <w:color w:val="auto"/>
              </w:rPr>
            </w:pPr>
          </w:p>
        </w:tc>
        <w:tc>
          <w:tcPr>
            <w:tcW w:w="1460" w:type="dxa"/>
            <w:vAlign w:val="bottom"/>
            <w:tcBorders>
              <w:bottom w:val="single" w:sz="8" w:color="auto"/>
            </w:tcBorders>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460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3560" w:type="dxa"/>
            <w:vAlign w:val="bottom"/>
            <w:gridSpan w:val="6"/>
          </w:tcPr>
          <w:p>
            <w:pPr>
              <w:jc w:val="center"/>
              <w:ind w:right="160"/>
              <w:spacing w:after="0"/>
              <w:rPr>
                <w:sz w:val="20"/>
                <w:szCs w:val="20"/>
                <w:color w:val="auto"/>
              </w:rPr>
            </w:pPr>
            <w:r>
              <w:rPr>
                <w:rFonts w:ascii="Arial" w:cs="Arial" w:eastAsia="Arial" w:hAnsi="Arial"/>
                <w:sz w:val="18"/>
                <w:szCs w:val="18"/>
                <w:b w:val="1"/>
                <w:bCs w:val="1"/>
                <w:i w:val="1"/>
                <w:iCs w:val="1"/>
                <w:color w:val="auto"/>
                <w:w w:val="84"/>
              </w:rPr>
              <w:t>(in thousands, except percentages)</w:t>
            </w:r>
          </w:p>
        </w:tc>
        <w:tc>
          <w:tcPr>
            <w:tcW w:w="14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4600" w:type="dxa"/>
            <w:vAlign w:val="bottom"/>
            <w:shd w:val="clear" w:color="auto" w:fill="CFF0FC"/>
          </w:tcPr>
          <w:p>
            <w:pPr>
              <w:ind w:left="20"/>
              <w:spacing w:after="0"/>
              <w:rPr>
                <w:sz w:val="20"/>
                <w:szCs w:val="20"/>
                <w:color w:val="auto"/>
              </w:rPr>
            </w:pPr>
            <w:r>
              <w:rPr>
                <w:rFonts w:ascii="Arial" w:cs="Arial" w:eastAsia="Arial" w:hAnsi="Arial"/>
                <w:sz w:val="18"/>
                <w:szCs w:val="18"/>
                <w:color w:val="auto"/>
              </w:rPr>
              <w:t>Provision for (benefit from) income taxes</w:t>
            </w:r>
          </w:p>
        </w:tc>
        <w:tc>
          <w:tcPr>
            <w:tcW w:w="920" w:type="dxa"/>
            <w:vAlign w:val="bottom"/>
            <w:shd w:val="clear" w:color="auto" w:fill="CFF0FC"/>
          </w:tcPr>
          <w:p>
            <w:pPr>
              <w:jc w:val="right"/>
              <w:ind w:right="730"/>
              <w:spacing w:after="0"/>
              <w:rPr>
                <w:sz w:val="20"/>
                <w:szCs w:val="20"/>
                <w:color w:val="auto"/>
              </w:rPr>
            </w:pPr>
            <w:r>
              <w:rPr>
                <w:rFonts w:ascii="Arial" w:cs="Arial" w:eastAsia="Arial" w:hAnsi="Arial"/>
                <w:sz w:val="18"/>
                <w:szCs w:val="18"/>
                <w:color w:val="auto"/>
                <w:w w:val="79"/>
              </w:rPr>
              <w:t>$</w:t>
            </w:r>
          </w:p>
        </w:tc>
        <w:tc>
          <w:tcPr>
            <w:tcW w:w="1900" w:type="dxa"/>
            <w:vAlign w:val="bottom"/>
            <w:gridSpan w:val="3"/>
            <w:shd w:val="clear" w:color="auto" w:fill="CFF0FC"/>
          </w:tcPr>
          <w:p>
            <w:pPr>
              <w:jc w:val="right"/>
              <w:ind w:right="1010"/>
              <w:spacing w:after="0"/>
              <w:rPr>
                <w:sz w:val="20"/>
                <w:szCs w:val="20"/>
                <w:color w:val="auto"/>
              </w:rPr>
            </w:pPr>
            <w:r>
              <w:rPr>
                <w:rFonts w:ascii="Arial" w:cs="Arial" w:eastAsia="Arial" w:hAnsi="Arial"/>
                <w:sz w:val="18"/>
                <w:szCs w:val="18"/>
                <w:color w:val="auto"/>
              </w:rPr>
              <w:t>(204 )   $</w:t>
            </w:r>
          </w:p>
        </w:tc>
        <w:tc>
          <w:tcPr>
            <w:tcW w:w="920" w:type="dxa"/>
            <w:vAlign w:val="bottom"/>
            <w:gridSpan w:val="3"/>
            <w:shd w:val="clear" w:color="auto" w:fill="CFF0FC"/>
          </w:tcPr>
          <w:p>
            <w:pPr>
              <w:jc w:val="right"/>
              <w:ind w:right="120"/>
              <w:spacing w:after="0"/>
              <w:rPr>
                <w:sz w:val="20"/>
                <w:szCs w:val="20"/>
                <w:color w:val="auto"/>
              </w:rPr>
            </w:pPr>
            <w:r>
              <w:rPr>
                <w:rFonts w:ascii="Arial" w:cs="Arial" w:eastAsia="Arial" w:hAnsi="Arial"/>
                <w:sz w:val="18"/>
                <w:szCs w:val="18"/>
                <w:color w:val="auto"/>
              </w:rPr>
              <w:t>(86 )  $</w:t>
            </w:r>
          </w:p>
        </w:tc>
        <w:tc>
          <w:tcPr>
            <w:tcW w:w="1440" w:type="dxa"/>
            <w:vAlign w:val="bottom"/>
            <w:gridSpan w:val="2"/>
            <w:shd w:val="clear" w:color="auto" w:fill="CFF0FC"/>
          </w:tcPr>
          <w:p>
            <w:pPr>
              <w:jc w:val="right"/>
              <w:ind w:right="180"/>
              <w:spacing w:after="0"/>
              <w:rPr>
                <w:sz w:val="20"/>
                <w:szCs w:val="20"/>
                <w:color w:val="auto"/>
              </w:rPr>
            </w:pPr>
            <w:r>
              <w:rPr>
                <w:rFonts w:ascii="Arial" w:cs="Arial" w:eastAsia="Arial" w:hAnsi="Arial"/>
                <w:sz w:val="18"/>
                <w:szCs w:val="18"/>
                <w:color w:val="auto"/>
              </w:rPr>
              <w:t>(118 )</w:t>
            </w:r>
          </w:p>
        </w:tc>
        <w:tc>
          <w:tcPr>
            <w:tcW w:w="1460" w:type="dxa"/>
            <w:vAlign w:val="bottom"/>
            <w:shd w:val="clear" w:color="auto" w:fill="CFF0FC"/>
          </w:tcPr>
          <w:p>
            <w:pPr>
              <w:jc w:val="right"/>
              <w:ind w:right="430"/>
              <w:spacing w:after="0"/>
              <w:rPr>
                <w:sz w:val="20"/>
                <w:szCs w:val="20"/>
                <w:color w:val="auto"/>
              </w:rPr>
            </w:pPr>
            <w:r>
              <w:rPr>
                <w:rFonts w:ascii="Arial" w:cs="Arial" w:eastAsia="Arial" w:hAnsi="Arial"/>
                <w:sz w:val="18"/>
                <w:szCs w:val="18"/>
                <w:color w:val="auto"/>
              </w:rPr>
              <w:t>137%</w:t>
            </w:r>
          </w:p>
        </w:tc>
        <w:tc>
          <w:tcPr>
            <w:tcW w:w="0" w:type="dxa"/>
            <w:vAlign w:val="bottom"/>
          </w:tcPr>
          <w:p>
            <w:pPr>
              <w:spacing w:after="0"/>
              <w:rPr>
                <w:sz w:val="1"/>
                <w:szCs w:val="1"/>
                <w:color w:val="auto"/>
              </w:rPr>
            </w:pPr>
          </w:p>
        </w:tc>
      </w:tr>
    </w:tbl>
    <w:p>
      <w:pPr>
        <w:spacing w:after="0" w:line="188" w:lineRule="exact"/>
        <w:rPr>
          <w:sz w:val="20"/>
          <w:szCs w:val="20"/>
          <w:color w:val="auto"/>
        </w:rPr>
      </w:pPr>
    </w:p>
    <w:p>
      <w:pPr>
        <w:ind w:right="120" w:firstLine="509"/>
        <w:spacing w:after="0" w:line="277" w:lineRule="auto"/>
        <w:rPr>
          <w:sz w:val="20"/>
          <w:szCs w:val="20"/>
          <w:color w:val="auto"/>
        </w:rPr>
      </w:pPr>
      <w:r>
        <w:rPr>
          <w:rFonts w:ascii="Arial" w:cs="Arial" w:eastAsia="Arial" w:hAnsi="Arial"/>
          <w:sz w:val="17"/>
          <w:szCs w:val="17"/>
          <w:color w:val="auto"/>
        </w:rPr>
        <w:t>Provision for (benefit from) income taxes decreased $0.1 million, or 137%, during the three months ended September 30, 2022 compared to the three months ended September 30, 2021, primarily due to decreased foreign taxes resulting from a decrease in foreign deferred tax balance changes during the three months ended September 30, 2022 compared to the three months ended September 30, 2021.</w:t>
      </w:r>
    </w:p>
    <w:p>
      <w:pPr>
        <w:spacing w:after="0" w:line="267" w:lineRule="exact"/>
        <w:rPr>
          <w:sz w:val="20"/>
          <w:szCs w:val="20"/>
          <w:color w:val="auto"/>
        </w:rPr>
      </w:pPr>
    </w:p>
    <w:p>
      <w:pPr>
        <w:ind w:right="3860"/>
        <w:spacing w:after="0" w:line="402" w:lineRule="auto"/>
        <w:rPr>
          <w:sz w:val="20"/>
          <w:szCs w:val="20"/>
          <w:color w:val="auto"/>
        </w:rPr>
      </w:pPr>
      <w:r>
        <w:rPr>
          <w:rFonts w:ascii="Arial" w:cs="Arial" w:eastAsia="Arial" w:hAnsi="Arial"/>
          <w:sz w:val="18"/>
          <w:szCs w:val="18"/>
          <w:b w:val="1"/>
          <w:bCs w:val="1"/>
          <w:i w:val="1"/>
          <w:iCs w:val="1"/>
          <w:color w:val="auto"/>
        </w:rPr>
        <w:t xml:space="preserve">Comparison of Nine Months Ended September 30, 2022 to Nine Months Ended September 30, 2021 </w:t>
      </w:r>
      <w:r>
        <w:rPr>
          <w:rFonts w:ascii="Arial" w:cs="Arial" w:eastAsia="Arial" w:hAnsi="Arial"/>
          <w:sz w:val="18"/>
          <w:szCs w:val="18"/>
          <w:i w:val="1"/>
          <w:iCs w:val="1"/>
          <w:color w:val="auto"/>
        </w:rPr>
        <w:t>Revenue</w:t>
      </w:r>
    </w:p>
    <w:p>
      <w:pPr>
        <w:spacing w:after="0" w:line="31" w:lineRule="exact"/>
        <w:rPr>
          <w:sz w:val="20"/>
          <w:szCs w:val="20"/>
          <w:color w:val="auto"/>
        </w:rPr>
      </w:pPr>
    </w:p>
    <w:p>
      <w:pPr>
        <w:jc w:val="center"/>
        <w:ind w:left="1300"/>
        <w:spacing w:after="0"/>
        <w:rPr>
          <w:sz w:val="20"/>
          <w:szCs w:val="20"/>
          <w:color w:val="auto"/>
        </w:rPr>
      </w:pPr>
      <w:r>
        <w:rPr>
          <w:rFonts w:ascii="Arial" w:cs="Arial" w:eastAsia="Arial" w:hAnsi="Arial"/>
          <w:sz w:val="18"/>
          <w:szCs w:val="18"/>
          <w:b w:val="1"/>
          <w:bCs w:val="1"/>
          <w:color w:val="auto"/>
        </w:rPr>
        <w:t>Nine Months Ended</w:t>
      </w:r>
    </w:p>
    <w:p>
      <w:pPr>
        <w:spacing w:after="0" w:line="2" w:lineRule="exact"/>
        <w:rPr>
          <w:sz w:val="20"/>
          <w:szCs w:val="20"/>
          <w:color w:val="auto"/>
        </w:rPr>
      </w:pPr>
    </w:p>
    <w:p>
      <w:pPr>
        <w:jc w:val="center"/>
        <w:ind w:left="1300"/>
        <w:spacing w:after="0"/>
        <w:rPr>
          <w:sz w:val="20"/>
          <w:szCs w:val="20"/>
          <w:color w:val="auto"/>
        </w:rPr>
      </w:pPr>
      <w:r>
        <w:rPr>
          <w:rFonts w:ascii="Arial" w:cs="Arial" w:eastAsia="Arial" w:hAnsi="Arial"/>
          <w:sz w:val="18"/>
          <w:szCs w:val="18"/>
          <w:b w:val="1"/>
          <w:bCs w:val="1"/>
          <w:color w:val="auto"/>
        </w:rPr>
        <w:t>September 30,</w:t>
      </w:r>
    </w:p>
    <w:p>
      <w:pPr>
        <w:spacing w:after="0" w:line="7" w:lineRule="exact"/>
        <w:rPr>
          <w:sz w:val="20"/>
          <w:szCs w:val="20"/>
          <w:color w:val="auto"/>
        </w:rPr>
      </w:pPr>
    </w:p>
    <w:tbl>
      <w:tblPr>
        <w:tblLayout w:type="fixed"/>
        <w:tblInd w:w="0" w:type="dxa"/>
        <w:tblCellMar>
          <w:top w:w="0" w:type="dxa"/>
          <w:left w:w="0" w:type="dxa"/>
          <w:bottom w:w="0" w:type="dxa"/>
          <w:right w:w="0" w:type="dxa"/>
        </w:tblCellMar>
      </w:tblPr>
      <w:tr>
        <w:trPr>
          <w:trHeight w:val="209"/>
        </w:trPr>
        <w:tc>
          <w:tcPr>
            <w:tcW w:w="4640" w:type="dxa"/>
            <w:vAlign w:val="bottom"/>
          </w:tcPr>
          <w:p>
            <w:pPr>
              <w:spacing w:after="0"/>
              <w:rPr>
                <w:sz w:val="18"/>
                <w:szCs w:val="18"/>
                <w:color w:val="auto"/>
              </w:rPr>
            </w:pPr>
          </w:p>
        </w:tc>
        <w:tc>
          <w:tcPr>
            <w:tcW w:w="300" w:type="dxa"/>
            <w:vAlign w:val="bottom"/>
            <w:tcBorders>
              <w:top w:val="single" w:sz="8" w:color="auto"/>
              <w:bottom w:val="single" w:sz="8" w:color="auto"/>
            </w:tcBorders>
          </w:tcPr>
          <w:p>
            <w:pPr>
              <w:spacing w:after="0"/>
              <w:rPr>
                <w:sz w:val="18"/>
                <w:szCs w:val="18"/>
                <w:color w:val="auto"/>
              </w:rPr>
            </w:pPr>
          </w:p>
        </w:tc>
        <w:tc>
          <w:tcPr>
            <w:tcW w:w="1040" w:type="dxa"/>
            <w:vAlign w:val="bottom"/>
            <w:tcBorders>
              <w:top w:val="single" w:sz="8" w:color="auto"/>
              <w:bottom w:val="single" w:sz="8" w:color="auto"/>
            </w:tcBorders>
          </w:tcPr>
          <w:p>
            <w:pPr>
              <w:jc w:val="right"/>
              <w:ind w:right="390"/>
              <w:spacing w:after="0"/>
              <w:rPr>
                <w:sz w:val="20"/>
                <w:szCs w:val="20"/>
                <w:color w:val="auto"/>
              </w:rPr>
            </w:pPr>
            <w:r>
              <w:rPr>
                <w:rFonts w:ascii="Arial" w:cs="Arial" w:eastAsia="Arial" w:hAnsi="Arial"/>
                <w:sz w:val="18"/>
                <w:szCs w:val="18"/>
                <w:b w:val="1"/>
                <w:bCs w:val="1"/>
                <w:color w:val="auto"/>
              </w:rPr>
              <w:t>2022</w:t>
            </w:r>
          </w:p>
        </w:tc>
        <w:tc>
          <w:tcPr>
            <w:tcW w:w="280" w:type="dxa"/>
            <w:vAlign w:val="bottom"/>
            <w:tcBorders>
              <w:top w:val="single" w:sz="8" w:color="auto"/>
            </w:tcBorders>
          </w:tcPr>
          <w:p>
            <w:pPr>
              <w:spacing w:after="0"/>
              <w:rPr>
                <w:sz w:val="18"/>
                <w:szCs w:val="18"/>
                <w:color w:val="auto"/>
              </w:rPr>
            </w:pPr>
          </w:p>
        </w:tc>
        <w:tc>
          <w:tcPr>
            <w:tcW w:w="260" w:type="dxa"/>
            <w:vAlign w:val="bottom"/>
            <w:tcBorders>
              <w:top w:val="single" w:sz="8" w:color="auto"/>
              <w:bottom w:val="single" w:sz="8" w:color="auto"/>
            </w:tcBorders>
          </w:tcPr>
          <w:p>
            <w:pPr>
              <w:spacing w:after="0"/>
              <w:rPr>
                <w:sz w:val="18"/>
                <w:szCs w:val="18"/>
                <w:color w:val="auto"/>
              </w:rPr>
            </w:pPr>
          </w:p>
        </w:tc>
        <w:tc>
          <w:tcPr>
            <w:tcW w:w="1380" w:type="dxa"/>
            <w:vAlign w:val="bottom"/>
            <w:tcBorders>
              <w:top w:val="single" w:sz="8" w:color="auto"/>
              <w:bottom w:val="single" w:sz="8" w:color="auto"/>
            </w:tcBorders>
          </w:tcPr>
          <w:p>
            <w:pPr>
              <w:jc w:val="right"/>
              <w:ind w:right="550"/>
              <w:spacing w:after="0"/>
              <w:rPr>
                <w:sz w:val="20"/>
                <w:szCs w:val="20"/>
                <w:color w:val="auto"/>
              </w:rPr>
            </w:pPr>
            <w:r>
              <w:rPr>
                <w:rFonts w:ascii="Arial" w:cs="Arial" w:eastAsia="Arial" w:hAnsi="Arial"/>
                <w:sz w:val="18"/>
                <w:szCs w:val="18"/>
                <w:b w:val="1"/>
                <w:bCs w:val="1"/>
                <w:color w:val="auto"/>
              </w:rPr>
              <w:t>2021</w:t>
            </w:r>
          </w:p>
        </w:tc>
        <w:tc>
          <w:tcPr>
            <w:tcW w:w="260" w:type="dxa"/>
            <w:vAlign w:val="bottom"/>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1140" w:type="dxa"/>
            <w:vAlign w:val="bottom"/>
            <w:tcBorders>
              <w:bottom w:val="single" w:sz="8" w:color="auto"/>
            </w:tcBorders>
          </w:tcPr>
          <w:p>
            <w:pPr>
              <w:jc w:val="right"/>
              <w:ind w:right="230"/>
              <w:spacing w:after="0"/>
              <w:rPr>
                <w:sz w:val="20"/>
                <w:szCs w:val="20"/>
                <w:color w:val="auto"/>
              </w:rPr>
            </w:pPr>
            <w:r>
              <w:rPr>
                <w:rFonts w:ascii="Arial" w:cs="Arial" w:eastAsia="Arial" w:hAnsi="Arial"/>
                <w:sz w:val="18"/>
                <w:szCs w:val="18"/>
                <w:b w:val="1"/>
                <w:bCs w:val="1"/>
                <w:color w:val="auto"/>
                <w:w w:val="98"/>
              </w:rPr>
              <w:t>$ Change</w:t>
            </w:r>
          </w:p>
        </w:tc>
        <w:tc>
          <w:tcPr>
            <w:tcW w:w="260" w:type="dxa"/>
            <w:vAlign w:val="bottom"/>
          </w:tcPr>
          <w:p>
            <w:pPr>
              <w:spacing w:after="0"/>
              <w:rPr>
                <w:sz w:val="18"/>
                <w:szCs w:val="18"/>
                <w:color w:val="auto"/>
              </w:rPr>
            </w:pPr>
          </w:p>
        </w:tc>
        <w:tc>
          <w:tcPr>
            <w:tcW w:w="1460" w:type="dxa"/>
            <w:vAlign w:val="bottom"/>
            <w:tcBorders>
              <w:bottom w:val="single" w:sz="8" w:color="auto"/>
            </w:tcBorders>
          </w:tcPr>
          <w:p>
            <w:pPr>
              <w:jc w:val="center"/>
              <w:spacing w:after="0"/>
              <w:rPr>
                <w:sz w:val="20"/>
                <w:szCs w:val="20"/>
                <w:color w:val="auto"/>
              </w:rPr>
            </w:pPr>
            <w:r>
              <w:rPr>
                <w:rFonts w:ascii="Arial" w:cs="Arial" w:eastAsia="Arial" w:hAnsi="Arial"/>
                <w:sz w:val="18"/>
                <w:szCs w:val="18"/>
                <w:b w:val="1"/>
                <w:bCs w:val="1"/>
                <w:color w:val="auto"/>
                <w:w w:val="94"/>
              </w:rPr>
              <w:t>% Change</w:t>
            </w:r>
          </w:p>
        </w:tc>
      </w:tr>
      <w:tr>
        <w:trPr>
          <w:trHeight w:val="223"/>
        </w:trPr>
        <w:tc>
          <w:tcPr>
            <w:tcW w:w="464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4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3000" w:type="dxa"/>
            <w:vAlign w:val="bottom"/>
            <w:gridSpan w:val="4"/>
          </w:tcPr>
          <w:p>
            <w:pPr>
              <w:jc w:val="right"/>
              <w:ind w:right="210"/>
              <w:spacing w:after="0"/>
              <w:rPr>
                <w:sz w:val="20"/>
                <w:szCs w:val="20"/>
                <w:color w:val="auto"/>
              </w:rPr>
            </w:pPr>
            <w:r>
              <w:rPr>
                <w:rFonts w:ascii="Arial" w:cs="Arial" w:eastAsia="Arial" w:hAnsi="Arial"/>
                <w:sz w:val="18"/>
                <w:szCs w:val="18"/>
                <w:b w:val="1"/>
                <w:bCs w:val="1"/>
                <w:i w:val="1"/>
                <w:iCs w:val="1"/>
                <w:color w:val="auto"/>
                <w:w w:val="88"/>
              </w:rPr>
              <w:t>(in thousands, except percentages)</w:t>
            </w:r>
          </w:p>
        </w:tc>
        <w:tc>
          <w:tcPr>
            <w:tcW w:w="260" w:type="dxa"/>
            <w:vAlign w:val="bottom"/>
          </w:tcPr>
          <w:p>
            <w:pPr>
              <w:spacing w:after="0"/>
              <w:rPr>
                <w:sz w:val="19"/>
                <w:szCs w:val="19"/>
                <w:color w:val="auto"/>
              </w:rPr>
            </w:pPr>
          </w:p>
        </w:tc>
        <w:tc>
          <w:tcPr>
            <w:tcW w:w="1460" w:type="dxa"/>
            <w:vAlign w:val="bottom"/>
          </w:tcPr>
          <w:p>
            <w:pPr>
              <w:spacing w:after="0"/>
              <w:rPr>
                <w:sz w:val="19"/>
                <w:szCs w:val="19"/>
                <w:color w:val="auto"/>
              </w:rPr>
            </w:pPr>
          </w:p>
        </w:tc>
      </w:tr>
      <w:tr>
        <w:trPr>
          <w:trHeight w:val="229"/>
        </w:trPr>
        <w:tc>
          <w:tcPr>
            <w:tcW w:w="4640" w:type="dxa"/>
            <w:vAlign w:val="bottom"/>
            <w:shd w:val="clear" w:color="auto" w:fill="CFF0FC"/>
          </w:tcPr>
          <w:p>
            <w:pPr>
              <w:ind w:left="20"/>
              <w:spacing w:after="0"/>
              <w:rPr>
                <w:sz w:val="20"/>
                <w:szCs w:val="20"/>
                <w:color w:val="auto"/>
              </w:rPr>
            </w:pPr>
            <w:r>
              <w:rPr>
                <w:rFonts w:ascii="Arial" w:cs="Arial" w:eastAsia="Arial" w:hAnsi="Arial"/>
                <w:sz w:val="18"/>
                <w:szCs w:val="18"/>
                <w:color w:val="auto"/>
              </w:rPr>
              <w:t>Revenue</w:t>
            </w:r>
          </w:p>
        </w:tc>
        <w:tc>
          <w:tcPr>
            <w:tcW w:w="300" w:type="dxa"/>
            <w:vAlign w:val="bottom"/>
            <w:shd w:val="clear" w:color="auto" w:fill="CFF0FC"/>
          </w:tcPr>
          <w:p>
            <w:pPr>
              <w:jc w:val="right"/>
              <w:ind w:right="110"/>
              <w:spacing w:after="0"/>
              <w:rPr>
                <w:sz w:val="20"/>
                <w:szCs w:val="20"/>
                <w:color w:val="auto"/>
              </w:rPr>
            </w:pPr>
            <w:r>
              <w:rPr>
                <w:rFonts w:ascii="Arial" w:cs="Arial" w:eastAsia="Arial" w:hAnsi="Arial"/>
                <w:sz w:val="18"/>
                <w:szCs w:val="18"/>
                <w:color w:val="auto"/>
                <w:w w:val="79"/>
              </w:rPr>
              <w:t>$</w:t>
            </w:r>
          </w:p>
        </w:tc>
        <w:tc>
          <w:tcPr>
            <w:tcW w:w="10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172,809</w:t>
            </w:r>
          </w:p>
        </w:tc>
        <w:tc>
          <w:tcPr>
            <w:tcW w:w="540" w:type="dxa"/>
            <w:vAlign w:val="bottom"/>
            <w:gridSpan w:val="2"/>
            <w:shd w:val="clear" w:color="auto" w:fill="CFF0FC"/>
          </w:tcPr>
          <w:p>
            <w:pPr>
              <w:jc w:val="right"/>
              <w:ind w:right="160"/>
              <w:spacing w:after="0"/>
              <w:rPr>
                <w:sz w:val="20"/>
                <w:szCs w:val="20"/>
                <w:color w:val="auto"/>
              </w:rPr>
            </w:pPr>
            <w:r>
              <w:rPr>
                <w:rFonts w:ascii="Arial" w:cs="Arial" w:eastAsia="Arial" w:hAnsi="Arial"/>
                <w:sz w:val="18"/>
                <w:szCs w:val="18"/>
                <w:color w:val="auto"/>
              </w:rPr>
              <w:t>$</w:t>
            </w:r>
          </w:p>
        </w:tc>
        <w:tc>
          <w:tcPr>
            <w:tcW w:w="13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117,837</w:t>
            </w:r>
          </w:p>
        </w:tc>
        <w:tc>
          <w:tcPr>
            <w:tcW w:w="480" w:type="dxa"/>
            <w:vAlign w:val="bottom"/>
            <w:gridSpan w:val="2"/>
            <w:shd w:val="clear" w:color="auto" w:fill="CFF0FC"/>
          </w:tcPr>
          <w:p>
            <w:pPr>
              <w:jc w:val="right"/>
              <w:ind w:right="120"/>
              <w:spacing w:after="0"/>
              <w:rPr>
                <w:sz w:val="20"/>
                <w:szCs w:val="20"/>
                <w:color w:val="auto"/>
              </w:rPr>
            </w:pPr>
            <w:r>
              <w:rPr>
                <w:rFonts w:ascii="Arial" w:cs="Arial" w:eastAsia="Arial" w:hAnsi="Arial"/>
                <w:sz w:val="18"/>
                <w:szCs w:val="18"/>
                <w:color w:val="auto"/>
              </w:rPr>
              <w:t>$</w:t>
            </w:r>
          </w:p>
        </w:tc>
        <w:tc>
          <w:tcPr>
            <w:tcW w:w="11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54,972</w:t>
            </w:r>
          </w:p>
        </w:tc>
        <w:tc>
          <w:tcPr>
            <w:tcW w:w="1720" w:type="dxa"/>
            <w:vAlign w:val="bottom"/>
            <w:gridSpan w:val="2"/>
            <w:shd w:val="clear" w:color="auto" w:fill="CFF0FC"/>
          </w:tcPr>
          <w:p>
            <w:pPr>
              <w:jc w:val="right"/>
              <w:ind w:right="470"/>
              <w:spacing w:after="0"/>
              <w:rPr>
                <w:sz w:val="20"/>
                <w:szCs w:val="20"/>
                <w:color w:val="auto"/>
              </w:rPr>
            </w:pPr>
            <w:r>
              <w:rPr>
                <w:rFonts w:ascii="Arial" w:cs="Arial" w:eastAsia="Arial" w:hAnsi="Arial"/>
                <w:sz w:val="18"/>
                <w:szCs w:val="18"/>
                <w:color w:val="auto"/>
              </w:rPr>
              <w:t>47%</w:t>
            </w:r>
          </w:p>
        </w:tc>
      </w:tr>
    </w:tbl>
    <w:p>
      <w:pPr>
        <w:spacing w:after="0" w:line="228" w:lineRule="exact"/>
        <w:rPr>
          <w:sz w:val="20"/>
          <w:szCs w:val="20"/>
          <w:color w:val="auto"/>
        </w:rPr>
      </w:pPr>
    </w:p>
    <w:p>
      <w:pPr>
        <w:ind w:left="520"/>
        <w:spacing w:after="0"/>
        <w:rPr>
          <w:sz w:val="20"/>
          <w:szCs w:val="20"/>
          <w:color w:val="auto"/>
        </w:rPr>
      </w:pPr>
      <w:r>
        <w:rPr>
          <w:rFonts w:ascii="Arial" w:cs="Arial" w:eastAsia="Arial" w:hAnsi="Arial"/>
          <w:sz w:val="16"/>
          <w:szCs w:val="16"/>
          <w:color w:val="auto"/>
        </w:rPr>
        <w:t>Revenue increased $55.0 million, or 47%, during the nine months ended September 30, 2022 compared to the nine months ended September 30,</w:t>
      </w:r>
    </w:p>
    <w:p>
      <w:pPr>
        <w:spacing w:after="0" w:line="34" w:lineRule="exact"/>
        <w:rPr>
          <w:sz w:val="20"/>
          <w:szCs w:val="20"/>
          <w:color w:val="auto"/>
        </w:rPr>
      </w:pPr>
    </w:p>
    <w:p>
      <w:pPr>
        <w:ind w:right="40"/>
        <w:spacing w:after="0" w:line="258" w:lineRule="auto"/>
        <w:rPr>
          <w:sz w:val="20"/>
          <w:szCs w:val="20"/>
          <w:color w:val="auto"/>
        </w:rPr>
      </w:pPr>
      <w:r>
        <w:rPr>
          <w:rFonts w:ascii="Arial" w:cs="Arial" w:eastAsia="Arial" w:hAnsi="Arial"/>
          <w:sz w:val="18"/>
          <w:szCs w:val="18"/>
          <w:color w:val="auto"/>
        </w:rPr>
        <w:t>2021. The increase in revenue was primarily due to growth of our paying customer base of 35% and revenue generated from our existing paying customers as reflected by our dollar-based net retention of 123% as of September 30, 2022.</w:t>
      </w:r>
    </w:p>
    <w:p>
      <w:pPr>
        <w:spacing w:after="0" w:line="308"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4540" w:type="dxa"/>
            <w:vAlign w:val="bottom"/>
          </w:tcPr>
          <w:p>
            <w:pPr>
              <w:spacing w:after="0"/>
              <w:rPr>
                <w:sz w:val="20"/>
                <w:szCs w:val="20"/>
                <w:color w:val="auto"/>
              </w:rPr>
            </w:pPr>
            <w:r>
              <w:rPr>
                <w:rFonts w:ascii="Arial" w:cs="Arial" w:eastAsia="Arial" w:hAnsi="Arial"/>
                <w:sz w:val="18"/>
                <w:szCs w:val="18"/>
                <w:i w:val="1"/>
                <w:iCs w:val="1"/>
                <w:color w:val="auto"/>
              </w:rPr>
              <w:t>Cost of Revenue and Gross Margin</w:t>
            </w:r>
          </w:p>
        </w:tc>
        <w:tc>
          <w:tcPr>
            <w:tcW w:w="900" w:type="dxa"/>
            <w:vAlign w:val="bottom"/>
          </w:tcPr>
          <w:p>
            <w:pPr>
              <w:spacing w:after="0"/>
              <w:rPr>
                <w:sz w:val="20"/>
                <w:szCs w:val="20"/>
                <w:color w:val="auto"/>
              </w:rPr>
            </w:pPr>
          </w:p>
        </w:tc>
        <w:tc>
          <w:tcPr>
            <w:tcW w:w="52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120" w:type="dxa"/>
            <w:vAlign w:val="bottom"/>
          </w:tcPr>
          <w:p>
            <w:pPr>
              <w:spacing w:after="0"/>
              <w:rPr>
                <w:sz w:val="20"/>
                <w:szCs w:val="20"/>
                <w:color w:val="auto"/>
              </w:rPr>
            </w:pPr>
          </w:p>
        </w:tc>
        <w:tc>
          <w:tcPr>
            <w:tcW w:w="58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12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4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13"/>
        </w:trPr>
        <w:tc>
          <w:tcPr>
            <w:tcW w:w="454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1940" w:type="dxa"/>
            <w:vAlign w:val="bottom"/>
            <w:gridSpan w:val="3"/>
          </w:tcPr>
          <w:p>
            <w:pPr>
              <w:jc w:val="center"/>
              <w:ind w:right="230"/>
              <w:spacing w:after="0"/>
              <w:rPr>
                <w:sz w:val="20"/>
                <w:szCs w:val="20"/>
                <w:color w:val="auto"/>
              </w:rPr>
            </w:pPr>
            <w:r>
              <w:rPr>
                <w:rFonts w:ascii="Arial" w:cs="Arial" w:eastAsia="Arial" w:hAnsi="Arial"/>
                <w:sz w:val="18"/>
                <w:szCs w:val="18"/>
                <w:b w:val="1"/>
                <w:bCs w:val="1"/>
                <w:color w:val="auto"/>
                <w:w w:val="91"/>
              </w:rPr>
              <w:t>Nine Months Ended</w:t>
            </w:r>
          </w:p>
        </w:tc>
        <w:tc>
          <w:tcPr>
            <w:tcW w:w="58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4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34"/>
        </w:trPr>
        <w:tc>
          <w:tcPr>
            <w:tcW w:w="4540" w:type="dxa"/>
            <w:vAlign w:val="bottom"/>
          </w:tcPr>
          <w:p>
            <w:pPr>
              <w:spacing w:after="0"/>
              <w:rPr>
                <w:sz w:val="20"/>
                <w:szCs w:val="20"/>
                <w:color w:val="auto"/>
              </w:rPr>
            </w:pPr>
          </w:p>
        </w:tc>
        <w:tc>
          <w:tcPr>
            <w:tcW w:w="900" w:type="dxa"/>
            <w:vAlign w:val="bottom"/>
            <w:tcBorders>
              <w:bottom w:val="single" w:sz="8" w:color="auto"/>
            </w:tcBorders>
          </w:tcPr>
          <w:p>
            <w:pPr>
              <w:spacing w:after="0"/>
              <w:rPr>
                <w:sz w:val="20"/>
                <w:szCs w:val="20"/>
                <w:color w:val="auto"/>
              </w:rPr>
            </w:pPr>
          </w:p>
        </w:tc>
        <w:tc>
          <w:tcPr>
            <w:tcW w:w="1940" w:type="dxa"/>
            <w:vAlign w:val="bottom"/>
            <w:tcBorders>
              <w:bottom w:val="single" w:sz="8" w:color="auto"/>
            </w:tcBorders>
            <w:gridSpan w:val="3"/>
          </w:tcPr>
          <w:p>
            <w:pPr>
              <w:jc w:val="center"/>
              <w:ind w:right="230"/>
              <w:spacing w:after="0"/>
              <w:rPr>
                <w:sz w:val="20"/>
                <w:szCs w:val="20"/>
                <w:color w:val="auto"/>
              </w:rPr>
            </w:pPr>
            <w:r>
              <w:rPr>
                <w:rFonts w:ascii="Arial" w:cs="Arial" w:eastAsia="Arial" w:hAnsi="Arial"/>
                <w:sz w:val="18"/>
                <w:szCs w:val="18"/>
                <w:b w:val="1"/>
                <w:bCs w:val="1"/>
                <w:color w:val="auto"/>
                <w:w w:val="89"/>
              </w:rPr>
              <w:t>September 30,</w:t>
            </w:r>
          </w:p>
        </w:tc>
        <w:tc>
          <w:tcPr>
            <w:tcW w:w="580" w:type="dxa"/>
            <w:vAlign w:val="bottom"/>
            <w:tcBorders>
              <w:bottom w:val="single" w:sz="8" w:color="auto"/>
            </w:tcBorders>
          </w:tcPr>
          <w:p>
            <w:pPr>
              <w:spacing w:after="0"/>
              <w:rPr>
                <w:sz w:val="20"/>
                <w:szCs w:val="20"/>
                <w:color w:val="auto"/>
              </w:rPr>
            </w:pPr>
          </w:p>
        </w:tc>
        <w:tc>
          <w:tcPr>
            <w:tcW w:w="26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120" w:type="dxa"/>
            <w:vAlign w:val="bottom"/>
            <w:vMerge w:val="restart"/>
          </w:tcPr>
          <w:p>
            <w:pPr>
              <w:jc w:val="center"/>
              <w:ind w:right="110"/>
              <w:spacing w:after="0"/>
              <w:rPr>
                <w:sz w:val="20"/>
                <w:szCs w:val="20"/>
                <w:color w:val="auto"/>
              </w:rPr>
            </w:pPr>
            <w:r>
              <w:rPr>
                <w:rFonts w:ascii="Arial" w:cs="Arial" w:eastAsia="Arial" w:hAnsi="Arial"/>
                <w:sz w:val="18"/>
                <w:szCs w:val="18"/>
                <w:b w:val="1"/>
                <w:bCs w:val="1"/>
                <w:color w:val="auto"/>
                <w:w w:val="88"/>
              </w:rPr>
              <w:t>$ Change</w:t>
            </w:r>
          </w:p>
        </w:tc>
        <w:tc>
          <w:tcPr>
            <w:tcW w:w="260" w:type="dxa"/>
            <w:vAlign w:val="bottom"/>
          </w:tcPr>
          <w:p>
            <w:pPr>
              <w:spacing w:after="0"/>
              <w:rPr>
                <w:sz w:val="20"/>
                <w:szCs w:val="20"/>
                <w:color w:val="auto"/>
              </w:rPr>
            </w:pPr>
          </w:p>
        </w:tc>
        <w:tc>
          <w:tcPr>
            <w:tcW w:w="1440" w:type="dxa"/>
            <w:vAlign w:val="bottom"/>
            <w:vMerge w:val="restart"/>
          </w:tcPr>
          <w:p>
            <w:pPr>
              <w:jc w:val="center"/>
              <w:spacing w:after="0"/>
              <w:rPr>
                <w:sz w:val="20"/>
                <w:szCs w:val="20"/>
                <w:color w:val="auto"/>
              </w:rPr>
            </w:pPr>
            <w:r>
              <w:rPr>
                <w:rFonts w:ascii="Arial" w:cs="Arial" w:eastAsia="Arial" w:hAnsi="Arial"/>
                <w:sz w:val="18"/>
                <w:szCs w:val="18"/>
                <w:b w:val="1"/>
                <w:bCs w:val="1"/>
                <w:color w:val="auto"/>
                <w:w w:val="91"/>
              </w:rPr>
              <w:t>% Change</w:t>
            </w:r>
          </w:p>
        </w:tc>
        <w:tc>
          <w:tcPr>
            <w:tcW w:w="0" w:type="dxa"/>
            <w:vAlign w:val="bottom"/>
          </w:tcPr>
          <w:p>
            <w:pPr>
              <w:spacing w:after="0"/>
              <w:rPr>
                <w:sz w:val="1"/>
                <w:szCs w:val="1"/>
                <w:color w:val="auto"/>
              </w:rPr>
            </w:pPr>
          </w:p>
        </w:tc>
      </w:tr>
      <w:tr>
        <w:trPr>
          <w:trHeight w:val="209"/>
        </w:trPr>
        <w:tc>
          <w:tcPr>
            <w:tcW w:w="4540" w:type="dxa"/>
            <w:vAlign w:val="bottom"/>
          </w:tcPr>
          <w:p>
            <w:pPr>
              <w:spacing w:after="0"/>
              <w:rPr>
                <w:sz w:val="18"/>
                <w:szCs w:val="18"/>
                <w:color w:val="auto"/>
              </w:rPr>
            </w:pP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2022</w:t>
            </w:r>
          </w:p>
        </w:tc>
        <w:tc>
          <w:tcPr>
            <w:tcW w:w="520" w:type="dxa"/>
            <w:vAlign w:val="bottom"/>
            <w:tcBorders>
              <w:bottom w:val="single" w:sz="8" w:color="auto"/>
            </w:tcBorders>
          </w:tcPr>
          <w:p>
            <w:pPr>
              <w:spacing w:after="0"/>
              <w:rPr>
                <w:sz w:val="18"/>
                <w:szCs w:val="18"/>
                <w:color w:val="auto"/>
              </w:rPr>
            </w:pPr>
          </w:p>
        </w:tc>
        <w:tc>
          <w:tcPr>
            <w:tcW w:w="300" w:type="dxa"/>
            <w:vAlign w:val="bottom"/>
          </w:tcPr>
          <w:p>
            <w:pPr>
              <w:spacing w:after="0"/>
              <w:rPr>
                <w:sz w:val="18"/>
                <w:szCs w:val="18"/>
                <w:color w:val="auto"/>
              </w:rPr>
            </w:pPr>
          </w:p>
        </w:tc>
        <w:tc>
          <w:tcPr>
            <w:tcW w:w="112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b w:val="1"/>
                <w:bCs w:val="1"/>
                <w:color w:val="auto"/>
              </w:rPr>
              <w:t>2021</w:t>
            </w:r>
          </w:p>
        </w:tc>
        <w:tc>
          <w:tcPr>
            <w:tcW w:w="580" w:type="dxa"/>
            <w:vAlign w:val="bottom"/>
            <w:tcBorders>
              <w:bottom w:val="single" w:sz="8" w:color="auto"/>
            </w:tcBorders>
          </w:tcPr>
          <w:p>
            <w:pPr>
              <w:spacing w:after="0"/>
              <w:rPr>
                <w:sz w:val="18"/>
                <w:szCs w:val="18"/>
                <w:color w:val="auto"/>
              </w:rPr>
            </w:pPr>
          </w:p>
        </w:tc>
        <w:tc>
          <w:tcPr>
            <w:tcW w:w="260" w:type="dxa"/>
            <w:vAlign w:val="bottom"/>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1120" w:type="dxa"/>
            <w:vAlign w:val="bottom"/>
            <w:tcBorders>
              <w:bottom w:val="single" w:sz="8" w:color="auto"/>
            </w:tcBorders>
            <w:vMerge w:val="continue"/>
          </w:tcPr>
          <w:p>
            <w:pPr>
              <w:spacing w:after="0"/>
              <w:rPr>
                <w:sz w:val="18"/>
                <w:szCs w:val="18"/>
                <w:color w:val="auto"/>
              </w:rPr>
            </w:pPr>
          </w:p>
        </w:tc>
        <w:tc>
          <w:tcPr>
            <w:tcW w:w="260" w:type="dxa"/>
            <w:vAlign w:val="bottom"/>
          </w:tcPr>
          <w:p>
            <w:pPr>
              <w:spacing w:after="0"/>
              <w:rPr>
                <w:sz w:val="18"/>
                <w:szCs w:val="18"/>
                <w:color w:val="auto"/>
              </w:rPr>
            </w:pPr>
          </w:p>
        </w:tc>
        <w:tc>
          <w:tcPr>
            <w:tcW w:w="1440" w:type="dxa"/>
            <w:vAlign w:val="bottom"/>
            <w:tcBorders>
              <w:bottom w:val="single" w:sz="8" w:color="auto"/>
            </w:tcBorders>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454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3280" w:type="dxa"/>
            <w:vAlign w:val="bottom"/>
            <w:gridSpan w:val="5"/>
          </w:tcPr>
          <w:p>
            <w:pPr>
              <w:jc w:val="right"/>
              <w:ind w:right="290"/>
              <w:spacing w:after="0"/>
              <w:rPr>
                <w:sz w:val="20"/>
                <w:szCs w:val="20"/>
                <w:color w:val="auto"/>
              </w:rPr>
            </w:pPr>
            <w:r>
              <w:rPr>
                <w:rFonts w:ascii="Arial" w:cs="Arial" w:eastAsia="Arial" w:hAnsi="Arial"/>
                <w:sz w:val="18"/>
                <w:szCs w:val="18"/>
                <w:b w:val="1"/>
                <w:bCs w:val="1"/>
                <w:i w:val="1"/>
                <w:iCs w:val="1"/>
                <w:color w:val="auto"/>
                <w:w w:val="95"/>
              </w:rPr>
              <w:t>(in thousands, except percentages)</w:t>
            </w:r>
          </w:p>
        </w:tc>
        <w:tc>
          <w:tcPr>
            <w:tcW w:w="260" w:type="dxa"/>
            <w:vAlign w:val="bottom"/>
          </w:tcPr>
          <w:p>
            <w:pPr>
              <w:spacing w:after="0"/>
              <w:rPr>
                <w:sz w:val="19"/>
                <w:szCs w:val="19"/>
                <w:color w:val="auto"/>
              </w:rPr>
            </w:pPr>
          </w:p>
        </w:tc>
        <w:tc>
          <w:tcPr>
            <w:tcW w:w="14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4540" w:type="dxa"/>
            <w:vAlign w:val="bottom"/>
            <w:shd w:val="clear" w:color="auto" w:fill="CFF0FC"/>
          </w:tcPr>
          <w:p>
            <w:pPr>
              <w:ind w:left="20"/>
              <w:spacing w:after="0"/>
              <w:rPr>
                <w:sz w:val="20"/>
                <w:szCs w:val="20"/>
                <w:color w:val="auto"/>
              </w:rPr>
            </w:pPr>
            <w:r>
              <w:rPr>
                <w:rFonts w:ascii="Arial" w:cs="Arial" w:eastAsia="Arial" w:hAnsi="Arial"/>
                <w:sz w:val="18"/>
                <w:szCs w:val="18"/>
                <w:color w:val="auto"/>
              </w:rPr>
              <w:t>Cost of revenue</w:t>
            </w:r>
          </w:p>
        </w:tc>
        <w:tc>
          <w:tcPr>
            <w:tcW w:w="900" w:type="dxa"/>
            <w:vAlign w:val="bottom"/>
            <w:shd w:val="clear" w:color="auto" w:fill="CFF0FC"/>
          </w:tcPr>
          <w:p>
            <w:pPr>
              <w:jc w:val="right"/>
              <w:ind w:right="710"/>
              <w:spacing w:after="0"/>
              <w:rPr>
                <w:sz w:val="20"/>
                <w:szCs w:val="20"/>
                <w:color w:val="auto"/>
              </w:rPr>
            </w:pPr>
            <w:r>
              <w:rPr>
                <w:rFonts w:ascii="Arial" w:cs="Arial" w:eastAsia="Arial" w:hAnsi="Arial"/>
                <w:sz w:val="18"/>
                <w:szCs w:val="18"/>
                <w:color w:val="auto"/>
                <w:w w:val="79"/>
              </w:rPr>
              <w:t>$</w:t>
            </w:r>
          </w:p>
        </w:tc>
        <w:tc>
          <w:tcPr>
            <w:tcW w:w="520" w:type="dxa"/>
            <w:vAlign w:val="bottom"/>
            <w:shd w:val="clear" w:color="auto" w:fill="CFF0FC"/>
          </w:tcPr>
          <w:p>
            <w:pPr>
              <w:jc w:val="right"/>
              <w:spacing w:after="0"/>
              <w:rPr>
                <w:sz w:val="20"/>
                <w:szCs w:val="20"/>
                <w:color w:val="auto"/>
              </w:rPr>
            </w:pPr>
            <w:r>
              <w:rPr>
                <w:rFonts w:ascii="Arial" w:cs="Arial" w:eastAsia="Arial" w:hAnsi="Arial"/>
                <w:sz w:val="18"/>
                <w:szCs w:val="18"/>
                <w:color w:val="auto"/>
                <w:w w:val="90"/>
              </w:rPr>
              <w:t>51,199</w:t>
            </w:r>
          </w:p>
        </w:tc>
        <w:tc>
          <w:tcPr>
            <w:tcW w:w="300" w:type="dxa"/>
            <w:vAlign w:val="bottom"/>
            <w:shd w:val="clear" w:color="auto" w:fill="CFF0FC"/>
          </w:tcPr>
          <w:p>
            <w:pPr>
              <w:spacing w:after="0"/>
              <w:rPr>
                <w:sz w:val="19"/>
                <w:szCs w:val="19"/>
                <w:color w:val="auto"/>
              </w:rPr>
            </w:pPr>
          </w:p>
        </w:tc>
        <w:tc>
          <w:tcPr>
            <w:tcW w:w="1120" w:type="dxa"/>
            <w:vAlign w:val="bottom"/>
            <w:shd w:val="clear" w:color="auto" w:fill="CFF0FC"/>
          </w:tcPr>
          <w:p>
            <w:pPr>
              <w:jc w:val="right"/>
              <w:ind w:right="930"/>
              <w:spacing w:after="0"/>
              <w:rPr>
                <w:sz w:val="20"/>
                <w:szCs w:val="20"/>
                <w:color w:val="auto"/>
              </w:rPr>
            </w:pPr>
            <w:r>
              <w:rPr>
                <w:rFonts w:ascii="Arial" w:cs="Arial" w:eastAsia="Arial" w:hAnsi="Arial"/>
                <w:sz w:val="18"/>
                <w:szCs w:val="18"/>
                <w:color w:val="auto"/>
                <w:w w:val="79"/>
              </w:rPr>
              <w:t>$</w:t>
            </w:r>
          </w:p>
        </w:tc>
        <w:tc>
          <w:tcPr>
            <w:tcW w:w="5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36,372</w:t>
            </w:r>
          </w:p>
        </w:tc>
        <w:tc>
          <w:tcPr>
            <w:tcW w:w="260" w:type="dxa"/>
            <w:vAlign w:val="bottom"/>
            <w:shd w:val="clear" w:color="auto" w:fill="CFF0FC"/>
          </w:tcPr>
          <w:p>
            <w:pPr>
              <w:spacing w:after="0"/>
              <w:rPr>
                <w:sz w:val="19"/>
                <w:szCs w:val="19"/>
                <w:color w:val="auto"/>
              </w:rPr>
            </w:pPr>
          </w:p>
        </w:tc>
        <w:tc>
          <w:tcPr>
            <w:tcW w:w="200" w:type="dxa"/>
            <w:vAlign w:val="bottom"/>
            <w:shd w:val="clear" w:color="auto" w:fill="CFF0FC"/>
          </w:tcPr>
          <w:p>
            <w:pPr>
              <w:jc w:val="right"/>
              <w:ind w:right="10"/>
              <w:spacing w:after="0"/>
              <w:rPr>
                <w:sz w:val="20"/>
                <w:szCs w:val="20"/>
                <w:color w:val="auto"/>
              </w:rPr>
            </w:pPr>
            <w:r>
              <w:rPr>
                <w:rFonts w:ascii="Arial" w:cs="Arial" w:eastAsia="Arial" w:hAnsi="Arial"/>
                <w:sz w:val="18"/>
                <w:szCs w:val="18"/>
                <w:color w:val="auto"/>
                <w:w w:val="79"/>
              </w:rPr>
              <w:t>$</w:t>
            </w:r>
          </w:p>
        </w:tc>
        <w:tc>
          <w:tcPr>
            <w:tcW w:w="11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14,827</w:t>
            </w:r>
          </w:p>
        </w:tc>
        <w:tc>
          <w:tcPr>
            <w:tcW w:w="1700" w:type="dxa"/>
            <w:vAlign w:val="bottom"/>
            <w:gridSpan w:val="2"/>
            <w:shd w:val="clear" w:color="auto" w:fill="CFF0FC"/>
          </w:tcPr>
          <w:p>
            <w:pPr>
              <w:jc w:val="center"/>
              <w:ind w:left="170"/>
              <w:spacing w:after="0"/>
              <w:rPr>
                <w:sz w:val="20"/>
                <w:szCs w:val="20"/>
                <w:color w:val="auto"/>
              </w:rPr>
            </w:pPr>
            <w:r>
              <w:rPr>
                <w:rFonts w:ascii="Arial" w:cs="Arial" w:eastAsia="Arial" w:hAnsi="Arial"/>
                <w:sz w:val="18"/>
                <w:szCs w:val="18"/>
                <w:color w:val="auto"/>
                <w:w w:val="88"/>
              </w:rPr>
              <w:t>41%</w:t>
            </w:r>
          </w:p>
        </w:tc>
        <w:tc>
          <w:tcPr>
            <w:tcW w:w="0" w:type="dxa"/>
            <w:vAlign w:val="bottom"/>
          </w:tcPr>
          <w:p>
            <w:pPr>
              <w:spacing w:after="0"/>
              <w:rPr>
                <w:sz w:val="1"/>
                <w:szCs w:val="1"/>
                <w:color w:val="auto"/>
              </w:rPr>
            </w:pPr>
          </w:p>
        </w:tc>
      </w:tr>
      <w:tr>
        <w:trPr>
          <w:trHeight w:val="230"/>
        </w:trPr>
        <w:tc>
          <w:tcPr>
            <w:tcW w:w="4540" w:type="dxa"/>
            <w:vAlign w:val="bottom"/>
          </w:tcPr>
          <w:p>
            <w:pPr>
              <w:ind w:left="20"/>
              <w:spacing w:after="0"/>
              <w:rPr>
                <w:sz w:val="20"/>
                <w:szCs w:val="20"/>
                <w:color w:val="auto"/>
              </w:rPr>
            </w:pPr>
            <w:r>
              <w:rPr>
                <w:rFonts w:ascii="Arial" w:cs="Arial" w:eastAsia="Arial" w:hAnsi="Arial"/>
                <w:sz w:val="18"/>
                <w:szCs w:val="18"/>
                <w:color w:val="auto"/>
              </w:rPr>
              <w:t>Gross margin</w:t>
            </w:r>
          </w:p>
        </w:tc>
        <w:tc>
          <w:tcPr>
            <w:tcW w:w="900" w:type="dxa"/>
            <w:vAlign w:val="bottom"/>
          </w:tcPr>
          <w:p>
            <w:pPr>
              <w:spacing w:after="0"/>
              <w:rPr>
                <w:sz w:val="20"/>
                <w:szCs w:val="20"/>
                <w:color w:val="auto"/>
              </w:rPr>
            </w:pPr>
          </w:p>
        </w:tc>
        <w:tc>
          <w:tcPr>
            <w:tcW w:w="820" w:type="dxa"/>
            <w:vAlign w:val="bottom"/>
            <w:gridSpan w:val="2"/>
          </w:tcPr>
          <w:p>
            <w:pPr>
              <w:jc w:val="right"/>
              <w:ind w:right="120"/>
              <w:spacing w:after="0"/>
              <w:rPr>
                <w:sz w:val="20"/>
                <w:szCs w:val="20"/>
                <w:color w:val="auto"/>
              </w:rPr>
            </w:pPr>
            <w:r>
              <w:rPr>
                <w:rFonts w:ascii="Arial" w:cs="Arial" w:eastAsia="Arial" w:hAnsi="Arial"/>
                <w:sz w:val="18"/>
                <w:szCs w:val="18"/>
                <w:color w:val="auto"/>
              </w:rPr>
              <w:t>70 %</w:t>
            </w:r>
          </w:p>
        </w:tc>
        <w:tc>
          <w:tcPr>
            <w:tcW w:w="1120" w:type="dxa"/>
            <w:vAlign w:val="bottom"/>
          </w:tcPr>
          <w:p>
            <w:pPr>
              <w:spacing w:after="0"/>
              <w:rPr>
                <w:sz w:val="20"/>
                <w:szCs w:val="20"/>
                <w:color w:val="auto"/>
              </w:rPr>
            </w:pPr>
          </w:p>
        </w:tc>
        <w:tc>
          <w:tcPr>
            <w:tcW w:w="840" w:type="dxa"/>
            <w:vAlign w:val="bottom"/>
            <w:gridSpan w:val="2"/>
          </w:tcPr>
          <w:p>
            <w:pPr>
              <w:jc w:val="right"/>
              <w:ind w:right="100"/>
              <w:spacing w:after="0"/>
              <w:rPr>
                <w:sz w:val="20"/>
                <w:szCs w:val="20"/>
                <w:color w:val="auto"/>
              </w:rPr>
            </w:pPr>
            <w:r>
              <w:rPr>
                <w:rFonts w:ascii="Arial" w:cs="Arial" w:eastAsia="Arial" w:hAnsi="Arial"/>
                <w:sz w:val="18"/>
                <w:szCs w:val="18"/>
                <w:color w:val="auto"/>
              </w:rPr>
              <w:t>69 %</w:t>
            </w:r>
          </w:p>
        </w:tc>
        <w:tc>
          <w:tcPr>
            <w:tcW w:w="200" w:type="dxa"/>
            <w:vAlign w:val="bottom"/>
          </w:tcPr>
          <w:p>
            <w:pPr>
              <w:spacing w:after="0"/>
              <w:rPr>
                <w:sz w:val="20"/>
                <w:szCs w:val="20"/>
                <w:color w:val="auto"/>
              </w:rPr>
            </w:pPr>
          </w:p>
        </w:tc>
        <w:tc>
          <w:tcPr>
            <w:tcW w:w="1120" w:type="dxa"/>
            <w:vAlign w:val="bottom"/>
          </w:tcPr>
          <w:p>
            <w:pPr>
              <w:jc w:val="center"/>
              <w:ind w:right="110"/>
              <w:spacing w:after="0"/>
              <w:rPr>
                <w:sz w:val="20"/>
                <w:szCs w:val="20"/>
                <w:color w:val="auto"/>
              </w:rPr>
            </w:pPr>
            <w:r>
              <w:rPr>
                <w:rFonts w:ascii="Arial" w:cs="Arial" w:eastAsia="Arial" w:hAnsi="Arial"/>
                <w:sz w:val="18"/>
                <w:szCs w:val="18"/>
                <w:color w:val="auto"/>
              </w:rPr>
              <w:t>N/A</w:t>
            </w:r>
          </w:p>
        </w:tc>
        <w:tc>
          <w:tcPr>
            <w:tcW w:w="260" w:type="dxa"/>
            <w:vAlign w:val="bottom"/>
          </w:tcPr>
          <w:p>
            <w:pPr>
              <w:spacing w:after="0"/>
              <w:rPr>
                <w:sz w:val="20"/>
                <w:szCs w:val="20"/>
                <w:color w:val="auto"/>
              </w:rPr>
            </w:pPr>
          </w:p>
        </w:tc>
        <w:tc>
          <w:tcPr>
            <w:tcW w:w="1440" w:type="dxa"/>
            <w:vAlign w:val="bottom"/>
          </w:tcPr>
          <w:p>
            <w:pPr>
              <w:jc w:val="center"/>
              <w:spacing w:after="0"/>
              <w:rPr>
                <w:sz w:val="20"/>
                <w:szCs w:val="20"/>
                <w:color w:val="auto"/>
              </w:rPr>
            </w:pPr>
            <w:r>
              <w:rPr>
                <w:rFonts w:ascii="Arial" w:cs="Arial" w:eastAsia="Arial" w:hAnsi="Arial"/>
                <w:sz w:val="18"/>
                <w:szCs w:val="18"/>
                <w:color w:val="auto"/>
              </w:rPr>
              <w:t>N/A</w:t>
            </w:r>
          </w:p>
        </w:tc>
        <w:tc>
          <w:tcPr>
            <w:tcW w:w="0" w:type="dxa"/>
            <w:vAlign w:val="bottom"/>
          </w:tcPr>
          <w:p>
            <w:pPr>
              <w:spacing w:after="0"/>
              <w:rPr>
                <w:sz w:val="1"/>
                <w:szCs w:val="1"/>
                <w:color w:val="auto"/>
              </w:rPr>
            </w:pPr>
          </w:p>
        </w:tc>
      </w:tr>
    </w:tbl>
    <w:p>
      <w:pPr>
        <w:spacing w:after="0" w:line="227" w:lineRule="exact"/>
        <w:rPr>
          <w:sz w:val="20"/>
          <w:szCs w:val="20"/>
          <w:color w:val="auto"/>
        </w:rPr>
      </w:pPr>
    </w:p>
    <w:p>
      <w:pPr>
        <w:ind w:right="40" w:firstLine="509"/>
        <w:spacing w:after="0" w:line="248" w:lineRule="auto"/>
        <w:rPr>
          <w:sz w:val="20"/>
          <w:szCs w:val="20"/>
          <w:color w:val="auto"/>
        </w:rPr>
      </w:pPr>
      <w:r>
        <w:rPr>
          <w:rFonts w:ascii="Arial" w:cs="Arial" w:eastAsia="Arial" w:hAnsi="Arial"/>
          <w:sz w:val="18"/>
          <w:szCs w:val="18"/>
          <w:color w:val="auto"/>
        </w:rPr>
        <w:t>Cost of revenue increased $14.8 million, or 41%, during the nine months ended September 30, 2022 compared to the nine months ended September 30, 2021. The increase was primarily due to an increase of $7.3 million in personnel and related expenses directly associated with an increase in headcount, including an increase in allocated overhead costs, and a $6.8 million increase in third-party hosting costs as we increased capacity to support paying customer usage and growth of our paying customer base.</w:t>
      </w:r>
    </w:p>
    <w:p>
      <w:pPr>
        <w:spacing w:after="0" w:line="183" w:lineRule="exact"/>
        <w:rPr>
          <w:sz w:val="20"/>
          <w:szCs w:val="20"/>
          <w:color w:val="auto"/>
        </w:rPr>
      </w:pPr>
    </w:p>
    <w:p>
      <w:pPr>
        <w:ind w:right="220" w:firstLine="509"/>
        <w:spacing w:after="0" w:line="261" w:lineRule="auto"/>
        <w:rPr>
          <w:sz w:val="20"/>
          <w:szCs w:val="20"/>
          <w:color w:val="auto"/>
        </w:rPr>
      </w:pPr>
      <w:r>
        <w:rPr>
          <w:rFonts w:ascii="Arial" w:cs="Arial" w:eastAsia="Arial" w:hAnsi="Arial"/>
          <w:sz w:val="18"/>
          <w:szCs w:val="18"/>
          <w:color w:val="auto"/>
        </w:rPr>
        <w:t>Our gross margin increased during the nine months ended September 30, 2022 compared to the nine months ended September 30, 2021, primarily due to a decrease in our third-party hosting costs as a percentage of revenue.</w:t>
      </w:r>
    </w:p>
    <w:p>
      <w:pPr>
        <w:spacing w:after="0" w:line="291"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4640" w:type="dxa"/>
            <w:vAlign w:val="bottom"/>
          </w:tcPr>
          <w:p>
            <w:pPr>
              <w:spacing w:after="0"/>
              <w:rPr>
                <w:sz w:val="20"/>
                <w:szCs w:val="20"/>
                <w:color w:val="auto"/>
              </w:rPr>
            </w:pPr>
            <w:r>
              <w:rPr>
                <w:rFonts w:ascii="Arial" w:cs="Arial" w:eastAsia="Arial" w:hAnsi="Arial"/>
                <w:sz w:val="18"/>
                <w:szCs w:val="18"/>
                <w:i w:val="1"/>
                <w:iCs w:val="1"/>
                <w:color w:val="auto"/>
              </w:rPr>
              <w:t>Operating Expenses</w:t>
            </w:r>
          </w:p>
        </w:tc>
        <w:tc>
          <w:tcPr>
            <w:tcW w:w="300" w:type="dxa"/>
            <w:vAlign w:val="bottom"/>
          </w:tcPr>
          <w:p>
            <w:pPr>
              <w:spacing w:after="0"/>
              <w:rPr>
                <w:sz w:val="20"/>
                <w:szCs w:val="20"/>
                <w:color w:val="auto"/>
              </w:rPr>
            </w:pPr>
          </w:p>
        </w:tc>
        <w:tc>
          <w:tcPr>
            <w:tcW w:w="104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020" w:type="dxa"/>
            <w:vAlign w:val="bottom"/>
          </w:tcPr>
          <w:p>
            <w:pPr>
              <w:spacing w:after="0"/>
              <w:rPr>
                <w:sz w:val="20"/>
                <w:szCs w:val="20"/>
                <w:color w:val="auto"/>
              </w:rPr>
            </w:pPr>
          </w:p>
        </w:tc>
        <w:tc>
          <w:tcPr>
            <w:tcW w:w="62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4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00"/>
        </w:trPr>
        <w:tc>
          <w:tcPr>
            <w:tcW w:w="464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2340" w:type="dxa"/>
            <w:vAlign w:val="bottom"/>
            <w:gridSpan w:val="3"/>
          </w:tcPr>
          <w:p>
            <w:pPr>
              <w:jc w:val="right"/>
              <w:ind w:right="150"/>
              <w:spacing w:after="0"/>
              <w:rPr>
                <w:sz w:val="20"/>
                <w:szCs w:val="20"/>
                <w:color w:val="auto"/>
              </w:rPr>
            </w:pPr>
            <w:r>
              <w:rPr>
                <w:rFonts w:ascii="Arial" w:cs="Arial" w:eastAsia="Arial" w:hAnsi="Arial"/>
                <w:sz w:val="18"/>
                <w:szCs w:val="18"/>
                <w:b w:val="1"/>
                <w:bCs w:val="1"/>
                <w:color w:val="auto"/>
              </w:rPr>
              <w:t>Nine Months Ended</w:t>
            </w:r>
          </w:p>
        </w:tc>
        <w:tc>
          <w:tcPr>
            <w:tcW w:w="6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4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34"/>
        </w:trPr>
        <w:tc>
          <w:tcPr>
            <w:tcW w:w="4640" w:type="dxa"/>
            <w:vAlign w:val="bottom"/>
          </w:tcPr>
          <w:p>
            <w:pPr>
              <w:spacing w:after="0"/>
              <w:rPr>
                <w:sz w:val="20"/>
                <w:szCs w:val="20"/>
                <w:color w:val="auto"/>
              </w:rPr>
            </w:pPr>
          </w:p>
        </w:tc>
        <w:tc>
          <w:tcPr>
            <w:tcW w:w="300" w:type="dxa"/>
            <w:vAlign w:val="bottom"/>
            <w:tcBorders>
              <w:bottom w:val="single" w:sz="8" w:color="auto"/>
            </w:tcBorders>
          </w:tcPr>
          <w:p>
            <w:pPr>
              <w:spacing w:after="0"/>
              <w:rPr>
                <w:sz w:val="20"/>
                <w:szCs w:val="20"/>
                <w:color w:val="auto"/>
              </w:rPr>
            </w:pPr>
          </w:p>
        </w:tc>
        <w:tc>
          <w:tcPr>
            <w:tcW w:w="2340" w:type="dxa"/>
            <w:vAlign w:val="bottom"/>
            <w:tcBorders>
              <w:bottom w:val="single" w:sz="8" w:color="auto"/>
            </w:tcBorders>
            <w:gridSpan w:val="3"/>
          </w:tcPr>
          <w:p>
            <w:pPr>
              <w:jc w:val="right"/>
              <w:ind w:right="370"/>
              <w:spacing w:after="0"/>
              <w:rPr>
                <w:sz w:val="20"/>
                <w:szCs w:val="20"/>
                <w:color w:val="auto"/>
              </w:rPr>
            </w:pPr>
            <w:r>
              <w:rPr>
                <w:rFonts w:ascii="Arial" w:cs="Arial" w:eastAsia="Arial" w:hAnsi="Arial"/>
                <w:sz w:val="18"/>
                <w:szCs w:val="18"/>
                <w:b w:val="1"/>
                <w:bCs w:val="1"/>
                <w:color w:val="auto"/>
              </w:rPr>
              <w:t>September 30,</w:t>
            </w:r>
          </w:p>
        </w:tc>
        <w:tc>
          <w:tcPr>
            <w:tcW w:w="620" w:type="dxa"/>
            <w:vAlign w:val="bottom"/>
            <w:tcBorders>
              <w:bottom w:val="single" w:sz="8" w:color="auto"/>
            </w:tcBorders>
          </w:tcPr>
          <w:p>
            <w:pPr>
              <w:spacing w:after="0"/>
              <w:rPr>
                <w:sz w:val="20"/>
                <w:szCs w:val="20"/>
                <w:color w:val="auto"/>
              </w:rPr>
            </w:pPr>
          </w:p>
        </w:tc>
        <w:tc>
          <w:tcPr>
            <w:tcW w:w="260" w:type="dxa"/>
            <w:vAlign w:val="bottom"/>
            <w:vMerge w:val="restart"/>
          </w:tcPr>
          <w:p>
            <w:pPr>
              <w:spacing w:after="0"/>
              <w:rPr>
                <w:sz w:val="20"/>
                <w:szCs w:val="20"/>
                <w:color w:val="auto"/>
              </w:rPr>
            </w:pPr>
          </w:p>
        </w:tc>
        <w:tc>
          <w:tcPr>
            <w:tcW w:w="440" w:type="dxa"/>
            <w:vAlign w:val="bottom"/>
            <w:vMerge w:val="restart"/>
          </w:tcPr>
          <w:p>
            <w:pPr>
              <w:jc w:val="right"/>
              <w:spacing w:after="0"/>
              <w:rPr>
                <w:sz w:val="20"/>
                <w:szCs w:val="20"/>
                <w:color w:val="auto"/>
              </w:rPr>
            </w:pPr>
            <w:r>
              <w:rPr>
                <w:rFonts w:ascii="Arial" w:cs="Arial" w:eastAsia="Arial" w:hAnsi="Arial"/>
                <w:sz w:val="18"/>
                <w:szCs w:val="18"/>
                <w:b w:val="1"/>
                <w:bCs w:val="1"/>
                <w:color w:val="auto"/>
              </w:rPr>
              <w:t>$</w:t>
            </w:r>
          </w:p>
        </w:tc>
        <w:tc>
          <w:tcPr>
            <w:tcW w:w="920" w:type="dxa"/>
            <w:vAlign w:val="bottom"/>
            <w:vMerge w:val="restart"/>
          </w:tcPr>
          <w:p>
            <w:pPr>
              <w:jc w:val="right"/>
              <w:ind w:right="230"/>
              <w:spacing w:after="0"/>
              <w:rPr>
                <w:sz w:val="20"/>
                <w:szCs w:val="20"/>
                <w:color w:val="auto"/>
              </w:rPr>
            </w:pPr>
            <w:r>
              <w:rPr>
                <w:rFonts w:ascii="Arial" w:cs="Arial" w:eastAsia="Arial" w:hAnsi="Arial"/>
                <w:sz w:val="18"/>
                <w:szCs w:val="18"/>
                <w:b w:val="1"/>
                <w:bCs w:val="1"/>
                <w:color w:val="auto"/>
                <w:w w:val="87"/>
              </w:rPr>
              <w:t>Change</w:t>
            </w:r>
          </w:p>
        </w:tc>
        <w:tc>
          <w:tcPr>
            <w:tcW w:w="260" w:type="dxa"/>
            <w:vAlign w:val="bottom"/>
            <w:vMerge w:val="restart"/>
          </w:tcPr>
          <w:p>
            <w:pPr>
              <w:spacing w:after="0"/>
              <w:rPr>
                <w:sz w:val="20"/>
                <w:szCs w:val="20"/>
                <w:color w:val="auto"/>
              </w:rPr>
            </w:pPr>
          </w:p>
        </w:tc>
        <w:tc>
          <w:tcPr>
            <w:tcW w:w="1460" w:type="dxa"/>
            <w:vAlign w:val="bottom"/>
            <w:vMerge w:val="restart"/>
          </w:tcPr>
          <w:p>
            <w:pPr>
              <w:ind w:left="320"/>
              <w:spacing w:after="0"/>
              <w:rPr>
                <w:sz w:val="20"/>
                <w:szCs w:val="20"/>
                <w:color w:val="auto"/>
              </w:rPr>
            </w:pPr>
            <w:r>
              <w:rPr>
                <w:rFonts w:ascii="Arial" w:cs="Arial" w:eastAsia="Arial" w:hAnsi="Arial"/>
                <w:sz w:val="18"/>
                <w:szCs w:val="18"/>
                <w:b w:val="1"/>
                <w:bCs w:val="1"/>
                <w:color w:val="auto"/>
              </w:rPr>
              <w:t>% Change</w:t>
            </w:r>
          </w:p>
        </w:tc>
        <w:tc>
          <w:tcPr>
            <w:tcW w:w="0" w:type="dxa"/>
            <w:vAlign w:val="bottom"/>
          </w:tcPr>
          <w:p>
            <w:pPr>
              <w:spacing w:after="0"/>
              <w:rPr>
                <w:sz w:val="1"/>
                <w:szCs w:val="1"/>
                <w:color w:val="auto"/>
              </w:rPr>
            </w:pPr>
          </w:p>
        </w:tc>
      </w:tr>
      <w:tr>
        <w:trPr>
          <w:trHeight w:val="209"/>
        </w:trPr>
        <w:tc>
          <w:tcPr>
            <w:tcW w:w="4640" w:type="dxa"/>
            <w:vAlign w:val="bottom"/>
          </w:tcPr>
          <w:p>
            <w:pPr>
              <w:spacing w:after="0"/>
              <w:rPr>
                <w:sz w:val="18"/>
                <w:szCs w:val="18"/>
                <w:color w:val="auto"/>
              </w:rPr>
            </w:pPr>
          </w:p>
        </w:tc>
        <w:tc>
          <w:tcPr>
            <w:tcW w:w="300" w:type="dxa"/>
            <w:vAlign w:val="bottom"/>
            <w:tcBorders>
              <w:bottom w:val="single" w:sz="8" w:color="auto"/>
            </w:tcBorders>
          </w:tcPr>
          <w:p>
            <w:pPr>
              <w:spacing w:after="0"/>
              <w:rPr>
                <w:sz w:val="18"/>
                <w:szCs w:val="18"/>
                <w:color w:val="auto"/>
              </w:rPr>
            </w:pPr>
          </w:p>
        </w:tc>
        <w:tc>
          <w:tcPr>
            <w:tcW w:w="1040" w:type="dxa"/>
            <w:vAlign w:val="bottom"/>
            <w:tcBorders>
              <w:bottom w:val="single" w:sz="8" w:color="auto"/>
            </w:tcBorders>
          </w:tcPr>
          <w:p>
            <w:pPr>
              <w:jc w:val="right"/>
              <w:ind w:right="390"/>
              <w:spacing w:after="0"/>
              <w:rPr>
                <w:sz w:val="20"/>
                <w:szCs w:val="20"/>
                <w:color w:val="auto"/>
              </w:rPr>
            </w:pPr>
            <w:r>
              <w:rPr>
                <w:rFonts w:ascii="Arial" w:cs="Arial" w:eastAsia="Arial" w:hAnsi="Arial"/>
                <w:sz w:val="18"/>
                <w:szCs w:val="18"/>
                <w:b w:val="1"/>
                <w:bCs w:val="1"/>
                <w:color w:val="auto"/>
              </w:rPr>
              <w:t>2022</w:t>
            </w:r>
          </w:p>
        </w:tc>
        <w:tc>
          <w:tcPr>
            <w:tcW w:w="280" w:type="dxa"/>
            <w:vAlign w:val="bottom"/>
          </w:tcPr>
          <w:p>
            <w:pPr>
              <w:spacing w:after="0"/>
              <w:rPr>
                <w:sz w:val="18"/>
                <w:szCs w:val="18"/>
                <w:color w:val="auto"/>
              </w:rPr>
            </w:pP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2021</w:t>
            </w:r>
          </w:p>
        </w:tc>
        <w:tc>
          <w:tcPr>
            <w:tcW w:w="620" w:type="dxa"/>
            <w:vAlign w:val="bottom"/>
            <w:tcBorders>
              <w:bottom w:val="single" w:sz="8" w:color="auto"/>
            </w:tcBorders>
          </w:tcPr>
          <w:p>
            <w:pPr>
              <w:spacing w:after="0"/>
              <w:rPr>
                <w:sz w:val="18"/>
                <w:szCs w:val="18"/>
                <w:color w:val="auto"/>
              </w:rPr>
            </w:pPr>
          </w:p>
        </w:tc>
        <w:tc>
          <w:tcPr>
            <w:tcW w:w="260" w:type="dxa"/>
            <w:vAlign w:val="bottom"/>
            <w:vMerge w:val="continue"/>
          </w:tcPr>
          <w:p>
            <w:pPr>
              <w:spacing w:after="0"/>
              <w:rPr>
                <w:sz w:val="18"/>
                <w:szCs w:val="18"/>
                <w:color w:val="auto"/>
              </w:rPr>
            </w:pPr>
          </w:p>
        </w:tc>
        <w:tc>
          <w:tcPr>
            <w:tcW w:w="440" w:type="dxa"/>
            <w:vAlign w:val="bottom"/>
            <w:tcBorders>
              <w:bottom w:val="single" w:sz="8" w:color="auto"/>
            </w:tcBorders>
            <w:vMerge w:val="continue"/>
          </w:tcPr>
          <w:p>
            <w:pPr>
              <w:spacing w:after="0"/>
              <w:rPr>
                <w:sz w:val="18"/>
                <w:szCs w:val="18"/>
                <w:color w:val="auto"/>
              </w:rPr>
            </w:pPr>
          </w:p>
        </w:tc>
        <w:tc>
          <w:tcPr>
            <w:tcW w:w="920" w:type="dxa"/>
            <w:vAlign w:val="bottom"/>
            <w:tcBorders>
              <w:bottom w:val="single" w:sz="8" w:color="auto"/>
            </w:tcBorders>
            <w:vMerge w:val="continue"/>
          </w:tcPr>
          <w:p>
            <w:pPr>
              <w:spacing w:after="0"/>
              <w:rPr>
                <w:sz w:val="18"/>
                <w:szCs w:val="18"/>
                <w:color w:val="auto"/>
              </w:rPr>
            </w:pPr>
          </w:p>
        </w:tc>
        <w:tc>
          <w:tcPr>
            <w:tcW w:w="260" w:type="dxa"/>
            <w:vAlign w:val="bottom"/>
            <w:vMerge w:val="continue"/>
          </w:tcPr>
          <w:p>
            <w:pPr>
              <w:spacing w:after="0"/>
              <w:rPr>
                <w:sz w:val="18"/>
                <w:szCs w:val="18"/>
                <w:color w:val="auto"/>
              </w:rPr>
            </w:pPr>
          </w:p>
        </w:tc>
        <w:tc>
          <w:tcPr>
            <w:tcW w:w="1460" w:type="dxa"/>
            <w:vAlign w:val="bottom"/>
            <w:tcBorders>
              <w:bottom w:val="single" w:sz="8" w:color="auto"/>
            </w:tcBorders>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464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4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3520" w:type="dxa"/>
            <w:vAlign w:val="bottom"/>
            <w:gridSpan w:val="6"/>
          </w:tcPr>
          <w:p>
            <w:pPr>
              <w:jc w:val="right"/>
              <w:ind w:right="560"/>
              <w:spacing w:after="0"/>
              <w:rPr>
                <w:sz w:val="20"/>
                <w:szCs w:val="20"/>
                <w:color w:val="auto"/>
              </w:rPr>
            </w:pPr>
            <w:r>
              <w:rPr>
                <w:rFonts w:ascii="Arial" w:cs="Arial" w:eastAsia="Arial" w:hAnsi="Arial"/>
                <w:sz w:val="18"/>
                <w:szCs w:val="18"/>
                <w:b w:val="1"/>
                <w:bCs w:val="1"/>
                <w:i w:val="1"/>
                <w:iCs w:val="1"/>
                <w:color w:val="auto"/>
                <w:w w:val="97"/>
              </w:rPr>
              <w:t>(in thousands, except percentages)</w:t>
            </w:r>
          </w:p>
        </w:tc>
        <w:tc>
          <w:tcPr>
            <w:tcW w:w="14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4640" w:type="dxa"/>
            <w:vAlign w:val="bottom"/>
            <w:shd w:val="clear" w:color="auto" w:fill="CFF0FC"/>
          </w:tcPr>
          <w:p>
            <w:pPr>
              <w:ind w:left="20"/>
              <w:spacing w:after="0"/>
              <w:rPr>
                <w:sz w:val="20"/>
                <w:szCs w:val="20"/>
                <w:color w:val="auto"/>
              </w:rPr>
            </w:pPr>
            <w:r>
              <w:rPr>
                <w:rFonts w:ascii="Arial" w:cs="Arial" w:eastAsia="Arial" w:hAnsi="Arial"/>
                <w:sz w:val="18"/>
                <w:szCs w:val="18"/>
                <w:color w:val="auto"/>
              </w:rPr>
              <w:t>Research and development</w:t>
            </w:r>
          </w:p>
        </w:tc>
        <w:tc>
          <w:tcPr>
            <w:tcW w:w="300" w:type="dxa"/>
            <w:vAlign w:val="bottom"/>
            <w:shd w:val="clear" w:color="auto" w:fill="CFF0FC"/>
          </w:tcPr>
          <w:p>
            <w:pPr>
              <w:jc w:val="right"/>
              <w:ind w:right="110"/>
              <w:spacing w:after="0"/>
              <w:rPr>
                <w:sz w:val="20"/>
                <w:szCs w:val="20"/>
                <w:color w:val="auto"/>
              </w:rPr>
            </w:pPr>
            <w:r>
              <w:rPr>
                <w:rFonts w:ascii="Arial" w:cs="Arial" w:eastAsia="Arial" w:hAnsi="Arial"/>
                <w:sz w:val="18"/>
                <w:szCs w:val="18"/>
                <w:color w:val="auto"/>
                <w:w w:val="79"/>
              </w:rPr>
              <w:t>$</w:t>
            </w:r>
          </w:p>
        </w:tc>
        <w:tc>
          <w:tcPr>
            <w:tcW w:w="10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58,397</w:t>
            </w:r>
          </w:p>
        </w:tc>
        <w:tc>
          <w:tcPr>
            <w:tcW w:w="1300" w:type="dxa"/>
            <w:vAlign w:val="bottom"/>
            <w:gridSpan w:val="2"/>
            <w:shd w:val="clear" w:color="auto" w:fill="CFF0FC"/>
          </w:tcPr>
          <w:p>
            <w:pPr>
              <w:jc w:val="right"/>
              <w:ind w:right="830"/>
              <w:spacing w:after="0"/>
              <w:rPr>
                <w:sz w:val="20"/>
                <w:szCs w:val="20"/>
                <w:color w:val="auto"/>
              </w:rPr>
            </w:pPr>
            <w:r>
              <w:rPr>
                <w:rFonts w:ascii="Arial" w:cs="Arial" w:eastAsia="Arial" w:hAnsi="Arial"/>
                <w:sz w:val="18"/>
                <w:szCs w:val="18"/>
                <w:color w:val="auto"/>
              </w:rPr>
              <w:t>$</w:t>
            </w:r>
          </w:p>
        </w:tc>
        <w:tc>
          <w:tcPr>
            <w:tcW w:w="6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34,022</w:t>
            </w:r>
          </w:p>
        </w:tc>
        <w:tc>
          <w:tcPr>
            <w:tcW w:w="700" w:type="dxa"/>
            <w:vAlign w:val="bottom"/>
            <w:gridSpan w:val="2"/>
            <w:shd w:val="clear" w:color="auto" w:fill="CFF0FC"/>
          </w:tcPr>
          <w:p>
            <w:pPr>
              <w:jc w:val="right"/>
              <w:ind w:right="250"/>
              <w:spacing w:after="0"/>
              <w:rPr>
                <w:sz w:val="20"/>
                <w:szCs w:val="20"/>
                <w:color w:val="auto"/>
              </w:rPr>
            </w:pPr>
            <w:r>
              <w:rPr>
                <w:rFonts w:ascii="Arial" w:cs="Arial" w:eastAsia="Arial" w:hAnsi="Arial"/>
                <w:sz w:val="18"/>
                <w:szCs w:val="18"/>
                <w:color w:val="auto"/>
              </w:rPr>
              <w:t>$</w:t>
            </w:r>
          </w:p>
        </w:tc>
        <w:tc>
          <w:tcPr>
            <w:tcW w:w="9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24,375</w:t>
            </w:r>
          </w:p>
        </w:tc>
        <w:tc>
          <w:tcPr>
            <w:tcW w:w="260" w:type="dxa"/>
            <w:vAlign w:val="bottom"/>
            <w:shd w:val="clear" w:color="auto" w:fill="CFF0FC"/>
          </w:tcPr>
          <w:p>
            <w:pPr>
              <w:spacing w:after="0"/>
              <w:rPr>
                <w:sz w:val="19"/>
                <w:szCs w:val="19"/>
                <w:color w:val="auto"/>
              </w:rPr>
            </w:pPr>
          </w:p>
        </w:tc>
        <w:tc>
          <w:tcPr>
            <w:tcW w:w="1460" w:type="dxa"/>
            <w:vAlign w:val="bottom"/>
            <w:shd w:val="clear" w:color="auto" w:fill="CFF0FC"/>
          </w:tcPr>
          <w:p>
            <w:pPr>
              <w:jc w:val="center"/>
              <w:spacing w:after="0"/>
              <w:rPr>
                <w:sz w:val="20"/>
                <w:szCs w:val="20"/>
                <w:color w:val="auto"/>
              </w:rPr>
            </w:pPr>
            <w:r>
              <w:rPr>
                <w:rFonts w:ascii="Arial" w:cs="Arial" w:eastAsia="Arial" w:hAnsi="Arial"/>
                <w:sz w:val="18"/>
                <w:szCs w:val="18"/>
                <w:color w:val="auto"/>
                <w:w w:val="94"/>
              </w:rPr>
              <w:t>72%</w:t>
            </w:r>
          </w:p>
        </w:tc>
        <w:tc>
          <w:tcPr>
            <w:tcW w:w="0" w:type="dxa"/>
            <w:vAlign w:val="bottom"/>
          </w:tcPr>
          <w:p>
            <w:pPr>
              <w:spacing w:after="0"/>
              <w:rPr>
                <w:sz w:val="1"/>
                <w:szCs w:val="1"/>
                <w:color w:val="auto"/>
              </w:rPr>
            </w:pPr>
          </w:p>
        </w:tc>
      </w:tr>
      <w:tr>
        <w:trPr>
          <w:trHeight w:val="229"/>
        </w:trPr>
        <w:tc>
          <w:tcPr>
            <w:tcW w:w="4640" w:type="dxa"/>
            <w:vAlign w:val="bottom"/>
          </w:tcPr>
          <w:p>
            <w:pPr>
              <w:ind w:left="20"/>
              <w:spacing w:after="0"/>
              <w:rPr>
                <w:sz w:val="20"/>
                <w:szCs w:val="20"/>
                <w:color w:val="auto"/>
              </w:rPr>
            </w:pPr>
            <w:r>
              <w:rPr>
                <w:rFonts w:ascii="Arial" w:cs="Arial" w:eastAsia="Arial" w:hAnsi="Arial"/>
                <w:sz w:val="18"/>
                <w:szCs w:val="18"/>
                <w:color w:val="auto"/>
              </w:rPr>
              <w:t>Sales and marketing</w:t>
            </w:r>
          </w:p>
        </w:tc>
        <w:tc>
          <w:tcPr>
            <w:tcW w:w="30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94,793</w:t>
            </w:r>
          </w:p>
        </w:tc>
        <w:tc>
          <w:tcPr>
            <w:tcW w:w="280" w:type="dxa"/>
            <w:vAlign w:val="bottom"/>
          </w:tcPr>
          <w:p>
            <w:pPr>
              <w:spacing w:after="0"/>
              <w:rPr>
                <w:sz w:val="19"/>
                <w:szCs w:val="19"/>
                <w:color w:val="auto"/>
              </w:rPr>
            </w:pPr>
          </w:p>
        </w:tc>
        <w:tc>
          <w:tcPr>
            <w:tcW w:w="1020" w:type="dxa"/>
            <w:vAlign w:val="bottom"/>
          </w:tcPr>
          <w:p>
            <w:pPr>
              <w:spacing w:after="0"/>
              <w:rPr>
                <w:sz w:val="19"/>
                <w:szCs w:val="19"/>
                <w:color w:val="auto"/>
              </w:rPr>
            </w:pPr>
          </w:p>
        </w:tc>
        <w:tc>
          <w:tcPr>
            <w:tcW w:w="620" w:type="dxa"/>
            <w:vAlign w:val="bottom"/>
          </w:tcPr>
          <w:p>
            <w:pPr>
              <w:jc w:val="right"/>
              <w:spacing w:after="0"/>
              <w:rPr>
                <w:sz w:val="20"/>
                <w:szCs w:val="20"/>
                <w:color w:val="auto"/>
              </w:rPr>
            </w:pPr>
            <w:r>
              <w:rPr>
                <w:rFonts w:ascii="Arial" w:cs="Arial" w:eastAsia="Arial" w:hAnsi="Arial"/>
                <w:sz w:val="18"/>
                <w:szCs w:val="18"/>
                <w:color w:val="auto"/>
              </w:rPr>
              <w:t>59,009</w:t>
            </w:r>
          </w:p>
        </w:tc>
        <w:tc>
          <w:tcPr>
            <w:tcW w:w="26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35,784</w:t>
            </w:r>
          </w:p>
        </w:tc>
        <w:tc>
          <w:tcPr>
            <w:tcW w:w="260" w:type="dxa"/>
            <w:vAlign w:val="bottom"/>
          </w:tcPr>
          <w:p>
            <w:pPr>
              <w:spacing w:after="0"/>
              <w:rPr>
                <w:sz w:val="19"/>
                <w:szCs w:val="19"/>
                <w:color w:val="auto"/>
              </w:rPr>
            </w:pPr>
          </w:p>
        </w:tc>
        <w:tc>
          <w:tcPr>
            <w:tcW w:w="1460" w:type="dxa"/>
            <w:vAlign w:val="bottom"/>
          </w:tcPr>
          <w:p>
            <w:pPr>
              <w:jc w:val="center"/>
              <w:spacing w:after="0"/>
              <w:rPr>
                <w:sz w:val="20"/>
                <w:szCs w:val="20"/>
                <w:color w:val="auto"/>
              </w:rPr>
            </w:pPr>
            <w:r>
              <w:rPr>
                <w:rFonts w:ascii="Arial" w:cs="Arial" w:eastAsia="Arial" w:hAnsi="Arial"/>
                <w:sz w:val="18"/>
                <w:szCs w:val="18"/>
                <w:color w:val="auto"/>
                <w:w w:val="94"/>
              </w:rPr>
              <w:t>61%</w:t>
            </w:r>
          </w:p>
        </w:tc>
        <w:tc>
          <w:tcPr>
            <w:tcW w:w="0" w:type="dxa"/>
            <w:vAlign w:val="bottom"/>
          </w:tcPr>
          <w:p>
            <w:pPr>
              <w:spacing w:after="0"/>
              <w:rPr>
                <w:sz w:val="1"/>
                <w:szCs w:val="1"/>
                <w:color w:val="auto"/>
              </w:rPr>
            </w:pPr>
          </w:p>
        </w:tc>
      </w:tr>
      <w:tr>
        <w:trPr>
          <w:trHeight w:val="216"/>
        </w:trPr>
        <w:tc>
          <w:tcPr>
            <w:tcW w:w="4640" w:type="dxa"/>
            <w:vAlign w:val="bottom"/>
            <w:shd w:val="clear" w:color="auto" w:fill="CFF0FC"/>
          </w:tcPr>
          <w:p>
            <w:pPr>
              <w:ind w:left="20"/>
              <w:spacing w:after="0"/>
              <w:rPr>
                <w:sz w:val="20"/>
                <w:szCs w:val="20"/>
                <w:color w:val="auto"/>
              </w:rPr>
            </w:pPr>
            <w:r>
              <w:rPr>
                <w:rFonts w:ascii="Arial" w:cs="Arial" w:eastAsia="Arial" w:hAnsi="Arial"/>
                <w:sz w:val="18"/>
                <w:szCs w:val="18"/>
                <w:color w:val="auto"/>
              </w:rPr>
              <w:t>General and administrative</w:t>
            </w:r>
          </w:p>
        </w:tc>
        <w:tc>
          <w:tcPr>
            <w:tcW w:w="300" w:type="dxa"/>
            <w:vAlign w:val="bottom"/>
            <w:shd w:val="clear" w:color="auto" w:fill="CFF0FC"/>
          </w:tcPr>
          <w:p>
            <w:pPr>
              <w:spacing w:after="0"/>
              <w:rPr>
                <w:sz w:val="18"/>
                <w:szCs w:val="18"/>
                <w:color w:val="auto"/>
              </w:rPr>
            </w:pPr>
          </w:p>
        </w:tc>
        <w:tc>
          <w:tcPr>
            <w:tcW w:w="10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39,184</w:t>
            </w:r>
          </w:p>
        </w:tc>
        <w:tc>
          <w:tcPr>
            <w:tcW w:w="280" w:type="dxa"/>
            <w:vAlign w:val="bottom"/>
            <w:shd w:val="clear" w:color="auto" w:fill="CFF0FC"/>
          </w:tcPr>
          <w:p>
            <w:pPr>
              <w:spacing w:after="0"/>
              <w:rPr>
                <w:sz w:val="18"/>
                <w:szCs w:val="18"/>
                <w:color w:val="auto"/>
              </w:rPr>
            </w:pPr>
          </w:p>
        </w:tc>
        <w:tc>
          <w:tcPr>
            <w:tcW w:w="1020" w:type="dxa"/>
            <w:vAlign w:val="bottom"/>
            <w:shd w:val="clear" w:color="auto" w:fill="CFF0FC"/>
          </w:tcPr>
          <w:p>
            <w:pPr>
              <w:spacing w:after="0"/>
              <w:rPr>
                <w:sz w:val="18"/>
                <w:szCs w:val="18"/>
                <w:color w:val="auto"/>
              </w:rPr>
            </w:pPr>
          </w:p>
        </w:tc>
        <w:tc>
          <w:tcPr>
            <w:tcW w:w="6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41,098</w:t>
            </w:r>
          </w:p>
        </w:tc>
        <w:tc>
          <w:tcPr>
            <w:tcW w:w="260" w:type="dxa"/>
            <w:vAlign w:val="bottom"/>
            <w:shd w:val="clear" w:color="auto" w:fill="CFF0FC"/>
          </w:tcPr>
          <w:p>
            <w:pPr>
              <w:spacing w:after="0"/>
              <w:rPr>
                <w:sz w:val="18"/>
                <w:szCs w:val="18"/>
                <w:color w:val="auto"/>
              </w:rPr>
            </w:pPr>
          </w:p>
        </w:tc>
        <w:tc>
          <w:tcPr>
            <w:tcW w:w="440" w:type="dxa"/>
            <w:vAlign w:val="bottom"/>
            <w:shd w:val="clear" w:color="auto" w:fill="CFF0FC"/>
          </w:tcPr>
          <w:p>
            <w:pPr>
              <w:spacing w:after="0"/>
              <w:rPr>
                <w:sz w:val="18"/>
                <w:szCs w:val="18"/>
                <w:color w:val="auto"/>
              </w:rPr>
            </w:pPr>
          </w:p>
        </w:tc>
        <w:tc>
          <w:tcPr>
            <w:tcW w:w="1180" w:type="dxa"/>
            <w:vAlign w:val="bottom"/>
            <w:gridSpan w:val="2"/>
            <w:shd w:val="clear" w:color="auto" w:fill="CFF0FC"/>
          </w:tcPr>
          <w:p>
            <w:pPr>
              <w:jc w:val="right"/>
              <w:ind w:right="200"/>
              <w:spacing w:after="0"/>
              <w:rPr>
                <w:sz w:val="20"/>
                <w:szCs w:val="20"/>
                <w:color w:val="auto"/>
              </w:rPr>
            </w:pPr>
            <w:r>
              <w:rPr>
                <w:rFonts w:ascii="Arial" w:cs="Arial" w:eastAsia="Arial" w:hAnsi="Arial"/>
                <w:sz w:val="18"/>
                <w:szCs w:val="18"/>
                <w:color w:val="auto"/>
              </w:rPr>
              <w:t>(1,914 )</w:t>
            </w:r>
          </w:p>
        </w:tc>
        <w:tc>
          <w:tcPr>
            <w:tcW w:w="1460" w:type="dxa"/>
            <w:vAlign w:val="bottom"/>
            <w:shd w:val="clear" w:color="auto" w:fill="CFF0FC"/>
          </w:tcPr>
          <w:p>
            <w:pPr>
              <w:jc w:val="center"/>
              <w:spacing w:after="0"/>
              <w:rPr>
                <w:sz w:val="20"/>
                <w:szCs w:val="20"/>
                <w:color w:val="auto"/>
              </w:rPr>
            </w:pPr>
            <w:r>
              <w:rPr>
                <w:rFonts w:ascii="Arial" w:cs="Arial" w:eastAsia="Arial" w:hAnsi="Arial"/>
                <w:sz w:val="18"/>
                <w:szCs w:val="18"/>
                <w:color w:val="auto"/>
                <w:w w:val="94"/>
              </w:rPr>
              <w:t>(5)%</w:t>
            </w:r>
          </w:p>
        </w:tc>
        <w:tc>
          <w:tcPr>
            <w:tcW w:w="0" w:type="dxa"/>
            <w:vAlign w:val="bottom"/>
          </w:tcPr>
          <w:p>
            <w:pPr>
              <w:spacing w:after="0"/>
              <w:rPr>
                <w:sz w:val="1"/>
                <w:szCs w:val="1"/>
                <w:color w:val="auto"/>
              </w:rPr>
            </w:pPr>
          </w:p>
        </w:tc>
      </w:tr>
      <w:tr>
        <w:trPr>
          <w:trHeight w:val="209"/>
        </w:trPr>
        <w:tc>
          <w:tcPr>
            <w:tcW w:w="4640" w:type="dxa"/>
            <w:vAlign w:val="bottom"/>
            <w:tcBorders>
              <w:top w:val="single" w:sz="8" w:color="CFF0FC"/>
            </w:tcBorders>
          </w:tcPr>
          <w:p>
            <w:pPr>
              <w:ind w:left="20"/>
              <w:spacing w:after="0"/>
              <w:rPr>
                <w:sz w:val="20"/>
                <w:szCs w:val="20"/>
                <w:color w:val="auto"/>
              </w:rPr>
            </w:pPr>
            <w:r>
              <w:rPr>
                <w:rFonts w:ascii="Arial" w:cs="Arial" w:eastAsia="Arial" w:hAnsi="Arial"/>
                <w:sz w:val="18"/>
                <w:szCs w:val="18"/>
                <w:color w:val="auto"/>
              </w:rPr>
              <w:t>Total operating expenses</w:t>
            </w:r>
          </w:p>
        </w:tc>
        <w:tc>
          <w:tcPr>
            <w:tcW w:w="300" w:type="dxa"/>
            <w:vAlign w:val="bottom"/>
            <w:tcBorders>
              <w:top w:val="single" w:sz="8" w:color="auto"/>
              <w:bottom w:val="single" w:sz="8" w:color="auto"/>
            </w:tcBorders>
          </w:tcPr>
          <w:p>
            <w:pPr>
              <w:jc w:val="right"/>
              <w:ind w:right="110"/>
              <w:spacing w:after="0"/>
              <w:rPr>
                <w:sz w:val="20"/>
                <w:szCs w:val="20"/>
                <w:color w:val="auto"/>
              </w:rPr>
            </w:pPr>
            <w:r>
              <w:rPr>
                <w:rFonts w:ascii="Arial" w:cs="Arial" w:eastAsia="Arial" w:hAnsi="Arial"/>
                <w:sz w:val="18"/>
                <w:szCs w:val="18"/>
                <w:color w:val="auto"/>
                <w:w w:val="79"/>
              </w:rPr>
              <w:t>$</w:t>
            </w:r>
          </w:p>
        </w:tc>
        <w:tc>
          <w:tcPr>
            <w:tcW w:w="10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192,374</w:t>
            </w:r>
          </w:p>
        </w:tc>
        <w:tc>
          <w:tcPr>
            <w:tcW w:w="280" w:type="dxa"/>
            <w:vAlign w:val="bottom"/>
            <w:tcBorders>
              <w:top w:val="single" w:sz="8" w:color="CFF0FC"/>
            </w:tcBorders>
          </w:tcPr>
          <w:p>
            <w:pPr>
              <w:spacing w:after="0"/>
              <w:rPr>
                <w:sz w:val="18"/>
                <w:szCs w:val="18"/>
                <w:color w:val="auto"/>
              </w:rPr>
            </w:pPr>
          </w:p>
        </w:tc>
        <w:tc>
          <w:tcPr>
            <w:tcW w:w="1020" w:type="dxa"/>
            <w:vAlign w:val="bottom"/>
            <w:tcBorders>
              <w:top w:val="single" w:sz="8" w:color="auto"/>
              <w:bottom w:val="single" w:sz="8" w:color="auto"/>
            </w:tcBorders>
          </w:tcPr>
          <w:p>
            <w:pPr>
              <w:jc w:val="right"/>
              <w:ind w:right="830"/>
              <w:spacing w:after="0"/>
              <w:rPr>
                <w:sz w:val="20"/>
                <w:szCs w:val="20"/>
                <w:color w:val="auto"/>
              </w:rPr>
            </w:pPr>
            <w:r>
              <w:rPr>
                <w:rFonts w:ascii="Arial" w:cs="Arial" w:eastAsia="Arial" w:hAnsi="Arial"/>
                <w:sz w:val="18"/>
                <w:szCs w:val="18"/>
                <w:color w:val="auto"/>
                <w:w w:val="79"/>
              </w:rPr>
              <w:t>$</w:t>
            </w:r>
          </w:p>
        </w:tc>
        <w:tc>
          <w:tcPr>
            <w:tcW w:w="6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2"/>
              </w:rPr>
              <w:t>134,129</w:t>
            </w:r>
          </w:p>
        </w:tc>
        <w:tc>
          <w:tcPr>
            <w:tcW w:w="260" w:type="dxa"/>
            <w:vAlign w:val="bottom"/>
            <w:tcBorders>
              <w:top w:val="single" w:sz="8" w:color="CFF0FC"/>
            </w:tcBorders>
          </w:tcPr>
          <w:p>
            <w:pPr>
              <w:spacing w:after="0"/>
              <w:rPr>
                <w:sz w:val="18"/>
                <w:szCs w:val="18"/>
                <w:color w:val="auto"/>
              </w:rPr>
            </w:pPr>
          </w:p>
        </w:tc>
        <w:tc>
          <w:tcPr>
            <w:tcW w:w="440" w:type="dxa"/>
            <w:vAlign w:val="bottom"/>
            <w:tcBorders>
              <w:top w:val="single" w:sz="8" w:color="auto"/>
              <w:bottom w:val="single" w:sz="8" w:color="auto"/>
            </w:tcBorders>
          </w:tcPr>
          <w:p>
            <w:pPr>
              <w:jc w:val="right"/>
              <w:ind w:right="250"/>
              <w:spacing w:after="0"/>
              <w:rPr>
                <w:sz w:val="20"/>
                <w:szCs w:val="20"/>
                <w:color w:val="auto"/>
              </w:rPr>
            </w:pPr>
            <w:r>
              <w:rPr>
                <w:rFonts w:ascii="Arial" w:cs="Arial" w:eastAsia="Arial" w:hAnsi="Arial"/>
                <w:sz w:val="18"/>
                <w:szCs w:val="18"/>
                <w:color w:val="auto"/>
                <w:w w:val="79"/>
              </w:rPr>
              <w:t>$</w:t>
            </w:r>
          </w:p>
        </w:tc>
        <w:tc>
          <w:tcPr>
            <w:tcW w:w="9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58,245</w:t>
            </w:r>
          </w:p>
        </w:tc>
        <w:tc>
          <w:tcPr>
            <w:tcW w:w="260" w:type="dxa"/>
            <w:vAlign w:val="bottom"/>
            <w:tcBorders>
              <w:top w:val="single" w:sz="8" w:color="CFF0FC"/>
            </w:tcBorders>
          </w:tcPr>
          <w:p>
            <w:pPr>
              <w:spacing w:after="0"/>
              <w:rPr>
                <w:sz w:val="18"/>
                <w:szCs w:val="18"/>
                <w:color w:val="auto"/>
              </w:rPr>
            </w:pPr>
          </w:p>
        </w:tc>
        <w:tc>
          <w:tcPr>
            <w:tcW w:w="1460" w:type="dxa"/>
            <w:vAlign w:val="bottom"/>
            <w:tcBorders>
              <w:top w:val="single" w:sz="8" w:color="CFF0FC"/>
            </w:tcBorders>
          </w:tcPr>
          <w:p>
            <w:pPr>
              <w:jc w:val="center"/>
              <w:spacing w:after="0"/>
              <w:rPr>
                <w:sz w:val="20"/>
                <w:szCs w:val="20"/>
                <w:color w:val="auto"/>
              </w:rPr>
            </w:pPr>
            <w:r>
              <w:rPr>
                <w:rFonts w:ascii="Arial" w:cs="Arial" w:eastAsia="Arial" w:hAnsi="Arial"/>
                <w:sz w:val="18"/>
                <w:szCs w:val="18"/>
                <w:color w:val="auto"/>
                <w:w w:val="94"/>
              </w:rPr>
              <w:t>43%</w:t>
            </w:r>
          </w:p>
        </w:tc>
        <w:tc>
          <w:tcPr>
            <w:tcW w:w="0" w:type="dxa"/>
            <w:vAlign w:val="bottom"/>
          </w:tcPr>
          <w:p>
            <w:pPr>
              <w:spacing w:after="0"/>
              <w:rPr>
                <w:sz w:val="1"/>
                <w:szCs w:val="1"/>
                <w:color w:val="auto"/>
              </w:rPr>
            </w:pPr>
          </w:p>
        </w:tc>
      </w:tr>
      <w:tr>
        <w:trPr>
          <w:trHeight w:val="533"/>
        </w:trPr>
        <w:tc>
          <w:tcPr>
            <w:tcW w:w="464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040" w:type="dxa"/>
            <w:vAlign w:val="bottom"/>
          </w:tcPr>
          <w:p>
            <w:pPr>
              <w:jc w:val="right"/>
              <w:ind w:right="170"/>
              <w:spacing w:after="0"/>
              <w:rPr>
                <w:sz w:val="20"/>
                <w:szCs w:val="20"/>
                <w:color w:val="auto"/>
              </w:rPr>
            </w:pPr>
            <w:r>
              <w:rPr>
                <w:rFonts w:ascii="Arial" w:cs="Arial" w:eastAsia="Arial" w:hAnsi="Arial"/>
                <w:sz w:val="18"/>
                <w:szCs w:val="18"/>
                <w:color w:val="auto"/>
              </w:rPr>
              <w:t>35</w:t>
            </w:r>
          </w:p>
        </w:tc>
        <w:tc>
          <w:tcPr>
            <w:tcW w:w="28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4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01"/>
        </w:trPr>
        <w:tc>
          <w:tcPr>
            <w:tcW w:w="4640" w:type="dxa"/>
            <w:vAlign w:val="bottom"/>
            <w:tcBorders>
              <w:bottom w:val="single" w:sz="8" w:color="9A9A9A"/>
            </w:tcBorders>
          </w:tcPr>
          <w:p>
            <w:pPr>
              <w:spacing w:after="0"/>
              <w:rPr>
                <w:sz w:val="8"/>
                <w:szCs w:val="8"/>
                <w:color w:val="auto"/>
              </w:rPr>
            </w:pPr>
          </w:p>
        </w:tc>
        <w:tc>
          <w:tcPr>
            <w:tcW w:w="300" w:type="dxa"/>
            <w:vAlign w:val="bottom"/>
            <w:tcBorders>
              <w:bottom w:val="single" w:sz="8" w:color="9A9A9A"/>
            </w:tcBorders>
          </w:tcPr>
          <w:p>
            <w:pPr>
              <w:spacing w:after="0"/>
              <w:rPr>
                <w:sz w:val="8"/>
                <w:szCs w:val="8"/>
                <w:color w:val="auto"/>
              </w:rPr>
            </w:pPr>
          </w:p>
        </w:tc>
        <w:tc>
          <w:tcPr>
            <w:tcW w:w="1040" w:type="dxa"/>
            <w:vAlign w:val="bottom"/>
            <w:tcBorders>
              <w:bottom w:val="single" w:sz="8" w:color="9A9A9A"/>
            </w:tcBorders>
          </w:tcPr>
          <w:p>
            <w:pPr>
              <w:spacing w:after="0"/>
              <w:rPr>
                <w:sz w:val="8"/>
                <w:szCs w:val="8"/>
                <w:color w:val="auto"/>
              </w:rPr>
            </w:pPr>
          </w:p>
        </w:tc>
        <w:tc>
          <w:tcPr>
            <w:tcW w:w="280" w:type="dxa"/>
            <w:vAlign w:val="bottom"/>
            <w:tcBorders>
              <w:bottom w:val="single" w:sz="8" w:color="9A9A9A"/>
            </w:tcBorders>
          </w:tcPr>
          <w:p>
            <w:pPr>
              <w:spacing w:after="0"/>
              <w:rPr>
                <w:sz w:val="8"/>
                <w:szCs w:val="8"/>
                <w:color w:val="auto"/>
              </w:rPr>
            </w:pPr>
          </w:p>
        </w:tc>
        <w:tc>
          <w:tcPr>
            <w:tcW w:w="1020" w:type="dxa"/>
            <w:vAlign w:val="bottom"/>
            <w:tcBorders>
              <w:bottom w:val="single" w:sz="8" w:color="9A9A9A"/>
            </w:tcBorders>
          </w:tcPr>
          <w:p>
            <w:pPr>
              <w:spacing w:after="0"/>
              <w:rPr>
                <w:sz w:val="8"/>
                <w:szCs w:val="8"/>
                <w:color w:val="auto"/>
              </w:rPr>
            </w:pPr>
          </w:p>
        </w:tc>
        <w:tc>
          <w:tcPr>
            <w:tcW w:w="620" w:type="dxa"/>
            <w:vAlign w:val="bottom"/>
            <w:tcBorders>
              <w:bottom w:val="single" w:sz="8" w:color="9A9A9A"/>
            </w:tcBorders>
          </w:tcPr>
          <w:p>
            <w:pPr>
              <w:spacing w:after="0"/>
              <w:rPr>
                <w:sz w:val="8"/>
                <w:szCs w:val="8"/>
                <w:color w:val="auto"/>
              </w:rPr>
            </w:pPr>
          </w:p>
        </w:tc>
        <w:tc>
          <w:tcPr>
            <w:tcW w:w="260" w:type="dxa"/>
            <w:vAlign w:val="bottom"/>
            <w:tcBorders>
              <w:bottom w:val="single" w:sz="8" w:color="9A9A9A"/>
            </w:tcBorders>
          </w:tcPr>
          <w:p>
            <w:pPr>
              <w:spacing w:after="0"/>
              <w:rPr>
                <w:sz w:val="8"/>
                <w:szCs w:val="8"/>
                <w:color w:val="auto"/>
              </w:rPr>
            </w:pPr>
          </w:p>
        </w:tc>
        <w:tc>
          <w:tcPr>
            <w:tcW w:w="440" w:type="dxa"/>
            <w:vAlign w:val="bottom"/>
            <w:tcBorders>
              <w:bottom w:val="single" w:sz="8" w:color="9A9A9A"/>
            </w:tcBorders>
          </w:tcPr>
          <w:p>
            <w:pPr>
              <w:spacing w:after="0"/>
              <w:rPr>
                <w:sz w:val="8"/>
                <w:szCs w:val="8"/>
                <w:color w:val="auto"/>
              </w:rPr>
            </w:pPr>
          </w:p>
        </w:tc>
        <w:tc>
          <w:tcPr>
            <w:tcW w:w="920" w:type="dxa"/>
            <w:vAlign w:val="bottom"/>
            <w:tcBorders>
              <w:bottom w:val="single" w:sz="8" w:color="9A9A9A"/>
            </w:tcBorders>
          </w:tcPr>
          <w:p>
            <w:pPr>
              <w:spacing w:after="0"/>
              <w:rPr>
                <w:sz w:val="8"/>
                <w:szCs w:val="8"/>
                <w:color w:val="auto"/>
              </w:rPr>
            </w:pPr>
          </w:p>
        </w:tc>
        <w:tc>
          <w:tcPr>
            <w:tcW w:w="260" w:type="dxa"/>
            <w:vAlign w:val="bottom"/>
            <w:tcBorders>
              <w:bottom w:val="single" w:sz="8" w:color="9A9A9A"/>
            </w:tcBorders>
          </w:tcPr>
          <w:p>
            <w:pPr>
              <w:spacing w:after="0"/>
              <w:rPr>
                <w:sz w:val="8"/>
                <w:szCs w:val="8"/>
                <w:color w:val="auto"/>
              </w:rPr>
            </w:pPr>
          </w:p>
        </w:tc>
        <w:tc>
          <w:tcPr>
            <w:tcW w:w="1460" w:type="dxa"/>
            <w:vAlign w:val="bottom"/>
            <w:tcBorders>
              <w:bottom w:val="single" w:sz="8" w:color="9A9A9A"/>
            </w:tcBorders>
          </w:tcPr>
          <w:p>
            <w:pPr>
              <w:spacing w:after="0"/>
              <w:rPr>
                <w:sz w:val="8"/>
                <w:szCs w:val="8"/>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3797935</wp:posOffset>
            </wp:positionH>
            <wp:positionV relativeFrom="paragraph">
              <wp:posOffset>-572770</wp:posOffset>
            </wp:positionV>
            <wp:extent cx="76835" cy="154305"/>
            <wp:wrapNone/>
            <wp:docPr id="260" name="Picture 2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0"/>
                    <pic:cNvPicPr>
                      <a:picLocks noChangeAspect="1" noChangeArrowheads="1"/>
                    </pic:cNvPicPr>
                  </pic:nvPicPr>
                  <pic:blipFill>
                    <a:blip r:embed="rId267">
                      <a:extLst>
                        <a:ext uri="{28A0092B-C50C-407E-A947-70E740481C1C}"/>
                      </a:extLst>
                    </a:blip>
                    <a:srcRect/>
                    <a:stretch>
                      <a:fillRect/>
                    </a:stretch>
                  </pic:blipFill>
                  <pic:spPr bwMode="auto">
                    <a:xfrm>
                      <a:off x="0" y="0"/>
                      <a:ext cx="76835" cy="154305"/>
                    </a:xfrm>
                    <a:prstGeom prst="rect">
                      <a:avLst/>
                    </a:prstGeom>
                    <a:noFill/>
                  </pic:spPr>
                </pic:pic>
              </a:graphicData>
            </a:graphic>
          </wp:anchor>
        </w:drawing>
        <w:drawing>
          <wp:anchor simplePos="0" relativeHeight="251657728" behindDoc="1" locked="0" layoutInCell="0" allowOverlap="1">
            <wp:simplePos x="0" y="0"/>
            <wp:positionH relativeFrom="column">
              <wp:posOffset>5022850</wp:posOffset>
            </wp:positionH>
            <wp:positionV relativeFrom="paragraph">
              <wp:posOffset>-572770</wp:posOffset>
            </wp:positionV>
            <wp:extent cx="68580" cy="154305"/>
            <wp:wrapNone/>
            <wp:docPr id="261" name="Picture 2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1"/>
                    <pic:cNvPicPr>
                      <a:picLocks noChangeAspect="1" noChangeArrowheads="1"/>
                    </pic:cNvPicPr>
                  </pic:nvPicPr>
                  <pic:blipFill>
                    <a:blip r:embed="rId268">
                      <a:extLst>
                        <a:ext uri="{28A0092B-C50C-407E-A947-70E740481C1C}"/>
                      </a:extLst>
                    </a:blip>
                    <a:srcRect/>
                    <a:stretch>
                      <a:fillRect/>
                    </a:stretch>
                  </pic:blipFill>
                  <pic:spPr bwMode="auto">
                    <a:xfrm>
                      <a:off x="0" y="0"/>
                      <a:ext cx="68580" cy="154305"/>
                    </a:xfrm>
                    <a:prstGeom prst="rect">
                      <a:avLst/>
                    </a:prstGeom>
                    <a:noFill/>
                  </pic:spPr>
                </pic:pic>
              </a:graphicData>
            </a:graphic>
          </wp:anchor>
        </w:drawing>
        <w:drawing>
          <wp:anchor simplePos="0" relativeHeight="251657728" behindDoc="1" locked="0" layoutInCell="0" allowOverlap="1">
            <wp:simplePos x="0" y="0"/>
            <wp:positionH relativeFrom="column">
              <wp:posOffset>6041390</wp:posOffset>
            </wp:positionH>
            <wp:positionV relativeFrom="paragraph">
              <wp:posOffset>-572770</wp:posOffset>
            </wp:positionV>
            <wp:extent cx="68580" cy="154305"/>
            <wp:wrapNone/>
            <wp:docPr id="262" name="Picture 2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2"/>
                    <pic:cNvPicPr>
                      <a:picLocks noChangeAspect="1" noChangeArrowheads="1"/>
                    </pic:cNvPicPr>
                  </pic:nvPicPr>
                  <pic:blipFill>
                    <a:blip r:embed="rId269">
                      <a:extLst>
                        <a:ext uri="{28A0092B-C50C-407E-A947-70E740481C1C}"/>
                      </a:extLst>
                    </a:blip>
                    <a:srcRect/>
                    <a:stretch>
                      <a:fillRect/>
                    </a:stretch>
                  </pic:blipFill>
                  <pic:spPr bwMode="auto">
                    <a:xfrm>
                      <a:off x="0" y="0"/>
                      <a:ext cx="68580" cy="154305"/>
                    </a:xfrm>
                    <a:prstGeom prst="rect">
                      <a:avLst/>
                    </a:prstGeom>
                    <a:noFill/>
                  </pic:spPr>
                </pic:pic>
              </a:graphicData>
            </a:graphic>
          </wp:anchor>
        </w:drawing>
        <w:drawing>
          <wp:anchor simplePos="0" relativeHeight="251657728" behindDoc="1" locked="0" layoutInCell="0" allowOverlap="1">
            <wp:simplePos x="0" y="0"/>
            <wp:positionH relativeFrom="column">
              <wp:posOffset>7116445</wp:posOffset>
            </wp:positionH>
            <wp:positionV relativeFrom="paragraph">
              <wp:posOffset>-29210</wp:posOffset>
            </wp:positionV>
            <wp:extent cx="33655" cy="42545"/>
            <wp:wrapNone/>
            <wp:docPr id="263" name="Picture 2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3"/>
                    <pic:cNvPicPr>
                      <a:picLocks noChangeAspect="1" noChangeArrowheads="1"/>
                    </pic:cNvPicPr>
                  </pic:nvPicPr>
                  <pic:blipFill>
                    <a:blip r:embed="rId270">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3655" cy="42545"/>
            <wp:wrapNone/>
            <wp:docPr id="264" name="Picture 2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4"/>
                    <pic:cNvPicPr>
                      <a:picLocks noChangeAspect="1" noChangeArrowheads="1"/>
                    </pic:cNvPicPr>
                  </pic:nvPicPr>
                  <pic:blipFill>
                    <a:blip r:embed="rId271">
                      <a:extLst>
                        <a:ext uri="{28A0092B-C50C-407E-A947-70E740481C1C}"/>
                      </a:extLst>
                    </a:blip>
                    <a:srcRect/>
                    <a:stretch>
                      <a:fillRect/>
                    </a:stretch>
                  </pic:blipFill>
                  <pic:spPr bwMode="auto">
                    <a:xfrm>
                      <a:off x="0" y="0"/>
                      <a:ext cx="33655" cy="42545"/>
                    </a:xfrm>
                    <a:prstGeom prst="rect">
                      <a:avLst/>
                    </a:prstGeom>
                    <a:noFill/>
                  </pic:spPr>
                </pic:pic>
              </a:graphicData>
            </a:graphic>
          </wp:anchor>
        </w:drawing>
      </w:r>
    </w:p>
    <w:p>
      <w:pPr>
        <w:sectPr>
          <w:pgSz w:w="11900" w:h="16838" w:orient="portrait"/>
          <w:cols w:equalWidth="0" w:num="1">
            <w:col w:w="11240"/>
          </w:cols>
          <w:pgMar w:left="320" w:top="651" w:right="339" w:bottom="1440" w:gutter="0" w:footer="0" w:header="0"/>
        </w:sectPr>
      </w:pPr>
    </w:p>
    <w:bookmarkStart w:id="35" w:name="page36"/>
    <w:bookmarkEnd w:id="35"/>
    <w:p>
      <w:pPr>
        <w:spacing w:after="0"/>
        <w:rPr>
          <w:sz w:val="20"/>
          <w:szCs w:val="20"/>
          <w:color w:val="auto"/>
        </w:rPr>
      </w:pPr>
      <w:r>
        <w:rPr>
          <w:rFonts w:ascii="Arial" w:cs="Arial" w:eastAsia="Arial" w:hAnsi="Arial"/>
          <w:sz w:val="18"/>
          <w:szCs w:val="18"/>
          <w:i w:val="1"/>
          <w:iCs w:val="1"/>
          <w:color w:val="auto"/>
        </w:rPr>
        <w:t>Research and Development</w:t>
      </w:r>
    </w:p>
    <w:p>
      <w:pPr>
        <w:spacing w:after="0" w:line="117" w:lineRule="exact"/>
        <w:rPr>
          <w:sz w:val="20"/>
          <w:szCs w:val="20"/>
          <w:color w:val="auto"/>
        </w:rPr>
      </w:pPr>
    </w:p>
    <w:p>
      <w:pPr>
        <w:ind w:right="180" w:firstLine="509"/>
        <w:spacing w:after="0" w:line="283" w:lineRule="auto"/>
        <w:rPr>
          <w:sz w:val="20"/>
          <w:szCs w:val="20"/>
          <w:color w:val="auto"/>
        </w:rPr>
      </w:pPr>
      <w:r>
        <w:rPr>
          <w:rFonts w:ascii="Arial" w:cs="Arial" w:eastAsia="Arial" w:hAnsi="Arial"/>
          <w:sz w:val="16"/>
          <w:szCs w:val="16"/>
          <w:color w:val="auto"/>
        </w:rPr>
        <w:t>Research and development expenses increased $24.4 million, or 72%, during the nine months ended September 30, 2022 compared to the nine months ended September 30, 2021. This increase was primarily attributable to $15.7 million in personnel and related expenses directly associated with an increase in headcount, including an increase in allocated overhead costs. The increase was also attributable to an increase of $7.6 million in stock-based compensation expenses and related payroll taxes as a result of increased headcount, increased value of stock-based awards, and additional expense due to the satisfaction of the performance-based vesting condition of certain equity awards in connection with the Direct Listing.</w:t>
      </w:r>
    </w:p>
    <w:p>
      <w:pPr>
        <w:spacing w:after="0" w:line="264"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Sales and Marketing</w:t>
      </w:r>
    </w:p>
    <w:p>
      <w:pPr>
        <w:spacing w:after="0" w:line="117" w:lineRule="exact"/>
        <w:rPr>
          <w:sz w:val="20"/>
          <w:szCs w:val="20"/>
          <w:color w:val="auto"/>
        </w:rPr>
      </w:pPr>
    </w:p>
    <w:p>
      <w:pPr>
        <w:ind w:right="260" w:firstLine="509"/>
        <w:spacing w:after="0" w:line="259" w:lineRule="auto"/>
        <w:rPr>
          <w:sz w:val="20"/>
          <w:szCs w:val="20"/>
          <w:color w:val="auto"/>
        </w:rPr>
      </w:pPr>
      <w:r>
        <w:rPr>
          <w:rFonts w:ascii="Arial" w:cs="Arial" w:eastAsia="Arial" w:hAnsi="Arial"/>
          <w:sz w:val="17"/>
          <w:szCs w:val="17"/>
          <w:color w:val="auto"/>
        </w:rPr>
        <w:t>Sales and marketing expenses increased $35.8 million, or 61%, during the nine months ended September 30, 2022 compared to the nine months ended September 30, 2021. The increase was primarily due to an increase of $13.9 million in personnel and related expenses directly associated with an increase in headcount, including an increase in allocated overhead costs. The increase in headcount also contributed to an increase of $2.4 million in commissions related to an expansion of our customer base, contract value of deals, and sales team. This increase was also attributable to $9.9 million in stock-based compensation expenses and related payroll taxes as a result of increased headcount, increased value of stock-based awards, and additional expense due to the satisfaction of the performance-based vesting condition of certain equity awards in connection with the Direct Listing. An increase of $5.6 million related to expenses to support our marketing, lead generation, and advertising programs and an increase of $1.4 million in software subscription costs contributed to the overall increase.</w:t>
      </w:r>
    </w:p>
    <w:p>
      <w:pPr>
        <w:spacing w:after="0" w:line="281"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General and Administrative</w:t>
      </w:r>
    </w:p>
    <w:p>
      <w:pPr>
        <w:spacing w:after="0" w:line="103" w:lineRule="exact"/>
        <w:rPr>
          <w:sz w:val="20"/>
          <w:szCs w:val="20"/>
          <w:color w:val="auto"/>
        </w:rPr>
      </w:pPr>
    </w:p>
    <w:p>
      <w:pPr>
        <w:ind w:right="40" w:firstLine="509"/>
        <w:spacing w:after="0" w:line="261" w:lineRule="auto"/>
        <w:rPr>
          <w:sz w:val="20"/>
          <w:szCs w:val="20"/>
          <w:color w:val="auto"/>
        </w:rPr>
      </w:pPr>
      <w:r>
        <w:rPr>
          <w:rFonts w:ascii="Arial" w:cs="Arial" w:eastAsia="Arial" w:hAnsi="Arial"/>
          <w:sz w:val="17"/>
          <w:szCs w:val="17"/>
          <w:color w:val="auto"/>
        </w:rPr>
        <w:t>General and administrative expenses decreased $1.9 million, or 5%, during the nine months ended September 30, 2022 compared to the nine months ended September 30, 2021. The decrease was primarily attributable to a $16.5 million decrease in professional services attributable to fees related to the Direct Listing that were incurred in the nine months ended September 30, 2021. The decrease was partially offset by a $5.8 million increase in stock-based compensation expenses and related payroll taxes as a result of increased headcount, increased value of stock-based awards, and additional expense due to the satisfaction of the performance-based vesting condition of certain equity awards in connection with the Direct Listing. This decrease was also partially offset by an increase of $3.2 million in personnel and related expenses directly associated with an increase in headcount, including an increase in allocated overhead costs, an increase in corporate expenses of $3.4 million, primarily related to increased insurance costs, and an increase in subscription software costs of $1.7 million.</w:t>
      </w:r>
    </w:p>
    <w:p>
      <w:pPr>
        <w:spacing w:after="0" w:line="282"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4640" w:type="dxa"/>
            <w:vAlign w:val="bottom"/>
          </w:tcPr>
          <w:p>
            <w:pPr>
              <w:jc w:val="right"/>
              <w:ind w:right="3230"/>
              <w:spacing w:after="0"/>
              <w:rPr>
                <w:sz w:val="20"/>
                <w:szCs w:val="20"/>
                <w:color w:val="auto"/>
              </w:rPr>
            </w:pPr>
            <w:r>
              <w:rPr>
                <w:rFonts w:ascii="Arial" w:cs="Arial" w:eastAsia="Arial" w:hAnsi="Arial"/>
                <w:sz w:val="18"/>
                <w:szCs w:val="18"/>
                <w:i w:val="1"/>
                <w:iCs w:val="1"/>
                <w:color w:val="auto"/>
                <w:w w:val="90"/>
              </w:rPr>
              <w:t>Other Income, net</w:t>
            </w:r>
          </w:p>
        </w:tc>
        <w:tc>
          <w:tcPr>
            <w:tcW w:w="840" w:type="dxa"/>
            <w:vAlign w:val="bottom"/>
          </w:tcPr>
          <w:p>
            <w:pPr>
              <w:spacing w:after="0"/>
              <w:rPr>
                <w:sz w:val="20"/>
                <w:szCs w:val="20"/>
                <w:color w:val="auto"/>
              </w:rPr>
            </w:pPr>
          </w:p>
        </w:tc>
        <w:tc>
          <w:tcPr>
            <w:tcW w:w="48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16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16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4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13"/>
        </w:trPr>
        <w:tc>
          <w:tcPr>
            <w:tcW w:w="464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1940" w:type="dxa"/>
            <w:vAlign w:val="bottom"/>
            <w:gridSpan w:val="3"/>
          </w:tcPr>
          <w:p>
            <w:pPr>
              <w:jc w:val="center"/>
              <w:ind w:right="310"/>
              <w:spacing w:after="0"/>
              <w:rPr>
                <w:sz w:val="20"/>
                <w:szCs w:val="20"/>
                <w:color w:val="auto"/>
              </w:rPr>
            </w:pPr>
            <w:r>
              <w:rPr>
                <w:rFonts w:ascii="Arial" w:cs="Arial" w:eastAsia="Arial" w:hAnsi="Arial"/>
                <w:sz w:val="18"/>
                <w:szCs w:val="18"/>
                <w:b w:val="1"/>
                <w:bCs w:val="1"/>
                <w:color w:val="auto"/>
                <w:w w:val="91"/>
              </w:rPr>
              <w:t>Nine Months Ended</w:t>
            </w:r>
          </w:p>
        </w:tc>
        <w:tc>
          <w:tcPr>
            <w:tcW w:w="46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4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34"/>
        </w:trPr>
        <w:tc>
          <w:tcPr>
            <w:tcW w:w="4640" w:type="dxa"/>
            <w:vAlign w:val="bottom"/>
          </w:tcPr>
          <w:p>
            <w:pPr>
              <w:spacing w:after="0"/>
              <w:rPr>
                <w:sz w:val="20"/>
                <w:szCs w:val="20"/>
                <w:color w:val="auto"/>
              </w:rPr>
            </w:pPr>
          </w:p>
        </w:tc>
        <w:tc>
          <w:tcPr>
            <w:tcW w:w="840" w:type="dxa"/>
            <w:vAlign w:val="bottom"/>
            <w:tcBorders>
              <w:bottom w:val="single" w:sz="8" w:color="auto"/>
            </w:tcBorders>
          </w:tcPr>
          <w:p>
            <w:pPr>
              <w:spacing w:after="0"/>
              <w:rPr>
                <w:sz w:val="20"/>
                <w:szCs w:val="20"/>
                <w:color w:val="auto"/>
              </w:rPr>
            </w:pPr>
          </w:p>
        </w:tc>
        <w:tc>
          <w:tcPr>
            <w:tcW w:w="1940" w:type="dxa"/>
            <w:vAlign w:val="bottom"/>
            <w:tcBorders>
              <w:bottom w:val="single" w:sz="8" w:color="auto"/>
            </w:tcBorders>
            <w:gridSpan w:val="3"/>
          </w:tcPr>
          <w:p>
            <w:pPr>
              <w:jc w:val="center"/>
              <w:ind w:right="310"/>
              <w:spacing w:after="0"/>
              <w:rPr>
                <w:sz w:val="20"/>
                <w:szCs w:val="20"/>
                <w:color w:val="auto"/>
              </w:rPr>
            </w:pPr>
            <w:r>
              <w:rPr>
                <w:rFonts w:ascii="Arial" w:cs="Arial" w:eastAsia="Arial" w:hAnsi="Arial"/>
                <w:sz w:val="18"/>
                <w:szCs w:val="18"/>
                <w:b w:val="1"/>
                <w:bCs w:val="1"/>
                <w:color w:val="auto"/>
                <w:w w:val="89"/>
              </w:rPr>
              <w:t>September 30,</w:t>
            </w:r>
          </w:p>
        </w:tc>
        <w:tc>
          <w:tcPr>
            <w:tcW w:w="460" w:type="dxa"/>
            <w:vAlign w:val="bottom"/>
            <w:tcBorders>
              <w:bottom w:val="single" w:sz="8" w:color="auto"/>
            </w:tcBorders>
          </w:tcPr>
          <w:p>
            <w:pPr>
              <w:spacing w:after="0"/>
              <w:rPr>
                <w:sz w:val="20"/>
                <w:szCs w:val="20"/>
                <w:color w:val="auto"/>
              </w:rPr>
            </w:pPr>
          </w:p>
        </w:tc>
        <w:tc>
          <w:tcPr>
            <w:tcW w:w="26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160" w:type="dxa"/>
            <w:vAlign w:val="bottom"/>
            <w:vMerge w:val="restart"/>
          </w:tcPr>
          <w:p>
            <w:pPr>
              <w:jc w:val="right"/>
              <w:ind w:right="250"/>
              <w:spacing w:after="0"/>
              <w:rPr>
                <w:sz w:val="20"/>
                <w:szCs w:val="20"/>
                <w:color w:val="auto"/>
              </w:rPr>
            </w:pPr>
            <w:r>
              <w:rPr>
                <w:rFonts w:ascii="Arial" w:cs="Arial" w:eastAsia="Arial" w:hAnsi="Arial"/>
                <w:sz w:val="18"/>
                <w:szCs w:val="18"/>
                <w:b w:val="1"/>
                <w:bCs w:val="1"/>
                <w:color w:val="auto"/>
                <w:w w:val="98"/>
              </w:rPr>
              <w:t>$ Change</w:t>
            </w:r>
          </w:p>
        </w:tc>
        <w:tc>
          <w:tcPr>
            <w:tcW w:w="260" w:type="dxa"/>
            <w:vAlign w:val="bottom"/>
          </w:tcPr>
          <w:p>
            <w:pPr>
              <w:spacing w:after="0"/>
              <w:rPr>
                <w:sz w:val="20"/>
                <w:szCs w:val="20"/>
                <w:color w:val="auto"/>
              </w:rPr>
            </w:pPr>
          </w:p>
        </w:tc>
        <w:tc>
          <w:tcPr>
            <w:tcW w:w="1460" w:type="dxa"/>
            <w:vAlign w:val="bottom"/>
            <w:vMerge w:val="restart"/>
          </w:tcPr>
          <w:p>
            <w:pPr>
              <w:jc w:val="center"/>
              <w:spacing w:after="0"/>
              <w:rPr>
                <w:sz w:val="20"/>
                <w:szCs w:val="20"/>
                <w:color w:val="auto"/>
              </w:rPr>
            </w:pPr>
            <w:r>
              <w:rPr>
                <w:rFonts w:ascii="Arial" w:cs="Arial" w:eastAsia="Arial" w:hAnsi="Arial"/>
                <w:sz w:val="18"/>
                <w:szCs w:val="18"/>
                <w:b w:val="1"/>
                <w:bCs w:val="1"/>
                <w:color w:val="auto"/>
                <w:w w:val="94"/>
              </w:rPr>
              <w:t>% Change</w:t>
            </w:r>
          </w:p>
        </w:tc>
        <w:tc>
          <w:tcPr>
            <w:tcW w:w="0" w:type="dxa"/>
            <w:vAlign w:val="bottom"/>
          </w:tcPr>
          <w:p>
            <w:pPr>
              <w:spacing w:after="0"/>
              <w:rPr>
                <w:sz w:val="1"/>
                <w:szCs w:val="1"/>
                <w:color w:val="auto"/>
              </w:rPr>
            </w:pPr>
          </w:p>
        </w:tc>
      </w:tr>
      <w:tr>
        <w:trPr>
          <w:trHeight w:val="209"/>
        </w:trPr>
        <w:tc>
          <w:tcPr>
            <w:tcW w:w="4640" w:type="dxa"/>
            <w:vAlign w:val="bottom"/>
          </w:tcPr>
          <w:p>
            <w:pPr>
              <w:spacing w:after="0"/>
              <w:rPr>
                <w:sz w:val="18"/>
                <w:szCs w:val="18"/>
                <w:color w:val="auto"/>
              </w:rPr>
            </w:pP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2022</w:t>
            </w:r>
          </w:p>
        </w:tc>
        <w:tc>
          <w:tcPr>
            <w:tcW w:w="480" w:type="dxa"/>
            <w:vAlign w:val="bottom"/>
            <w:tcBorders>
              <w:bottom w:val="single" w:sz="8" w:color="auto"/>
            </w:tcBorders>
          </w:tcPr>
          <w:p>
            <w:pPr>
              <w:spacing w:after="0"/>
              <w:rPr>
                <w:sz w:val="18"/>
                <w:szCs w:val="18"/>
                <w:color w:val="auto"/>
              </w:rPr>
            </w:pPr>
          </w:p>
        </w:tc>
        <w:tc>
          <w:tcPr>
            <w:tcW w:w="300" w:type="dxa"/>
            <w:vAlign w:val="bottom"/>
          </w:tcPr>
          <w:p>
            <w:pPr>
              <w:spacing w:after="0"/>
              <w:rPr>
                <w:sz w:val="18"/>
                <w:szCs w:val="18"/>
                <w:color w:val="auto"/>
              </w:rPr>
            </w:pPr>
          </w:p>
        </w:tc>
        <w:tc>
          <w:tcPr>
            <w:tcW w:w="1160" w:type="dxa"/>
            <w:vAlign w:val="bottom"/>
            <w:tcBorders>
              <w:bottom w:val="single" w:sz="8" w:color="auto"/>
            </w:tcBorders>
          </w:tcPr>
          <w:p>
            <w:pPr>
              <w:jc w:val="right"/>
              <w:ind w:right="90"/>
              <w:spacing w:after="0"/>
              <w:rPr>
                <w:sz w:val="20"/>
                <w:szCs w:val="20"/>
                <w:color w:val="auto"/>
              </w:rPr>
            </w:pPr>
            <w:r>
              <w:rPr>
                <w:rFonts w:ascii="Arial" w:cs="Arial" w:eastAsia="Arial" w:hAnsi="Arial"/>
                <w:sz w:val="18"/>
                <w:szCs w:val="18"/>
                <w:b w:val="1"/>
                <w:bCs w:val="1"/>
                <w:color w:val="auto"/>
              </w:rPr>
              <w:t>2021</w:t>
            </w:r>
          </w:p>
        </w:tc>
        <w:tc>
          <w:tcPr>
            <w:tcW w:w="460" w:type="dxa"/>
            <w:vAlign w:val="bottom"/>
            <w:tcBorders>
              <w:bottom w:val="single" w:sz="8" w:color="auto"/>
            </w:tcBorders>
          </w:tcPr>
          <w:p>
            <w:pPr>
              <w:spacing w:after="0"/>
              <w:rPr>
                <w:sz w:val="18"/>
                <w:szCs w:val="18"/>
                <w:color w:val="auto"/>
              </w:rPr>
            </w:pPr>
          </w:p>
        </w:tc>
        <w:tc>
          <w:tcPr>
            <w:tcW w:w="260" w:type="dxa"/>
            <w:vAlign w:val="bottom"/>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1160" w:type="dxa"/>
            <w:vAlign w:val="bottom"/>
            <w:tcBorders>
              <w:bottom w:val="single" w:sz="8" w:color="auto"/>
            </w:tcBorders>
            <w:vMerge w:val="continue"/>
          </w:tcPr>
          <w:p>
            <w:pPr>
              <w:spacing w:after="0"/>
              <w:rPr>
                <w:sz w:val="18"/>
                <w:szCs w:val="18"/>
                <w:color w:val="auto"/>
              </w:rPr>
            </w:pPr>
          </w:p>
        </w:tc>
        <w:tc>
          <w:tcPr>
            <w:tcW w:w="260" w:type="dxa"/>
            <w:vAlign w:val="bottom"/>
          </w:tcPr>
          <w:p>
            <w:pPr>
              <w:spacing w:after="0"/>
              <w:rPr>
                <w:sz w:val="18"/>
                <w:szCs w:val="18"/>
                <w:color w:val="auto"/>
              </w:rPr>
            </w:pPr>
          </w:p>
        </w:tc>
        <w:tc>
          <w:tcPr>
            <w:tcW w:w="1460" w:type="dxa"/>
            <w:vAlign w:val="bottom"/>
            <w:tcBorders>
              <w:bottom w:val="single" w:sz="8" w:color="auto"/>
            </w:tcBorders>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4640" w:type="dxa"/>
            <w:vAlign w:val="bottom"/>
          </w:tcPr>
          <w:p>
            <w:pPr>
              <w:spacing w:after="0"/>
              <w:rPr>
                <w:sz w:val="19"/>
                <w:szCs w:val="19"/>
                <w:color w:val="auto"/>
              </w:rPr>
            </w:pPr>
          </w:p>
        </w:tc>
        <w:tc>
          <w:tcPr>
            <w:tcW w:w="84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3260" w:type="dxa"/>
            <w:vAlign w:val="bottom"/>
            <w:gridSpan w:val="5"/>
          </w:tcPr>
          <w:p>
            <w:pPr>
              <w:jc w:val="right"/>
              <w:ind w:right="210"/>
              <w:spacing w:after="0"/>
              <w:rPr>
                <w:sz w:val="20"/>
                <w:szCs w:val="20"/>
                <w:color w:val="auto"/>
              </w:rPr>
            </w:pPr>
            <w:r>
              <w:rPr>
                <w:rFonts w:ascii="Arial" w:cs="Arial" w:eastAsia="Arial" w:hAnsi="Arial"/>
                <w:sz w:val="18"/>
                <w:szCs w:val="18"/>
                <w:b w:val="1"/>
                <w:bCs w:val="1"/>
                <w:i w:val="1"/>
                <w:iCs w:val="1"/>
                <w:color w:val="auto"/>
                <w:w w:val="97"/>
              </w:rPr>
              <w:t>(in thousands, except percentages)</w:t>
            </w:r>
          </w:p>
        </w:tc>
        <w:tc>
          <w:tcPr>
            <w:tcW w:w="260" w:type="dxa"/>
            <w:vAlign w:val="bottom"/>
          </w:tcPr>
          <w:p>
            <w:pPr>
              <w:spacing w:after="0"/>
              <w:rPr>
                <w:sz w:val="19"/>
                <w:szCs w:val="19"/>
                <w:color w:val="auto"/>
              </w:rPr>
            </w:pPr>
          </w:p>
        </w:tc>
        <w:tc>
          <w:tcPr>
            <w:tcW w:w="14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4640" w:type="dxa"/>
            <w:vAlign w:val="bottom"/>
            <w:shd w:val="clear" w:color="auto" w:fill="CFF0FC"/>
          </w:tcPr>
          <w:p>
            <w:pPr>
              <w:jc w:val="right"/>
              <w:ind w:right="3230"/>
              <w:spacing w:after="0"/>
              <w:rPr>
                <w:sz w:val="20"/>
                <w:szCs w:val="20"/>
                <w:color w:val="auto"/>
              </w:rPr>
            </w:pPr>
            <w:r>
              <w:rPr>
                <w:rFonts w:ascii="Arial" w:cs="Arial" w:eastAsia="Arial" w:hAnsi="Arial"/>
                <w:sz w:val="18"/>
                <w:szCs w:val="18"/>
                <w:color w:val="auto"/>
                <w:w w:val="90"/>
              </w:rPr>
              <w:t>Other income, net</w:t>
            </w:r>
          </w:p>
        </w:tc>
        <w:tc>
          <w:tcPr>
            <w:tcW w:w="840" w:type="dxa"/>
            <w:vAlign w:val="bottom"/>
            <w:shd w:val="clear" w:color="auto" w:fill="CFF0FC"/>
          </w:tcPr>
          <w:p>
            <w:pPr>
              <w:jc w:val="right"/>
              <w:ind w:right="650"/>
              <w:spacing w:after="0"/>
              <w:rPr>
                <w:sz w:val="20"/>
                <w:szCs w:val="20"/>
                <w:color w:val="auto"/>
              </w:rPr>
            </w:pPr>
            <w:r>
              <w:rPr>
                <w:rFonts w:ascii="Arial" w:cs="Arial" w:eastAsia="Arial" w:hAnsi="Arial"/>
                <w:sz w:val="18"/>
                <w:szCs w:val="18"/>
                <w:color w:val="auto"/>
                <w:w w:val="79"/>
              </w:rPr>
              <w:t>$</w:t>
            </w:r>
          </w:p>
        </w:tc>
        <w:tc>
          <w:tcPr>
            <w:tcW w:w="4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1,821</w:t>
            </w:r>
          </w:p>
        </w:tc>
        <w:tc>
          <w:tcPr>
            <w:tcW w:w="1460" w:type="dxa"/>
            <w:vAlign w:val="bottom"/>
            <w:gridSpan w:val="2"/>
            <w:shd w:val="clear" w:color="auto" w:fill="CFF0FC"/>
          </w:tcPr>
          <w:p>
            <w:pPr>
              <w:jc w:val="right"/>
              <w:ind w:right="970"/>
              <w:spacing w:after="0"/>
              <w:rPr>
                <w:sz w:val="20"/>
                <w:szCs w:val="20"/>
                <w:color w:val="auto"/>
              </w:rPr>
            </w:pPr>
            <w:r>
              <w:rPr>
                <w:rFonts w:ascii="Arial" w:cs="Arial" w:eastAsia="Arial" w:hAnsi="Arial"/>
                <w:sz w:val="18"/>
                <w:szCs w:val="18"/>
                <w:color w:val="auto"/>
              </w:rPr>
              <w:t>$</w:t>
            </w:r>
          </w:p>
        </w:tc>
        <w:tc>
          <w:tcPr>
            <w:tcW w:w="4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143</w:t>
            </w:r>
          </w:p>
        </w:tc>
        <w:tc>
          <w:tcPr>
            <w:tcW w:w="480" w:type="dxa"/>
            <w:vAlign w:val="bottom"/>
            <w:gridSpan w:val="2"/>
            <w:shd w:val="clear" w:color="auto" w:fill="CFF0FC"/>
          </w:tcPr>
          <w:p>
            <w:pPr>
              <w:jc w:val="right"/>
              <w:ind w:right="120"/>
              <w:spacing w:after="0"/>
              <w:rPr>
                <w:sz w:val="20"/>
                <w:szCs w:val="20"/>
                <w:color w:val="auto"/>
              </w:rPr>
            </w:pPr>
            <w:r>
              <w:rPr>
                <w:rFonts w:ascii="Arial" w:cs="Arial" w:eastAsia="Arial" w:hAnsi="Arial"/>
                <w:sz w:val="18"/>
                <w:szCs w:val="18"/>
                <w:color w:val="auto"/>
              </w:rPr>
              <w:t>$</w:t>
            </w:r>
          </w:p>
        </w:tc>
        <w:tc>
          <w:tcPr>
            <w:tcW w:w="11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1,678</w:t>
            </w:r>
          </w:p>
        </w:tc>
        <w:tc>
          <w:tcPr>
            <w:tcW w:w="1720" w:type="dxa"/>
            <w:vAlign w:val="bottom"/>
            <w:gridSpan w:val="2"/>
            <w:shd w:val="clear" w:color="auto" w:fill="CFF0FC"/>
          </w:tcPr>
          <w:p>
            <w:pPr>
              <w:jc w:val="right"/>
              <w:ind w:right="59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bl>
    <w:p>
      <w:pPr>
        <w:spacing w:after="0" w:line="116" w:lineRule="exact"/>
        <w:rPr>
          <w:sz w:val="20"/>
          <w:szCs w:val="20"/>
          <w:color w:val="auto"/>
        </w:rPr>
      </w:pPr>
    </w:p>
    <w:p>
      <w:pPr>
        <w:ind w:left="300" w:hanging="292"/>
        <w:spacing w:after="0"/>
        <w:tabs>
          <w:tab w:leader="none" w:pos="300" w:val="left"/>
        </w:tabs>
        <w:numPr>
          <w:ilvl w:val="0"/>
          <w:numId w:val="30"/>
        </w:numPr>
        <w:rPr>
          <w:rFonts w:ascii="Arial" w:cs="Arial" w:eastAsia="Arial" w:hAnsi="Arial"/>
          <w:sz w:val="14"/>
          <w:szCs w:val="14"/>
          <w:color w:val="auto"/>
        </w:rPr>
      </w:pPr>
      <w:r>
        <w:rPr>
          <w:rFonts w:ascii="Arial" w:cs="Arial" w:eastAsia="Arial" w:hAnsi="Arial"/>
          <w:sz w:val="14"/>
          <w:szCs w:val="14"/>
          <w:color w:val="auto"/>
        </w:rPr>
        <w:t>Not meaningful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-98425</wp:posOffset>
            </wp:positionV>
            <wp:extent cx="855980" cy="8255"/>
            <wp:wrapNone/>
            <wp:docPr id="265" name="Picture 2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5"/>
                    <pic:cNvPicPr>
                      <a:picLocks noChangeAspect="1" noChangeArrowheads="1"/>
                    </pic:cNvPicPr>
                  </pic:nvPicPr>
                  <pic:blipFill>
                    <a:blip r:embed="rId272">
                      <a:extLst>
                        <a:ext uri="{28A0092B-C50C-407E-A947-70E740481C1C}"/>
                      </a:extLst>
                    </a:blip>
                    <a:srcRect/>
                    <a:stretch>
                      <a:fillRect/>
                    </a:stretch>
                  </pic:blipFill>
                  <pic:spPr bwMode="auto">
                    <a:xfrm>
                      <a:off x="0" y="0"/>
                      <a:ext cx="855980" cy="8255"/>
                    </a:xfrm>
                    <a:prstGeom prst="rect">
                      <a:avLst/>
                    </a:prstGeom>
                    <a:noFill/>
                  </pic:spPr>
                </pic:pic>
              </a:graphicData>
            </a:graphic>
          </wp:anchor>
        </w:drawing>
      </w:r>
    </w:p>
    <w:p>
      <w:pPr>
        <w:spacing w:after="0" w:line="228" w:lineRule="exact"/>
        <w:rPr>
          <w:sz w:val="20"/>
          <w:szCs w:val="20"/>
          <w:color w:val="auto"/>
        </w:rPr>
      </w:pPr>
    </w:p>
    <w:p>
      <w:pPr>
        <w:ind w:right="100" w:firstLine="509"/>
        <w:spacing w:after="0" w:line="255" w:lineRule="auto"/>
        <w:rPr>
          <w:sz w:val="20"/>
          <w:szCs w:val="20"/>
          <w:color w:val="auto"/>
        </w:rPr>
      </w:pPr>
      <w:r>
        <w:rPr>
          <w:rFonts w:ascii="Arial" w:cs="Arial" w:eastAsia="Arial" w:hAnsi="Arial"/>
          <w:sz w:val="18"/>
          <w:szCs w:val="18"/>
          <w:color w:val="auto"/>
        </w:rPr>
        <w:t>Other income, net increased $1.7 million during the nine months ended September 30, 2022 compared to the nine months ended September 30, 2021. The increase was primarily related to a $1.5 million increase in interest income resulting from interest earned on the marketable securities purchased in the nine months ended September 30, 2022.</w:t>
      </w:r>
    </w:p>
    <w:p>
      <w:pPr>
        <w:spacing w:after="0" w:line="284"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4600" w:type="dxa"/>
            <w:vAlign w:val="bottom"/>
          </w:tcPr>
          <w:p>
            <w:pPr>
              <w:spacing w:after="0"/>
              <w:rPr>
                <w:sz w:val="20"/>
                <w:szCs w:val="20"/>
                <w:color w:val="auto"/>
              </w:rPr>
            </w:pPr>
            <w:r>
              <w:rPr>
                <w:rFonts w:ascii="Arial" w:cs="Arial" w:eastAsia="Arial" w:hAnsi="Arial"/>
                <w:sz w:val="18"/>
                <w:szCs w:val="18"/>
                <w:i w:val="1"/>
                <w:iCs w:val="1"/>
                <w:color w:val="auto"/>
              </w:rPr>
              <w:t>Provision for (Benefit from) Income Taxes</w:t>
            </w:r>
          </w:p>
        </w:tc>
        <w:tc>
          <w:tcPr>
            <w:tcW w:w="860" w:type="dxa"/>
            <w:vAlign w:val="bottom"/>
          </w:tcPr>
          <w:p>
            <w:pPr>
              <w:spacing w:after="0"/>
              <w:rPr>
                <w:sz w:val="20"/>
                <w:szCs w:val="20"/>
                <w:color w:val="auto"/>
              </w:rPr>
            </w:pPr>
          </w:p>
        </w:tc>
        <w:tc>
          <w:tcPr>
            <w:tcW w:w="50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16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18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4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373"/>
        </w:trPr>
        <w:tc>
          <w:tcPr>
            <w:tcW w:w="460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1940" w:type="dxa"/>
            <w:vAlign w:val="bottom"/>
            <w:gridSpan w:val="3"/>
          </w:tcPr>
          <w:p>
            <w:pPr>
              <w:spacing w:after="0"/>
              <w:rPr>
                <w:sz w:val="20"/>
                <w:szCs w:val="20"/>
                <w:color w:val="auto"/>
              </w:rPr>
            </w:pPr>
            <w:r>
              <w:rPr>
                <w:rFonts w:ascii="Arial" w:cs="Arial" w:eastAsia="Arial" w:hAnsi="Arial"/>
                <w:sz w:val="18"/>
                <w:szCs w:val="18"/>
                <w:b w:val="1"/>
                <w:bCs w:val="1"/>
                <w:color w:val="auto"/>
              </w:rPr>
              <w:t>Nine Months Ended</w:t>
            </w:r>
          </w:p>
        </w:tc>
        <w:tc>
          <w:tcPr>
            <w:tcW w:w="46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18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4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34"/>
        </w:trPr>
        <w:tc>
          <w:tcPr>
            <w:tcW w:w="4600" w:type="dxa"/>
            <w:vAlign w:val="bottom"/>
          </w:tcPr>
          <w:p>
            <w:pPr>
              <w:spacing w:after="0"/>
              <w:rPr>
                <w:sz w:val="20"/>
                <w:szCs w:val="20"/>
                <w:color w:val="auto"/>
              </w:rPr>
            </w:pPr>
          </w:p>
        </w:tc>
        <w:tc>
          <w:tcPr>
            <w:tcW w:w="860" w:type="dxa"/>
            <w:vAlign w:val="bottom"/>
            <w:tcBorders>
              <w:bottom w:val="single" w:sz="8" w:color="auto"/>
            </w:tcBorders>
          </w:tcPr>
          <w:p>
            <w:pPr>
              <w:spacing w:after="0"/>
              <w:rPr>
                <w:sz w:val="20"/>
                <w:szCs w:val="20"/>
                <w:color w:val="auto"/>
              </w:rPr>
            </w:pPr>
          </w:p>
        </w:tc>
        <w:tc>
          <w:tcPr>
            <w:tcW w:w="1940" w:type="dxa"/>
            <w:vAlign w:val="bottom"/>
            <w:tcBorders>
              <w:bottom w:val="single" w:sz="8" w:color="auto"/>
            </w:tcBorders>
            <w:gridSpan w:val="3"/>
          </w:tcPr>
          <w:p>
            <w:pPr>
              <w:ind w:left="220"/>
              <w:spacing w:after="0"/>
              <w:rPr>
                <w:sz w:val="20"/>
                <w:szCs w:val="20"/>
                <w:color w:val="auto"/>
              </w:rPr>
            </w:pPr>
            <w:r>
              <w:rPr>
                <w:rFonts w:ascii="Arial" w:cs="Arial" w:eastAsia="Arial" w:hAnsi="Arial"/>
                <w:sz w:val="18"/>
                <w:szCs w:val="18"/>
                <w:b w:val="1"/>
                <w:bCs w:val="1"/>
                <w:color w:val="auto"/>
              </w:rPr>
              <w:t>September 30,</w:t>
            </w:r>
          </w:p>
        </w:tc>
        <w:tc>
          <w:tcPr>
            <w:tcW w:w="460" w:type="dxa"/>
            <w:vAlign w:val="bottom"/>
            <w:tcBorders>
              <w:bottom w:val="single" w:sz="8" w:color="auto"/>
            </w:tcBorders>
          </w:tcPr>
          <w:p>
            <w:pPr>
              <w:spacing w:after="0"/>
              <w:rPr>
                <w:sz w:val="20"/>
                <w:szCs w:val="20"/>
                <w:color w:val="auto"/>
              </w:rPr>
            </w:pPr>
          </w:p>
        </w:tc>
        <w:tc>
          <w:tcPr>
            <w:tcW w:w="26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180" w:type="dxa"/>
            <w:vAlign w:val="bottom"/>
            <w:vMerge w:val="restart"/>
          </w:tcPr>
          <w:p>
            <w:pPr>
              <w:jc w:val="right"/>
              <w:ind w:right="250"/>
              <w:spacing w:after="0"/>
              <w:rPr>
                <w:sz w:val="20"/>
                <w:szCs w:val="20"/>
                <w:color w:val="auto"/>
              </w:rPr>
            </w:pPr>
            <w:r>
              <w:rPr>
                <w:rFonts w:ascii="Arial" w:cs="Arial" w:eastAsia="Arial" w:hAnsi="Arial"/>
                <w:sz w:val="18"/>
                <w:szCs w:val="18"/>
                <w:b w:val="1"/>
                <w:bCs w:val="1"/>
                <w:color w:val="auto"/>
              </w:rPr>
              <w:t>$ Change</w:t>
            </w:r>
          </w:p>
        </w:tc>
        <w:tc>
          <w:tcPr>
            <w:tcW w:w="260" w:type="dxa"/>
            <w:vAlign w:val="bottom"/>
            <w:vMerge w:val="restart"/>
          </w:tcPr>
          <w:p>
            <w:pPr>
              <w:spacing w:after="0"/>
              <w:rPr>
                <w:sz w:val="20"/>
                <w:szCs w:val="20"/>
                <w:color w:val="auto"/>
              </w:rPr>
            </w:pPr>
          </w:p>
        </w:tc>
        <w:tc>
          <w:tcPr>
            <w:tcW w:w="1460" w:type="dxa"/>
            <w:vAlign w:val="bottom"/>
            <w:vMerge w:val="restart"/>
          </w:tcPr>
          <w:p>
            <w:pPr>
              <w:jc w:val="center"/>
              <w:spacing w:after="0"/>
              <w:rPr>
                <w:sz w:val="20"/>
                <w:szCs w:val="20"/>
                <w:color w:val="auto"/>
              </w:rPr>
            </w:pPr>
            <w:r>
              <w:rPr>
                <w:rFonts w:ascii="Arial" w:cs="Arial" w:eastAsia="Arial" w:hAnsi="Arial"/>
                <w:sz w:val="18"/>
                <w:szCs w:val="18"/>
                <w:b w:val="1"/>
                <w:bCs w:val="1"/>
                <w:color w:val="auto"/>
                <w:w w:val="94"/>
              </w:rPr>
              <w:t>% Change</w:t>
            </w:r>
          </w:p>
        </w:tc>
        <w:tc>
          <w:tcPr>
            <w:tcW w:w="0" w:type="dxa"/>
            <w:vAlign w:val="bottom"/>
          </w:tcPr>
          <w:p>
            <w:pPr>
              <w:spacing w:after="0"/>
              <w:rPr>
                <w:sz w:val="1"/>
                <w:szCs w:val="1"/>
                <w:color w:val="auto"/>
              </w:rPr>
            </w:pPr>
          </w:p>
        </w:tc>
      </w:tr>
      <w:tr>
        <w:trPr>
          <w:trHeight w:val="209"/>
        </w:trPr>
        <w:tc>
          <w:tcPr>
            <w:tcW w:w="4600" w:type="dxa"/>
            <w:vAlign w:val="bottom"/>
          </w:tcPr>
          <w:p>
            <w:pPr>
              <w:spacing w:after="0"/>
              <w:rPr>
                <w:sz w:val="18"/>
                <w:szCs w:val="18"/>
                <w:color w:val="auto"/>
              </w:rPr>
            </w:pP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2022</w:t>
            </w:r>
          </w:p>
        </w:tc>
        <w:tc>
          <w:tcPr>
            <w:tcW w:w="500" w:type="dxa"/>
            <w:vAlign w:val="bottom"/>
            <w:tcBorders>
              <w:bottom w:val="single" w:sz="8" w:color="auto"/>
            </w:tcBorders>
          </w:tcPr>
          <w:p>
            <w:pPr>
              <w:spacing w:after="0"/>
              <w:rPr>
                <w:sz w:val="18"/>
                <w:szCs w:val="18"/>
                <w:color w:val="auto"/>
              </w:rPr>
            </w:pPr>
          </w:p>
        </w:tc>
        <w:tc>
          <w:tcPr>
            <w:tcW w:w="280" w:type="dxa"/>
            <w:vAlign w:val="bottom"/>
          </w:tcPr>
          <w:p>
            <w:pPr>
              <w:spacing w:after="0"/>
              <w:rPr>
                <w:sz w:val="18"/>
                <w:szCs w:val="18"/>
                <w:color w:val="auto"/>
              </w:rPr>
            </w:pPr>
          </w:p>
        </w:tc>
        <w:tc>
          <w:tcPr>
            <w:tcW w:w="1160" w:type="dxa"/>
            <w:vAlign w:val="bottom"/>
            <w:tcBorders>
              <w:bottom w:val="single" w:sz="8" w:color="auto"/>
            </w:tcBorders>
          </w:tcPr>
          <w:p>
            <w:pPr>
              <w:jc w:val="right"/>
              <w:ind w:right="70"/>
              <w:spacing w:after="0"/>
              <w:rPr>
                <w:sz w:val="20"/>
                <w:szCs w:val="20"/>
                <w:color w:val="auto"/>
              </w:rPr>
            </w:pPr>
            <w:r>
              <w:rPr>
                <w:rFonts w:ascii="Arial" w:cs="Arial" w:eastAsia="Arial" w:hAnsi="Arial"/>
                <w:sz w:val="18"/>
                <w:szCs w:val="18"/>
                <w:b w:val="1"/>
                <w:bCs w:val="1"/>
                <w:color w:val="auto"/>
              </w:rPr>
              <w:t>2021</w:t>
            </w:r>
          </w:p>
        </w:tc>
        <w:tc>
          <w:tcPr>
            <w:tcW w:w="460" w:type="dxa"/>
            <w:vAlign w:val="bottom"/>
            <w:tcBorders>
              <w:bottom w:val="single" w:sz="8" w:color="auto"/>
            </w:tcBorders>
          </w:tcPr>
          <w:p>
            <w:pPr>
              <w:spacing w:after="0"/>
              <w:rPr>
                <w:sz w:val="18"/>
                <w:szCs w:val="18"/>
                <w:color w:val="auto"/>
              </w:rPr>
            </w:pPr>
          </w:p>
        </w:tc>
        <w:tc>
          <w:tcPr>
            <w:tcW w:w="260" w:type="dxa"/>
            <w:vAlign w:val="bottom"/>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1180" w:type="dxa"/>
            <w:vAlign w:val="bottom"/>
            <w:tcBorders>
              <w:bottom w:val="single" w:sz="8" w:color="auto"/>
            </w:tcBorders>
            <w:vMerge w:val="continue"/>
          </w:tcPr>
          <w:p>
            <w:pPr>
              <w:spacing w:after="0"/>
              <w:rPr>
                <w:sz w:val="18"/>
                <w:szCs w:val="18"/>
                <w:color w:val="auto"/>
              </w:rPr>
            </w:pPr>
          </w:p>
        </w:tc>
        <w:tc>
          <w:tcPr>
            <w:tcW w:w="260" w:type="dxa"/>
            <w:vAlign w:val="bottom"/>
            <w:vMerge w:val="continue"/>
          </w:tcPr>
          <w:p>
            <w:pPr>
              <w:spacing w:after="0"/>
              <w:rPr>
                <w:sz w:val="18"/>
                <w:szCs w:val="18"/>
                <w:color w:val="auto"/>
              </w:rPr>
            </w:pPr>
          </w:p>
        </w:tc>
        <w:tc>
          <w:tcPr>
            <w:tcW w:w="1460" w:type="dxa"/>
            <w:vAlign w:val="bottom"/>
            <w:tcBorders>
              <w:bottom w:val="single" w:sz="8" w:color="auto"/>
            </w:tcBorders>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4600" w:type="dxa"/>
            <w:vAlign w:val="bottom"/>
          </w:tcPr>
          <w:p>
            <w:pPr>
              <w:spacing w:after="0"/>
              <w:rPr>
                <w:sz w:val="19"/>
                <w:szCs w:val="19"/>
                <w:color w:val="auto"/>
              </w:rPr>
            </w:pPr>
          </w:p>
        </w:tc>
        <w:tc>
          <w:tcPr>
            <w:tcW w:w="86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3540" w:type="dxa"/>
            <w:vAlign w:val="bottom"/>
            <w:gridSpan w:val="6"/>
          </w:tcPr>
          <w:p>
            <w:pPr>
              <w:jc w:val="right"/>
              <w:ind w:right="580"/>
              <w:spacing w:after="0"/>
              <w:rPr>
                <w:sz w:val="20"/>
                <w:szCs w:val="20"/>
                <w:color w:val="auto"/>
              </w:rPr>
            </w:pPr>
            <w:r>
              <w:rPr>
                <w:rFonts w:ascii="Arial" w:cs="Arial" w:eastAsia="Arial" w:hAnsi="Arial"/>
                <w:sz w:val="18"/>
                <w:szCs w:val="18"/>
                <w:b w:val="1"/>
                <w:bCs w:val="1"/>
                <w:i w:val="1"/>
                <w:iCs w:val="1"/>
                <w:color w:val="auto"/>
                <w:w w:val="97"/>
              </w:rPr>
              <w:t>(in thousands, except percentages)</w:t>
            </w:r>
          </w:p>
        </w:tc>
        <w:tc>
          <w:tcPr>
            <w:tcW w:w="14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4600" w:type="dxa"/>
            <w:vAlign w:val="bottom"/>
            <w:shd w:val="clear" w:color="auto" w:fill="CFF0FC"/>
          </w:tcPr>
          <w:p>
            <w:pPr>
              <w:ind w:left="20"/>
              <w:spacing w:after="0"/>
              <w:rPr>
                <w:sz w:val="20"/>
                <w:szCs w:val="20"/>
                <w:color w:val="auto"/>
              </w:rPr>
            </w:pPr>
            <w:r>
              <w:rPr>
                <w:rFonts w:ascii="Arial" w:cs="Arial" w:eastAsia="Arial" w:hAnsi="Arial"/>
                <w:sz w:val="18"/>
                <w:szCs w:val="18"/>
                <w:color w:val="auto"/>
              </w:rPr>
              <w:t>Provision for (benefit from) income taxes</w:t>
            </w:r>
          </w:p>
        </w:tc>
        <w:tc>
          <w:tcPr>
            <w:tcW w:w="860" w:type="dxa"/>
            <w:vAlign w:val="bottom"/>
            <w:shd w:val="clear" w:color="auto" w:fill="CFF0FC"/>
          </w:tcPr>
          <w:p>
            <w:pPr>
              <w:jc w:val="right"/>
              <w:ind w:right="670"/>
              <w:spacing w:after="0"/>
              <w:rPr>
                <w:sz w:val="20"/>
                <w:szCs w:val="20"/>
                <w:color w:val="auto"/>
              </w:rPr>
            </w:pPr>
            <w:r>
              <w:rPr>
                <w:rFonts w:ascii="Arial" w:cs="Arial" w:eastAsia="Arial" w:hAnsi="Arial"/>
                <w:sz w:val="18"/>
                <w:szCs w:val="18"/>
                <w:color w:val="auto"/>
                <w:w w:val="79"/>
              </w:rPr>
              <w:t>$</w:t>
            </w:r>
          </w:p>
        </w:tc>
        <w:tc>
          <w:tcPr>
            <w:tcW w:w="500" w:type="dxa"/>
            <w:vAlign w:val="bottom"/>
            <w:shd w:val="clear" w:color="auto" w:fill="CFF0FC"/>
          </w:tcPr>
          <w:p>
            <w:pPr>
              <w:ind w:left="220"/>
              <w:spacing w:after="0"/>
              <w:rPr>
                <w:sz w:val="20"/>
                <w:szCs w:val="20"/>
                <w:color w:val="auto"/>
              </w:rPr>
            </w:pPr>
            <w:r>
              <w:rPr>
                <w:rFonts w:ascii="Arial" w:cs="Arial" w:eastAsia="Arial" w:hAnsi="Arial"/>
                <w:sz w:val="18"/>
                <w:szCs w:val="18"/>
                <w:color w:val="auto"/>
                <w:w w:val="86"/>
              </w:rPr>
              <w:t>389</w:t>
            </w:r>
          </w:p>
        </w:tc>
        <w:tc>
          <w:tcPr>
            <w:tcW w:w="1440" w:type="dxa"/>
            <w:vAlign w:val="bottom"/>
            <w:gridSpan w:val="2"/>
            <w:shd w:val="clear" w:color="auto" w:fill="CFF0FC"/>
          </w:tcPr>
          <w:p>
            <w:pPr>
              <w:jc w:val="right"/>
              <w:ind w:right="970"/>
              <w:spacing w:after="0"/>
              <w:rPr>
                <w:sz w:val="20"/>
                <w:szCs w:val="20"/>
                <w:color w:val="auto"/>
              </w:rPr>
            </w:pPr>
            <w:r>
              <w:rPr>
                <w:rFonts w:ascii="Arial" w:cs="Arial" w:eastAsia="Arial" w:hAnsi="Arial"/>
                <w:sz w:val="18"/>
                <w:szCs w:val="18"/>
                <w:color w:val="auto"/>
              </w:rPr>
              <w:t>$</w:t>
            </w:r>
          </w:p>
        </w:tc>
        <w:tc>
          <w:tcPr>
            <w:tcW w:w="4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560</w:t>
            </w:r>
          </w:p>
        </w:tc>
        <w:tc>
          <w:tcPr>
            <w:tcW w:w="480" w:type="dxa"/>
            <w:vAlign w:val="bottom"/>
            <w:gridSpan w:val="2"/>
            <w:shd w:val="clear" w:color="auto" w:fill="CFF0FC"/>
          </w:tcPr>
          <w:p>
            <w:pPr>
              <w:jc w:val="right"/>
              <w:ind w:right="120"/>
              <w:spacing w:after="0"/>
              <w:rPr>
                <w:sz w:val="20"/>
                <w:szCs w:val="20"/>
                <w:color w:val="auto"/>
              </w:rPr>
            </w:pPr>
            <w:r>
              <w:rPr>
                <w:rFonts w:ascii="Arial" w:cs="Arial" w:eastAsia="Arial" w:hAnsi="Arial"/>
                <w:sz w:val="18"/>
                <w:szCs w:val="18"/>
                <w:color w:val="auto"/>
              </w:rPr>
              <w:t>$</w:t>
            </w:r>
          </w:p>
        </w:tc>
        <w:tc>
          <w:tcPr>
            <w:tcW w:w="1440" w:type="dxa"/>
            <w:vAlign w:val="bottom"/>
            <w:gridSpan w:val="2"/>
            <w:shd w:val="clear" w:color="auto" w:fill="CFF0FC"/>
          </w:tcPr>
          <w:p>
            <w:pPr>
              <w:jc w:val="right"/>
              <w:ind w:right="180"/>
              <w:spacing w:after="0"/>
              <w:rPr>
                <w:sz w:val="20"/>
                <w:szCs w:val="20"/>
                <w:color w:val="auto"/>
              </w:rPr>
            </w:pPr>
            <w:r>
              <w:rPr>
                <w:rFonts w:ascii="Arial" w:cs="Arial" w:eastAsia="Arial" w:hAnsi="Arial"/>
                <w:sz w:val="18"/>
                <w:szCs w:val="18"/>
                <w:color w:val="auto"/>
              </w:rPr>
              <w:t>(171 )</w:t>
            </w:r>
          </w:p>
        </w:tc>
        <w:tc>
          <w:tcPr>
            <w:tcW w:w="1460" w:type="dxa"/>
            <w:vAlign w:val="bottom"/>
            <w:shd w:val="clear" w:color="auto" w:fill="CFF0FC"/>
          </w:tcPr>
          <w:p>
            <w:pPr>
              <w:jc w:val="right"/>
              <w:ind w:right="410"/>
              <w:spacing w:after="0"/>
              <w:rPr>
                <w:sz w:val="20"/>
                <w:szCs w:val="20"/>
                <w:color w:val="auto"/>
              </w:rPr>
            </w:pPr>
            <w:r>
              <w:rPr>
                <w:rFonts w:ascii="Arial" w:cs="Arial" w:eastAsia="Arial" w:hAnsi="Arial"/>
                <w:sz w:val="18"/>
                <w:szCs w:val="18"/>
                <w:color w:val="auto"/>
              </w:rPr>
              <w:t>(31)%</w:t>
            </w:r>
          </w:p>
        </w:tc>
        <w:tc>
          <w:tcPr>
            <w:tcW w:w="0" w:type="dxa"/>
            <w:vAlign w:val="bottom"/>
          </w:tcPr>
          <w:p>
            <w:pPr>
              <w:spacing w:after="0"/>
              <w:rPr>
                <w:sz w:val="1"/>
                <w:szCs w:val="1"/>
                <w:color w:val="auto"/>
              </w:rPr>
            </w:pPr>
          </w:p>
        </w:tc>
      </w:tr>
    </w:tbl>
    <w:p>
      <w:pPr>
        <w:spacing w:after="0" w:line="228" w:lineRule="exact"/>
        <w:rPr>
          <w:sz w:val="20"/>
          <w:szCs w:val="20"/>
          <w:color w:val="auto"/>
        </w:rPr>
      </w:pPr>
    </w:p>
    <w:p>
      <w:pPr>
        <w:ind w:right="180" w:firstLine="509"/>
        <w:spacing w:after="0" w:line="261" w:lineRule="auto"/>
        <w:rPr>
          <w:sz w:val="20"/>
          <w:szCs w:val="20"/>
          <w:color w:val="auto"/>
        </w:rPr>
      </w:pPr>
      <w:r>
        <w:rPr>
          <w:rFonts w:ascii="Arial" w:cs="Arial" w:eastAsia="Arial" w:hAnsi="Arial"/>
          <w:sz w:val="18"/>
          <w:szCs w:val="18"/>
          <w:color w:val="auto"/>
        </w:rPr>
        <w:t>Provision for (benefit from) income taxes decreased $0.2 million, or 31%, during the nine months ended September 30, 2022 compared to the nine months ended September 30, 2021, primarily due to decreased foreign taxes resulting from a decrease in foreign</w:t>
      </w:r>
    </w:p>
    <w:p>
      <w:pPr>
        <w:spacing w:after="0" w:line="6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266" name="Picture 2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6"/>
                    <pic:cNvPicPr>
                      <a:picLocks noChangeAspect="1" noChangeArrowheads="1"/>
                    </pic:cNvPicPr>
                  </pic:nvPicPr>
                  <pic:blipFill>
                    <a:blip r:embed="rId27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651" w:right="339" w:bottom="1440" w:gutter="0" w:footer="0" w:header="0"/>
        </w:sectPr>
      </w:pPr>
    </w:p>
    <w:bookmarkStart w:id="36" w:name="page37"/>
    <w:bookmarkEnd w:id="36"/>
    <w:p>
      <w:pPr>
        <w:spacing w:after="0"/>
        <w:rPr>
          <w:sz w:val="20"/>
          <w:szCs w:val="20"/>
          <w:color w:val="auto"/>
        </w:rPr>
      </w:pPr>
      <w:r>
        <w:rPr>
          <w:rFonts w:ascii="Arial" w:cs="Arial" w:eastAsia="Arial" w:hAnsi="Arial"/>
          <w:sz w:val="18"/>
          <w:szCs w:val="18"/>
          <w:color w:val="auto"/>
        </w:rPr>
        <w:t>deferred tax balance changes during the nine months ended September 30, 2022 compared to the nine months ended September 30, 2021.</w:t>
      </w:r>
    </w:p>
    <w:p>
      <w:pPr>
        <w:spacing w:after="0" w:line="31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Liquidity and Capital Resources</w:t>
      </w:r>
    </w:p>
    <w:p>
      <w:pPr>
        <w:spacing w:after="0" w:line="121" w:lineRule="exact"/>
        <w:rPr>
          <w:sz w:val="20"/>
          <w:szCs w:val="20"/>
          <w:color w:val="auto"/>
        </w:rPr>
      </w:pPr>
    </w:p>
    <w:p>
      <w:pPr>
        <w:ind w:firstLine="509"/>
        <w:spacing w:after="0" w:line="241" w:lineRule="auto"/>
        <w:rPr>
          <w:sz w:val="20"/>
          <w:szCs w:val="20"/>
          <w:color w:val="auto"/>
        </w:rPr>
      </w:pPr>
      <w:r>
        <w:rPr>
          <w:rFonts w:ascii="Arial" w:cs="Arial" w:eastAsia="Arial" w:hAnsi="Arial"/>
          <w:sz w:val="18"/>
          <w:szCs w:val="18"/>
          <w:color w:val="auto"/>
        </w:rPr>
        <w:t>Since inception, we have financed operations primarily through the net proceeds we have received from the sales of our preferred stock and common stock as well as cash generated from the sale of subscriptions to our platform. We have generated losses from our operations as reflected in our accumulated deficit of $249.1 million as of September 30, 2022. We generated negative cash flows from operating activities for the nine months ended September 30, 2022 and have historically generated negative cash flows from operating activities. Our future capital requirements will depend on many factors, including revenue growth and costs incurred to support our platform, including growth in our customer base and customer usage, increased research and development expenses to support the growth of our business and related infrastructure, and increased general and administrative expenses to support being a publicly-traded company.</w:t>
      </w:r>
    </w:p>
    <w:p>
      <w:pPr>
        <w:spacing w:after="0" w:line="204" w:lineRule="exact"/>
        <w:rPr>
          <w:sz w:val="20"/>
          <w:szCs w:val="20"/>
          <w:color w:val="auto"/>
        </w:rPr>
      </w:pPr>
    </w:p>
    <w:p>
      <w:pPr>
        <w:ind w:right="80" w:firstLine="509"/>
        <w:spacing w:after="0" w:line="243" w:lineRule="auto"/>
        <w:rPr>
          <w:sz w:val="20"/>
          <w:szCs w:val="20"/>
          <w:color w:val="auto"/>
        </w:rPr>
      </w:pPr>
      <w:r>
        <w:rPr>
          <w:rFonts w:ascii="Arial" w:cs="Arial" w:eastAsia="Arial" w:hAnsi="Arial"/>
          <w:sz w:val="18"/>
          <w:szCs w:val="18"/>
          <w:color w:val="auto"/>
        </w:rPr>
        <w:t>As of September 30, 2022, our principal sources of liquidity were cash and cash equivalents of $247.2 million and restricted cash of $0.9 million. We also had $59.3 million in long-term marketable securities that provide additional capital resources. Additionally, a substantial source of our cash provided by operating activities is our deferred revenue, which is included on our condensed consolidated balance sheets as a liability. Deferred revenue consists of the unearned portion of billed fees for our subscriptions, which is recorded as revenue over the term of the subscription agreement. As of September 30, 2022, we had $95.5 million of deferred revenue, all of which was recorded as a current liability. This deferred revenue will be recognized as revenue when or as the related performance obligations are met.</w:t>
      </w:r>
    </w:p>
    <w:p>
      <w:pPr>
        <w:spacing w:after="0" w:line="199" w:lineRule="exact"/>
        <w:rPr>
          <w:sz w:val="20"/>
          <w:szCs w:val="20"/>
          <w:color w:val="auto"/>
        </w:rPr>
      </w:pPr>
    </w:p>
    <w:p>
      <w:pPr>
        <w:ind w:right="20" w:firstLine="509"/>
        <w:spacing w:after="0" w:line="279" w:lineRule="auto"/>
        <w:rPr>
          <w:sz w:val="20"/>
          <w:szCs w:val="20"/>
          <w:color w:val="auto"/>
        </w:rPr>
      </w:pPr>
      <w:r>
        <w:rPr>
          <w:rFonts w:ascii="Arial" w:cs="Arial" w:eastAsia="Arial" w:hAnsi="Arial"/>
          <w:sz w:val="16"/>
          <w:szCs w:val="16"/>
          <w:color w:val="auto"/>
        </w:rPr>
        <w:t>We assess our liquidity primarily through our cash on hand as well as the projected timing of billings under contract with our paying customers and related collection cycles. We believe our current cash and cash equivalents on hand will be sufficient to meet our working capital and capital expenditure requirements for at least the next 12 months. In the event that additional financing is required from outside sources, we may seek to raise additional funds at any time through equity, equity-linked arrangements, and debt. If we are unable to raise additional funds when desired and at reasonable rates, our business, results of operations, and financial condition would be adversely affected. See “Risk Factors—Risks Related to Our Business and Industry—We may require additional capital to support the growth of our business, and this capital might not be available on acceptable terms, if at all.”</w:t>
      </w:r>
    </w:p>
    <w:p>
      <w:pPr>
        <w:spacing w:after="0" w:line="28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Cash Flows</w:t>
      </w:r>
    </w:p>
    <w:p>
      <w:pPr>
        <w:spacing w:after="0" w:line="103" w:lineRule="exact"/>
        <w:rPr>
          <w:sz w:val="20"/>
          <w:szCs w:val="20"/>
          <w:color w:val="auto"/>
        </w:rPr>
      </w:pPr>
    </w:p>
    <w:p>
      <w:pPr>
        <w:ind w:left="520"/>
        <w:spacing w:after="0"/>
        <w:rPr>
          <w:sz w:val="20"/>
          <w:szCs w:val="20"/>
          <w:color w:val="auto"/>
        </w:rPr>
      </w:pPr>
      <w:r>
        <w:rPr>
          <w:rFonts w:ascii="Arial" w:cs="Arial" w:eastAsia="Arial" w:hAnsi="Arial"/>
          <w:sz w:val="18"/>
          <w:szCs w:val="18"/>
          <w:color w:val="auto"/>
        </w:rPr>
        <w:t>The following table shows a summary of our cash flows for the periods presented:</w:t>
      </w:r>
    </w:p>
    <w:p>
      <w:pPr>
        <w:spacing w:after="0" w:line="229"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654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2720" w:type="dxa"/>
            <w:vAlign w:val="bottom"/>
            <w:gridSpan w:val="3"/>
          </w:tcPr>
          <w:p>
            <w:pPr>
              <w:jc w:val="right"/>
              <w:ind w:right="10"/>
              <w:spacing w:after="0"/>
              <w:rPr>
                <w:sz w:val="20"/>
                <w:szCs w:val="20"/>
                <w:color w:val="auto"/>
              </w:rPr>
            </w:pPr>
            <w:r>
              <w:rPr>
                <w:rFonts w:ascii="Arial" w:cs="Arial" w:eastAsia="Arial" w:hAnsi="Arial"/>
                <w:sz w:val="18"/>
                <w:szCs w:val="18"/>
                <w:b w:val="1"/>
                <w:bCs w:val="1"/>
                <w:color w:val="auto"/>
              </w:rPr>
              <w:t>Nine Months Ended</w:t>
            </w:r>
          </w:p>
        </w:tc>
        <w:tc>
          <w:tcPr>
            <w:tcW w:w="144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34"/>
        </w:trPr>
        <w:tc>
          <w:tcPr>
            <w:tcW w:w="6540" w:type="dxa"/>
            <w:vAlign w:val="bottom"/>
          </w:tcPr>
          <w:p>
            <w:pPr>
              <w:spacing w:after="0"/>
              <w:rPr>
                <w:sz w:val="20"/>
                <w:szCs w:val="20"/>
                <w:color w:val="auto"/>
              </w:rPr>
            </w:pPr>
          </w:p>
        </w:tc>
        <w:tc>
          <w:tcPr>
            <w:tcW w:w="440" w:type="dxa"/>
            <w:vAlign w:val="bottom"/>
            <w:tcBorders>
              <w:bottom w:val="single" w:sz="8" w:color="auto"/>
            </w:tcBorders>
          </w:tcPr>
          <w:p>
            <w:pPr>
              <w:spacing w:after="0"/>
              <w:rPr>
                <w:sz w:val="20"/>
                <w:szCs w:val="20"/>
                <w:color w:val="auto"/>
              </w:rPr>
            </w:pPr>
          </w:p>
        </w:tc>
        <w:tc>
          <w:tcPr>
            <w:tcW w:w="2720" w:type="dxa"/>
            <w:vAlign w:val="bottom"/>
            <w:tcBorders>
              <w:bottom w:val="single" w:sz="8" w:color="auto"/>
            </w:tcBorders>
            <w:gridSpan w:val="3"/>
          </w:tcPr>
          <w:p>
            <w:pPr>
              <w:jc w:val="right"/>
              <w:ind w:right="230"/>
              <w:spacing w:after="0"/>
              <w:rPr>
                <w:sz w:val="20"/>
                <w:szCs w:val="20"/>
                <w:color w:val="auto"/>
              </w:rPr>
            </w:pPr>
            <w:r>
              <w:rPr>
                <w:rFonts w:ascii="Arial" w:cs="Arial" w:eastAsia="Arial" w:hAnsi="Arial"/>
                <w:sz w:val="18"/>
                <w:szCs w:val="18"/>
                <w:b w:val="1"/>
                <w:bCs w:val="1"/>
                <w:color w:val="auto"/>
              </w:rPr>
              <w:t>September 30,</w:t>
            </w:r>
          </w:p>
        </w:tc>
        <w:tc>
          <w:tcPr>
            <w:tcW w:w="1440" w:type="dxa"/>
            <w:vAlign w:val="bottom"/>
            <w:tcBorders>
              <w:bottom w:val="single" w:sz="8" w:color="auto"/>
            </w:tcBorders>
          </w:tcPr>
          <w:p>
            <w:pPr>
              <w:spacing w:after="0"/>
              <w:rPr>
                <w:sz w:val="20"/>
                <w:szCs w:val="20"/>
                <w:color w:val="auto"/>
              </w:rPr>
            </w:pPr>
          </w:p>
        </w:tc>
        <w:tc>
          <w:tcPr>
            <w:tcW w:w="100" w:type="dxa"/>
            <w:vAlign w:val="bottom"/>
          </w:tcPr>
          <w:p>
            <w:pPr>
              <w:spacing w:after="0"/>
              <w:rPr>
                <w:sz w:val="20"/>
                <w:szCs w:val="20"/>
                <w:color w:val="auto"/>
              </w:rPr>
            </w:pPr>
          </w:p>
        </w:tc>
      </w:tr>
      <w:tr>
        <w:trPr>
          <w:trHeight w:val="209"/>
        </w:trPr>
        <w:tc>
          <w:tcPr>
            <w:tcW w:w="6540" w:type="dxa"/>
            <w:vAlign w:val="bottom"/>
          </w:tcPr>
          <w:p>
            <w:pPr>
              <w:spacing w:after="0"/>
              <w:rPr>
                <w:sz w:val="18"/>
                <w:szCs w:val="18"/>
                <w:color w:val="auto"/>
              </w:rPr>
            </w:pPr>
          </w:p>
        </w:tc>
        <w:tc>
          <w:tcPr>
            <w:tcW w:w="440" w:type="dxa"/>
            <w:vAlign w:val="bottom"/>
            <w:tcBorders>
              <w:bottom w:val="single" w:sz="8" w:color="auto"/>
            </w:tcBorders>
          </w:tcPr>
          <w:p>
            <w:pPr>
              <w:spacing w:after="0"/>
              <w:rPr>
                <w:sz w:val="18"/>
                <w:szCs w:val="18"/>
                <w:color w:val="auto"/>
              </w:rPr>
            </w:pPr>
          </w:p>
        </w:tc>
        <w:tc>
          <w:tcPr>
            <w:tcW w:w="1500" w:type="dxa"/>
            <w:vAlign w:val="bottom"/>
            <w:tcBorders>
              <w:bottom w:val="single" w:sz="8" w:color="auto"/>
            </w:tcBorders>
          </w:tcPr>
          <w:p>
            <w:pPr>
              <w:jc w:val="right"/>
              <w:ind w:right="690"/>
              <w:spacing w:after="0"/>
              <w:rPr>
                <w:sz w:val="20"/>
                <w:szCs w:val="20"/>
                <w:color w:val="auto"/>
              </w:rPr>
            </w:pPr>
            <w:r>
              <w:rPr>
                <w:rFonts w:ascii="Arial" w:cs="Arial" w:eastAsia="Arial" w:hAnsi="Arial"/>
                <w:sz w:val="18"/>
                <w:szCs w:val="18"/>
                <w:b w:val="1"/>
                <w:bCs w:val="1"/>
                <w:color w:val="auto"/>
              </w:rPr>
              <w:t>2022</w:t>
            </w:r>
          </w:p>
        </w:tc>
        <w:tc>
          <w:tcPr>
            <w:tcW w:w="340" w:type="dxa"/>
            <w:vAlign w:val="bottom"/>
          </w:tcPr>
          <w:p>
            <w:pPr>
              <w:spacing w:after="0"/>
              <w:rPr>
                <w:sz w:val="18"/>
                <w:szCs w:val="18"/>
                <w:color w:val="auto"/>
              </w:rPr>
            </w:pPr>
          </w:p>
        </w:tc>
        <w:tc>
          <w:tcPr>
            <w:tcW w:w="880" w:type="dxa"/>
            <w:vAlign w:val="bottom"/>
            <w:tcBorders>
              <w:bottom w:val="single" w:sz="8" w:color="auto"/>
            </w:tcBorders>
          </w:tcPr>
          <w:p>
            <w:pPr>
              <w:spacing w:after="0"/>
              <w:rPr>
                <w:sz w:val="18"/>
                <w:szCs w:val="18"/>
                <w:color w:val="auto"/>
              </w:rPr>
            </w:pPr>
          </w:p>
        </w:tc>
        <w:tc>
          <w:tcPr>
            <w:tcW w:w="1440" w:type="dxa"/>
            <w:vAlign w:val="bottom"/>
            <w:tcBorders>
              <w:bottom w:val="single" w:sz="8" w:color="auto"/>
            </w:tcBorders>
          </w:tcPr>
          <w:p>
            <w:pPr>
              <w:jc w:val="right"/>
              <w:ind w:right="890"/>
              <w:spacing w:after="0"/>
              <w:rPr>
                <w:sz w:val="20"/>
                <w:szCs w:val="20"/>
                <w:color w:val="auto"/>
              </w:rPr>
            </w:pPr>
            <w:r>
              <w:rPr>
                <w:rFonts w:ascii="Arial" w:cs="Arial" w:eastAsia="Arial" w:hAnsi="Arial"/>
                <w:sz w:val="18"/>
                <w:szCs w:val="18"/>
                <w:b w:val="1"/>
                <w:bCs w:val="1"/>
                <w:color w:val="auto"/>
              </w:rPr>
              <w:t>2021</w:t>
            </w:r>
          </w:p>
        </w:tc>
        <w:tc>
          <w:tcPr>
            <w:tcW w:w="100" w:type="dxa"/>
            <w:vAlign w:val="bottom"/>
          </w:tcPr>
          <w:p>
            <w:pPr>
              <w:spacing w:after="0"/>
              <w:rPr>
                <w:sz w:val="18"/>
                <w:szCs w:val="18"/>
                <w:color w:val="auto"/>
              </w:rPr>
            </w:pPr>
          </w:p>
        </w:tc>
      </w:tr>
      <w:tr>
        <w:trPr>
          <w:trHeight w:val="209"/>
        </w:trPr>
        <w:tc>
          <w:tcPr>
            <w:tcW w:w="654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1500" w:type="dxa"/>
            <w:vAlign w:val="bottom"/>
          </w:tcPr>
          <w:p>
            <w:pPr>
              <w:jc w:val="right"/>
              <w:spacing w:after="0"/>
              <w:rPr>
                <w:sz w:val="20"/>
                <w:szCs w:val="20"/>
                <w:color w:val="auto"/>
              </w:rPr>
            </w:pPr>
            <w:r>
              <w:rPr>
                <w:rFonts w:ascii="Arial" w:cs="Arial" w:eastAsia="Arial" w:hAnsi="Arial"/>
                <w:sz w:val="18"/>
                <w:szCs w:val="18"/>
                <w:b w:val="1"/>
                <w:bCs w:val="1"/>
                <w:i w:val="1"/>
                <w:iCs w:val="1"/>
                <w:color w:val="auto"/>
              </w:rPr>
              <w:t>(in</w:t>
            </w:r>
          </w:p>
        </w:tc>
        <w:tc>
          <w:tcPr>
            <w:tcW w:w="1220" w:type="dxa"/>
            <w:vAlign w:val="bottom"/>
            <w:gridSpan w:val="2"/>
          </w:tcPr>
          <w:p>
            <w:pPr>
              <w:jc w:val="right"/>
              <w:ind w:right="230"/>
              <w:spacing w:after="0"/>
              <w:rPr>
                <w:sz w:val="20"/>
                <w:szCs w:val="20"/>
                <w:color w:val="auto"/>
              </w:rPr>
            </w:pPr>
            <w:r>
              <w:rPr>
                <w:rFonts w:ascii="Arial" w:cs="Arial" w:eastAsia="Arial" w:hAnsi="Arial"/>
                <w:sz w:val="18"/>
                <w:szCs w:val="18"/>
                <w:b w:val="1"/>
                <w:bCs w:val="1"/>
                <w:i w:val="1"/>
                <w:iCs w:val="1"/>
                <w:color w:val="auto"/>
                <w:w w:val="90"/>
              </w:rPr>
              <w:t>thousands)</w:t>
            </w:r>
          </w:p>
        </w:tc>
        <w:tc>
          <w:tcPr>
            <w:tcW w:w="144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29"/>
        </w:trPr>
        <w:tc>
          <w:tcPr>
            <w:tcW w:w="6540" w:type="dxa"/>
            <w:vAlign w:val="bottom"/>
            <w:shd w:val="clear" w:color="auto" w:fill="CFF0FC"/>
          </w:tcPr>
          <w:p>
            <w:pPr>
              <w:ind w:left="20"/>
              <w:spacing w:after="0"/>
              <w:rPr>
                <w:sz w:val="20"/>
                <w:szCs w:val="20"/>
                <w:color w:val="auto"/>
              </w:rPr>
            </w:pPr>
            <w:r>
              <w:rPr>
                <w:rFonts w:ascii="Arial" w:cs="Arial" w:eastAsia="Arial" w:hAnsi="Arial"/>
                <w:sz w:val="18"/>
                <w:szCs w:val="18"/>
                <w:color w:val="auto"/>
              </w:rPr>
              <w:t>Net cash used in operating activities</w:t>
            </w:r>
          </w:p>
        </w:tc>
        <w:tc>
          <w:tcPr>
            <w:tcW w:w="440" w:type="dxa"/>
            <w:vAlign w:val="bottom"/>
            <w:shd w:val="clear" w:color="auto" w:fill="CFF0FC"/>
          </w:tcPr>
          <w:p>
            <w:pPr>
              <w:jc w:val="right"/>
              <w:ind w:right="250"/>
              <w:spacing w:after="0"/>
              <w:rPr>
                <w:sz w:val="20"/>
                <w:szCs w:val="20"/>
                <w:color w:val="auto"/>
              </w:rPr>
            </w:pPr>
            <w:r>
              <w:rPr>
                <w:rFonts w:ascii="Arial" w:cs="Arial" w:eastAsia="Arial" w:hAnsi="Arial"/>
                <w:sz w:val="18"/>
                <w:szCs w:val="18"/>
                <w:color w:val="auto"/>
                <w:w w:val="79"/>
              </w:rPr>
              <w:t>$</w:t>
            </w:r>
          </w:p>
        </w:tc>
        <w:tc>
          <w:tcPr>
            <w:tcW w:w="1840" w:type="dxa"/>
            <w:vAlign w:val="bottom"/>
            <w:gridSpan w:val="2"/>
            <w:shd w:val="clear" w:color="auto" w:fill="CFF0FC"/>
          </w:tcPr>
          <w:p>
            <w:pPr>
              <w:jc w:val="right"/>
              <w:ind w:right="170"/>
              <w:spacing w:after="0"/>
              <w:rPr>
                <w:sz w:val="20"/>
                <w:szCs w:val="20"/>
                <w:color w:val="auto"/>
              </w:rPr>
            </w:pPr>
            <w:r>
              <w:rPr>
                <w:rFonts w:ascii="Arial" w:cs="Arial" w:eastAsia="Arial" w:hAnsi="Arial"/>
                <w:sz w:val="18"/>
                <w:szCs w:val="18"/>
                <w:color w:val="auto"/>
              </w:rPr>
              <w:t>(786 )</w:t>
            </w:r>
          </w:p>
        </w:tc>
        <w:tc>
          <w:tcPr>
            <w:tcW w:w="880" w:type="dxa"/>
            <w:vAlign w:val="bottom"/>
            <w:shd w:val="clear" w:color="auto" w:fill="CFF0FC"/>
          </w:tcPr>
          <w:p>
            <w:pPr>
              <w:jc w:val="right"/>
              <w:ind w:right="690"/>
              <w:spacing w:after="0"/>
              <w:rPr>
                <w:sz w:val="20"/>
                <w:szCs w:val="20"/>
                <w:color w:val="auto"/>
              </w:rPr>
            </w:pPr>
            <w:r>
              <w:rPr>
                <w:rFonts w:ascii="Arial" w:cs="Arial" w:eastAsia="Arial" w:hAnsi="Arial"/>
                <w:sz w:val="18"/>
                <w:szCs w:val="18"/>
                <w:color w:val="auto"/>
                <w:w w:val="79"/>
              </w:rPr>
              <w:t>$</w:t>
            </w:r>
          </w:p>
        </w:tc>
        <w:tc>
          <w:tcPr>
            <w:tcW w:w="1540" w:type="dxa"/>
            <w:vAlign w:val="bottom"/>
            <w:gridSpan w:val="2"/>
            <w:shd w:val="clear" w:color="auto" w:fill="CFF0FC"/>
          </w:tcPr>
          <w:p>
            <w:pPr>
              <w:jc w:val="right"/>
              <w:ind w:right="40"/>
              <w:spacing w:after="0"/>
              <w:rPr>
                <w:sz w:val="20"/>
                <w:szCs w:val="20"/>
                <w:color w:val="auto"/>
              </w:rPr>
            </w:pPr>
            <w:r>
              <w:rPr>
                <w:rFonts w:ascii="Arial" w:cs="Arial" w:eastAsia="Arial" w:hAnsi="Arial"/>
                <w:sz w:val="18"/>
                <w:szCs w:val="18"/>
                <w:color w:val="auto"/>
              </w:rPr>
              <w:t>(20,609 )</w:t>
            </w:r>
          </w:p>
        </w:tc>
      </w:tr>
      <w:tr>
        <w:trPr>
          <w:trHeight w:val="229"/>
        </w:trPr>
        <w:tc>
          <w:tcPr>
            <w:tcW w:w="6540" w:type="dxa"/>
            <w:vAlign w:val="bottom"/>
          </w:tcPr>
          <w:p>
            <w:pPr>
              <w:ind w:left="20"/>
              <w:spacing w:after="0"/>
              <w:rPr>
                <w:sz w:val="20"/>
                <w:szCs w:val="20"/>
                <w:color w:val="auto"/>
              </w:rPr>
            </w:pPr>
            <w:r>
              <w:rPr>
                <w:rFonts w:ascii="Arial" w:cs="Arial" w:eastAsia="Arial" w:hAnsi="Arial"/>
                <w:sz w:val="18"/>
                <w:szCs w:val="18"/>
                <w:color w:val="auto"/>
              </w:rPr>
              <w:t>Net cash used in investing activities</w:t>
            </w:r>
          </w:p>
        </w:tc>
        <w:tc>
          <w:tcPr>
            <w:tcW w:w="440" w:type="dxa"/>
            <w:vAlign w:val="bottom"/>
          </w:tcPr>
          <w:p>
            <w:pPr>
              <w:jc w:val="right"/>
              <w:ind w:right="250"/>
              <w:spacing w:after="0"/>
              <w:rPr>
                <w:sz w:val="20"/>
                <w:szCs w:val="20"/>
                <w:color w:val="auto"/>
              </w:rPr>
            </w:pPr>
            <w:r>
              <w:rPr>
                <w:rFonts w:ascii="Arial" w:cs="Arial" w:eastAsia="Arial" w:hAnsi="Arial"/>
                <w:sz w:val="18"/>
                <w:szCs w:val="18"/>
                <w:color w:val="auto"/>
                <w:w w:val="79"/>
              </w:rPr>
              <w:t>$</w:t>
            </w:r>
          </w:p>
        </w:tc>
        <w:tc>
          <w:tcPr>
            <w:tcW w:w="1840" w:type="dxa"/>
            <w:vAlign w:val="bottom"/>
            <w:gridSpan w:val="2"/>
          </w:tcPr>
          <w:p>
            <w:pPr>
              <w:jc w:val="right"/>
              <w:ind w:right="170"/>
              <w:spacing w:after="0"/>
              <w:rPr>
                <w:sz w:val="20"/>
                <w:szCs w:val="20"/>
                <w:color w:val="auto"/>
              </w:rPr>
            </w:pPr>
            <w:r>
              <w:rPr>
                <w:rFonts w:ascii="Arial" w:cs="Arial" w:eastAsia="Arial" w:hAnsi="Arial"/>
                <w:sz w:val="18"/>
                <w:szCs w:val="18"/>
                <w:color w:val="auto"/>
              </w:rPr>
              <w:t>(64,641 )</w:t>
            </w:r>
          </w:p>
        </w:tc>
        <w:tc>
          <w:tcPr>
            <w:tcW w:w="880" w:type="dxa"/>
            <w:vAlign w:val="bottom"/>
          </w:tcPr>
          <w:p>
            <w:pPr>
              <w:jc w:val="right"/>
              <w:ind w:right="690"/>
              <w:spacing w:after="0"/>
              <w:rPr>
                <w:sz w:val="20"/>
                <w:szCs w:val="20"/>
                <w:color w:val="auto"/>
              </w:rPr>
            </w:pPr>
            <w:r>
              <w:rPr>
                <w:rFonts w:ascii="Arial" w:cs="Arial" w:eastAsia="Arial" w:hAnsi="Arial"/>
                <w:sz w:val="18"/>
                <w:szCs w:val="18"/>
                <w:color w:val="auto"/>
                <w:w w:val="79"/>
              </w:rPr>
              <w:t>$</w:t>
            </w:r>
          </w:p>
        </w:tc>
        <w:tc>
          <w:tcPr>
            <w:tcW w:w="1540" w:type="dxa"/>
            <w:vAlign w:val="bottom"/>
            <w:gridSpan w:val="2"/>
          </w:tcPr>
          <w:p>
            <w:pPr>
              <w:jc w:val="right"/>
              <w:ind w:right="40"/>
              <w:spacing w:after="0"/>
              <w:rPr>
                <w:sz w:val="20"/>
                <w:szCs w:val="20"/>
                <w:color w:val="auto"/>
              </w:rPr>
            </w:pPr>
            <w:r>
              <w:rPr>
                <w:rFonts w:ascii="Arial" w:cs="Arial" w:eastAsia="Arial" w:hAnsi="Arial"/>
                <w:sz w:val="18"/>
                <w:szCs w:val="18"/>
                <w:color w:val="auto"/>
              </w:rPr>
              <w:t>(358 )</w:t>
            </w:r>
          </w:p>
        </w:tc>
      </w:tr>
      <w:tr>
        <w:trPr>
          <w:trHeight w:val="229"/>
        </w:trPr>
        <w:tc>
          <w:tcPr>
            <w:tcW w:w="6540" w:type="dxa"/>
            <w:vAlign w:val="bottom"/>
            <w:shd w:val="clear" w:color="auto" w:fill="CFF0FC"/>
          </w:tcPr>
          <w:p>
            <w:pPr>
              <w:ind w:left="20"/>
              <w:spacing w:after="0"/>
              <w:rPr>
                <w:sz w:val="20"/>
                <w:szCs w:val="20"/>
                <w:color w:val="auto"/>
              </w:rPr>
            </w:pPr>
            <w:r>
              <w:rPr>
                <w:rFonts w:ascii="Arial" w:cs="Arial" w:eastAsia="Arial" w:hAnsi="Arial"/>
                <w:sz w:val="18"/>
                <w:szCs w:val="18"/>
                <w:color w:val="auto"/>
              </w:rPr>
              <w:t>Net cash provided by financing activities</w:t>
            </w:r>
          </w:p>
        </w:tc>
        <w:tc>
          <w:tcPr>
            <w:tcW w:w="440" w:type="dxa"/>
            <w:vAlign w:val="bottom"/>
            <w:shd w:val="clear" w:color="auto" w:fill="CFF0FC"/>
          </w:tcPr>
          <w:p>
            <w:pPr>
              <w:jc w:val="right"/>
              <w:ind w:right="250"/>
              <w:spacing w:after="0"/>
              <w:rPr>
                <w:sz w:val="20"/>
                <w:szCs w:val="20"/>
                <w:color w:val="auto"/>
              </w:rPr>
            </w:pPr>
            <w:r>
              <w:rPr>
                <w:rFonts w:ascii="Arial" w:cs="Arial" w:eastAsia="Arial" w:hAnsi="Arial"/>
                <w:sz w:val="18"/>
                <w:szCs w:val="18"/>
                <w:color w:val="auto"/>
                <w:w w:val="79"/>
              </w:rPr>
              <w:t>$</w:t>
            </w:r>
          </w:p>
        </w:tc>
        <w:tc>
          <w:tcPr>
            <w:tcW w:w="15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5,232</w:t>
            </w:r>
          </w:p>
        </w:tc>
        <w:tc>
          <w:tcPr>
            <w:tcW w:w="340" w:type="dxa"/>
            <w:vAlign w:val="bottom"/>
            <w:shd w:val="clear" w:color="auto" w:fill="CFF0FC"/>
          </w:tcPr>
          <w:p>
            <w:pPr>
              <w:spacing w:after="0"/>
              <w:rPr>
                <w:sz w:val="19"/>
                <w:szCs w:val="19"/>
                <w:color w:val="auto"/>
              </w:rPr>
            </w:pPr>
          </w:p>
        </w:tc>
        <w:tc>
          <w:tcPr>
            <w:tcW w:w="880" w:type="dxa"/>
            <w:vAlign w:val="bottom"/>
            <w:shd w:val="clear" w:color="auto" w:fill="CFF0FC"/>
          </w:tcPr>
          <w:p>
            <w:pPr>
              <w:jc w:val="right"/>
              <w:ind w:right="690"/>
              <w:spacing w:after="0"/>
              <w:rPr>
                <w:sz w:val="20"/>
                <w:szCs w:val="20"/>
                <w:color w:val="auto"/>
              </w:rPr>
            </w:pPr>
            <w:r>
              <w:rPr>
                <w:rFonts w:ascii="Arial" w:cs="Arial" w:eastAsia="Arial" w:hAnsi="Arial"/>
                <w:sz w:val="18"/>
                <w:szCs w:val="18"/>
                <w:color w:val="auto"/>
                <w:w w:val="79"/>
              </w:rPr>
              <w:t>$</w:t>
            </w:r>
          </w:p>
        </w:tc>
        <w:tc>
          <w:tcPr>
            <w:tcW w:w="14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221,798</w:t>
            </w:r>
          </w:p>
        </w:tc>
        <w:tc>
          <w:tcPr>
            <w:tcW w:w="100" w:type="dxa"/>
            <w:vAlign w:val="bottom"/>
            <w:shd w:val="clear" w:color="auto" w:fill="CFF0FC"/>
          </w:tcPr>
          <w:p>
            <w:pPr>
              <w:spacing w:after="0"/>
              <w:rPr>
                <w:sz w:val="19"/>
                <w:szCs w:val="19"/>
                <w:color w:val="auto"/>
              </w:rPr>
            </w:pPr>
          </w:p>
        </w:tc>
      </w:tr>
    </w:tbl>
    <w:p>
      <w:pPr>
        <w:spacing w:after="0" w:line="33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Operating Activities</w:t>
      </w:r>
    </w:p>
    <w:p>
      <w:pPr>
        <w:spacing w:after="0" w:line="103" w:lineRule="exact"/>
        <w:rPr>
          <w:sz w:val="20"/>
          <w:szCs w:val="20"/>
          <w:color w:val="auto"/>
        </w:rPr>
      </w:pPr>
    </w:p>
    <w:p>
      <w:pPr>
        <w:ind w:right="80" w:firstLine="509"/>
        <w:spacing w:after="0" w:line="248" w:lineRule="auto"/>
        <w:rPr>
          <w:sz w:val="20"/>
          <w:szCs w:val="20"/>
          <w:color w:val="auto"/>
        </w:rPr>
      </w:pPr>
      <w:r>
        <w:rPr>
          <w:rFonts w:ascii="Arial" w:cs="Arial" w:eastAsia="Arial" w:hAnsi="Arial"/>
          <w:sz w:val="18"/>
          <w:szCs w:val="18"/>
          <w:color w:val="auto"/>
        </w:rPr>
        <w:t>Our largest source of operating cash is cash collection from sales of subscriptions to our paying customers. Our primary uses of cash from operating activities are for personnel-related expenses, marketing expenses, and third-party hosting-related and software expenses. In the last several years, we have generated negative cash flows from operating activities and have supplemented working capital requirements through net proceeds from the sale of preferred stock and common stock.</w:t>
      </w:r>
    </w:p>
    <w:p>
      <w:pPr>
        <w:spacing w:after="0" w:line="183" w:lineRule="exact"/>
        <w:rPr>
          <w:sz w:val="20"/>
          <w:szCs w:val="20"/>
          <w:color w:val="auto"/>
        </w:rPr>
      </w:pPr>
    </w:p>
    <w:p>
      <w:pPr>
        <w:ind w:right="20" w:firstLine="509"/>
        <w:spacing w:after="0" w:line="282" w:lineRule="auto"/>
        <w:rPr>
          <w:sz w:val="20"/>
          <w:szCs w:val="20"/>
          <w:color w:val="auto"/>
        </w:rPr>
      </w:pPr>
      <w:r>
        <w:rPr>
          <w:rFonts w:ascii="Arial" w:cs="Arial" w:eastAsia="Arial" w:hAnsi="Arial"/>
          <w:sz w:val="16"/>
          <w:szCs w:val="16"/>
          <w:color w:val="auto"/>
        </w:rPr>
        <w:t>Net cash used in operating activities of $0.8 million for the nine months ended September 30, 2022 reflects our net loss of $69.3 million, adjusted by non-cash items such as stock-based compensation expense of $46.8 million, depreciation and amortization of $3.2 million, and non-cash operating lease costs of $2.8 million as well as net cash provided by changes in our operating assets and liabilities of $15.8 million. The net cash provided by changes in operating assets and liabilities primarily consisted of a $26.2 million increase in deferred revenue, resulting from increased billings and collections for subscriptions, and decreases in prepaid expenses and other current and noncurrent assets of $2.8 million. These changes were offset by an increase in deferred commissions of $7.6 million and a $10.9 million increase in accounts receivable due to higher customer billings.</w:t>
      </w:r>
    </w:p>
    <w:p>
      <w:pPr>
        <w:spacing w:after="0" w:line="5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61595</wp:posOffset>
            </wp:positionV>
            <wp:extent cx="7157720" cy="42545"/>
            <wp:wrapNone/>
            <wp:docPr id="267" name="Picture 2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7"/>
                    <pic:cNvPicPr>
                      <a:picLocks noChangeAspect="1" noChangeArrowheads="1"/>
                    </pic:cNvPicPr>
                  </pic:nvPicPr>
                  <pic:blipFill>
                    <a:blip r:embed="rId27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68" w:right="339" w:bottom="1440" w:gutter="0" w:footer="0" w:header="0"/>
        </w:sectPr>
      </w:pPr>
    </w:p>
    <w:bookmarkStart w:id="37" w:name="page38"/>
    <w:bookmarkEnd w:id="37"/>
    <w:p>
      <w:pPr>
        <w:ind w:right="60" w:firstLine="509"/>
        <w:spacing w:after="0" w:line="261" w:lineRule="auto"/>
        <w:rPr>
          <w:sz w:val="20"/>
          <w:szCs w:val="20"/>
          <w:color w:val="auto"/>
        </w:rPr>
      </w:pPr>
      <w:r>
        <w:rPr>
          <w:rFonts w:ascii="Arial" w:cs="Arial" w:eastAsia="Arial" w:hAnsi="Arial"/>
          <w:sz w:val="17"/>
          <w:szCs w:val="17"/>
          <w:color w:val="auto"/>
        </w:rPr>
        <w:t>Net cash used in operating activities of $20.6 million for the nine months ended September 30, 2021 reflects our net loss of $53.1 million, adjusted by non-cash items such as stock-based compensation expense of $20.1 million and depreciation and amortization of $2.2 million as well as net cash provided by changes in our operating assets and liabilities of $9.5 million. The net cash provided by changes in operating assets and liabilities primarily consisted of a $30.6 million increase in deferred revenue, resulting from increased billings and collections for subscriptions, and a $6.3 million increase in accrued expenses and accounts payable, resulting primarily from increases in accrued professional services, marketing, accrued payroll, and benefits due to an increase in the size of our operations. These increases were offset by an increase of $15.5 million in prepaid expenses and other current and noncurrent assets related to an increase in prepayments made in advance for future services, an increase in deferred commissions of $6.7 million, and a $5.4 million increase in accounts receivable due to higher customer billings.</w:t>
      </w:r>
    </w:p>
    <w:p>
      <w:pPr>
        <w:spacing w:after="0" w:line="28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Investing Activities</w:t>
      </w:r>
    </w:p>
    <w:p>
      <w:pPr>
        <w:spacing w:after="0" w:line="103" w:lineRule="exact"/>
        <w:rPr>
          <w:sz w:val="20"/>
          <w:szCs w:val="20"/>
          <w:color w:val="auto"/>
        </w:rPr>
      </w:pPr>
    </w:p>
    <w:p>
      <w:pPr>
        <w:ind w:right="460" w:firstLine="509"/>
        <w:spacing w:after="0" w:line="324" w:lineRule="auto"/>
        <w:rPr>
          <w:sz w:val="20"/>
          <w:szCs w:val="20"/>
          <w:color w:val="auto"/>
        </w:rPr>
      </w:pPr>
      <w:r>
        <w:rPr>
          <w:rFonts w:ascii="Arial" w:cs="Arial" w:eastAsia="Arial" w:hAnsi="Arial"/>
          <w:sz w:val="16"/>
          <w:szCs w:val="16"/>
          <w:color w:val="auto"/>
        </w:rPr>
        <w:t>Net cash used in investing activities of $64.6 million for the nine months ended September 30, 2022 consisted of $59.7 million of purchases of marketable securities, $1.5 million of capitalized internal-use software development costs, and $3.0 million in purchases of property and equipment.</w:t>
      </w:r>
    </w:p>
    <w:p>
      <w:pPr>
        <w:spacing w:after="0" w:line="137" w:lineRule="exact"/>
        <w:rPr>
          <w:sz w:val="20"/>
          <w:szCs w:val="20"/>
          <w:color w:val="auto"/>
        </w:rPr>
      </w:pPr>
    </w:p>
    <w:p>
      <w:pPr>
        <w:jc w:val="both"/>
        <w:ind w:right="120" w:firstLine="509"/>
        <w:spacing w:after="0" w:line="247" w:lineRule="auto"/>
        <w:rPr>
          <w:sz w:val="20"/>
          <w:szCs w:val="20"/>
          <w:color w:val="auto"/>
        </w:rPr>
      </w:pPr>
      <w:r>
        <w:rPr>
          <w:rFonts w:ascii="Arial" w:cs="Arial" w:eastAsia="Arial" w:hAnsi="Arial"/>
          <w:sz w:val="18"/>
          <w:szCs w:val="18"/>
          <w:color w:val="auto"/>
        </w:rPr>
        <w:t>Net cash used in investing activities of $0.4 million for the nine months ended September 30, 2021 consisted of $1.1 million of capitalized internal-use software development costs and $1.0 million in purchases of property and equipment. These decreases were partially offset by $1.7 million in net cash acquired upon the acquisition of a privately-held company.</w:t>
      </w:r>
    </w:p>
    <w:p>
      <w:pPr>
        <w:spacing w:after="0" w:line="30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Financing Activities</w:t>
      </w:r>
    </w:p>
    <w:p>
      <w:pPr>
        <w:spacing w:after="0" w:line="103" w:lineRule="exact"/>
        <w:rPr>
          <w:sz w:val="20"/>
          <w:szCs w:val="20"/>
          <w:color w:val="auto"/>
        </w:rPr>
      </w:pPr>
    </w:p>
    <w:p>
      <w:pPr>
        <w:ind w:right="100" w:firstLine="509"/>
        <w:spacing w:after="0" w:line="248" w:lineRule="auto"/>
        <w:rPr>
          <w:sz w:val="20"/>
          <w:szCs w:val="20"/>
          <w:color w:val="auto"/>
        </w:rPr>
      </w:pPr>
      <w:r>
        <w:rPr>
          <w:rFonts w:ascii="Arial" w:cs="Arial" w:eastAsia="Arial" w:hAnsi="Arial"/>
          <w:sz w:val="18"/>
          <w:szCs w:val="18"/>
          <w:color w:val="auto"/>
        </w:rPr>
        <w:t>Net cash provided by financing activities of $5.2 million for the nine months ended September 30, 2022 primarily consisted of $6.2 million in proceeds from the exercise of stock options offset by $1.0 million of net cash used through sales of common stock to cover tax-related amounts that were remitted to the respective taxing jurisdictions in excess of cash received during the period. It is expected that cash received and paid for these amounts will be cash flow neutral over time.</w:t>
      </w:r>
    </w:p>
    <w:p>
      <w:pPr>
        <w:spacing w:after="0" w:line="183" w:lineRule="exact"/>
        <w:rPr>
          <w:sz w:val="20"/>
          <w:szCs w:val="20"/>
          <w:color w:val="auto"/>
        </w:rPr>
      </w:pPr>
    </w:p>
    <w:p>
      <w:pPr>
        <w:ind w:right="160" w:firstLine="509"/>
        <w:spacing w:after="0" w:line="302" w:lineRule="auto"/>
        <w:rPr>
          <w:sz w:val="20"/>
          <w:szCs w:val="20"/>
          <w:color w:val="auto"/>
        </w:rPr>
      </w:pPr>
      <w:r>
        <w:rPr>
          <w:rFonts w:ascii="Arial" w:cs="Arial" w:eastAsia="Arial" w:hAnsi="Arial"/>
          <w:sz w:val="16"/>
          <w:szCs w:val="16"/>
          <w:color w:val="auto"/>
        </w:rPr>
        <w:t>Net cash provided by financing activities of $221.8 million for the nine months ended September 30, 2021 primarily consisted of $199.8 million in net proceeds from the sale and issuance of Series F preferred stock, $16.6 million in proceeds from the exercise of stock options, and $5.4 million of net cash provided through sales of common stock to cover tax-related amounts that had not yet been remitted to the respective taxing jurisdictions.</w:t>
      </w:r>
    </w:p>
    <w:p>
      <w:pPr>
        <w:spacing w:after="0" w:line="24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Remaining Performance Obligations</w:t>
      </w:r>
    </w:p>
    <w:p>
      <w:pPr>
        <w:spacing w:after="0" w:line="121" w:lineRule="exact"/>
        <w:rPr>
          <w:sz w:val="20"/>
          <w:szCs w:val="20"/>
          <w:color w:val="auto"/>
        </w:rPr>
      </w:pPr>
    </w:p>
    <w:p>
      <w:pPr>
        <w:ind w:left="520"/>
        <w:spacing w:after="0"/>
        <w:rPr>
          <w:sz w:val="20"/>
          <w:szCs w:val="20"/>
          <w:color w:val="auto"/>
        </w:rPr>
      </w:pPr>
      <w:r>
        <w:rPr>
          <w:rFonts w:ascii="Arial" w:cs="Arial" w:eastAsia="Arial" w:hAnsi="Arial"/>
          <w:sz w:val="17"/>
          <w:szCs w:val="17"/>
          <w:color w:val="auto"/>
        </w:rPr>
        <w:t>Remaining performance obligations (“RPO”) as of September 30, 2022 and 2021, including the expected timing of recognition is as follows:</w:t>
      </w:r>
    </w:p>
    <w:p>
      <w:pPr>
        <w:spacing w:after="0" w:line="259"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5420" w:type="dxa"/>
            <w:vAlign w:val="bottom"/>
          </w:tcPr>
          <w:p>
            <w:pPr>
              <w:spacing w:after="0"/>
              <w:rPr>
                <w:sz w:val="20"/>
                <w:szCs w:val="20"/>
                <w:color w:val="auto"/>
              </w:rPr>
            </w:pPr>
          </w:p>
        </w:tc>
        <w:tc>
          <w:tcPr>
            <w:tcW w:w="1000" w:type="dxa"/>
            <w:vAlign w:val="bottom"/>
            <w:tcBorders>
              <w:bottom w:val="single" w:sz="8" w:color="auto"/>
            </w:tcBorders>
          </w:tcPr>
          <w:p>
            <w:pPr>
              <w:spacing w:after="0"/>
              <w:rPr>
                <w:sz w:val="20"/>
                <w:szCs w:val="20"/>
                <w:color w:val="auto"/>
              </w:rPr>
            </w:pPr>
          </w:p>
        </w:tc>
        <w:tc>
          <w:tcPr>
            <w:tcW w:w="1680" w:type="dxa"/>
            <w:vAlign w:val="bottom"/>
            <w:tcBorders>
              <w:bottom w:val="single" w:sz="8" w:color="auto"/>
            </w:tcBorders>
            <w:gridSpan w:val="3"/>
          </w:tcPr>
          <w:p>
            <w:pPr>
              <w:jc w:val="right"/>
              <w:spacing w:after="0"/>
              <w:rPr>
                <w:sz w:val="20"/>
                <w:szCs w:val="20"/>
                <w:color w:val="auto"/>
              </w:rPr>
            </w:pPr>
            <w:r>
              <w:rPr>
                <w:rFonts w:ascii="Arial" w:cs="Arial" w:eastAsia="Arial" w:hAnsi="Arial"/>
                <w:sz w:val="18"/>
                <w:szCs w:val="18"/>
                <w:b w:val="1"/>
                <w:bCs w:val="1"/>
                <w:color w:val="auto"/>
                <w:w w:val="95"/>
              </w:rPr>
              <w:t>As of September 30,</w:t>
            </w:r>
          </w:p>
        </w:tc>
        <w:tc>
          <w:tcPr>
            <w:tcW w:w="1140" w:type="dxa"/>
            <w:vAlign w:val="bottom"/>
            <w:tcBorders>
              <w:bottom w:val="single" w:sz="8" w:color="auto"/>
            </w:tcBorders>
          </w:tcPr>
          <w:p>
            <w:pPr>
              <w:spacing w:after="0"/>
              <w:rPr>
                <w:sz w:val="20"/>
                <w:szCs w:val="20"/>
                <w:color w:val="auto"/>
              </w:rPr>
            </w:pPr>
          </w:p>
        </w:tc>
        <w:tc>
          <w:tcPr>
            <w:tcW w:w="280" w:type="dxa"/>
            <w:vAlign w:val="bottom"/>
          </w:tcPr>
          <w:p>
            <w:pPr>
              <w:spacing w:after="0"/>
              <w:rPr>
                <w:sz w:val="20"/>
                <w:szCs w:val="20"/>
                <w:color w:val="auto"/>
              </w:rPr>
            </w:pPr>
          </w:p>
        </w:tc>
        <w:tc>
          <w:tcPr>
            <w:tcW w:w="280" w:type="dxa"/>
            <w:vAlign w:val="bottom"/>
            <w:tcBorders>
              <w:bottom w:val="single" w:sz="8" w:color="auto"/>
            </w:tcBorders>
          </w:tcPr>
          <w:p>
            <w:pPr>
              <w:spacing w:after="0"/>
              <w:rPr>
                <w:sz w:val="20"/>
                <w:szCs w:val="20"/>
                <w:color w:val="auto"/>
              </w:rPr>
            </w:pPr>
          </w:p>
        </w:tc>
        <w:tc>
          <w:tcPr>
            <w:tcW w:w="1440" w:type="dxa"/>
            <w:vAlign w:val="bottom"/>
            <w:tcBorders>
              <w:bottom w:val="single" w:sz="8" w:color="auto"/>
            </w:tcBorders>
          </w:tcPr>
          <w:p>
            <w:pPr>
              <w:spacing w:after="0"/>
              <w:rPr>
                <w:sz w:val="20"/>
                <w:szCs w:val="20"/>
                <w:color w:val="auto"/>
              </w:rPr>
            </w:pPr>
          </w:p>
        </w:tc>
      </w:tr>
      <w:tr>
        <w:trPr>
          <w:trHeight w:val="209"/>
        </w:trPr>
        <w:tc>
          <w:tcPr>
            <w:tcW w:w="5420" w:type="dxa"/>
            <w:vAlign w:val="bottom"/>
          </w:tcPr>
          <w:p>
            <w:pPr>
              <w:spacing w:after="0"/>
              <w:rPr>
                <w:sz w:val="18"/>
                <w:szCs w:val="18"/>
                <w:color w:val="auto"/>
              </w:rPr>
            </w:pP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2022</w:t>
            </w:r>
          </w:p>
        </w:tc>
        <w:tc>
          <w:tcPr>
            <w:tcW w:w="600" w:type="dxa"/>
            <w:vAlign w:val="bottom"/>
            <w:tcBorders>
              <w:bottom w:val="single" w:sz="8" w:color="auto"/>
            </w:tcBorders>
          </w:tcPr>
          <w:p>
            <w:pPr>
              <w:spacing w:after="0"/>
              <w:rPr>
                <w:sz w:val="18"/>
                <w:szCs w:val="18"/>
                <w:color w:val="auto"/>
              </w:rPr>
            </w:pPr>
          </w:p>
        </w:tc>
        <w:tc>
          <w:tcPr>
            <w:tcW w:w="300" w:type="dxa"/>
            <w:vAlign w:val="bottom"/>
          </w:tcPr>
          <w:p>
            <w:pPr>
              <w:spacing w:after="0"/>
              <w:rPr>
                <w:sz w:val="18"/>
                <w:szCs w:val="18"/>
                <w:color w:val="auto"/>
              </w:rPr>
            </w:pPr>
          </w:p>
        </w:tc>
        <w:tc>
          <w:tcPr>
            <w:tcW w:w="780" w:type="dxa"/>
            <w:vAlign w:val="bottom"/>
            <w:tcBorders>
              <w:bottom w:val="single" w:sz="8" w:color="auto"/>
            </w:tcBorders>
          </w:tcPr>
          <w:p>
            <w:pPr>
              <w:spacing w:after="0"/>
              <w:rPr>
                <w:sz w:val="18"/>
                <w:szCs w:val="18"/>
                <w:color w:val="auto"/>
              </w:rPr>
            </w:pPr>
          </w:p>
        </w:tc>
        <w:tc>
          <w:tcPr>
            <w:tcW w:w="1140" w:type="dxa"/>
            <w:vAlign w:val="bottom"/>
            <w:tcBorders>
              <w:bottom w:val="single" w:sz="8" w:color="auto"/>
            </w:tcBorders>
          </w:tcPr>
          <w:p>
            <w:pPr>
              <w:jc w:val="right"/>
              <w:ind w:right="690"/>
              <w:spacing w:after="0"/>
              <w:rPr>
                <w:sz w:val="20"/>
                <w:szCs w:val="20"/>
                <w:color w:val="auto"/>
              </w:rPr>
            </w:pPr>
            <w:r>
              <w:rPr>
                <w:rFonts w:ascii="Arial" w:cs="Arial" w:eastAsia="Arial" w:hAnsi="Arial"/>
                <w:sz w:val="18"/>
                <w:szCs w:val="18"/>
                <w:b w:val="1"/>
                <w:bCs w:val="1"/>
                <w:color w:val="auto"/>
                <w:w w:val="84"/>
              </w:rPr>
              <w:t>2021</w:t>
            </w:r>
          </w:p>
        </w:tc>
        <w:tc>
          <w:tcPr>
            <w:tcW w:w="280" w:type="dxa"/>
            <w:vAlign w:val="bottom"/>
          </w:tcPr>
          <w:p>
            <w:pPr>
              <w:spacing w:after="0"/>
              <w:rPr>
                <w:sz w:val="18"/>
                <w:szCs w:val="18"/>
                <w:color w:val="auto"/>
              </w:rPr>
            </w:pPr>
          </w:p>
        </w:tc>
        <w:tc>
          <w:tcPr>
            <w:tcW w:w="280" w:type="dxa"/>
            <w:vAlign w:val="bottom"/>
            <w:tcBorders>
              <w:bottom w:val="single" w:sz="8" w:color="auto"/>
            </w:tcBorders>
          </w:tcPr>
          <w:p>
            <w:pPr>
              <w:spacing w:after="0"/>
              <w:rPr>
                <w:sz w:val="18"/>
                <w:szCs w:val="18"/>
                <w:color w:val="auto"/>
              </w:rPr>
            </w:pPr>
          </w:p>
        </w:tc>
        <w:tc>
          <w:tcPr>
            <w:tcW w:w="1440" w:type="dxa"/>
            <w:vAlign w:val="bottom"/>
            <w:tcBorders>
              <w:bottom w:val="single" w:sz="8" w:color="auto"/>
            </w:tcBorders>
          </w:tcPr>
          <w:p>
            <w:pPr>
              <w:ind w:left="180"/>
              <w:spacing w:after="0"/>
              <w:rPr>
                <w:sz w:val="20"/>
                <w:szCs w:val="20"/>
                <w:color w:val="auto"/>
              </w:rPr>
            </w:pPr>
            <w:r>
              <w:rPr>
                <w:rFonts w:ascii="Arial" w:cs="Arial" w:eastAsia="Arial" w:hAnsi="Arial"/>
                <w:sz w:val="18"/>
                <w:szCs w:val="18"/>
                <w:b w:val="1"/>
                <w:bCs w:val="1"/>
                <w:color w:val="auto"/>
              </w:rPr>
              <w:t>% Change</w:t>
            </w:r>
          </w:p>
        </w:tc>
      </w:tr>
      <w:tr>
        <w:trPr>
          <w:trHeight w:val="223"/>
        </w:trPr>
        <w:tc>
          <w:tcPr>
            <w:tcW w:w="5420" w:type="dxa"/>
            <w:vAlign w:val="bottom"/>
          </w:tcPr>
          <w:p>
            <w:pPr>
              <w:spacing w:after="0"/>
              <w:rPr>
                <w:sz w:val="19"/>
                <w:szCs w:val="19"/>
                <w:color w:val="auto"/>
              </w:rPr>
            </w:pPr>
          </w:p>
        </w:tc>
        <w:tc>
          <w:tcPr>
            <w:tcW w:w="100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300" w:type="dxa"/>
            <w:vAlign w:val="bottom"/>
          </w:tcPr>
          <w:p>
            <w:pPr>
              <w:ind w:left="40"/>
              <w:spacing w:after="0"/>
              <w:rPr>
                <w:sz w:val="20"/>
                <w:szCs w:val="20"/>
                <w:color w:val="auto"/>
              </w:rPr>
            </w:pPr>
            <w:r>
              <w:rPr>
                <w:rFonts w:ascii="Arial" w:cs="Arial" w:eastAsia="Arial" w:hAnsi="Arial"/>
                <w:sz w:val="18"/>
                <w:szCs w:val="18"/>
                <w:b w:val="1"/>
                <w:bCs w:val="1"/>
                <w:i w:val="1"/>
                <w:iCs w:val="1"/>
                <w:color w:val="auto"/>
              </w:rPr>
              <w:t>(in</w:t>
            </w:r>
          </w:p>
        </w:tc>
        <w:tc>
          <w:tcPr>
            <w:tcW w:w="2480" w:type="dxa"/>
            <w:vAlign w:val="bottom"/>
            <w:gridSpan w:val="4"/>
          </w:tcPr>
          <w:p>
            <w:pPr>
              <w:spacing w:after="0"/>
              <w:rPr>
                <w:sz w:val="20"/>
                <w:szCs w:val="20"/>
                <w:color w:val="auto"/>
              </w:rPr>
            </w:pPr>
            <w:r>
              <w:rPr>
                <w:rFonts w:ascii="Arial" w:cs="Arial" w:eastAsia="Arial" w:hAnsi="Arial"/>
                <w:sz w:val="18"/>
                <w:szCs w:val="18"/>
                <w:b w:val="1"/>
                <w:bCs w:val="1"/>
                <w:i w:val="1"/>
                <w:iCs w:val="1"/>
                <w:color w:val="auto"/>
                <w:w w:val="89"/>
              </w:rPr>
              <w:t>thousands, except percentages)</w:t>
            </w:r>
          </w:p>
        </w:tc>
        <w:tc>
          <w:tcPr>
            <w:tcW w:w="1440" w:type="dxa"/>
            <w:vAlign w:val="bottom"/>
          </w:tcPr>
          <w:p>
            <w:pPr>
              <w:spacing w:after="0"/>
              <w:rPr>
                <w:sz w:val="19"/>
                <w:szCs w:val="19"/>
                <w:color w:val="auto"/>
              </w:rPr>
            </w:pPr>
          </w:p>
        </w:tc>
      </w:tr>
      <w:tr>
        <w:trPr>
          <w:trHeight w:val="229"/>
        </w:trPr>
        <w:tc>
          <w:tcPr>
            <w:tcW w:w="5420" w:type="dxa"/>
            <w:vAlign w:val="bottom"/>
            <w:shd w:val="clear" w:color="auto" w:fill="CFF0FC"/>
          </w:tcPr>
          <w:p>
            <w:pPr>
              <w:ind w:left="20"/>
              <w:spacing w:after="0"/>
              <w:rPr>
                <w:sz w:val="20"/>
                <w:szCs w:val="20"/>
                <w:color w:val="auto"/>
              </w:rPr>
            </w:pPr>
            <w:r>
              <w:rPr>
                <w:rFonts w:ascii="Arial" w:cs="Arial" w:eastAsia="Arial" w:hAnsi="Arial"/>
                <w:sz w:val="18"/>
                <w:szCs w:val="18"/>
                <w:color w:val="auto"/>
              </w:rPr>
              <w:t>Less than or equal to 12 months</w:t>
            </w:r>
          </w:p>
        </w:tc>
        <w:tc>
          <w:tcPr>
            <w:tcW w:w="1000" w:type="dxa"/>
            <w:vAlign w:val="bottom"/>
            <w:shd w:val="clear" w:color="auto" w:fill="CFF0FC"/>
          </w:tcPr>
          <w:p>
            <w:pPr>
              <w:jc w:val="right"/>
              <w:ind w:right="790"/>
              <w:spacing w:after="0"/>
              <w:rPr>
                <w:sz w:val="20"/>
                <w:szCs w:val="20"/>
                <w:color w:val="auto"/>
              </w:rPr>
            </w:pPr>
            <w:r>
              <w:rPr>
                <w:rFonts w:ascii="Arial" w:cs="Arial" w:eastAsia="Arial" w:hAnsi="Arial"/>
                <w:sz w:val="18"/>
                <w:szCs w:val="18"/>
                <w:color w:val="auto"/>
                <w:w w:val="99"/>
              </w:rPr>
              <w:t>$</w:t>
            </w:r>
          </w:p>
        </w:tc>
        <w:tc>
          <w:tcPr>
            <w:tcW w:w="600" w:type="dxa"/>
            <w:vAlign w:val="bottom"/>
            <w:shd w:val="clear" w:color="auto" w:fill="CFF0FC"/>
          </w:tcPr>
          <w:p>
            <w:pPr>
              <w:jc w:val="right"/>
              <w:spacing w:after="0"/>
              <w:rPr>
                <w:sz w:val="20"/>
                <w:szCs w:val="20"/>
                <w:color w:val="auto"/>
              </w:rPr>
            </w:pPr>
            <w:r>
              <w:rPr>
                <w:rFonts w:ascii="Arial" w:cs="Arial" w:eastAsia="Arial" w:hAnsi="Arial"/>
                <w:sz w:val="18"/>
                <w:szCs w:val="18"/>
                <w:color w:val="auto"/>
                <w:w w:val="86"/>
              </w:rPr>
              <w:t>183,879</w:t>
            </w:r>
          </w:p>
        </w:tc>
        <w:tc>
          <w:tcPr>
            <w:tcW w:w="1080" w:type="dxa"/>
            <w:vAlign w:val="bottom"/>
            <w:gridSpan w:val="2"/>
            <w:shd w:val="clear" w:color="auto" w:fill="CFF0FC"/>
          </w:tcPr>
          <w:p>
            <w:pPr>
              <w:jc w:val="right"/>
              <w:ind w:right="570"/>
              <w:spacing w:after="0"/>
              <w:rPr>
                <w:sz w:val="20"/>
                <w:szCs w:val="20"/>
                <w:color w:val="auto"/>
              </w:rPr>
            </w:pPr>
            <w:r>
              <w:rPr>
                <w:rFonts w:ascii="Arial" w:cs="Arial" w:eastAsia="Arial" w:hAnsi="Arial"/>
                <w:sz w:val="18"/>
                <w:szCs w:val="18"/>
                <w:color w:val="auto"/>
              </w:rPr>
              <w:t>$</w:t>
            </w:r>
          </w:p>
        </w:tc>
        <w:tc>
          <w:tcPr>
            <w:tcW w:w="11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125,946</w:t>
            </w:r>
          </w:p>
        </w:tc>
        <w:tc>
          <w:tcPr>
            <w:tcW w:w="280" w:type="dxa"/>
            <w:vAlign w:val="bottom"/>
            <w:shd w:val="clear" w:color="auto" w:fill="CFF0FC"/>
          </w:tcPr>
          <w:p>
            <w:pPr>
              <w:spacing w:after="0"/>
              <w:rPr>
                <w:sz w:val="19"/>
                <w:szCs w:val="19"/>
                <w:color w:val="auto"/>
              </w:rPr>
            </w:pPr>
          </w:p>
        </w:tc>
        <w:tc>
          <w:tcPr>
            <w:tcW w:w="280" w:type="dxa"/>
            <w:vAlign w:val="bottom"/>
            <w:shd w:val="clear" w:color="auto" w:fill="CFF0FC"/>
          </w:tcPr>
          <w:p>
            <w:pPr>
              <w:spacing w:after="0"/>
              <w:rPr>
                <w:sz w:val="19"/>
                <w:szCs w:val="19"/>
                <w:color w:val="auto"/>
              </w:rPr>
            </w:pPr>
          </w:p>
        </w:tc>
        <w:tc>
          <w:tcPr>
            <w:tcW w:w="1440" w:type="dxa"/>
            <w:vAlign w:val="bottom"/>
            <w:shd w:val="clear" w:color="auto" w:fill="CFF0FC"/>
          </w:tcPr>
          <w:p>
            <w:pPr>
              <w:jc w:val="center"/>
              <w:ind w:right="190"/>
              <w:spacing w:after="0"/>
              <w:rPr>
                <w:sz w:val="20"/>
                <w:szCs w:val="20"/>
                <w:color w:val="auto"/>
              </w:rPr>
            </w:pPr>
            <w:r>
              <w:rPr>
                <w:rFonts w:ascii="Arial" w:cs="Arial" w:eastAsia="Arial" w:hAnsi="Arial"/>
                <w:sz w:val="18"/>
                <w:szCs w:val="18"/>
                <w:color w:val="auto"/>
                <w:w w:val="88"/>
              </w:rPr>
              <w:t>46%</w:t>
            </w:r>
          </w:p>
        </w:tc>
      </w:tr>
      <w:tr>
        <w:trPr>
          <w:trHeight w:val="216"/>
        </w:trPr>
        <w:tc>
          <w:tcPr>
            <w:tcW w:w="5420" w:type="dxa"/>
            <w:vAlign w:val="bottom"/>
          </w:tcPr>
          <w:p>
            <w:pPr>
              <w:ind w:left="20"/>
              <w:spacing w:after="0"/>
              <w:rPr>
                <w:sz w:val="20"/>
                <w:szCs w:val="20"/>
                <w:color w:val="auto"/>
              </w:rPr>
            </w:pPr>
            <w:r>
              <w:rPr>
                <w:rFonts w:ascii="Arial" w:cs="Arial" w:eastAsia="Arial" w:hAnsi="Arial"/>
                <w:sz w:val="18"/>
                <w:szCs w:val="18"/>
                <w:color w:val="auto"/>
              </w:rPr>
              <w:t>Greater than 12 months</w:t>
            </w:r>
          </w:p>
        </w:tc>
        <w:tc>
          <w:tcPr>
            <w:tcW w:w="1000" w:type="dxa"/>
            <w:vAlign w:val="bottom"/>
            <w:tcBorders>
              <w:bottom w:val="single" w:sz="8" w:color="auto"/>
            </w:tcBorders>
          </w:tcPr>
          <w:p>
            <w:pPr>
              <w:spacing w:after="0"/>
              <w:rPr>
                <w:sz w:val="18"/>
                <w:szCs w:val="18"/>
                <w:color w:val="auto"/>
              </w:rPr>
            </w:pPr>
          </w:p>
        </w:tc>
        <w:tc>
          <w:tcPr>
            <w:tcW w:w="6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64,211</w:t>
            </w:r>
          </w:p>
        </w:tc>
        <w:tc>
          <w:tcPr>
            <w:tcW w:w="300" w:type="dxa"/>
            <w:vAlign w:val="bottom"/>
          </w:tcPr>
          <w:p>
            <w:pPr>
              <w:spacing w:after="0"/>
              <w:rPr>
                <w:sz w:val="18"/>
                <w:szCs w:val="18"/>
                <w:color w:val="auto"/>
              </w:rPr>
            </w:pPr>
          </w:p>
        </w:tc>
        <w:tc>
          <w:tcPr>
            <w:tcW w:w="780" w:type="dxa"/>
            <w:vAlign w:val="bottom"/>
            <w:tcBorders>
              <w:bottom w:val="single" w:sz="8" w:color="auto"/>
            </w:tcBorders>
          </w:tcPr>
          <w:p>
            <w:pPr>
              <w:spacing w:after="0"/>
              <w:rPr>
                <w:sz w:val="18"/>
                <w:szCs w:val="18"/>
                <w:color w:val="auto"/>
              </w:rPr>
            </w:pPr>
          </w:p>
        </w:tc>
        <w:tc>
          <w:tcPr>
            <w:tcW w:w="11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26,061</w:t>
            </w:r>
          </w:p>
        </w:tc>
        <w:tc>
          <w:tcPr>
            <w:tcW w:w="280" w:type="dxa"/>
            <w:vAlign w:val="bottom"/>
          </w:tcPr>
          <w:p>
            <w:pPr>
              <w:spacing w:after="0"/>
              <w:rPr>
                <w:sz w:val="18"/>
                <w:szCs w:val="18"/>
                <w:color w:val="auto"/>
              </w:rPr>
            </w:pPr>
          </w:p>
        </w:tc>
        <w:tc>
          <w:tcPr>
            <w:tcW w:w="280" w:type="dxa"/>
            <w:vAlign w:val="bottom"/>
            <w:tcBorders>
              <w:bottom w:val="single" w:sz="8" w:color="auto"/>
            </w:tcBorders>
          </w:tcPr>
          <w:p>
            <w:pPr>
              <w:spacing w:after="0"/>
              <w:rPr>
                <w:sz w:val="18"/>
                <w:szCs w:val="18"/>
                <w:color w:val="auto"/>
              </w:rPr>
            </w:pPr>
          </w:p>
        </w:tc>
        <w:tc>
          <w:tcPr>
            <w:tcW w:w="1440" w:type="dxa"/>
            <w:vAlign w:val="bottom"/>
            <w:tcBorders>
              <w:bottom w:val="single" w:sz="8" w:color="auto"/>
            </w:tcBorders>
          </w:tcPr>
          <w:p>
            <w:pPr>
              <w:jc w:val="center"/>
              <w:ind w:right="170"/>
              <w:spacing w:after="0"/>
              <w:rPr>
                <w:sz w:val="20"/>
                <w:szCs w:val="20"/>
                <w:color w:val="auto"/>
              </w:rPr>
            </w:pPr>
            <w:r>
              <w:rPr>
                <w:rFonts w:ascii="Arial" w:cs="Arial" w:eastAsia="Arial" w:hAnsi="Arial"/>
                <w:sz w:val="18"/>
                <w:szCs w:val="18"/>
                <w:color w:val="auto"/>
                <w:w w:val="91"/>
              </w:rPr>
              <w:t>146%</w:t>
            </w:r>
          </w:p>
        </w:tc>
      </w:tr>
      <w:tr>
        <w:trPr>
          <w:trHeight w:val="209"/>
        </w:trPr>
        <w:tc>
          <w:tcPr>
            <w:tcW w:w="5420" w:type="dxa"/>
            <w:vAlign w:val="bottom"/>
            <w:tcBorders>
              <w:bottom w:val="single" w:sz="8" w:color="CFF0FC"/>
            </w:tcBorders>
            <w:shd w:val="clear" w:color="auto" w:fill="CFF0FC"/>
          </w:tcPr>
          <w:p>
            <w:pPr>
              <w:ind w:left="20"/>
              <w:spacing w:after="0"/>
              <w:rPr>
                <w:sz w:val="20"/>
                <w:szCs w:val="20"/>
                <w:color w:val="auto"/>
              </w:rPr>
            </w:pPr>
            <w:r>
              <w:rPr>
                <w:rFonts w:ascii="Arial" w:cs="Arial" w:eastAsia="Arial" w:hAnsi="Arial"/>
                <w:sz w:val="18"/>
                <w:szCs w:val="18"/>
                <w:color w:val="auto"/>
              </w:rPr>
              <w:t>Total remaining performance obligations</w:t>
            </w:r>
          </w:p>
        </w:tc>
        <w:tc>
          <w:tcPr>
            <w:tcW w:w="1000" w:type="dxa"/>
            <w:vAlign w:val="bottom"/>
            <w:tcBorders>
              <w:bottom w:val="single" w:sz="8" w:color="auto"/>
            </w:tcBorders>
            <w:shd w:val="clear" w:color="auto" w:fill="CFF0FC"/>
          </w:tcPr>
          <w:p>
            <w:pPr>
              <w:jc w:val="right"/>
              <w:ind w:right="790"/>
              <w:spacing w:after="0"/>
              <w:rPr>
                <w:sz w:val="20"/>
                <w:szCs w:val="20"/>
                <w:color w:val="auto"/>
              </w:rPr>
            </w:pPr>
            <w:r>
              <w:rPr>
                <w:rFonts w:ascii="Arial" w:cs="Arial" w:eastAsia="Arial" w:hAnsi="Arial"/>
                <w:sz w:val="18"/>
                <w:szCs w:val="18"/>
                <w:color w:val="auto"/>
                <w:w w:val="99"/>
              </w:rPr>
              <w:t>$</w:t>
            </w:r>
          </w:p>
        </w:tc>
        <w:tc>
          <w:tcPr>
            <w:tcW w:w="6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86"/>
              </w:rPr>
              <w:t>248,090</w:t>
            </w:r>
          </w:p>
        </w:tc>
        <w:tc>
          <w:tcPr>
            <w:tcW w:w="300" w:type="dxa"/>
            <w:vAlign w:val="bottom"/>
            <w:tcBorders>
              <w:bottom w:val="single" w:sz="8" w:color="CFF0FC"/>
            </w:tcBorders>
            <w:shd w:val="clear" w:color="auto" w:fill="CFF0FC"/>
          </w:tcPr>
          <w:p>
            <w:pPr>
              <w:spacing w:after="0"/>
              <w:rPr>
                <w:sz w:val="18"/>
                <w:szCs w:val="18"/>
                <w:color w:val="auto"/>
              </w:rPr>
            </w:pPr>
          </w:p>
        </w:tc>
        <w:tc>
          <w:tcPr>
            <w:tcW w:w="780" w:type="dxa"/>
            <w:vAlign w:val="bottom"/>
            <w:tcBorders>
              <w:bottom w:val="single" w:sz="8" w:color="auto"/>
            </w:tcBorders>
            <w:shd w:val="clear" w:color="auto" w:fill="CFF0FC"/>
          </w:tcPr>
          <w:p>
            <w:pPr>
              <w:jc w:val="right"/>
              <w:ind w:right="570"/>
              <w:spacing w:after="0"/>
              <w:rPr>
                <w:sz w:val="20"/>
                <w:szCs w:val="20"/>
                <w:color w:val="auto"/>
              </w:rPr>
            </w:pPr>
            <w:r>
              <w:rPr>
                <w:rFonts w:ascii="Arial" w:cs="Arial" w:eastAsia="Arial" w:hAnsi="Arial"/>
                <w:sz w:val="18"/>
                <w:szCs w:val="18"/>
                <w:color w:val="auto"/>
                <w:w w:val="99"/>
              </w:rPr>
              <w:t>$</w:t>
            </w:r>
          </w:p>
        </w:tc>
        <w:tc>
          <w:tcPr>
            <w:tcW w:w="11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152,007</w:t>
            </w:r>
          </w:p>
        </w:tc>
        <w:tc>
          <w:tcPr>
            <w:tcW w:w="280" w:type="dxa"/>
            <w:vAlign w:val="bottom"/>
            <w:tcBorders>
              <w:bottom w:val="single" w:sz="8" w:color="CFF0FC"/>
            </w:tcBorders>
            <w:shd w:val="clear" w:color="auto" w:fill="CFF0FC"/>
          </w:tcPr>
          <w:p>
            <w:pPr>
              <w:spacing w:after="0"/>
              <w:rPr>
                <w:sz w:val="18"/>
                <w:szCs w:val="18"/>
                <w:color w:val="auto"/>
              </w:rPr>
            </w:pPr>
          </w:p>
        </w:tc>
        <w:tc>
          <w:tcPr>
            <w:tcW w:w="280" w:type="dxa"/>
            <w:vAlign w:val="bottom"/>
            <w:tcBorders>
              <w:bottom w:val="single" w:sz="8" w:color="auto"/>
            </w:tcBorders>
            <w:shd w:val="clear" w:color="auto" w:fill="CFF0FC"/>
          </w:tcPr>
          <w:p>
            <w:pPr>
              <w:spacing w:after="0"/>
              <w:rPr>
                <w:sz w:val="18"/>
                <w:szCs w:val="18"/>
                <w:color w:val="auto"/>
              </w:rPr>
            </w:pPr>
          </w:p>
        </w:tc>
        <w:tc>
          <w:tcPr>
            <w:tcW w:w="1440" w:type="dxa"/>
            <w:vAlign w:val="bottom"/>
            <w:tcBorders>
              <w:bottom w:val="single" w:sz="8" w:color="auto"/>
            </w:tcBorders>
            <w:shd w:val="clear" w:color="auto" w:fill="CFF0FC"/>
          </w:tcPr>
          <w:p>
            <w:pPr>
              <w:jc w:val="center"/>
              <w:ind w:right="190"/>
              <w:spacing w:after="0"/>
              <w:rPr>
                <w:sz w:val="20"/>
                <w:szCs w:val="20"/>
                <w:color w:val="auto"/>
              </w:rPr>
            </w:pPr>
            <w:r>
              <w:rPr>
                <w:rFonts w:ascii="Arial" w:cs="Arial" w:eastAsia="Arial" w:hAnsi="Arial"/>
                <w:sz w:val="18"/>
                <w:szCs w:val="18"/>
                <w:color w:val="auto"/>
                <w:w w:val="88"/>
              </w:rPr>
              <w:t>63%</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4457700</wp:posOffset>
            </wp:positionH>
            <wp:positionV relativeFrom="paragraph">
              <wp:posOffset>-7620</wp:posOffset>
            </wp:positionV>
            <wp:extent cx="76835" cy="8255"/>
            <wp:wrapNone/>
            <wp:docPr id="268" name="Picture 2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8"/>
                    <pic:cNvPicPr>
                      <a:picLocks noChangeAspect="1" noChangeArrowheads="1"/>
                    </pic:cNvPicPr>
                  </pic:nvPicPr>
                  <pic:blipFill>
                    <a:blip r:embed="rId275">
                      <a:extLst>
                        <a:ext uri="{28A0092B-C50C-407E-A947-70E740481C1C}"/>
                      </a:extLst>
                    </a:blip>
                    <a:srcRect/>
                    <a:stretch>
                      <a:fillRect/>
                    </a:stretch>
                  </pic:blipFill>
                  <pic:spPr bwMode="auto">
                    <a:xfrm>
                      <a:off x="0" y="0"/>
                      <a:ext cx="76835" cy="8255"/>
                    </a:xfrm>
                    <a:prstGeom prst="rect">
                      <a:avLst/>
                    </a:prstGeom>
                    <a:noFill/>
                  </pic:spPr>
                </pic:pic>
              </a:graphicData>
            </a:graphic>
          </wp:anchor>
        </w:drawing>
        <w:drawing>
          <wp:anchor simplePos="0" relativeHeight="251657728" behindDoc="1" locked="0" layoutInCell="0" allowOverlap="1">
            <wp:simplePos x="0" y="0"/>
            <wp:positionH relativeFrom="column">
              <wp:posOffset>5869940</wp:posOffset>
            </wp:positionH>
            <wp:positionV relativeFrom="paragraph">
              <wp:posOffset>-7620</wp:posOffset>
            </wp:positionV>
            <wp:extent cx="68580" cy="8255"/>
            <wp:wrapNone/>
            <wp:docPr id="269" name="Picture 2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9"/>
                    <pic:cNvPicPr>
                      <a:picLocks noChangeAspect="1" noChangeArrowheads="1"/>
                    </pic:cNvPicPr>
                  </pic:nvPicPr>
                  <pic:blipFill>
                    <a:blip r:embed="rId276">
                      <a:extLst>
                        <a:ext uri="{28A0092B-C50C-407E-A947-70E740481C1C}"/>
                      </a:extLst>
                    </a:blip>
                    <a:srcRect/>
                    <a:stretch>
                      <a:fillRect/>
                    </a:stretch>
                  </pic:blipFill>
                  <pic:spPr bwMode="auto">
                    <a:xfrm>
                      <a:off x="0" y="0"/>
                      <a:ext cx="68580" cy="8255"/>
                    </a:xfrm>
                    <a:prstGeom prst="rect">
                      <a:avLst/>
                    </a:prstGeom>
                    <a:noFill/>
                  </pic:spPr>
                </pic:pic>
              </a:graphicData>
            </a:graphic>
          </wp:anchor>
        </w:drawing>
      </w:r>
    </w:p>
    <w:p>
      <w:pPr>
        <w:spacing w:after="0" w:line="181" w:lineRule="exact"/>
        <w:rPr>
          <w:sz w:val="20"/>
          <w:szCs w:val="20"/>
          <w:color w:val="auto"/>
        </w:rPr>
      </w:pPr>
    </w:p>
    <w:p>
      <w:pPr>
        <w:ind w:right="120" w:firstLine="509"/>
        <w:spacing w:after="0" w:line="289" w:lineRule="auto"/>
        <w:rPr>
          <w:sz w:val="20"/>
          <w:szCs w:val="20"/>
          <w:color w:val="auto"/>
        </w:rPr>
      </w:pPr>
      <w:r>
        <w:rPr>
          <w:rFonts w:ascii="Arial" w:cs="Arial" w:eastAsia="Arial" w:hAnsi="Arial"/>
          <w:sz w:val="16"/>
          <w:szCs w:val="16"/>
          <w:color w:val="auto"/>
        </w:rPr>
        <w:t>Our RPO represents the amount of contracted future revenue that has not yet been recognized, including both deferred revenue and non-cancellable contracted amounts that will be invoiced and recognized as revenue in future periods. RPO excludes performance obligations from overages. RPO is influenced by a number of factors, including the timing of renewals, the timing of purchases, average contract terms, and seasonality. Due to these factors, it is important to review RPO in conjunction with product revenue and other financial metrics disclosed elsewhere in this Quarterly Report on Form 10-Q.</w:t>
      </w:r>
    </w:p>
    <w:p>
      <w:pPr>
        <w:spacing w:after="0" w:line="4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270" name="Picture 2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0"/>
                    <pic:cNvPicPr>
                      <a:picLocks noChangeAspect="1" noChangeArrowheads="1"/>
                    </pic:cNvPicPr>
                  </pic:nvPicPr>
                  <pic:blipFill>
                    <a:blip r:embed="rId27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543" w:right="339" w:bottom="1440" w:gutter="0" w:footer="0" w:header="0"/>
        </w:sectPr>
      </w:pPr>
    </w:p>
    <w:bookmarkStart w:id="38" w:name="page39"/>
    <w:bookmarkEnd w:id="38"/>
    <w:p>
      <w:pPr>
        <w:spacing w:after="0"/>
        <w:rPr>
          <w:sz w:val="20"/>
          <w:szCs w:val="20"/>
          <w:color w:val="auto"/>
        </w:rPr>
      </w:pPr>
      <w:r>
        <w:rPr>
          <w:rFonts w:ascii="Arial" w:cs="Arial" w:eastAsia="Arial" w:hAnsi="Arial"/>
          <w:sz w:val="18"/>
          <w:szCs w:val="18"/>
          <w:b w:val="1"/>
          <w:bCs w:val="1"/>
          <w:color w:val="auto"/>
        </w:rPr>
        <w:t>Contractual Obligations and Commitments</w:t>
      </w:r>
    </w:p>
    <w:p>
      <w:pPr>
        <w:spacing w:after="0" w:line="121" w:lineRule="exact"/>
        <w:rPr>
          <w:sz w:val="20"/>
          <w:szCs w:val="20"/>
          <w:color w:val="auto"/>
        </w:rPr>
      </w:pPr>
    </w:p>
    <w:p>
      <w:pPr>
        <w:ind w:right="80" w:firstLine="509"/>
        <w:spacing w:after="0" w:line="247" w:lineRule="auto"/>
        <w:rPr>
          <w:sz w:val="20"/>
          <w:szCs w:val="20"/>
          <w:color w:val="auto"/>
        </w:rPr>
      </w:pPr>
      <w:r>
        <w:rPr>
          <w:rFonts w:ascii="Arial" w:cs="Arial" w:eastAsia="Arial" w:hAnsi="Arial"/>
          <w:sz w:val="18"/>
          <w:szCs w:val="18"/>
          <w:color w:val="auto"/>
        </w:rPr>
        <w:t>During the nine months ended September 30, 2022, there were no material changes in our contractual obligations and other commitments outside of those disclosed in the 2021 Form 10-K. For further information on our commitments and contingencies, refer to Note 8 in the consolidated financial statements contained within the 2021 Form 10-K.</w:t>
      </w:r>
    </w:p>
    <w:p>
      <w:pPr>
        <w:spacing w:after="0" w:line="30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Indemnification Agreements</w:t>
      </w:r>
    </w:p>
    <w:p>
      <w:pPr>
        <w:spacing w:after="0" w:line="103" w:lineRule="exact"/>
        <w:rPr>
          <w:sz w:val="20"/>
          <w:szCs w:val="20"/>
          <w:color w:val="auto"/>
        </w:rPr>
      </w:pPr>
    </w:p>
    <w:p>
      <w:pPr>
        <w:ind w:right="280" w:firstLine="509"/>
        <w:spacing w:after="0" w:line="260" w:lineRule="auto"/>
        <w:rPr>
          <w:sz w:val="20"/>
          <w:szCs w:val="20"/>
          <w:color w:val="auto"/>
        </w:rPr>
      </w:pPr>
      <w:r>
        <w:rPr>
          <w:rFonts w:ascii="Arial" w:cs="Arial" w:eastAsia="Arial" w:hAnsi="Arial"/>
          <w:sz w:val="17"/>
          <w:szCs w:val="17"/>
          <w:color w:val="auto"/>
        </w:rPr>
        <w:t>In the ordinary course of business, we enter into agreements of varying scope and terms pursuant to which we agree to indemnify customers, vendors, lessors, business partners, and other parties with respect to certain matters, including, but not limited to, losses arising out of the breach of such agreements, services to be provided by us, or from intellectual property infringement claims made by third parties. Additionally, we have entered into indemnification agreements with our directors and certain officers and employees that will require us, among other things, to indemnify them against certain liabilities that may arise by reason of their status or service as directors, officers, or employees. No demands have been made upon us to provide indemnification under such agreements, and there are no claims that we are aware of that could reasonably be expected to have a material effect on our financial position, results of operations, or cash flows.</w:t>
      </w:r>
    </w:p>
    <w:p>
      <w:pPr>
        <w:spacing w:after="0" w:line="28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Off-Balance Sheet Arrangements</w:t>
      </w:r>
    </w:p>
    <w:p>
      <w:pPr>
        <w:spacing w:after="0" w:line="107" w:lineRule="exact"/>
        <w:rPr>
          <w:sz w:val="20"/>
          <w:szCs w:val="20"/>
          <w:color w:val="auto"/>
        </w:rPr>
      </w:pPr>
    </w:p>
    <w:p>
      <w:pPr>
        <w:ind w:right="240" w:firstLine="509"/>
        <w:spacing w:after="0" w:line="255" w:lineRule="auto"/>
        <w:rPr>
          <w:sz w:val="20"/>
          <w:szCs w:val="20"/>
          <w:color w:val="auto"/>
        </w:rPr>
      </w:pPr>
      <w:r>
        <w:rPr>
          <w:rFonts w:ascii="Arial" w:cs="Arial" w:eastAsia="Arial" w:hAnsi="Arial"/>
          <w:sz w:val="18"/>
          <w:szCs w:val="18"/>
          <w:color w:val="auto"/>
        </w:rPr>
        <w:t>For all periods presented in this Quarterly Report on Form 10-Q, we did not have any relationships with unconsolidated organizations or financial partnerships, such as structured finance or special purpose entities, which would have been established for the purpose of facilitating off-balance sheet arrangements or other contractually narrow or limited purposes.</w:t>
      </w:r>
    </w:p>
    <w:p>
      <w:pPr>
        <w:spacing w:after="0" w:line="28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Critical Accounting Policies and Estimates</w:t>
      </w:r>
    </w:p>
    <w:p>
      <w:pPr>
        <w:spacing w:after="0" w:line="121" w:lineRule="exact"/>
        <w:rPr>
          <w:sz w:val="20"/>
          <w:szCs w:val="20"/>
          <w:color w:val="auto"/>
        </w:rPr>
      </w:pPr>
    </w:p>
    <w:p>
      <w:pPr>
        <w:ind w:firstLine="509"/>
        <w:spacing w:after="0" w:line="279" w:lineRule="auto"/>
        <w:rPr>
          <w:sz w:val="20"/>
          <w:szCs w:val="20"/>
          <w:color w:val="auto"/>
        </w:rPr>
      </w:pPr>
      <w:r>
        <w:rPr>
          <w:rFonts w:ascii="Arial" w:cs="Arial" w:eastAsia="Arial" w:hAnsi="Arial"/>
          <w:sz w:val="16"/>
          <w:szCs w:val="16"/>
          <w:color w:val="auto"/>
        </w:rPr>
        <w:t>Our unaudited condensed consolidated financial statements are prepared in accordance with U.S. GAAP. The preparation of these unaudited condensed consolidated financial statements requires us to make estimates and assumptions that affect the reported amounts of assets, liabilities, revenue, expenses and related disclosures. We evaluate our estimates and assumptions on an ongoing basis. Our estimates are based on historical experience and various other assumptions that we believe to be reasonable under the circumstances. Our actual results could differ from these estimates. Other than the adoption of ASC 842 - Leases as disclosed in Note 1 to our condensed consolidated financial statements included in Part I, Item 1 of this Quarterly Report on Form 10-Q, there have been no changes to our critical accounting policies and estimates, during the nine months ended September 30, 2022 as compared to those disclosed in Part II, Item 7. Management’s Discussion and Analysis of Financial Condition and Results of Operations of the 2021 Form 10-K.</w:t>
      </w:r>
    </w:p>
    <w:p>
      <w:pPr>
        <w:spacing w:after="0" w:line="26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Recent Accounting Pronouncements</w:t>
      </w:r>
    </w:p>
    <w:p>
      <w:pPr>
        <w:spacing w:after="0" w:line="107" w:lineRule="exact"/>
        <w:rPr>
          <w:sz w:val="20"/>
          <w:szCs w:val="20"/>
          <w:color w:val="auto"/>
        </w:rPr>
      </w:pPr>
    </w:p>
    <w:p>
      <w:pPr>
        <w:ind w:right="880" w:firstLine="509"/>
        <w:spacing w:after="0" w:line="261" w:lineRule="auto"/>
        <w:rPr>
          <w:sz w:val="20"/>
          <w:szCs w:val="20"/>
          <w:color w:val="auto"/>
        </w:rPr>
      </w:pPr>
      <w:r>
        <w:rPr>
          <w:rFonts w:ascii="Arial" w:cs="Arial" w:eastAsia="Arial" w:hAnsi="Arial"/>
          <w:sz w:val="18"/>
          <w:szCs w:val="18"/>
          <w:color w:val="auto"/>
        </w:rPr>
        <w:t>See Note 1 to our condensed consolidated financial statements included in Part I, Item 1 of this Quarterly Report on Form 10-Q for more information regarding recent accounting pronouncements.</w:t>
      </w:r>
    </w:p>
    <w:p>
      <w:pPr>
        <w:spacing w:after="0" w:line="7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61595</wp:posOffset>
            </wp:positionV>
            <wp:extent cx="7157720" cy="42545"/>
            <wp:wrapNone/>
            <wp:docPr id="271" name="Picture 2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1"/>
                    <pic:cNvPicPr>
                      <a:picLocks noChangeAspect="1" noChangeArrowheads="1"/>
                    </pic:cNvPicPr>
                  </pic:nvPicPr>
                  <pic:blipFill>
                    <a:blip r:embed="rId27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647" w:right="339" w:bottom="1440" w:gutter="0" w:footer="0" w:header="0"/>
        </w:sectPr>
      </w:pPr>
    </w:p>
    <w:bookmarkStart w:id="39" w:name="page40"/>
    <w:bookmarkEnd w:id="39"/>
    <w:p>
      <w:pPr>
        <w:spacing w:after="0"/>
        <w:rPr>
          <w:sz w:val="20"/>
          <w:szCs w:val="20"/>
          <w:color w:val="auto"/>
        </w:rPr>
      </w:pPr>
      <w:r>
        <w:rPr>
          <w:rFonts w:ascii="Arial" w:cs="Arial" w:eastAsia="Arial" w:hAnsi="Arial"/>
          <w:sz w:val="18"/>
          <w:szCs w:val="18"/>
          <w:b w:val="1"/>
          <w:bCs w:val="1"/>
          <w:color w:val="auto"/>
        </w:rPr>
        <w:t>Item 3. Quantitative and Qualitative Disclosures About Market Risk.</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Interest Rate Risk</w:t>
      </w:r>
    </w:p>
    <w:p>
      <w:pPr>
        <w:spacing w:after="0" w:line="103" w:lineRule="exact"/>
        <w:rPr>
          <w:sz w:val="20"/>
          <w:szCs w:val="20"/>
          <w:color w:val="auto"/>
        </w:rPr>
      </w:pPr>
    </w:p>
    <w:p>
      <w:pPr>
        <w:ind w:firstLine="509"/>
        <w:spacing w:after="0" w:line="263" w:lineRule="auto"/>
        <w:rPr>
          <w:sz w:val="20"/>
          <w:szCs w:val="20"/>
          <w:color w:val="auto"/>
        </w:rPr>
      </w:pPr>
      <w:r>
        <w:rPr>
          <w:rFonts w:ascii="Arial" w:cs="Arial" w:eastAsia="Arial" w:hAnsi="Arial"/>
          <w:sz w:val="17"/>
          <w:szCs w:val="17"/>
          <w:color w:val="auto"/>
        </w:rPr>
        <w:t>Our cash and cash equivalents and marketable securities primarily consist of cash on hand and highly liquid investments in money market funds and U.S. government securities. As of September 30, 2022, we had cash and cash equivalents of $247.2 million and marketable securities, including non-current investments, of $59.3 million. We do not enter into investments for trading or speculative purposes. Our investments are exposed to market risk due to fluctuations in interest rates, which may affect our interest income and fair value of our investments. However, an immediate 10% increase or decrease in interest rates would not have a material effect on the fair value of our portfolio. We therefore do not expect our operating results or cash flows to be materially affected by a sudden change in market interest rates.</w:t>
      </w:r>
    </w:p>
    <w:p>
      <w:pPr>
        <w:spacing w:after="0" w:line="27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Foreign Currency Risk</w:t>
      </w:r>
    </w:p>
    <w:p>
      <w:pPr>
        <w:spacing w:after="0" w:line="103" w:lineRule="exact"/>
        <w:rPr>
          <w:sz w:val="20"/>
          <w:szCs w:val="20"/>
          <w:color w:val="auto"/>
        </w:rPr>
      </w:pPr>
    </w:p>
    <w:p>
      <w:pPr>
        <w:ind w:right="20" w:firstLine="509"/>
        <w:spacing w:after="0" w:line="242" w:lineRule="auto"/>
        <w:rPr>
          <w:sz w:val="20"/>
          <w:szCs w:val="20"/>
          <w:color w:val="auto"/>
        </w:rPr>
      </w:pPr>
      <w:r>
        <w:rPr>
          <w:rFonts w:ascii="Arial" w:cs="Arial" w:eastAsia="Arial" w:hAnsi="Arial"/>
          <w:sz w:val="18"/>
          <w:szCs w:val="18"/>
          <w:color w:val="auto"/>
        </w:rPr>
        <w:t>The vast majority of our subscription agreements are denominated in U.S. dollars, with a small number of subscription agreements denominated in foreign currencies. A portion of our operating expenses are incurred outside the United States, denominated in foreign currencies, and subject to fluctuations due to changes in foreign currency exchange rates, particularly changes in the Euro, British Pound, Canadian Dollar, Singapore Dollar, and Japanese Yen. Additionally, fluctuations in foreign currency exchange rates may cause us to recognize transaction gains and losses in our condensed consolidated statements of operations and comprehensive loss. As the impact of foreign currency exchange rates has not been material to our historical operating results, we have not entered into derivative or hedging transactions, but we may do so in the future if our exposure to foreign currency becomes more significant. A hypothetical 10% increase or decrease in the relative value of the U.S. dollar to other currencies would not have a material effect on our operating results.</w:t>
      </w:r>
    </w:p>
    <w:p>
      <w:pPr>
        <w:spacing w:after="0" w:line="31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Inflation Risk</w:t>
      </w:r>
    </w:p>
    <w:p>
      <w:pPr>
        <w:spacing w:after="0" w:line="103" w:lineRule="exact"/>
        <w:rPr>
          <w:sz w:val="20"/>
          <w:szCs w:val="20"/>
          <w:color w:val="auto"/>
        </w:rPr>
      </w:pPr>
    </w:p>
    <w:p>
      <w:pPr>
        <w:jc w:val="both"/>
        <w:ind w:right="40" w:firstLine="509"/>
        <w:spacing w:after="0" w:line="255" w:lineRule="auto"/>
        <w:rPr>
          <w:sz w:val="20"/>
          <w:szCs w:val="20"/>
          <w:color w:val="auto"/>
        </w:rPr>
      </w:pPr>
      <w:r>
        <w:rPr>
          <w:rFonts w:ascii="Arial" w:cs="Arial" w:eastAsia="Arial" w:hAnsi="Arial"/>
          <w:sz w:val="18"/>
          <w:szCs w:val="18"/>
          <w:color w:val="auto"/>
        </w:rPr>
        <w:t>We do not believe that inflation has had a material effect on our business, results of operations, or financial condition. Nonetheless, if our costs were to become subject to significant inflationary pressures, we may not be able to fully offset such higher costs. Our inability or failure to do so could harm our business, results of operations, or financial condition.</w:t>
      </w:r>
    </w:p>
    <w:p>
      <w:pPr>
        <w:spacing w:after="0" w:line="28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4. Controls and Procedures.</w:t>
      </w:r>
    </w:p>
    <w:p>
      <w:pPr>
        <w:spacing w:after="0" w:line="10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Evaluation of Disclosure Controls and Procedures</w:t>
      </w:r>
    </w:p>
    <w:p>
      <w:pPr>
        <w:spacing w:after="0" w:line="117" w:lineRule="exact"/>
        <w:rPr>
          <w:sz w:val="20"/>
          <w:szCs w:val="20"/>
          <w:color w:val="auto"/>
        </w:rPr>
      </w:pPr>
    </w:p>
    <w:p>
      <w:pPr>
        <w:ind w:right="40" w:firstLine="509"/>
        <w:spacing w:after="0" w:line="258" w:lineRule="auto"/>
        <w:rPr>
          <w:sz w:val="20"/>
          <w:szCs w:val="20"/>
          <w:color w:val="auto"/>
        </w:rPr>
      </w:pPr>
      <w:r>
        <w:rPr>
          <w:rFonts w:ascii="Arial" w:cs="Arial" w:eastAsia="Arial" w:hAnsi="Arial"/>
          <w:sz w:val="17"/>
          <w:szCs w:val="17"/>
          <w:color w:val="auto"/>
        </w:rPr>
        <w:t>Our management, with the participation of our principal executive officer and our principal financial officer, has evaluated the effectiveness of our disclosure controls and procedures (as defined in Rules 13a-15(e) and 15d-15(e) under the Exchange Act), as of the end of the period covered by this Quarterly Report on Form 10-Q. Based on that evaluation, our principal executive officer and principal financial officer have concluded that as of the end of the period covered by this Quarterly Report on Form 10-Q, our disclosure controls and procedures were effective to provide reasonable assurance that information required to be disclosed by us in reports that we file or submit under the Exchange Act is (i) recorded, processed, summarized and reported within the time periods specified in the SEC rules and forms and (ii) accumulated and communicated to our management, including our principal executive officer and principal financial officer, as appropriate to allow timely decisions regarding required disclosure.</w:t>
      </w:r>
    </w:p>
    <w:p>
      <w:pPr>
        <w:spacing w:after="0" w:line="29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Changes in Internal Control over Financial Reporting</w:t>
      </w:r>
    </w:p>
    <w:p>
      <w:pPr>
        <w:spacing w:after="0" w:line="103" w:lineRule="exact"/>
        <w:rPr>
          <w:sz w:val="20"/>
          <w:szCs w:val="20"/>
          <w:color w:val="auto"/>
        </w:rPr>
      </w:pPr>
    </w:p>
    <w:p>
      <w:pPr>
        <w:jc w:val="both"/>
        <w:ind w:right="100" w:firstLine="509"/>
        <w:spacing w:after="0" w:line="255" w:lineRule="auto"/>
        <w:rPr>
          <w:sz w:val="20"/>
          <w:szCs w:val="20"/>
          <w:color w:val="auto"/>
        </w:rPr>
      </w:pPr>
      <w:r>
        <w:rPr>
          <w:rFonts w:ascii="Arial" w:cs="Arial" w:eastAsia="Arial" w:hAnsi="Arial"/>
          <w:sz w:val="18"/>
          <w:szCs w:val="18"/>
          <w:color w:val="auto"/>
        </w:rPr>
        <w:t>There were no changes in our internal control over financial reporting identified in connection with the evaluation required by Rules 13a-15(d) and 15d-15(d) of the Exchange Act during our most recent fiscal quarter that have materially affected, or are reasonably likely to materially affect, our internal control over financial reporting.</w:t>
      </w:r>
    </w:p>
    <w:p>
      <w:pPr>
        <w:spacing w:after="0" w:line="28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Inherent Limitations on Effectiveness of Controls</w:t>
      </w:r>
    </w:p>
    <w:p>
      <w:pPr>
        <w:spacing w:after="0" w:line="103" w:lineRule="exact"/>
        <w:rPr>
          <w:sz w:val="20"/>
          <w:szCs w:val="20"/>
          <w:color w:val="auto"/>
        </w:rPr>
      </w:pPr>
    </w:p>
    <w:p>
      <w:pPr>
        <w:ind w:firstLine="509"/>
        <w:spacing w:after="0" w:line="277" w:lineRule="auto"/>
        <w:rPr>
          <w:sz w:val="20"/>
          <w:szCs w:val="20"/>
          <w:color w:val="auto"/>
        </w:rPr>
      </w:pPr>
      <w:r>
        <w:rPr>
          <w:rFonts w:ascii="Arial" w:cs="Arial" w:eastAsia="Arial" w:hAnsi="Arial"/>
          <w:sz w:val="16"/>
          <w:szCs w:val="16"/>
          <w:color w:val="auto"/>
        </w:rPr>
        <w:t>Our management, including our principal executive officer and our principal financial officer, believes that our disclosure controls and procedures and internal control over financial reporting are designed to provide reasonable assurance of achieving their objectives and are effective at the reasonable assurance level. However, management does not expect that our disclosure controls and procedures or our internal control over financial reporting will prevent or detect all errors and all fraud. A control system, no matter how well conceived and operated, can provide only reasonable, not absolute, assurance that the objectives of the control system are met. Because of the inherent limitations in all control systems, no evaluation of controls can provide absolute assurance that all control issues and instances of fraud, if any, within the company have been detected. The design of any system of controls also is based in part upon certain assumptions about the likelihood of future events, and there can be no assurance that any design will succeed in achieving its stated goals under all potential future conditions. Over time, controls may become inadequate because of changes in</w:t>
      </w:r>
    </w:p>
    <w:p>
      <w:pPr>
        <w:spacing w:after="0" w:line="6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61595</wp:posOffset>
            </wp:positionV>
            <wp:extent cx="7157720" cy="42545"/>
            <wp:wrapNone/>
            <wp:docPr id="272" name="Picture 2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2"/>
                    <pic:cNvPicPr>
                      <a:picLocks noChangeAspect="1" noChangeArrowheads="1"/>
                    </pic:cNvPicPr>
                  </pic:nvPicPr>
                  <pic:blipFill>
                    <a:blip r:embed="rId27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647" w:right="359" w:bottom="1440" w:gutter="0" w:footer="0" w:header="0"/>
        </w:sectPr>
      </w:pPr>
    </w:p>
    <w:bookmarkStart w:id="40" w:name="page41"/>
    <w:bookmarkEnd w:id="40"/>
    <w:p>
      <w:pPr>
        <w:spacing w:after="0" w:line="277" w:lineRule="auto"/>
        <w:rPr>
          <w:sz w:val="20"/>
          <w:szCs w:val="20"/>
          <w:color w:val="auto"/>
        </w:rPr>
      </w:pPr>
      <w:r>
        <w:rPr>
          <w:rFonts w:ascii="Arial" w:cs="Arial" w:eastAsia="Arial" w:hAnsi="Arial"/>
          <w:sz w:val="18"/>
          <w:szCs w:val="18"/>
          <w:color w:val="auto"/>
        </w:rPr>
        <w:t>conditions, or the degree of compliance with the policies or procedures may deteriorate. Because of the inherent limitations in a cost-effective control system, misstatements due to error or fraud may occur and not be detected.</w:t>
      </w:r>
    </w:p>
    <w:p>
      <w:pPr>
        <w:spacing w:after="0" w:line="48" w:lineRule="exact"/>
        <w:rPr>
          <w:sz w:val="20"/>
          <w:szCs w:val="20"/>
          <w:color w:val="auto"/>
        </w:rPr>
      </w:pPr>
    </w:p>
    <w:p>
      <w:pPr>
        <w:jc w:val="center"/>
        <w:ind w:right="-479"/>
        <w:spacing w:after="0"/>
        <w:rPr>
          <w:sz w:val="20"/>
          <w:szCs w:val="20"/>
          <w:color w:val="auto"/>
        </w:rPr>
      </w:pPr>
      <w:r>
        <w:rPr>
          <w:rFonts w:ascii="Arial" w:cs="Arial" w:eastAsia="Arial" w:hAnsi="Arial"/>
          <w:sz w:val="18"/>
          <w:szCs w:val="18"/>
          <w:color w:val="auto"/>
        </w:rPr>
        <w:t>41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61595</wp:posOffset>
            </wp:positionV>
            <wp:extent cx="7157720" cy="42545"/>
            <wp:wrapNone/>
            <wp:docPr id="273" name="Picture 2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3"/>
                    <pic:cNvPicPr>
                      <a:picLocks noChangeAspect="1" noChangeArrowheads="1"/>
                    </pic:cNvPicPr>
                  </pic:nvPicPr>
                  <pic:blipFill>
                    <a:blip r:embed="rId28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0760"/>
          </w:cols>
          <w:pgMar w:left="320" w:top="435" w:right="819" w:bottom="1440" w:gutter="0" w:footer="0" w:header="0"/>
        </w:sectPr>
      </w:pPr>
    </w:p>
    <w:bookmarkStart w:id="41" w:name="page42"/>
    <w:bookmarkEnd w:id="41"/>
    <w:p>
      <w:pPr>
        <w:jc w:val="center"/>
        <w:ind w:right="-19"/>
        <w:spacing w:after="0"/>
        <w:rPr>
          <w:sz w:val="20"/>
          <w:szCs w:val="20"/>
          <w:color w:val="auto"/>
        </w:rPr>
      </w:pPr>
      <w:r>
        <w:rPr>
          <w:rFonts w:ascii="Arial" w:cs="Arial" w:eastAsia="Arial" w:hAnsi="Arial"/>
          <w:sz w:val="18"/>
          <w:szCs w:val="18"/>
          <w:b w:val="1"/>
          <w:bCs w:val="1"/>
          <w:color w:val="auto"/>
        </w:rPr>
        <w:t>PART II—OTHER INFORMATION</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 Legal Proceedings.</w:t>
      </w:r>
    </w:p>
    <w:p>
      <w:pPr>
        <w:spacing w:after="0" w:line="107" w:lineRule="exact"/>
        <w:rPr>
          <w:sz w:val="20"/>
          <w:szCs w:val="20"/>
          <w:color w:val="auto"/>
        </w:rPr>
      </w:pPr>
    </w:p>
    <w:p>
      <w:pPr>
        <w:ind w:left="520"/>
        <w:spacing w:after="0"/>
        <w:rPr>
          <w:sz w:val="20"/>
          <w:szCs w:val="20"/>
          <w:color w:val="auto"/>
        </w:rPr>
      </w:pPr>
      <w:r>
        <w:rPr>
          <w:rFonts w:ascii="Arial" w:cs="Arial" w:eastAsia="Arial" w:hAnsi="Arial"/>
          <w:sz w:val="16"/>
          <w:szCs w:val="16"/>
          <w:color w:val="auto"/>
        </w:rPr>
        <w:t>See “Legal Matters” in Note 9 to our condensed consolidated financial statements included in Part I, Item 1 of this Quarterly Report on Form 10-Q.</w:t>
      </w:r>
    </w:p>
    <w:p>
      <w:pPr>
        <w:spacing w:after="0" w:line="33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1A. Risk Factors.</w:t>
      </w:r>
    </w:p>
    <w:p>
      <w:pPr>
        <w:spacing w:after="0" w:line="27" w:lineRule="exact"/>
        <w:rPr>
          <w:sz w:val="20"/>
          <w:szCs w:val="20"/>
          <w:color w:val="auto"/>
        </w:rPr>
      </w:pPr>
    </w:p>
    <w:p>
      <w:pPr>
        <w:jc w:val="center"/>
        <w:ind w:right="40"/>
        <w:spacing w:after="0"/>
        <w:rPr>
          <w:sz w:val="20"/>
          <w:szCs w:val="20"/>
          <w:color w:val="auto"/>
        </w:rPr>
      </w:pPr>
      <w:r>
        <w:rPr>
          <w:rFonts w:ascii="Arial" w:cs="Arial" w:eastAsia="Arial" w:hAnsi="Arial"/>
          <w:sz w:val="18"/>
          <w:szCs w:val="18"/>
          <w:b w:val="1"/>
          <w:bCs w:val="1"/>
          <w:color w:val="auto"/>
        </w:rPr>
        <w:t>RISK FACTORS</w:t>
      </w:r>
    </w:p>
    <w:p>
      <w:pPr>
        <w:spacing w:after="0" w:line="197" w:lineRule="exact"/>
        <w:rPr>
          <w:sz w:val="20"/>
          <w:szCs w:val="20"/>
          <w:color w:val="auto"/>
        </w:rPr>
      </w:pPr>
    </w:p>
    <w:p>
      <w:pPr>
        <w:ind w:right="100" w:firstLine="509"/>
        <w:spacing w:after="0" w:line="244" w:lineRule="auto"/>
        <w:rPr>
          <w:sz w:val="20"/>
          <w:szCs w:val="20"/>
          <w:color w:val="auto"/>
        </w:rPr>
      </w:pPr>
      <w:r>
        <w:rPr>
          <w:rFonts w:ascii="Arial" w:cs="Arial" w:eastAsia="Arial" w:hAnsi="Arial"/>
          <w:sz w:val="18"/>
          <w:szCs w:val="18"/>
          <w:i w:val="1"/>
          <w:iCs w:val="1"/>
          <w:color w:val="auto"/>
        </w:rPr>
        <w:t>A description of the risks and uncertainties associated with our business is set forth below. You should carefully consider the risks and uncertainties described below, together with all of the other information in this Quarterly Report on Form 10-Q, including our condensed consolidated financial statements and related notes and the section titled “Management’s Discussion and Analysis of Financial Condition and Results of Operations.” The occurrence of any of the events or developments described below could materially and adversely affect our business, financial condition, results of operations, and growth prospects. In such an event, the trading price of our Class A common stock could decline, and you may lose all or part of your investment. Additional risks and uncertainties not presently known to us or that we currently believe are not material may also impair our business, financial condition, results of operations, and growth prospects.</w:t>
      </w:r>
    </w:p>
    <w:p>
      <w:pPr>
        <w:spacing w:after="0" w:line="28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Risks Related to Our Business and Industry</w:t>
      </w:r>
    </w:p>
    <w:p>
      <w:pPr>
        <w:spacing w:after="0" w:line="107" w:lineRule="exact"/>
        <w:rPr>
          <w:sz w:val="20"/>
          <w:szCs w:val="20"/>
          <w:color w:val="auto"/>
        </w:rPr>
      </w:pPr>
    </w:p>
    <w:p>
      <w:pPr>
        <w:ind w:right="160"/>
        <w:spacing w:after="0" w:line="277" w:lineRule="auto"/>
        <w:rPr>
          <w:sz w:val="20"/>
          <w:szCs w:val="20"/>
          <w:color w:val="auto"/>
        </w:rPr>
      </w:pPr>
      <w:r>
        <w:rPr>
          <w:rFonts w:ascii="Arial" w:cs="Arial" w:eastAsia="Arial" w:hAnsi="Arial"/>
          <w:sz w:val="18"/>
          <w:szCs w:val="18"/>
          <w:b w:val="1"/>
          <w:bCs w:val="1"/>
          <w:i w:val="1"/>
          <w:iCs w:val="1"/>
          <w:color w:val="auto"/>
        </w:rPr>
        <w:t>We have a limited operating history and have been growing rapidly over the last several years, which makes it difficult to forecast our future results of operations and increases the risk of your investment.</w:t>
      </w:r>
    </w:p>
    <w:p>
      <w:pPr>
        <w:spacing w:after="0" w:line="48" w:lineRule="exact"/>
        <w:rPr>
          <w:sz w:val="20"/>
          <w:szCs w:val="20"/>
          <w:color w:val="auto"/>
        </w:rPr>
      </w:pPr>
    </w:p>
    <w:p>
      <w:pPr>
        <w:jc w:val="both"/>
        <w:ind w:right="400" w:firstLine="509"/>
        <w:spacing w:after="0" w:line="324" w:lineRule="auto"/>
        <w:rPr>
          <w:sz w:val="20"/>
          <w:szCs w:val="20"/>
          <w:color w:val="auto"/>
        </w:rPr>
      </w:pPr>
      <w:r>
        <w:rPr>
          <w:rFonts w:ascii="Arial" w:cs="Arial" w:eastAsia="Arial" w:hAnsi="Arial"/>
          <w:sz w:val="16"/>
          <w:szCs w:val="16"/>
          <w:color w:val="auto"/>
        </w:rPr>
        <w:t>Our revenue was $167.3 million for the fiscal year ended December 31, 2021 and $172.8 million and $117.8 million for the nine months ended September 30, 2022 and 2021, respectively. However, you should not rely on our historical revenue growth as an indication of our future performance.</w:t>
      </w:r>
    </w:p>
    <w:p>
      <w:pPr>
        <w:spacing w:after="0" w:line="137" w:lineRule="exact"/>
        <w:rPr>
          <w:sz w:val="20"/>
          <w:szCs w:val="20"/>
          <w:color w:val="auto"/>
        </w:rPr>
      </w:pPr>
    </w:p>
    <w:p>
      <w:pPr>
        <w:ind w:right="320" w:firstLine="509"/>
        <w:spacing w:after="0" w:line="290" w:lineRule="auto"/>
        <w:rPr>
          <w:sz w:val="20"/>
          <w:szCs w:val="20"/>
          <w:color w:val="auto"/>
        </w:rPr>
      </w:pPr>
      <w:r>
        <w:rPr>
          <w:rFonts w:ascii="Arial" w:cs="Arial" w:eastAsia="Arial" w:hAnsi="Arial"/>
          <w:sz w:val="17"/>
          <w:szCs w:val="17"/>
          <w:color w:val="auto"/>
        </w:rPr>
        <w:t>As a result of our limited operating history and our rapid growth over the last several years, our ability to accurately forecast our future results of operations is limited and subject to a number of uncertainties, including our ability to effectively plan for and model future growth.</w:t>
      </w:r>
    </w:p>
    <w:p>
      <w:pPr>
        <w:spacing w:after="0" w:line="148" w:lineRule="exact"/>
        <w:rPr>
          <w:sz w:val="20"/>
          <w:szCs w:val="20"/>
          <w:color w:val="auto"/>
        </w:rPr>
      </w:pPr>
    </w:p>
    <w:p>
      <w:pPr>
        <w:ind w:right="200" w:firstLine="509"/>
        <w:spacing w:after="0" w:line="260" w:lineRule="auto"/>
        <w:rPr>
          <w:sz w:val="20"/>
          <w:szCs w:val="20"/>
          <w:color w:val="auto"/>
        </w:rPr>
      </w:pPr>
      <w:r>
        <w:rPr>
          <w:rFonts w:ascii="Arial" w:cs="Arial" w:eastAsia="Arial" w:hAnsi="Arial"/>
          <w:sz w:val="17"/>
          <w:szCs w:val="17"/>
          <w:color w:val="auto"/>
        </w:rPr>
        <w:t>Our revenue growth rate may decline over time. In future periods, our revenue growth could slow or our revenue could decline for a number of reasons, including slowing demand for our Digital Analytics Platform, increased competition, changes to technology, a decrease in the growth of our overall market, or our failure, for any reason, to manage our growth effectively or to continue to take advantage of growth opportunities. We have also encountered, and will continue to encounter, risks and uncertainties frequently experienced by growing companies in rapidly changing industries, such as the risks and uncertainties described in this Quarterly Report on Form 10-Q. If our assumptions regarding these risks and uncertainties and our future revenue growth are incorrect or change, or if we do not address these risks successfully, our financial condition and results of operations could differ materially from our expectations, and our business could be materially adversely affected.</w:t>
      </w:r>
    </w:p>
    <w:p>
      <w:pPr>
        <w:spacing w:after="0" w:line="284"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We have a history of losses. As our costs increase, we may not be able to generate sufficient revenue to achieve and sustain profitability.</w:t>
      </w:r>
    </w:p>
    <w:p>
      <w:pPr>
        <w:spacing w:after="0" w:line="128" w:lineRule="exact"/>
        <w:rPr>
          <w:sz w:val="20"/>
          <w:szCs w:val="20"/>
          <w:color w:val="auto"/>
        </w:rPr>
      </w:pPr>
    </w:p>
    <w:p>
      <w:pPr>
        <w:ind w:firstLine="509"/>
        <w:spacing w:after="0" w:line="248" w:lineRule="auto"/>
        <w:rPr>
          <w:sz w:val="20"/>
          <w:szCs w:val="20"/>
          <w:color w:val="auto"/>
        </w:rPr>
      </w:pPr>
      <w:r>
        <w:rPr>
          <w:rFonts w:ascii="Arial" w:cs="Arial" w:eastAsia="Arial" w:hAnsi="Arial"/>
          <w:sz w:val="18"/>
          <w:szCs w:val="18"/>
          <w:color w:val="auto"/>
        </w:rPr>
        <w:t>We have experienced net losses in each period since inception. We generated net losses of $75.0 million for the fiscal year ended December 31, 2021 and $69.3 million and $53.1 million for the nine months ended September 30, 2022 and 2021, respectively. As of September 30, 2022, we had an accumulated deficit of $249.1 million. We expect our costs and expenses to increase in future periods. In particular, we intend to continue to invest significant resources in:</w:t>
      </w:r>
    </w:p>
    <w:p>
      <w:pPr>
        <w:spacing w:after="0" w:line="75" w:lineRule="exact"/>
        <w:rPr>
          <w:sz w:val="20"/>
          <w:szCs w:val="20"/>
          <w:color w:val="auto"/>
        </w:rPr>
      </w:pPr>
    </w:p>
    <w:p>
      <w:pPr>
        <w:ind w:left="1020" w:right="580" w:hanging="479"/>
        <w:spacing w:after="0" w:line="324" w:lineRule="auto"/>
        <w:tabs>
          <w:tab w:leader="none" w:pos="894" w:val="left"/>
        </w:tabs>
        <w:numPr>
          <w:ilvl w:val="0"/>
          <w:numId w:val="31"/>
        </w:numPr>
        <w:rPr>
          <w:rFonts w:ascii="Arial" w:cs="Arial" w:eastAsia="Arial" w:hAnsi="Arial"/>
          <w:sz w:val="16"/>
          <w:szCs w:val="16"/>
          <w:color w:val="auto"/>
        </w:rPr>
      </w:pPr>
      <w:r>
        <w:rPr>
          <w:rFonts w:ascii="Arial" w:cs="Arial" w:eastAsia="Arial" w:hAnsi="Arial"/>
          <w:sz w:val="16"/>
          <w:szCs w:val="16"/>
          <w:color w:val="auto"/>
        </w:rPr>
        <w:t>the development of our Digital Analytics Platform, including investments in our research and development team, the development or acquisition of new products, features, and functionality, and improvements to the scalability, availability, and security of our platform;</w:t>
      </w:r>
    </w:p>
    <w:p>
      <w:pPr>
        <w:spacing w:after="0" w:line="29" w:lineRule="exact"/>
        <w:rPr>
          <w:rFonts w:ascii="Arial" w:cs="Arial" w:eastAsia="Arial" w:hAnsi="Arial"/>
          <w:sz w:val="16"/>
          <w:szCs w:val="16"/>
          <w:color w:val="auto"/>
        </w:rPr>
      </w:pPr>
    </w:p>
    <w:p>
      <w:pPr>
        <w:ind w:left="1020" w:right="100" w:hanging="479"/>
        <w:spacing w:after="0" w:line="261" w:lineRule="auto"/>
        <w:tabs>
          <w:tab w:leader="none" w:pos="894" w:val="left"/>
        </w:tabs>
        <w:numPr>
          <w:ilvl w:val="0"/>
          <w:numId w:val="31"/>
        </w:numPr>
        <w:rPr>
          <w:rFonts w:ascii="Arial" w:cs="Arial" w:eastAsia="Arial" w:hAnsi="Arial"/>
          <w:sz w:val="18"/>
          <w:szCs w:val="18"/>
          <w:color w:val="auto"/>
        </w:rPr>
      </w:pPr>
      <w:r>
        <w:rPr>
          <w:rFonts w:ascii="Arial" w:cs="Arial" w:eastAsia="Arial" w:hAnsi="Arial"/>
          <w:sz w:val="18"/>
          <w:szCs w:val="18"/>
          <w:color w:val="auto"/>
        </w:rPr>
        <w:t>our technology infrastructure, including expansion of our activities in third-party data centers that we may lease, enhancements to our network operations and infrastructure, and hiring of additional employees;</w:t>
      </w:r>
    </w:p>
    <w:p>
      <w:pPr>
        <w:spacing w:after="0" w:line="62" w:lineRule="exact"/>
        <w:rPr>
          <w:rFonts w:ascii="Arial" w:cs="Arial" w:eastAsia="Arial" w:hAnsi="Arial"/>
          <w:sz w:val="18"/>
          <w:szCs w:val="18"/>
          <w:color w:val="auto"/>
        </w:rPr>
      </w:pPr>
    </w:p>
    <w:p>
      <w:pPr>
        <w:ind w:left="900" w:hanging="359"/>
        <w:spacing w:after="0"/>
        <w:tabs>
          <w:tab w:leader="none" w:pos="900" w:val="left"/>
        </w:tabs>
        <w:numPr>
          <w:ilvl w:val="0"/>
          <w:numId w:val="31"/>
        </w:numPr>
        <w:rPr>
          <w:rFonts w:ascii="Arial" w:cs="Arial" w:eastAsia="Arial" w:hAnsi="Arial"/>
          <w:sz w:val="18"/>
          <w:szCs w:val="18"/>
          <w:color w:val="auto"/>
        </w:rPr>
      </w:pPr>
      <w:r>
        <w:rPr>
          <w:rFonts w:ascii="Arial" w:cs="Arial" w:eastAsia="Arial" w:hAnsi="Arial"/>
          <w:sz w:val="18"/>
          <w:szCs w:val="18"/>
          <w:color w:val="auto"/>
        </w:rPr>
        <w:t>sales and marketing;</w:t>
      </w:r>
    </w:p>
    <w:p>
      <w:pPr>
        <w:spacing w:after="0" w:line="116" w:lineRule="exact"/>
        <w:rPr>
          <w:rFonts w:ascii="Arial" w:cs="Arial" w:eastAsia="Arial" w:hAnsi="Arial"/>
          <w:sz w:val="18"/>
          <w:szCs w:val="18"/>
          <w:color w:val="auto"/>
        </w:rPr>
      </w:pPr>
    </w:p>
    <w:p>
      <w:pPr>
        <w:ind w:left="900" w:hanging="359"/>
        <w:spacing w:after="0"/>
        <w:tabs>
          <w:tab w:leader="none" w:pos="900" w:val="left"/>
        </w:tabs>
        <w:numPr>
          <w:ilvl w:val="0"/>
          <w:numId w:val="31"/>
        </w:numPr>
        <w:rPr>
          <w:rFonts w:ascii="Arial" w:cs="Arial" w:eastAsia="Arial" w:hAnsi="Arial"/>
          <w:sz w:val="18"/>
          <w:szCs w:val="18"/>
          <w:color w:val="auto"/>
        </w:rPr>
      </w:pPr>
      <w:r>
        <w:rPr>
          <w:rFonts w:ascii="Arial" w:cs="Arial" w:eastAsia="Arial" w:hAnsi="Arial"/>
          <w:sz w:val="18"/>
          <w:szCs w:val="18"/>
          <w:color w:val="auto"/>
        </w:rPr>
        <w:t>additional international expansion, in an effort to increase our customer base and sales; and</w:t>
      </w:r>
    </w:p>
    <w:p>
      <w:pPr>
        <w:spacing w:after="0" w:line="103" w:lineRule="exact"/>
        <w:rPr>
          <w:rFonts w:ascii="Arial" w:cs="Arial" w:eastAsia="Arial" w:hAnsi="Arial"/>
          <w:sz w:val="18"/>
          <w:szCs w:val="18"/>
          <w:color w:val="auto"/>
        </w:rPr>
      </w:pPr>
    </w:p>
    <w:p>
      <w:pPr>
        <w:ind w:left="900" w:hanging="359"/>
        <w:spacing w:after="0"/>
        <w:tabs>
          <w:tab w:leader="none" w:pos="900" w:val="left"/>
        </w:tabs>
        <w:numPr>
          <w:ilvl w:val="0"/>
          <w:numId w:val="31"/>
        </w:numPr>
        <w:rPr>
          <w:rFonts w:ascii="Arial" w:cs="Arial" w:eastAsia="Arial" w:hAnsi="Arial"/>
          <w:sz w:val="18"/>
          <w:szCs w:val="18"/>
          <w:color w:val="auto"/>
        </w:rPr>
      </w:pPr>
      <w:r>
        <w:rPr>
          <w:rFonts w:ascii="Arial" w:cs="Arial" w:eastAsia="Arial" w:hAnsi="Arial"/>
          <w:sz w:val="18"/>
          <w:szCs w:val="18"/>
          <w:color w:val="auto"/>
        </w:rPr>
        <w:t>general administration, including legal, accounting, and other expenses.</w:t>
      </w:r>
    </w:p>
    <w:p>
      <w:pPr>
        <w:spacing w:after="0" w:line="10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274" name="Picture 2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4"/>
                    <pic:cNvPicPr>
                      <a:picLocks noChangeAspect="1" noChangeArrowheads="1"/>
                    </pic:cNvPicPr>
                  </pic:nvPicPr>
                  <pic:blipFill>
                    <a:blip r:embed="rId28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647" w:right="339" w:bottom="1440" w:gutter="0" w:footer="0" w:header="0"/>
        </w:sectPr>
      </w:pPr>
    </w:p>
    <w:bookmarkStart w:id="42" w:name="page43"/>
    <w:bookmarkEnd w:id="42"/>
    <w:p>
      <w:pPr>
        <w:ind w:right="200" w:firstLine="509"/>
        <w:spacing w:after="0" w:line="267" w:lineRule="auto"/>
        <w:rPr>
          <w:sz w:val="20"/>
          <w:szCs w:val="20"/>
          <w:color w:val="auto"/>
        </w:rPr>
      </w:pPr>
      <w:r>
        <w:rPr>
          <w:rFonts w:ascii="Arial" w:cs="Arial" w:eastAsia="Arial" w:hAnsi="Arial"/>
          <w:sz w:val="17"/>
          <w:szCs w:val="17"/>
          <w:color w:val="auto"/>
        </w:rPr>
        <w:t>In addition, part of our business strategy is to focus on our long-term growth. As a result, our profitability may be lower in the near term than it would be if our strategy was to maximize short-term profitability. Significant expenditures on sales and marketing efforts, expanding our platform, products, features, and functionality, and expanding our research and development, each of which we intend to continue to invest in, may not ultimately grow our business or result in long-term profitability. If we are ultimately unable to achieve profitability at the level anticipated by industry or financial analysts and our stockholders, the trading price of our Class A common stock may decline.</w:t>
      </w:r>
    </w:p>
    <w:p>
      <w:pPr>
        <w:spacing w:after="0" w:line="167" w:lineRule="exact"/>
        <w:rPr>
          <w:sz w:val="20"/>
          <w:szCs w:val="20"/>
          <w:color w:val="auto"/>
        </w:rPr>
      </w:pPr>
    </w:p>
    <w:p>
      <w:pPr>
        <w:ind w:firstLine="509"/>
        <w:spacing w:after="0" w:line="255" w:lineRule="auto"/>
        <w:rPr>
          <w:sz w:val="20"/>
          <w:szCs w:val="20"/>
          <w:color w:val="auto"/>
        </w:rPr>
      </w:pPr>
      <w:r>
        <w:rPr>
          <w:rFonts w:ascii="Arial" w:cs="Arial" w:eastAsia="Arial" w:hAnsi="Arial"/>
          <w:sz w:val="18"/>
          <w:szCs w:val="18"/>
          <w:color w:val="auto"/>
        </w:rPr>
        <w:t>Our efforts to grow our business may be costlier than we expect, or our revenue growth rate may be slower than we expect, and we may not be able to increase our revenue enough to offset the increase in operating expenses resulting from these investments. If we are unable to continue to grow our revenue, the value of our business and our Class A common stock may significantly decrease.</w:t>
      </w:r>
    </w:p>
    <w:p>
      <w:pPr>
        <w:spacing w:after="0" w:line="284" w:lineRule="exact"/>
        <w:rPr>
          <w:sz w:val="20"/>
          <w:szCs w:val="20"/>
          <w:color w:val="auto"/>
        </w:rPr>
      </w:pPr>
    </w:p>
    <w:p>
      <w:pPr>
        <w:ind w:right="100"/>
        <w:spacing w:after="0" w:line="293" w:lineRule="auto"/>
        <w:rPr>
          <w:sz w:val="20"/>
          <w:szCs w:val="20"/>
          <w:color w:val="auto"/>
        </w:rPr>
      </w:pPr>
      <w:r>
        <w:rPr>
          <w:rFonts w:ascii="Arial" w:cs="Arial" w:eastAsia="Arial" w:hAnsi="Arial"/>
          <w:sz w:val="16"/>
          <w:szCs w:val="16"/>
          <w:b w:val="1"/>
          <w:bCs w:val="1"/>
          <w:i w:val="1"/>
          <w:iCs w:val="1"/>
          <w:color w:val="auto"/>
        </w:rPr>
        <w:t>Our business depends on our existing customers renewing their subscriptions and purchasing additional subscriptions from us as well as attracting new customers. Any decline in our customer retention or expansion of our commercial relationships with existing customers or an inability to attract new customers would materially adversely affect our business, financial condition, and results of operations.</w:t>
      </w:r>
    </w:p>
    <w:p>
      <w:pPr>
        <w:spacing w:after="0" w:line="54" w:lineRule="exact"/>
        <w:rPr>
          <w:sz w:val="20"/>
          <w:szCs w:val="20"/>
          <w:color w:val="auto"/>
        </w:rPr>
      </w:pPr>
    </w:p>
    <w:p>
      <w:pPr>
        <w:ind w:firstLine="509"/>
        <w:spacing w:after="0" w:line="279" w:lineRule="auto"/>
        <w:rPr>
          <w:sz w:val="20"/>
          <w:szCs w:val="20"/>
          <w:color w:val="auto"/>
        </w:rPr>
      </w:pPr>
      <w:r>
        <w:rPr>
          <w:rFonts w:ascii="Arial" w:cs="Arial" w:eastAsia="Arial" w:hAnsi="Arial"/>
          <w:sz w:val="16"/>
          <w:szCs w:val="16"/>
          <w:color w:val="auto"/>
        </w:rPr>
        <w:t>In order for us to maintain or improve our revenue growth and our results of operations, it is important that our customers renew their subscriptions when existing contract terms expire and that we expand our commercial relationships with our existing customers and attract new customers. We also seek to convert customers on our free-tier, self-service option to paid subscription contracts. Our customers have no obligation to renew their subscriptions, and our customers may not renew their subscriptions with similar contract periods or at all. Some of our customers have elected not to renew their agreements with us, and it is difficult to accurately predict long-term customer retention. In addition, our ability to attract new customers will depend on market acceptance of our Digital Analytics Platform and the successful implementation of our marketing strategy.</w:t>
      </w:r>
    </w:p>
    <w:p>
      <w:pPr>
        <w:spacing w:after="0" w:line="173" w:lineRule="exact"/>
        <w:rPr>
          <w:sz w:val="20"/>
          <w:szCs w:val="20"/>
          <w:color w:val="auto"/>
        </w:rPr>
      </w:pPr>
    </w:p>
    <w:p>
      <w:pPr>
        <w:ind w:right="40" w:firstLine="509"/>
        <w:spacing w:after="0" w:line="260" w:lineRule="auto"/>
        <w:rPr>
          <w:sz w:val="20"/>
          <w:szCs w:val="20"/>
          <w:color w:val="auto"/>
        </w:rPr>
      </w:pPr>
      <w:r>
        <w:rPr>
          <w:rFonts w:ascii="Arial" w:cs="Arial" w:eastAsia="Arial" w:hAnsi="Arial"/>
          <w:sz w:val="17"/>
          <w:szCs w:val="17"/>
          <w:color w:val="auto"/>
        </w:rPr>
        <w:t>Our customer retention and expansion and the rate at which we attract new customers may decline or fluctuate as a result of a number of factors, including our customers’ satisfaction with our Digital Analytics Platform; our support capabilities; our prices and pricing plans; the prices and value of competing products; reductions in our customers’ spending levels; new product releases; mergers and acquisitions affecting our customer base; or the effects of global economic conditions. We may be unable to timely address any retention issues with specific customers, which could materially adversely affect our results of operations. If our customers do not purchase additional subscriptions or renew their subscriptions, or if they renew on less favorable terms, or if we are unable to attract new customers, our revenue may decline or grow less quickly, which would materially adversely affect our business, financial condition, and results of operations.</w:t>
      </w:r>
    </w:p>
    <w:p>
      <w:pPr>
        <w:spacing w:after="0" w:line="68"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43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61595</wp:posOffset>
            </wp:positionV>
            <wp:extent cx="7157720" cy="42545"/>
            <wp:wrapNone/>
            <wp:docPr id="275" name="Picture 2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5"/>
                    <pic:cNvPicPr>
                      <a:picLocks noChangeAspect="1" noChangeArrowheads="1"/>
                    </pic:cNvPicPr>
                  </pic:nvPicPr>
                  <pic:blipFill>
                    <a:blip r:embed="rId28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20"/>
          </w:cols>
          <w:pgMar w:left="320" w:top="543" w:right="459" w:bottom="1440" w:gutter="0" w:footer="0" w:header="0"/>
        </w:sectPr>
      </w:pPr>
    </w:p>
    <w:bookmarkStart w:id="43" w:name="page44"/>
    <w:bookmarkEnd w:id="43"/>
    <w:p>
      <w:pPr>
        <w:ind w:right="600"/>
        <w:spacing w:after="0" w:line="365" w:lineRule="auto"/>
        <w:rPr>
          <w:sz w:val="20"/>
          <w:szCs w:val="20"/>
          <w:color w:val="auto"/>
        </w:rPr>
      </w:pPr>
      <w:r>
        <w:rPr>
          <w:rFonts w:ascii="Arial" w:cs="Arial" w:eastAsia="Arial" w:hAnsi="Arial"/>
          <w:sz w:val="15"/>
          <w:szCs w:val="15"/>
          <w:b w:val="1"/>
          <w:bCs w:val="1"/>
          <w:i w:val="1"/>
          <w:iCs w:val="1"/>
          <w:color w:val="auto"/>
        </w:rPr>
        <w:t>We expect fluctuations in our financial results and key metrics, making it difficult to project future results. If we fail to meet the expectations of securities analysts or investors with respect to our results of operations, the trading price of our Class A common stock could decline.</w:t>
      </w:r>
    </w:p>
    <w:p>
      <w:pPr>
        <w:spacing w:after="0" w:line="1" w:lineRule="exact"/>
        <w:rPr>
          <w:sz w:val="20"/>
          <w:szCs w:val="20"/>
          <w:color w:val="auto"/>
        </w:rPr>
      </w:pPr>
    </w:p>
    <w:p>
      <w:pPr>
        <w:ind w:right="180" w:firstLine="509"/>
        <w:spacing w:after="0" w:line="255" w:lineRule="auto"/>
        <w:rPr>
          <w:sz w:val="20"/>
          <w:szCs w:val="20"/>
          <w:color w:val="auto"/>
        </w:rPr>
      </w:pPr>
      <w:r>
        <w:rPr>
          <w:rFonts w:ascii="Arial" w:cs="Arial" w:eastAsia="Arial" w:hAnsi="Arial"/>
          <w:sz w:val="18"/>
          <w:szCs w:val="18"/>
          <w:color w:val="auto"/>
        </w:rPr>
        <w:t>Our results of operations and key metrics have fluctuated in the past and are expected to fluctuate in the future due to a variety of factors, many of which are outside of our control. As a result, our past results may not be indicative of our future performance. In addition to the other risks described herein, other factors that may cause our results of operations or key metrics to fluctuate include:</w:t>
      </w:r>
    </w:p>
    <w:p>
      <w:pPr>
        <w:spacing w:after="0" w:line="68" w:lineRule="exact"/>
        <w:rPr>
          <w:sz w:val="20"/>
          <w:szCs w:val="20"/>
          <w:color w:val="auto"/>
        </w:rPr>
      </w:pPr>
    </w:p>
    <w:p>
      <w:pPr>
        <w:ind w:left="1020" w:hanging="479"/>
        <w:spacing w:after="0" w:line="261" w:lineRule="auto"/>
        <w:tabs>
          <w:tab w:leader="none" w:pos="894" w:val="left"/>
        </w:tabs>
        <w:numPr>
          <w:ilvl w:val="0"/>
          <w:numId w:val="32"/>
        </w:numPr>
        <w:rPr>
          <w:rFonts w:ascii="Arial" w:cs="Arial" w:eastAsia="Arial" w:hAnsi="Arial"/>
          <w:sz w:val="18"/>
          <w:szCs w:val="18"/>
          <w:color w:val="auto"/>
        </w:rPr>
      </w:pPr>
      <w:r>
        <w:rPr>
          <w:rFonts w:ascii="Arial" w:cs="Arial" w:eastAsia="Arial" w:hAnsi="Arial"/>
          <w:sz w:val="18"/>
          <w:szCs w:val="18"/>
          <w:color w:val="auto"/>
        </w:rPr>
        <w:t>fluctuations in demand for, or pricing of, our Digital Analytics Platform, including as a result of our introduction of new products, features, and functionality;</w:t>
      </w:r>
    </w:p>
    <w:p>
      <w:pPr>
        <w:spacing w:after="0" w:line="75" w:lineRule="exact"/>
        <w:rPr>
          <w:rFonts w:ascii="Arial" w:cs="Arial" w:eastAsia="Arial" w:hAnsi="Arial"/>
          <w:sz w:val="18"/>
          <w:szCs w:val="18"/>
          <w:color w:val="auto"/>
        </w:rPr>
      </w:pPr>
    </w:p>
    <w:p>
      <w:pPr>
        <w:ind w:left="900" w:hanging="359"/>
        <w:spacing w:after="0"/>
        <w:tabs>
          <w:tab w:leader="none" w:pos="900" w:val="left"/>
        </w:tabs>
        <w:numPr>
          <w:ilvl w:val="0"/>
          <w:numId w:val="32"/>
        </w:numPr>
        <w:rPr>
          <w:rFonts w:ascii="Arial" w:cs="Arial" w:eastAsia="Arial" w:hAnsi="Arial"/>
          <w:sz w:val="18"/>
          <w:szCs w:val="18"/>
          <w:color w:val="auto"/>
        </w:rPr>
      </w:pPr>
      <w:r>
        <w:rPr>
          <w:rFonts w:ascii="Arial" w:cs="Arial" w:eastAsia="Arial" w:hAnsi="Arial"/>
          <w:sz w:val="18"/>
          <w:szCs w:val="18"/>
          <w:color w:val="auto"/>
        </w:rPr>
        <w:t>fluctuations in usage of our Digital Analytics Platform;</w:t>
      </w:r>
    </w:p>
    <w:p>
      <w:pPr>
        <w:spacing w:after="0" w:line="103" w:lineRule="exact"/>
        <w:rPr>
          <w:rFonts w:ascii="Arial" w:cs="Arial" w:eastAsia="Arial" w:hAnsi="Arial"/>
          <w:sz w:val="18"/>
          <w:szCs w:val="18"/>
          <w:color w:val="auto"/>
        </w:rPr>
      </w:pPr>
    </w:p>
    <w:p>
      <w:pPr>
        <w:ind w:left="900" w:hanging="359"/>
        <w:spacing w:after="0"/>
        <w:tabs>
          <w:tab w:leader="none" w:pos="900" w:val="left"/>
        </w:tabs>
        <w:numPr>
          <w:ilvl w:val="0"/>
          <w:numId w:val="32"/>
        </w:numPr>
        <w:rPr>
          <w:rFonts w:ascii="Arial" w:cs="Arial" w:eastAsia="Arial" w:hAnsi="Arial"/>
          <w:sz w:val="18"/>
          <w:szCs w:val="18"/>
          <w:color w:val="auto"/>
        </w:rPr>
      </w:pPr>
      <w:r>
        <w:rPr>
          <w:rFonts w:ascii="Arial" w:cs="Arial" w:eastAsia="Arial" w:hAnsi="Arial"/>
          <w:sz w:val="18"/>
          <w:szCs w:val="18"/>
          <w:color w:val="auto"/>
        </w:rPr>
        <w:t>our ability to attract new customers;</w:t>
      </w:r>
    </w:p>
    <w:p>
      <w:pPr>
        <w:spacing w:after="0" w:line="103" w:lineRule="exact"/>
        <w:rPr>
          <w:rFonts w:ascii="Arial" w:cs="Arial" w:eastAsia="Arial" w:hAnsi="Arial"/>
          <w:sz w:val="18"/>
          <w:szCs w:val="18"/>
          <w:color w:val="auto"/>
        </w:rPr>
      </w:pPr>
    </w:p>
    <w:p>
      <w:pPr>
        <w:ind w:left="900" w:hanging="359"/>
        <w:spacing w:after="0"/>
        <w:tabs>
          <w:tab w:leader="none" w:pos="900" w:val="left"/>
        </w:tabs>
        <w:numPr>
          <w:ilvl w:val="0"/>
          <w:numId w:val="32"/>
        </w:numPr>
        <w:rPr>
          <w:rFonts w:ascii="Arial" w:cs="Arial" w:eastAsia="Arial" w:hAnsi="Arial"/>
          <w:sz w:val="18"/>
          <w:szCs w:val="18"/>
          <w:color w:val="auto"/>
        </w:rPr>
      </w:pPr>
      <w:r>
        <w:rPr>
          <w:rFonts w:ascii="Arial" w:cs="Arial" w:eastAsia="Arial" w:hAnsi="Arial"/>
          <w:sz w:val="18"/>
          <w:szCs w:val="18"/>
          <w:color w:val="auto"/>
        </w:rPr>
        <w:t>our ability to retain existing customers;</w:t>
      </w:r>
    </w:p>
    <w:p>
      <w:pPr>
        <w:spacing w:after="0" w:line="103" w:lineRule="exact"/>
        <w:rPr>
          <w:rFonts w:ascii="Arial" w:cs="Arial" w:eastAsia="Arial" w:hAnsi="Arial"/>
          <w:sz w:val="18"/>
          <w:szCs w:val="18"/>
          <w:color w:val="auto"/>
        </w:rPr>
      </w:pPr>
    </w:p>
    <w:p>
      <w:pPr>
        <w:ind w:left="900" w:hanging="359"/>
        <w:spacing w:after="0"/>
        <w:tabs>
          <w:tab w:leader="none" w:pos="900" w:val="left"/>
        </w:tabs>
        <w:numPr>
          <w:ilvl w:val="0"/>
          <w:numId w:val="32"/>
        </w:numPr>
        <w:rPr>
          <w:rFonts w:ascii="Arial" w:cs="Arial" w:eastAsia="Arial" w:hAnsi="Arial"/>
          <w:sz w:val="18"/>
          <w:szCs w:val="18"/>
          <w:color w:val="auto"/>
        </w:rPr>
      </w:pPr>
      <w:r>
        <w:rPr>
          <w:rFonts w:ascii="Arial" w:cs="Arial" w:eastAsia="Arial" w:hAnsi="Arial"/>
          <w:sz w:val="18"/>
          <w:szCs w:val="18"/>
          <w:color w:val="auto"/>
        </w:rPr>
        <w:t>customer expansion rates;</w:t>
      </w:r>
    </w:p>
    <w:p>
      <w:pPr>
        <w:spacing w:after="0" w:line="116" w:lineRule="exact"/>
        <w:rPr>
          <w:rFonts w:ascii="Arial" w:cs="Arial" w:eastAsia="Arial" w:hAnsi="Arial"/>
          <w:sz w:val="18"/>
          <w:szCs w:val="18"/>
          <w:color w:val="auto"/>
        </w:rPr>
      </w:pPr>
    </w:p>
    <w:p>
      <w:pPr>
        <w:ind w:left="900" w:hanging="359"/>
        <w:spacing w:after="0"/>
        <w:tabs>
          <w:tab w:leader="none" w:pos="900" w:val="left"/>
        </w:tabs>
        <w:numPr>
          <w:ilvl w:val="0"/>
          <w:numId w:val="32"/>
        </w:numPr>
        <w:rPr>
          <w:rFonts w:ascii="Arial" w:cs="Arial" w:eastAsia="Arial" w:hAnsi="Arial"/>
          <w:sz w:val="18"/>
          <w:szCs w:val="18"/>
          <w:color w:val="auto"/>
        </w:rPr>
      </w:pPr>
      <w:r>
        <w:rPr>
          <w:rFonts w:ascii="Arial" w:cs="Arial" w:eastAsia="Arial" w:hAnsi="Arial"/>
          <w:sz w:val="18"/>
          <w:szCs w:val="18"/>
          <w:color w:val="auto"/>
        </w:rPr>
        <w:t>investments in new products, features, and functionality;</w:t>
      </w:r>
    </w:p>
    <w:p>
      <w:pPr>
        <w:spacing w:after="0" w:line="103" w:lineRule="exact"/>
        <w:rPr>
          <w:rFonts w:ascii="Arial" w:cs="Arial" w:eastAsia="Arial" w:hAnsi="Arial"/>
          <w:sz w:val="18"/>
          <w:szCs w:val="18"/>
          <w:color w:val="auto"/>
        </w:rPr>
      </w:pPr>
    </w:p>
    <w:p>
      <w:pPr>
        <w:ind w:left="900" w:hanging="359"/>
        <w:spacing w:after="0"/>
        <w:tabs>
          <w:tab w:leader="none" w:pos="900" w:val="left"/>
        </w:tabs>
        <w:numPr>
          <w:ilvl w:val="0"/>
          <w:numId w:val="32"/>
        </w:numPr>
        <w:rPr>
          <w:rFonts w:ascii="Arial" w:cs="Arial" w:eastAsia="Arial" w:hAnsi="Arial"/>
          <w:sz w:val="18"/>
          <w:szCs w:val="18"/>
          <w:color w:val="auto"/>
        </w:rPr>
      </w:pPr>
      <w:r>
        <w:rPr>
          <w:rFonts w:ascii="Arial" w:cs="Arial" w:eastAsia="Arial" w:hAnsi="Arial"/>
          <w:sz w:val="18"/>
          <w:szCs w:val="18"/>
          <w:color w:val="auto"/>
        </w:rPr>
        <w:t>the timing of our customers’ purchases;</w:t>
      </w:r>
    </w:p>
    <w:p>
      <w:pPr>
        <w:spacing w:after="0" w:line="103" w:lineRule="exact"/>
        <w:rPr>
          <w:rFonts w:ascii="Arial" w:cs="Arial" w:eastAsia="Arial" w:hAnsi="Arial"/>
          <w:sz w:val="18"/>
          <w:szCs w:val="18"/>
          <w:color w:val="auto"/>
        </w:rPr>
      </w:pPr>
    </w:p>
    <w:p>
      <w:pPr>
        <w:ind w:left="900" w:hanging="359"/>
        <w:spacing w:after="0"/>
        <w:tabs>
          <w:tab w:leader="none" w:pos="900" w:val="left"/>
        </w:tabs>
        <w:numPr>
          <w:ilvl w:val="0"/>
          <w:numId w:val="32"/>
        </w:numPr>
        <w:rPr>
          <w:rFonts w:ascii="Arial" w:cs="Arial" w:eastAsia="Arial" w:hAnsi="Arial"/>
          <w:sz w:val="18"/>
          <w:szCs w:val="18"/>
          <w:color w:val="auto"/>
        </w:rPr>
      </w:pPr>
      <w:r>
        <w:rPr>
          <w:rFonts w:ascii="Arial" w:cs="Arial" w:eastAsia="Arial" w:hAnsi="Arial"/>
          <w:sz w:val="18"/>
          <w:szCs w:val="18"/>
          <w:color w:val="auto"/>
        </w:rPr>
        <w:t>the speed with which customers are able to migrate data onto our platform after purchasing capacity;</w:t>
      </w:r>
    </w:p>
    <w:p>
      <w:pPr>
        <w:spacing w:after="0" w:line="116" w:lineRule="exact"/>
        <w:rPr>
          <w:rFonts w:ascii="Arial" w:cs="Arial" w:eastAsia="Arial" w:hAnsi="Arial"/>
          <w:sz w:val="18"/>
          <w:szCs w:val="18"/>
          <w:color w:val="auto"/>
        </w:rPr>
      </w:pPr>
    </w:p>
    <w:p>
      <w:pPr>
        <w:ind w:left="900" w:hanging="359"/>
        <w:spacing w:after="0"/>
        <w:tabs>
          <w:tab w:leader="none" w:pos="900" w:val="left"/>
        </w:tabs>
        <w:numPr>
          <w:ilvl w:val="0"/>
          <w:numId w:val="32"/>
        </w:numPr>
        <w:rPr>
          <w:rFonts w:ascii="Arial" w:cs="Arial" w:eastAsia="Arial" w:hAnsi="Arial"/>
          <w:sz w:val="18"/>
          <w:szCs w:val="18"/>
          <w:color w:val="auto"/>
        </w:rPr>
      </w:pPr>
      <w:r>
        <w:rPr>
          <w:rFonts w:ascii="Arial" w:cs="Arial" w:eastAsia="Arial" w:hAnsi="Arial"/>
          <w:sz w:val="18"/>
          <w:szCs w:val="18"/>
          <w:color w:val="auto"/>
        </w:rPr>
        <w:t>awareness of our brand on a global basis;</w:t>
      </w:r>
    </w:p>
    <w:p>
      <w:pPr>
        <w:spacing w:after="0" w:line="103" w:lineRule="exact"/>
        <w:rPr>
          <w:rFonts w:ascii="Arial" w:cs="Arial" w:eastAsia="Arial" w:hAnsi="Arial"/>
          <w:sz w:val="18"/>
          <w:szCs w:val="18"/>
          <w:color w:val="auto"/>
        </w:rPr>
      </w:pPr>
    </w:p>
    <w:p>
      <w:pPr>
        <w:ind w:left="1020" w:right="320" w:hanging="479"/>
        <w:spacing w:after="0" w:line="261" w:lineRule="auto"/>
        <w:tabs>
          <w:tab w:leader="none" w:pos="894" w:val="left"/>
        </w:tabs>
        <w:numPr>
          <w:ilvl w:val="0"/>
          <w:numId w:val="32"/>
        </w:numPr>
        <w:rPr>
          <w:rFonts w:ascii="Arial" w:cs="Arial" w:eastAsia="Arial" w:hAnsi="Arial"/>
          <w:sz w:val="18"/>
          <w:szCs w:val="18"/>
          <w:color w:val="auto"/>
        </w:rPr>
      </w:pPr>
      <w:r>
        <w:rPr>
          <w:rFonts w:ascii="Arial" w:cs="Arial" w:eastAsia="Arial" w:hAnsi="Arial"/>
          <w:sz w:val="18"/>
          <w:szCs w:val="18"/>
          <w:color w:val="auto"/>
        </w:rPr>
        <w:t>fluctuations or delays in purchasing decisions in anticipation of new products, features, or functionality developed or acquired by us or our competitors;</w:t>
      </w:r>
    </w:p>
    <w:p>
      <w:pPr>
        <w:spacing w:after="0" w:line="75" w:lineRule="exact"/>
        <w:rPr>
          <w:rFonts w:ascii="Arial" w:cs="Arial" w:eastAsia="Arial" w:hAnsi="Arial"/>
          <w:sz w:val="18"/>
          <w:szCs w:val="18"/>
          <w:color w:val="auto"/>
        </w:rPr>
      </w:pPr>
    </w:p>
    <w:p>
      <w:pPr>
        <w:ind w:left="900" w:hanging="359"/>
        <w:spacing w:after="0"/>
        <w:tabs>
          <w:tab w:leader="none" w:pos="900" w:val="left"/>
        </w:tabs>
        <w:numPr>
          <w:ilvl w:val="0"/>
          <w:numId w:val="32"/>
        </w:numPr>
        <w:rPr>
          <w:rFonts w:ascii="Arial" w:cs="Arial" w:eastAsia="Arial" w:hAnsi="Arial"/>
          <w:sz w:val="18"/>
          <w:szCs w:val="18"/>
          <w:color w:val="auto"/>
        </w:rPr>
      </w:pPr>
      <w:r>
        <w:rPr>
          <w:rFonts w:ascii="Arial" w:cs="Arial" w:eastAsia="Arial" w:hAnsi="Arial"/>
          <w:sz w:val="18"/>
          <w:szCs w:val="18"/>
          <w:color w:val="auto"/>
        </w:rPr>
        <w:t>changes in customers’ budgets and in the timing of their budget cycles and purchasing decisions;</w:t>
      </w:r>
    </w:p>
    <w:p>
      <w:pPr>
        <w:spacing w:after="0" w:line="103" w:lineRule="exact"/>
        <w:rPr>
          <w:rFonts w:ascii="Arial" w:cs="Arial" w:eastAsia="Arial" w:hAnsi="Arial"/>
          <w:sz w:val="18"/>
          <w:szCs w:val="18"/>
          <w:color w:val="auto"/>
        </w:rPr>
      </w:pPr>
    </w:p>
    <w:p>
      <w:pPr>
        <w:ind w:left="900" w:hanging="359"/>
        <w:spacing w:after="0"/>
        <w:tabs>
          <w:tab w:leader="none" w:pos="900" w:val="left"/>
        </w:tabs>
        <w:numPr>
          <w:ilvl w:val="0"/>
          <w:numId w:val="32"/>
        </w:numPr>
        <w:rPr>
          <w:rFonts w:ascii="Arial" w:cs="Arial" w:eastAsia="Arial" w:hAnsi="Arial"/>
          <w:sz w:val="18"/>
          <w:szCs w:val="18"/>
          <w:color w:val="auto"/>
        </w:rPr>
      </w:pPr>
      <w:r>
        <w:rPr>
          <w:rFonts w:ascii="Arial" w:cs="Arial" w:eastAsia="Arial" w:hAnsi="Arial"/>
          <w:sz w:val="18"/>
          <w:szCs w:val="18"/>
          <w:color w:val="auto"/>
        </w:rPr>
        <w:t>our ability to control costs, including our operating expenses;</w:t>
      </w:r>
    </w:p>
    <w:p>
      <w:pPr>
        <w:spacing w:after="0" w:line="103" w:lineRule="exact"/>
        <w:rPr>
          <w:rFonts w:ascii="Arial" w:cs="Arial" w:eastAsia="Arial" w:hAnsi="Arial"/>
          <w:sz w:val="18"/>
          <w:szCs w:val="18"/>
          <w:color w:val="auto"/>
        </w:rPr>
      </w:pPr>
    </w:p>
    <w:p>
      <w:pPr>
        <w:ind w:left="1020" w:right="200" w:hanging="479"/>
        <w:spacing w:after="0" w:line="277" w:lineRule="auto"/>
        <w:tabs>
          <w:tab w:leader="none" w:pos="894" w:val="left"/>
        </w:tabs>
        <w:numPr>
          <w:ilvl w:val="0"/>
          <w:numId w:val="32"/>
        </w:numPr>
        <w:rPr>
          <w:rFonts w:ascii="Arial" w:cs="Arial" w:eastAsia="Arial" w:hAnsi="Arial"/>
          <w:sz w:val="18"/>
          <w:szCs w:val="18"/>
          <w:color w:val="auto"/>
        </w:rPr>
      </w:pPr>
      <w:r>
        <w:rPr>
          <w:rFonts w:ascii="Arial" w:cs="Arial" w:eastAsia="Arial" w:hAnsi="Arial"/>
          <w:sz w:val="18"/>
          <w:szCs w:val="18"/>
          <w:color w:val="auto"/>
        </w:rPr>
        <w:t>the amount and timing of costs associated with our cloud computing infrastructure, particularly the cloud services provided by Amazon Web Services (“AWS”);</w:t>
      </w:r>
    </w:p>
    <w:p>
      <w:pPr>
        <w:spacing w:after="0" w:line="48" w:lineRule="exact"/>
        <w:rPr>
          <w:rFonts w:ascii="Arial" w:cs="Arial" w:eastAsia="Arial" w:hAnsi="Arial"/>
          <w:sz w:val="18"/>
          <w:szCs w:val="18"/>
          <w:color w:val="auto"/>
        </w:rPr>
      </w:pPr>
    </w:p>
    <w:p>
      <w:pPr>
        <w:ind w:left="900" w:hanging="359"/>
        <w:spacing w:after="0"/>
        <w:tabs>
          <w:tab w:leader="none" w:pos="900" w:val="left"/>
        </w:tabs>
        <w:numPr>
          <w:ilvl w:val="0"/>
          <w:numId w:val="32"/>
        </w:numPr>
        <w:rPr>
          <w:rFonts w:ascii="Arial" w:cs="Arial" w:eastAsia="Arial" w:hAnsi="Arial"/>
          <w:sz w:val="17"/>
          <w:szCs w:val="17"/>
          <w:color w:val="auto"/>
        </w:rPr>
      </w:pPr>
      <w:r>
        <w:rPr>
          <w:rFonts w:ascii="Arial" w:cs="Arial" w:eastAsia="Arial" w:hAnsi="Arial"/>
          <w:sz w:val="17"/>
          <w:szCs w:val="17"/>
          <w:color w:val="auto"/>
        </w:rPr>
        <w:t>the amount and timing of payment for operating expenses, particularly research and development and sales and marketing expenses;</w:t>
      </w:r>
    </w:p>
    <w:p>
      <w:pPr>
        <w:spacing w:after="0" w:line="114" w:lineRule="exact"/>
        <w:rPr>
          <w:rFonts w:ascii="Arial" w:cs="Arial" w:eastAsia="Arial" w:hAnsi="Arial"/>
          <w:sz w:val="17"/>
          <w:szCs w:val="17"/>
          <w:color w:val="auto"/>
        </w:rPr>
      </w:pPr>
    </w:p>
    <w:p>
      <w:pPr>
        <w:ind w:left="900" w:hanging="359"/>
        <w:spacing w:after="0"/>
        <w:tabs>
          <w:tab w:leader="none" w:pos="900" w:val="left"/>
        </w:tabs>
        <w:numPr>
          <w:ilvl w:val="0"/>
          <w:numId w:val="32"/>
        </w:numPr>
        <w:rPr>
          <w:rFonts w:ascii="Arial" w:cs="Arial" w:eastAsia="Arial" w:hAnsi="Arial"/>
          <w:sz w:val="17"/>
          <w:szCs w:val="17"/>
          <w:color w:val="auto"/>
        </w:rPr>
      </w:pPr>
      <w:r>
        <w:rPr>
          <w:rFonts w:ascii="Arial" w:cs="Arial" w:eastAsia="Arial" w:hAnsi="Arial"/>
          <w:sz w:val="17"/>
          <w:szCs w:val="17"/>
          <w:color w:val="auto"/>
        </w:rPr>
        <w:t>the amount and timing of non-cash expenses, including stock-based compensation, goodwill impairments, and other non-cash charges;</w:t>
      </w:r>
    </w:p>
    <w:p>
      <w:pPr>
        <w:spacing w:after="0" w:line="128" w:lineRule="exact"/>
        <w:rPr>
          <w:rFonts w:ascii="Arial" w:cs="Arial" w:eastAsia="Arial" w:hAnsi="Arial"/>
          <w:sz w:val="17"/>
          <w:szCs w:val="17"/>
          <w:color w:val="auto"/>
        </w:rPr>
      </w:pPr>
    </w:p>
    <w:p>
      <w:pPr>
        <w:ind w:left="1020" w:right="480" w:hanging="479"/>
        <w:spacing w:after="0" w:line="261" w:lineRule="auto"/>
        <w:tabs>
          <w:tab w:leader="none" w:pos="894" w:val="left"/>
        </w:tabs>
        <w:numPr>
          <w:ilvl w:val="0"/>
          <w:numId w:val="32"/>
        </w:numPr>
        <w:rPr>
          <w:rFonts w:ascii="Arial" w:cs="Arial" w:eastAsia="Arial" w:hAnsi="Arial"/>
          <w:sz w:val="18"/>
          <w:szCs w:val="18"/>
          <w:color w:val="auto"/>
        </w:rPr>
      </w:pPr>
      <w:r>
        <w:rPr>
          <w:rFonts w:ascii="Arial" w:cs="Arial" w:eastAsia="Arial" w:hAnsi="Arial"/>
          <w:sz w:val="18"/>
          <w:szCs w:val="18"/>
          <w:color w:val="auto"/>
        </w:rPr>
        <w:t>the amount and timing of costs associated with recruiting, training, and integrating new employees and retaining and motivating existing employees;</w:t>
      </w:r>
    </w:p>
    <w:p>
      <w:pPr>
        <w:spacing w:after="0" w:line="62" w:lineRule="exact"/>
        <w:rPr>
          <w:rFonts w:ascii="Arial" w:cs="Arial" w:eastAsia="Arial" w:hAnsi="Arial"/>
          <w:sz w:val="18"/>
          <w:szCs w:val="18"/>
          <w:color w:val="auto"/>
        </w:rPr>
      </w:pPr>
    </w:p>
    <w:p>
      <w:pPr>
        <w:ind w:left="900" w:hanging="359"/>
        <w:spacing w:after="0"/>
        <w:tabs>
          <w:tab w:leader="none" w:pos="900" w:val="left"/>
        </w:tabs>
        <w:numPr>
          <w:ilvl w:val="0"/>
          <w:numId w:val="32"/>
        </w:numPr>
        <w:rPr>
          <w:rFonts w:ascii="Arial" w:cs="Arial" w:eastAsia="Arial" w:hAnsi="Arial"/>
          <w:sz w:val="17"/>
          <w:szCs w:val="17"/>
          <w:color w:val="auto"/>
        </w:rPr>
      </w:pPr>
      <w:r>
        <w:rPr>
          <w:rFonts w:ascii="Arial" w:cs="Arial" w:eastAsia="Arial" w:hAnsi="Arial"/>
          <w:sz w:val="17"/>
          <w:szCs w:val="17"/>
          <w:color w:val="auto"/>
        </w:rPr>
        <w:t>the ability to identify and complete, and the effects of, mergers, acquisitions, or strategic partnerships, and the ensuing integration efforts;</w:t>
      </w:r>
    </w:p>
    <w:p>
      <w:pPr>
        <w:spacing w:after="0" w:line="114" w:lineRule="exact"/>
        <w:rPr>
          <w:rFonts w:ascii="Arial" w:cs="Arial" w:eastAsia="Arial" w:hAnsi="Arial"/>
          <w:sz w:val="17"/>
          <w:szCs w:val="17"/>
          <w:color w:val="auto"/>
        </w:rPr>
      </w:pPr>
    </w:p>
    <w:p>
      <w:pPr>
        <w:ind w:left="1020" w:right="300" w:hanging="479"/>
        <w:spacing w:after="0" w:line="255" w:lineRule="auto"/>
        <w:tabs>
          <w:tab w:leader="none" w:pos="894" w:val="left"/>
        </w:tabs>
        <w:numPr>
          <w:ilvl w:val="0"/>
          <w:numId w:val="32"/>
        </w:numPr>
        <w:rPr>
          <w:rFonts w:ascii="Arial" w:cs="Arial" w:eastAsia="Arial" w:hAnsi="Arial"/>
          <w:sz w:val="18"/>
          <w:szCs w:val="18"/>
          <w:color w:val="auto"/>
        </w:rPr>
      </w:pPr>
      <w:r>
        <w:rPr>
          <w:rFonts w:ascii="Arial" w:cs="Arial" w:eastAsia="Arial" w:hAnsi="Arial"/>
          <w:sz w:val="18"/>
          <w:szCs w:val="18"/>
          <w:color w:val="auto"/>
        </w:rPr>
        <w:t>general economic, market, and industry conditions (including the current inflationary economic environment and rising interest rates), both domestically and internationally, as well as economic conditions specifically affecting industries in which our customers participate, and related difficulties in collections;</w:t>
      </w:r>
    </w:p>
    <w:p>
      <w:pPr>
        <w:spacing w:after="0" w:line="68" w:lineRule="exact"/>
        <w:rPr>
          <w:rFonts w:ascii="Arial" w:cs="Arial" w:eastAsia="Arial" w:hAnsi="Arial"/>
          <w:sz w:val="18"/>
          <w:szCs w:val="18"/>
          <w:color w:val="auto"/>
        </w:rPr>
      </w:pPr>
    </w:p>
    <w:p>
      <w:pPr>
        <w:ind w:left="1020" w:hanging="479"/>
        <w:spacing w:after="0" w:line="255" w:lineRule="auto"/>
        <w:tabs>
          <w:tab w:leader="none" w:pos="894" w:val="left"/>
        </w:tabs>
        <w:numPr>
          <w:ilvl w:val="0"/>
          <w:numId w:val="32"/>
        </w:numPr>
        <w:rPr>
          <w:rFonts w:ascii="Arial" w:cs="Arial" w:eastAsia="Arial" w:hAnsi="Arial"/>
          <w:sz w:val="18"/>
          <w:szCs w:val="18"/>
          <w:color w:val="auto"/>
        </w:rPr>
      </w:pPr>
      <w:r>
        <w:rPr>
          <w:rFonts w:ascii="Arial" w:cs="Arial" w:eastAsia="Arial" w:hAnsi="Arial"/>
          <w:sz w:val="18"/>
          <w:szCs w:val="18"/>
          <w:color w:val="auto"/>
        </w:rPr>
        <w:t>the potential adverse impact of climate change, natural disasters, health epidemics, including the COVID-19 pandemic, and war or other armed conflict, including Russia's invasion of Ukraine, on our business, operations, and the markets and communities in which we and our customers and partners operate;</w:t>
      </w:r>
    </w:p>
    <w:p>
      <w:pPr>
        <w:spacing w:after="0" w:line="68" w:lineRule="exact"/>
        <w:rPr>
          <w:rFonts w:ascii="Arial" w:cs="Arial" w:eastAsia="Arial" w:hAnsi="Arial"/>
          <w:sz w:val="18"/>
          <w:szCs w:val="18"/>
          <w:color w:val="auto"/>
        </w:rPr>
      </w:pPr>
    </w:p>
    <w:p>
      <w:pPr>
        <w:ind w:left="900" w:hanging="359"/>
        <w:spacing w:after="0"/>
        <w:tabs>
          <w:tab w:leader="none" w:pos="900" w:val="left"/>
        </w:tabs>
        <w:numPr>
          <w:ilvl w:val="0"/>
          <w:numId w:val="32"/>
        </w:numPr>
        <w:rPr>
          <w:rFonts w:ascii="Arial" w:cs="Arial" w:eastAsia="Arial" w:hAnsi="Arial"/>
          <w:sz w:val="18"/>
          <w:szCs w:val="18"/>
          <w:color w:val="auto"/>
        </w:rPr>
      </w:pPr>
      <w:r>
        <w:rPr>
          <w:rFonts w:ascii="Arial" w:cs="Arial" w:eastAsia="Arial" w:hAnsi="Arial"/>
          <w:sz w:val="18"/>
          <w:szCs w:val="18"/>
          <w:color w:val="auto"/>
        </w:rPr>
        <w:t>the impact of new accounting pronouncements;</w:t>
      </w:r>
    </w:p>
    <w:p>
      <w:pPr>
        <w:spacing w:after="0" w:line="116" w:lineRule="exact"/>
        <w:rPr>
          <w:rFonts w:ascii="Arial" w:cs="Arial" w:eastAsia="Arial" w:hAnsi="Arial"/>
          <w:sz w:val="18"/>
          <w:szCs w:val="18"/>
          <w:color w:val="auto"/>
        </w:rPr>
      </w:pPr>
    </w:p>
    <w:p>
      <w:pPr>
        <w:ind w:left="1020" w:right="80" w:hanging="479"/>
        <w:spacing w:after="0" w:line="247" w:lineRule="auto"/>
        <w:tabs>
          <w:tab w:leader="none" w:pos="894" w:val="left"/>
        </w:tabs>
        <w:numPr>
          <w:ilvl w:val="0"/>
          <w:numId w:val="32"/>
        </w:numPr>
        <w:rPr>
          <w:rFonts w:ascii="Arial" w:cs="Arial" w:eastAsia="Arial" w:hAnsi="Arial"/>
          <w:sz w:val="18"/>
          <w:szCs w:val="18"/>
          <w:color w:val="auto"/>
        </w:rPr>
      </w:pPr>
      <w:r>
        <w:rPr>
          <w:rFonts w:ascii="Arial" w:cs="Arial" w:eastAsia="Arial" w:hAnsi="Arial"/>
          <w:sz w:val="18"/>
          <w:szCs w:val="18"/>
          <w:color w:val="auto"/>
        </w:rPr>
        <w:t>changes in regulatory or legal environments that may cause us to incur, among other things, expenses associated with compliance, particularly with respect to compliance with evolving privacy and data protection laws and regulations, as well as export control, economic and trade sanctions, anti-corruption, and anti-money laundering laws;</w:t>
      </w:r>
    </w:p>
    <w:p>
      <w:pPr>
        <w:spacing w:after="0" w:line="89" w:lineRule="exact"/>
        <w:rPr>
          <w:rFonts w:ascii="Arial" w:cs="Arial" w:eastAsia="Arial" w:hAnsi="Arial"/>
          <w:sz w:val="18"/>
          <w:szCs w:val="18"/>
          <w:color w:val="auto"/>
        </w:rPr>
      </w:pPr>
    </w:p>
    <w:p>
      <w:pPr>
        <w:ind w:left="1020" w:right="620" w:hanging="479"/>
        <w:spacing w:after="0" w:line="290" w:lineRule="auto"/>
        <w:tabs>
          <w:tab w:leader="none" w:pos="894" w:val="left"/>
        </w:tabs>
        <w:numPr>
          <w:ilvl w:val="0"/>
          <w:numId w:val="32"/>
        </w:numPr>
        <w:rPr>
          <w:rFonts w:ascii="Arial" w:cs="Arial" w:eastAsia="Arial" w:hAnsi="Arial"/>
          <w:sz w:val="17"/>
          <w:szCs w:val="17"/>
          <w:color w:val="auto"/>
        </w:rPr>
      </w:pPr>
      <w:r>
        <w:rPr>
          <w:rFonts w:ascii="Arial" w:cs="Arial" w:eastAsia="Arial" w:hAnsi="Arial"/>
          <w:sz w:val="17"/>
          <w:szCs w:val="17"/>
          <w:color w:val="auto"/>
        </w:rPr>
        <w:t>the overall tax rate for our business, which may be affected by the mix of income we earn in the United States and in jurisdictions with comparatively lower tax rates, the effects of stock-based compensation, and the effects of changes in our business;</w:t>
      </w:r>
    </w:p>
    <w:p>
      <w:pPr>
        <w:spacing w:after="0" w:line="40" w:lineRule="exact"/>
        <w:rPr>
          <w:rFonts w:ascii="Arial" w:cs="Arial" w:eastAsia="Arial" w:hAnsi="Arial"/>
          <w:sz w:val="17"/>
          <w:szCs w:val="17"/>
          <w:color w:val="auto"/>
        </w:rPr>
      </w:pPr>
    </w:p>
    <w:p>
      <w:pPr>
        <w:ind w:left="1020" w:hanging="479"/>
        <w:spacing w:after="0" w:line="277" w:lineRule="auto"/>
        <w:tabs>
          <w:tab w:leader="none" w:pos="894" w:val="left"/>
        </w:tabs>
        <w:numPr>
          <w:ilvl w:val="0"/>
          <w:numId w:val="32"/>
        </w:numPr>
        <w:rPr>
          <w:rFonts w:ascii="Arial" w:cs="Arial" w:eastAsia="Arial" w:hAnsi="Arial"/>
          <w:sz w:val="18"/>
          <w:szCs w:val="18"/>
          <w:color w:val="auto"/>
        </w:rPr>
      </w:pPr>
      <w:r>
        <w:rPr>
          <w:rFonts w:ascii="Arial" w:cs="Arial" w:eastAsia="Arial" w:hAnsi="Arial"/>
          <w:sz w:val="18"/>
          <w:szCs w:val="18"/>
          <w:color w:val="auto"/>
        </w:rPr>
        <w:t>the impact of changes in tax laws or judicial or regulatory interpretations of tax laws, which are recorded in the period such laws are enacted or interpretations are issued and may significantly affect the effective tax rate of that period;</w:t>
      </w:r>
    </w:p>
    <w:p>
      <w:pPr>
        <w:spacing w:after="0" w:line="48" w:lineRule="exact"/>
        <w:rPr>
          <w:rFonts w:ascii="Arial" w:cs="Arial" w:eastAsia="Arial" w:hAnsi="Arial"/>
          <w:sz w:val="18"/>
          <w:szCs w:val="18"/>
          <w:color w:val="auto"/>
        </w:rPr>
      </w:pPr>
    </w:p>
    <w:p>
      <w:pPr>
        <w:ind w:left="900" w:hanging="359"/>
        <w:spacing w:after="0"/>
        <w:tabs>
          <w:tab w:leader="none" w:pos="900" w:val="left"/>
        </w:tabs>
        <w:numPr>
          <w:ilvl w:val="0"/>
          <w:numId w:val="32"/>
        </w:numPr>
        <w:rPr>
          <w:rFonts w:ascii="Arial" w:cs="Arial" w:eastAsia="Arial" w:hAnsi="Arial"/>
          <w:sz w:val="17"/>
          <w:szCs w:val="17"/>
          <w:color w:val="auto"/>
        </w:rPr>
      </w:pPr>
      <w:r>
        <w:rPr>
          <w:rFonts w:ascii="Arial" w:cs="Arial" w:eastAsia="Arial" w:hAnsi="Arial"/>
          <w:sz w:val="17"/>
          <w:szCs w:val="17"/>
          <w:color w:val="auto"/>
        </w:rPr>
        <w:t>fluctuations in currency exchange rates and changes in the proportion of our revenue and expenses denominated in foreign currencies;</w:t>
      </w:r>
    </w:p>
    <w:p>
      <w:pPr>
        <w:spacing w:after="0" w:line="115"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44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61595</wp:posOffset>
            </wp:positionV>
            <wp:extent cx="7157720" cy="42545"/>
            <wp:wrapNone/>
            <wp:docPr id="276" name="Picture 2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6"/>
                    <pic:cNvPicPr>
                      <a:picLocks noChangeAspect="1" noChangeArrowheads="1"/>
                    </pic:cNvPicPr>
                  </pic:nvPicPr>
                  <pic:blipFill>
                    <a:blip r:embed="rId28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651" w:right="379" w:bottom="1440" w:gutter="0" w:footer="0" w:header="0"/>
        </w:sectPr>
      </w:pPr>
    </w:p>
    <w:bookmarkStart w:id="44" w:name="page45"/>
    <w:bookmarkEnd w:id="44"/>
    <w:p>
      <w:pPr>
        <w:ind w:left="900" w:hanging="359"/>
        <w:spacing w:after="0"/>
        <w:tabs>
          <w:tab w:leader="none" w:pos="900" w:val="left"/>
        </w:tabs>
        <w:numPr>
          <w:ilvl w:val="0"/>
          <w:numId w:val="33"/>
        </w:numPr>
        <w:rPr>
          <w:rFonts w:ascii="Arial" w:cs="Arial" w:eastAsia="Arial" w:hAnsi="Arial"/>
          <w:sz w:val="18"/>
          <w:szCs w:val="18"/>
          <w:color w:val="auto"/>
        </w:rPr>
      </w:pPr>
      <w:r>
        <w:rPr>
          <w:rFonts w:ascii="Arial" w:cs="Arial" w:eastAsia="Arial" w:hAnsi="Arial"/>
          <w:sz w:val="18"/>
          <w:szCs w:val="18"/>
          <w:color w:val="auto"/>
        </w:rPr>
        <w:t>changes in the competitive dynamics of our market, including consolidation among competitors or customers; and</w:t>
      </w:r>
    </w:p>
    <w:p>
      <w:pPr>
        <w:spacing w:after="0" w:line="116" w:lineRule="exact"/>
        <w:rPr>
          <w:rFonts w:ascii="Arial" w:cs="Arial" w:eastAsia="Arial" w:hAnsi="Arial"/>
          <w:sz w:val="18"/>
          <w:szCs w:val="18"/>
          <w:color w:val="auto"/>
        </w:rPr>
      </w:pPr>
    </w:p>
    <w:p>
      <w:pPr>
        <w:ind w:left="900" w:hanging="359"/>
        <w:spacing w:after="0"/>
        <w:tabs>
          <w:tab w:leader="none" w:pos="900" w:val="left"/>
        </w:tabs>
        <w:numPr>
          <w:ilvl w:val="0"/>
          <w:numId w:val="33"/>
        </w:numPr>
        <w:rPr>
          <w:rFonts w:ascii="Arial" w:cs="Arial" w:eastAsia="Arial" w:hAnsi="Arial"/>
          <w:sz w:val="18"/>
          <w:szCs w:val="18"/>
          <w:color w:val="auto"/>
        </w:rPr>
      </w:pPr>
      <w:r>
        <w:rPr>
          <w:rFonts w:ascii="Arial" w:cs="Arial" w:eastAsia="Arial" w:hAnsi="Arial"/>
          <w:sz w:val="18"/>
          <w:szCs w:val="18"/>
          <w:color w:val="auto"/>
        </w:rPr>
        <w:t>significant security breaches of, technical difficulties with, or interruptions to, the delivery and use of our platform.</w:t>
      </w:r>
    </w:p>
    <w:p>
      <w:pPr>
        <w:spacing w:after="0" w:line="211" w:lineRule="exact"/>
        <w:rPr>
          <w:sz w:val="20"/>
          <w:szCs w:val="20"/>
          <w:color w:val="auto"/>
        </w:rPr>
      </w:pPr>
    </w:p>
    <w:p>
      <w:pPr>
        <w:ind w:right="380" w:firstLine="509"/>
        <w:spacing w:after="0" w:line="277" w:lineRule="auto"/>
        <w:rPr>
          <w:sz w:val="20"/>
          <w:szCs w:val="20"/>
          <w:color w:val="auto"/>
        </w:rPr>
      </w:pPr>
      <w:r>
        <w:rPr>
          <w:rFonts w:ascii="Arial" w:cs="Arial" w:eastAsia="Arial" w:hAnsi="Arial"/>
          <w:sz w:val="17"/>
          <w:szCs w:val="17"/>
          <w:color w:val="auto"/>
        </w:rPr>
        <w:t>Any of these and other factors, or the cumulative effect of some of these factors, may cause our results of operations to vary significantly. If our quarterly results of operations fall below the expectations of investors and securities analysts who follow our stock, the trading price of our Class A common stock could decline substantially, and we could face costly lawsuits, including securities class action litigation.</w:t>
      </w:r>
    </w:p>
    <w:p>
      <w:pPr>
        <w:spacing w:after="0" w:line="267" w:lineRule="exact"/>
        <w:rPr>
          <w:sz w:val="20"/>
          <w:szCs w:val="20"/>
          <w:color w:val="auto"/>
        </w:rPr>
      </w:pPr>
    </w:p>
    <w:p>
      <w:pPr>
        <w:ind w:right="600"/>
        <w:spacing w:after="0" w:line="261" w:lineRule="auto"/>
        <w:rPr>
          <w:sz w:val="20"/>
          <w:szCs w:val="20"/>
          <w:color w:val="auto"/>
        </w:rPr>
      </w:pPr>
      <w:r>
        <w:rPr>
          <w:rFonts w:ascii="Arial" w:cs="Arial" w:eastAsia="Arial" w:hAnsi="Arial"/>
          <w:sz w:val="18"/>
          <w:szCs w:val="18"/>
          <w:b w:val="1"/>
          <w:bCs w:val="1"/>
          <w:i w:val="1"/>
          <w:iCs w:val="1"/>
          <w:color w:val="auto"/>
        </w:rPr>
        <w:t>We expect to continue to focus on sales to larger organizations and may become more dependent on those relationships, which may increase the variability of our sales cycle and our results of operations.</w:t>
      </w:r>
    </w:p>
    <w:p>
      <w:pPr>
        <w:spacing w:after="0" w:line="76" w:lineRule="exact"/>
        <w:rPr>
          <w:sz w:val="20"/>
          <w:szCs w:val="20"/>
          <w:color w:val="auto"/>
        </w:rPr>
      </w:pPr>
    </w:p>
    <w:p>
      <w:pPr>
        <w:ind w:right="40" w:firstLine="509"/>
        <w:spacing w:after="0" w:line="243" w:lineRule="auto"/>
        <w:rPr>
          <w:sz w:val="20"/>
          <w:szCs w:val="20"/>
          <w:color w:val="auto"/>
        </w:rPr>
      </w:pPr>
      <w:r>
        <w:rPr>
          <w:rFonts w:ascii="Arial" w:cs="Arial" w:eastAsia="Arial" w:hAnsi="Arial"/>
          <w:sz w:val="18"/>
          <w:szCs w:val="18"/>
          <w:color w:val="auto"/>
        </w:rPr>
        <w:t>As we continue to focus on, and may become more dependent on, sales to larger organizations, we expect our sales cycle to lengthen and become less predictable. We plan our expenses based on certain assumptions about the length and variability of our sales cycle. These assumptions are based upon historical trends for sales cycles and conversion rates associated with our existing customers. Any shift in our sales cycle may adversely affect our financial results. Factors that may influence the length and variability of our sales cycle include:</w:t>
      </w:r>
    </w:p>
    <w:p>
      <w:pPr>
        <w:spacing w:after="0" w:line="92" w:lineRule="exact"/>
        <w:rPr>
          <w:sz w:val="20"/>
          <w:szCs w:val="20"/>
          <w:color w:val="auto"/>
        </w:rPr>
      </w:pPr>
    </w:p>
    <w:p>
      <w:pPr>
        <w:ind w:left="900" w:hanging="359"/>
        <w:spacing w:after="0"/>
        <w:tabs>
          <w:tab w:leader="none" w:pos="900" w:val="left"/>
        </w:tabs>
        <w:numPr>
          <w:ilvl w:val="0"/>
          <w:numId w:val="34"/>
        </w:numPr>
        <w:rPr>
          <w:rFonts w:ascii="Arial" w:cs="Arial" w:eastAsia="Arial" w:hAnsi="Arial"/>
          <w:sz w:val="18"/>
          <w:szCs w:val="18"/>
          <w:color w:val="auto"/>
        </w:rPr>
      </w:pPr>
      <w:r>
        <w:rPr>
          <w:rFonts w:ascii="Arial" w:cs="Arial" w:eastAsia="Arial" w:hAnsi="Arial"/>
          <w:sz w:val="18"/>
          <w:szCs w:val="18"/>
          <w:color w:val="auto"/>
        </w:rPr>
        <w:t>the need to educate prospective customers about the uses and benefits of our Digital Analytics Platform;</w:t>
      </w:r>
    </w:p>
    <w:p>
      <w:pPr>
        <w:spacing w:after="0" w:line="103" w:lineRule="exact"/>
        <w:rPr>
          <w:rFonts w:ascii="Arial" w:cs="Arial" w:eastAsia="Arial" w:hAnsi="Arial"/>
          <w:sz w:val="18"/>
          <w:szCs w:val="18"/>
          <w:color w:val="auto"/>
        </w:rPr>
      </w:pPr>
    </w:p>
    <w:p>
      <w:pPr>
        <w:ind w:left="900" w:hanging="359"/>
        <w:spacing w:after="0"/>
        <w:tabs>
          <w:tab w:leader="none" w:pos="900" w:val="left"/>
        </w:tabs>
        <w:numPr>
          <w:ilvl w:val="0"/>
          <w:numId w:val="34"/>
        </w:numPr>
        <w:rPr>
          <w:rFonts w:ascii="Arial" w:cs="Arial" w:eastAsia="Arial" w:hAnsi="Arial"/>
          <w:sz w:val="18"/>
          <w:szCs w:val="18"/>
          <w:color w:val="auto"/>
        </w:rPr>
      </w:pPr>
      <w:r>
        <w:rPr>
          <w:rFonts w:ascii="Arial" w:cs="Arial" w:eastAsia="Arial" w:hAnsi="Arial"/>
          <w:sz w:val="18"/>
          <w:szCs w:val="18"/>
          <w:color w:val="auto"/>
        </w:rPr>
        <w:t>the discretionary nature of purchasing and budget cycles and decisions;</w:t>
      </w:r>
    </w:p>
    <w:p>
      <w:pPr>
        <w:spacing w:after="0" w:line="103" w:lineRule="exact"/>
        <w:rPr>
          <w:rFonts w:ascii="Arial" w:cs="Arial" w:eastAsia="Arial" w:hAnsi="Arial"/>
          <w:sz w:val="18"/>
          <w:szCs w:val="18"/>
          <w:color w:val="auto"/>
        </w:rPr>
      </w:pPr>
    </w:p>
    <w:p>
      <w:pPr>
        <w:ind w:left="900" w:hanging="359"/>
        <w:spacing w:after="0"/>
        <w:tabs>
          <w:tab w:leader="none" w:pos="900" w:val="left"/>
        </w:tabs>
        <w:numPr>
          <w:ilvl w:val="0"/>
          <w:numId w:val="34"/>
        </w:numPr>
        <w:rPr>
          <w:rFonts w:ascii="Arial" w:cs="Arial" w:eastAsia="Arial" w:hAnsi="Arial"/>
          <w:sz w:val="18"/>
          <w:szCs w:val="18"/>
          <w:color w:val="auto"/>
        </w:rPr>
      </w:pPr>
      <w:r>
        <w:rPr>
          <w:rFonts w:ascii="Arial" w:cs="Arial" w:eastAsia="Arial" w:hAnsi="Arial"/>
          <w:sz w:val="18"/>
          <w:szCs w:val="18"/>
          <w:color w:val="auto"/>
        </w:rPr>
        <w:t>the competitive nature of evaluation and purchasing processes;</w:t>
      </w:r>
    </w:p>
    <w:p>
      <w:pPr>
        <w:spacing w:after="0" w:line="116" w:lineRule="exact"/>
        <w:rPr>
          <w:rFonts w:ascii="Arial" w:cs="Arial" w:eastAsia="Arial" w:hAnsi="Arial"/>
          <w:sz w:val="18"/>
          <w:szCs w:val="18"/>
          <w:color w:val="auto"/>
        </w:rPr>
      </w:pPr>
    </w:p>
    <w:p>
      <w:pPr>
        <w:ind w:left="900" w:hanging="359"/>
        <w:spacing w:after="0"/>
        <w:tabs>
          <w:tab w:leader="none" w:pos="900" w:val="left"/>
        </w:tabs>
        <w:numPr>
          <w:ilvl w:val="0"/>
          <w:numId w:val="34"/>
        </w:numPr>
        <w:rPr>
          <w:rFonts w:ascii="Arial" w:cs="Arial" w:eastAsia="Arial" w:hAnsi="Arial"/>
          <w:sz w:val="18"/>
          <w:szCs w:val="18"/>
          <w:color w:val="auto"/>
        </w:rPr>
      </w:pPr>
      <w:r>
        <w:rPr>
          <w:rFonts w:ascii="Arial" w:cs="Arial" w:eastAsia="Arial" w:hAnsi="Arial"/>
          <w:sz w:val="18"/>
          <w:szCs w:val="18"/>
          <w:color w:val="auto"/>
        </w:rPr>
        <w:t>evolving functionality demands;</w:t>
      </w:r>
    </w:p>
    <w:p>
      <w:pPr>
        <w:spacing w:after="0" w:line="103" w:lineRule="exact"/>
        <w:rPr>
          <w:rFonts w:ascii="Arial" w:cs="Arial" w:eastAsia="Arial" w:hAnsi="Arial"/>
          <w:sz w:val="18"/>
          <w:szCs w:val="18"/>
          <w:color w:val="auto"/>
        </w:rPr>
      </w:pPr>
    </w:p>
    <w:p>
      <w:pPr>
        <w:ind w:left="900" w:hanging="359"/>
        <w:spacing w:after="0"/>
        <w:tabs>
          <w:tab w:leader="none" w:pos="900" w:val="left"/>
        </w:tabs>
        <w:numPr>
          <w:ilvl w:val="0"/>
          <w:numId w:val="34"/>
        </w:numPr>
        <w:rPr>
          <w:rFonts w:ascii="Arial" w:cs="Arial" w:eastAsia="Arial" w:hAnsi="Arial"/>
          <w:sz w:val="18"/>
          <w:szCs w:val="18"/>
          <w:color w:val="auto"/>
        </w:rPr>
      </w:pPr>
      <w:r>
        <w:rPr>
          <w:rFonts w:ascii="Arial" w:cs="Arial" w:eastAsia="Arial" w:hAnsi="Arial"/>
          <w:sz w:val="18"/>
          <w:szCs w:val="18"/>
          <w:color w:val="auto"/>
        </w:rPr>
        <w:t>announcements or planned introductions of new products, features, or functionality by us or our competitors; and</w:t>
      </w:r>
    </w:p>
    <w:p>
      <w:pPr>
        <w:spacing w:after="0" w:line="103" w:lineRule="exact"/>
        <w:rPr>
          <w:rFonts w:ascii="Arial" w:cs="Arial" w:eastAsia="Arial" w:hAnsi="Arial"/>
          <w:sz w:val="18"/>
          <w:szCs w:val="18"/>
          <w:color w:val="auto"/>
        </w:rPr>
      </w:pPr>
    </w:p>
    <w:p>
      <w:pPr>
        <w:ind w:left="900" w:hanging="359"/>
        <w:spacing w:after="0"/>
        <w:tabs>
          <w:tab w:leader="none" w:pos="900" w:val="left"/>
        </w:tabs>
        <w:numPr>
          <w:ilvl w:val="0"/>
          <w:numId w:val="34"/>
        </w:numPr>
        <w:rPr>
          <w:rFonts w:ascii="Arial" w:cs="Arial" w:eastAsia="Arial" w:hAnsi="Arial"/>
          <w:sz w:val="18"/>
          <w:szCs w:val="18"/>
          <w:color w:val="auto"/>
        </w:rPr>
      </w:pPr>
      <w:r>
        <w:rPr>
          <w:rFonts w:ascii="Arial" w:cs="Arial" w:eastAsia="Arial" w:hAnsi="Arial"/>
          <w:sz w:val="18"/>
          <w:szCs w:val="18"/>
          <w:color w:val="auto"/>
        </w:rPr>
        <w:t>lengthy purchasing approval processes.</w:t>
      </w:r>
    </w:p>
    <w:p>
      <w:pPr>
        <w:spacing w:after="0" w:line="225" w:lineRule="exact"/>
        <w:rPr>
          <w:sz w:val="20"/>
          <w:szCs w:val="20"/>
          <w:color w:val="auto"/>
        </w:rPr>
      </w:pPr>
    </w:p>
    <w:p>
      <w:pPr>
        <w:ind w:firstLine="509"/>
        <w:spacing w:after="0" w:line="248" w:lineRule="auto"/>
        <w:rPr>
          <w:sz w:val="20"/>
          <w:szCs w:val="20"/>
          <w:color w:val="auto"/>
        </w:rPr>
      </w:pPr>
      <w:r>
        <w:rPr>
          <w:rFonts w:ascii="Arial" w:cs="Arial" w:eastAsia="Arial" w:hAnsi="Arial"/>
          <w:sz w:val="18"/>
          <w:szCs w:val="18"/>
          <w:color w:val="auto"/>
        </w:rPr>
        <w:t>Our increasing dependence on sales to larger organizations may increase the variability of our financial results. If we are unable to close one or more expected significant transactions with these customers in a particular period, or if an expected transaction is delayed until a subsequent period, our results of operations for that period, and for any future periods in which revenue from such transaction would otherwise have been recognized, may be adversely affected.</w:t>
      </w:r>
    </w:p>
    <w:p>
      <w:pPr>
        <w:spacing w:after="0" w:line="291" w:lineRule="exact"/>
        <w:rPr>
          <w:sz w:val="20"/>
          <w:szCs w:val="20"/>
          <w:color w:val="auto"/>
        </w:rPr>
      </w:pPr>
    </w:p>
    <w:p>
      <w:pPr>
        <w:ind w:right="220"/>
        <w:spacing w:after="0" w:line="261" w:lineRule="auto"/>
        <w:rPr>
          <w:sz w:val="20"/>
          <w:szCs w:val="20"/>
          <w:color w:val="auto"/>
        </w:rPr>
      </w:pPr>
      <w:r>
        <w:rPr>
          <w:rFonts w:ascii="Arial" w:cs="Arial" w:eastAsia="Arial" w:hAnsi="Arial"/>
          <w:sz w:val="18"/>
          <w:szCs w:val="18"/>
          <w:b w:val="1"/>
          <w:bCs w:val="1"/>
          <w:i w:val="1"/>
          <w:iCs w:val="1"/>
          <w:color w:val="auto"/>
        </w:rPr>
        <w:t>We recognize revenue over the term of our customer contracts. Consequently, downturns or upturns in new sales may not be immediately reflected in our results of operations and may be difficult to discern.</w:t>
      </w:r>
    </w:p>
    <w:p>
      <w:pPr>
        <w:spacing w:after="0" w:line="76" w:lineRule="exact"/>
        <w:rPr>
          <w:sz w:val="20"/>
          <w:szCs w:val="20"/>
          <w:color w:val="auto"/>
        </w:rPr>
      </w:pPr>
    </w:p>
    <w:p>
      <w:pPr>
        <w:ind w:right="40" w:firstLine="509"/>
        <w:spacing w:after="0" w:line="274" w:lineRule="auto"/>
        <w:rPr>
          <w:sz w:val="20"/>
          <w:szCs w:val="20"/>
          <w:color w:val="auto"/>
        </w:rPr>
      </w:pPr>
      <w:r>
        <w:rPr>
          <w:rFonts w:ascii="Arial" w:cs="Arial" w:eastAsia="Arial" w:hAnsi="Arial"/>
          <w:sz w:val="16"/>
          <w:szCs w:val="16"/>
          <w:color w:val="auto"/>
        </w:rPr>
        <w:t>We generally recognize subscription revenue from customers ratably over the contracted period. As a result, a portion of the revenue we report in each quarter is derived from the recognition of deferred revenue relating to subscriptions entered into during previous quarters. Consequently, a decline in new or renewed subscriptions in a given quarter may have a small impact on our revenue results for that quarter. However, such a decline will negatively affect our revenue in future quarters. Accordingly, the effect of significant downturns in sales and market acceptance of our Digital Analytics Platform, including as a result of a general economic downturn, and potential changes in our pricing policies or rate of customer expansion or retention, may not be fully reflected in our results of operations until future periods. We may also be unable to reduce our cost structure in line with a significant deterioration in sales. In addition, a significant majority of our costs are expensed as incurred, while revenue is recognized over the contracted period of the agreement with our customer. As a result, increased growth in the number of our customers could continue to result in our recognition of more costs than revenue in the earlier periods of the terms of our customer agreements. Our subscription model also makes it difficult for us to rapidly increase our revenue through additional sales in any period, as revenue from new customers must be recognized over the applicable subscription term.</w:t>
      </w:r>
    </w:p>
    <w:p>
      <w:pPr>
        <w:spacing w:after="0" w:line="27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61595</wp:posOffset>
            </wp:positionV>
            <wp:extent cx="7157720" cy="42545"/>
            <wp:wrapNone/>
            <wp:docPr id="277" name="Picture 2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7"/>
                    <pic:cNvPicPr>
                      <a:picLocks noChangeAspect="1" noChangeArrowheads="1"/>
                    </pic:cNvPicPr>
                  </pic:nvPicPr>
                  <pic:blipFill>
                    <a:blip r:embed="rId28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435" w:right="339" w:bottom="1440" w:gutter="0" w:footer="0" w:header="0"/>
        </w:sectPr>
      </w:pPr>
    </w:p>
    <w:bookmarkStart w:id="45" w:name="page46"/>
    <w:bookmarkEnd w:id="45"/>
    <w:p>
      <w:pPr>
        <w:ind w:right="360"/>
        <w:spacing w:after="0" w:line="277" w:lineRule="auto"/>
        <w:rPr>
          <w:sz w:val="20"/>
          <w:szCs w:val="20"/>
          <w:color w:val="auto"/>
        </w:rPr>
      </w:pPr>
      <w:r>
        <w:rPr>
          <w:rFonts w:ascii="Arial" w:cs="Arial" w:eastAsia="Arial" w:hAnsi="Arial"/>
          <w:sz w:val="18"/>
          <w:szCs w:val="18"/>
          <w:b w:val="1"/>
          <w:bCs w:val="1"/>
          <w:i w:val="1"/>
          <w:iCs w:val="1"/>
          <w:color w:val="auto"/>
        </w:rPr>
        <w:t>Unfavorable conditions in our industry or the global economy, or reductions in software spending, could limit our ability to grow our business and materially adversely affect our business, financial condition, and results of operations.</w:t>
      </w:r>
    </w:p>
    <w:p>
      <w:pPr>
        <w:spacing w:after="0" w:line="48" w:lineRule="exact"/>
        <w:rPr>
          <w:sz w:val="20"/>
          <w:szCs w:val="20"/>
          <w:color w:val="auto"/>
        </w:rPr>
      </w:pPr>
    </w:p>
    <w:p>
      <w:pPr>
        <w:ind w:firstLine="509"/>
        <w:spacing w:after="0" w:line="272" w:lineRule="auto"/>
        <w:rPr>
          <w:sz w:val="20"/>
          <w:szCs w:val="20"/>
          <w:color w:val="auto"/>
        </w:rPr>
      </w:pPr>
      <w:r>
        <w:rPr>
          <w:rFonts w:ascii="Arial" w:cs="Arial" w:eastAsia="Arial" w:hAnsi="Arial"/>
          <w:sz w:val="16"/>
          <w:szCs w:val="16"/>
          <w:color w:val="auto"/>
        </w:rPr>
        <w:t>Our results of operations may vary based on the impact of changes in our industry or the global economy on us or our customers or potential customers. Our ability to grow our revenue and the profitability of our business depends, in part, on demand for software applications generally. Historically, during economic downturns there have been reductions in spending on software applications and services generally, as well as pressure for extended billing terms and other financial concessions. To the extent that economic conditions deteriorate in the United States or abroad, including as a result of inflationary pressures and the responses by central banking authorities to control such inflation, rising interest rates, debt and equity market fluctuations, diminished liquidity and credit availability, increased unemployment rates, decreased investor and consumer confidence, political turmoil, supply chain challenges, natural catastrophes and the effects of climate change, regional and global conflicts, and terrorist attacks on the United States, Europe, the Asia Pacific region, or elsewhere, our customers and prospective customers may go out of business or elect to decrease their budgets, which would limit our ability to grow our business and materially adversely affect our financial condition and results of operations. For example, historically high levels of inflation and rising interest rates in the United States have begun to affect businesses across many industries, including ours, by increasing the costs of labor, employee healthcare, components, and freight and shipping, which may further constrain our customers’ or prospective customers’ budgets. To the extent there is a sustained general economic downturn and our Digital Analytics Platform is perceived by customers or potential customers as costly, or too difficult to deploy or migrate to, our revenue may be disproportionately affected by delays or reductions in spending on software applications. In addition, our competitors, many of whom are larger and have greater financial resources than we do, may respond to challenging market conditions by lowering prices in an attempt to attract our customers or prospective customers, and they may be less dependent on key industry events to generate sales for their products. Further, macroeconomic uncertainty may result in an increased pace of consolidation in certain industries. If this were to occur, such consolidation may result in reduced overall spending on our services, particularly if our customers are acquired by organizations that do not use our services. We cannot predict the timing, strength, or duration of any economic slowdown, instability, or recovery, generally or within any particular industry. If the economic conditions of the general economy or markets in which we operate worsen from present levels, our business, financial condition, and results of operations could be adversely affected.</w:t>
      </w:r>
    </w:p>
    <w:p>
      <w:pPr>
        <w:spacing w:after="0" w:line="200" w:lineRule="exact"/>
        <w:rPr>
          <w:sz w:val="20"/>
          <w:szCs w:val="20"/>
          <w:color w:val="auto"/>
        </w:rPr>
      </w:pPr>
    </w:p>
    <w:p>
      <w:pPr>
        <w:spacing w:after="0" w:line="28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If the market for SaaS applications develops more slowly than we expect or declines, our business would be adversely affected.</w:t>
      </w:r>
    </w:p>
    <w:p>
      <w:pPr>
        <w:spacing w:after="0" w:line="117" w:lineRule="exact"/>
        <w:rPr>
          <w:sz w:val="20"/>
          <w:szCs w:val="20"/>
          <w:color w:val="auto"/>
        </w:rPr>
      </w:pPr>
    </w:p>
    <w:p>
      <w:pPr>
        <w:ind w:right="60" w:firstLine="509"/>
        <w:spacing w:after="0" w:line="256" w:lineRule="auto"/>
        <w:rPr>
          <w:sz w:val="20"/>
          <w:szCs w:val="20"/>
          <w:color w:val="auto"/>
        </w:rPr>
      </w:pPr>
      <w:r>
        <w:rPr>
          <w:rFonts w:ascii="Arial" w:cs="Arial" w:eastAsia="Arial" w:hAnsi="Arial"/>
          <w:sz w:val="17"/>
          <w:szCs w:val="17"/>
          <w:color w:val="auto"/>
        </w:rPr>
        <w:t>Our success will depend to a substantial extent on the widespread adoption of SaaS applications in general, and of SaaS applications that look to solve aspects of digital analytics. Many organizations have invested substantial personnel and financial resources to integrate traditional on-premise business software applications into their businesses, and therefore may be reluctant or unwilling to migrate to SaaS applications. It is difficult to predict customer adoption rates and demand for our Digital Analytics Platform, the future growth rate and size of the SaaS applications market, or the entry of competitive applications. The expansion of the SaaS applications market depends on a number of factors, including the cost, performance, and perceived value associated with SaaS, as well as the ability of SaaS providers to address data security and privacy concerns. Additionally, government agencies have adopted, or may adopt, laws and regulations, and companies have adopted and may adopt policies regarding the collection and use of personal information obtained from consumers and other individuals, or may seek to access information on our platform, either of which may reduce the overall demand for our Digital Analytics Platform. If we or other SaaS providers experience data security incidents, loss of customer data, disruptions in delivery, or other problems, the market for SaaS applications, including our Digital Analytics Platform, may be negatively affected. If SaaS applications do not continue to achieve market acceptance, or there is a reduction in demand for SaaS applications caused by a lack of customer acceptance, technological challenges, weakening economic conditions, data security or privacy concerns, governmental regulation, competing technologies and products, or decreases in spending on SaaS applications, it would result in decreased revenue and our business, financial condition, and results of operations would be materially adversely affected.</w:t>
      </w:r>
    </w:p>
    <w:p>
      <w:pPr>
        <w:spacing w:after="0" w:line="277"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46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278" name="Picture 2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8"/>
                    <pic:cNvPicPr>
                      <a:picLocks noChangeAspect="1" noChangeArrowheads="1"/>
                    </pic:cNvPicPr>
                  </pic:nvPicPr>
                  <pic:blipFill>
                    <a:blip r:embed="rId28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651" w:right="379" w:bottom="1440" w:gutter="0" w:footer="0" w:header="0"/>
        </w:sectPr>
      </w:pPr>
    </w:p>
    <w:bookmarkStart w:id="46" w:name="page47"/>
    <w:bookmarkEnd w:id="46"/>
    <w:p>
      <w:pPr>
        <w:ind w:right="120"/>
        <w:spacing w:after="0" w:line="277" w:lineRule="auto"/>
        <w:rPr>
          <w:sz w:val="20"/>
          <w:szCs w:val="20"/>
          <w:color w:val="auto"/>
        </w:rPr>
      </w:pPr>
      <w:r>
        <w:rPr>
          <w:rFonts w:ascii="Arial" w:cs="Arial" w:eastAsia="Arial" w:hAnsi="Arial"/>
          <w:sz w:val="18"/>
          <w:szCs w:val="18"/>
          <w:b w:val="1"/>
          <w:bCs w:val="1"/>
          <w:i w:val="1"/>
          <w:iCs w:val="1"/>
          <w:color w:val="auto"/>
        </w:rPr>
        <w:t>The market in which we operate is highly competitive, and if we do not compete effectively, our business, financial condition, and results of operations could be materially adversely affected.</w:t>
      </w:r>
    </w:p>
    <w:p>
      <w:pPr>
        <w:spacing w:after="0" w:line="48" w:lineRule="exact"/>
        <w:rPr>
          <w:sz w:val="20"/>
          <w:szCs w:val="20"/>
          <w:color w:val="auto"/>
        </w:rPr>
      </w:pPr>
    </w:p>
    <w:p>
      <w:pPr>
        <w:ind w:firstLine="509"/>
        <w:spacing w:after="0" w:line="255" w:lineRule="auto"/>
        <w:rPr>
          <w:sz w:val="20"/>
          <w:szCs w:val="20"/>
          <w:color w:val="auto"/>
        </w:rPr>
      </w:pPr>
      <w:r>
        <w:rPr>
          <w:rFonts w:ascii="Arial" w:cs="Arial" w:eastAsia="Arial" w:hAnsi="Arial"/>
          <w:sz w:val="18"/>
          <w:szCs w:val="18"/>
          <w:color w:val="auto"/>
        </w:rPr>
        <w:t>The market for applications that look to address digital analytics is fragmented, rapidly evolving, and highly competitive, with relatively low barriers to entry. As this market continues to mature and new technologies and competitors enter the market, we expect competition to intensify. We face competition from:</w:t>
      </w:r>
    </w:p>
    <w:p>
      <w:pPr>
        <w:spacing w:after="0" w:line="68" w:lineRule="exact"/>
        <w:rPr>
          <w:sz w:val="20"/>
          <w:szCs w:val="20"/>
          <w:color w:val="auto"/>
        </w:rPr>
      </w:pPr>
    </w:p>
    <w:p>
      <w:pPr>
        <w:ind w:left="1020" w:right="20" w:hanging="479"/>
        <w:spacing w:after="0" w:line="255" w:lineRule="auto"/>
        <w:tabs>
          <w:tab w:leader="none" w:pos="894" w:val="left"/>
        </w:tabs>
        <w:numPr>
          <w:ilvl w:val="0"/>
          <w:numId w:val="35"/>
        </w:numPr>
        <w:rPr>
          <w:rFonts w:ascii="Arial" w:cs="Arial" w:eastAsia="Arial" w:hAnsi="Arial"/>
          <w:sz w:val="18"/>
          <w:szCs w:val="18"/>
          <w:color w:val="auto"/>
        </w:rPr>
      </w:pPr>
      <w:r>
        <w:rPr>
          <w:rFonts w:ascii="Arial" w:cs="Arial" w:eastAsia="Arial" w:hAnsi="Arial"/>
          <w:sz w:val="18"/>
          <w:szCs w:val="18"/>
          <w:color w:val="auto"/>
        </w:rPr>
        <w:t>large companies that have greater name recognition, much longer operating histories, more established customers and commercial partners, and significantly greater resources than we do, such as larger sales forces and marketing budgets, broader distribution networks and global presence, and more mature intellectual property portfolios;</w:t>
      </w:r>
    </w:p>
    <w:p>
      <w:pPr>
        <w:spacing w:after="0" w:line="68" w:lineRule="exact"/>
        <w:rPr>
          <w:rFonts w:ascii="Arial" w:cs="Arial" w:eastAsia="Arial" w:hAnsi="Arial"/>
          <w:sz w:val="18"/>
          <w:szCs w:val="18"/>
          <w:color w:val="auto"/>
        </w:rPr>
      </w:pPr>
    </w:p>
    <w:p>
      <w:pPr>
        <w:ind w:left="900" w:hanging="359"/>
        <w:spacing w:after="0"/>
        <w:tabs>
          <w:tab w:leader="none" w:pos="900" w:val="left"/>
        </w:tabs>
        <w:numPr>
          <w:ilvl w:val="0"/>
          <w:numId w:val="35"/>
        </w:numPr>
        <w:rPr>
          <w:rFonts w:ascii="Arial" w:cs="Arial" w:eastAsia="Arial" w:hAnsi="Arial"/>
          <w:sz w:val="18"/>
          <w:szCs w:val="18"/>
          <w:color w:val="auto"/>
        </w:rPr>
      </w:pPr>
      <w:r>
        <w:rPr>
          <w:rFonts w:ascii="Arial" w:cs="Arial" w:eastAsia="Arial" w:hAnsi="Arial"/>
          <w:sz w:val="18"/>
          <w:szCs w:val="18"/>
          <w:color w:val="auto"/>
        </w:rPr>
        <w:t>in-house software systems;</w:t>
      </w:r>
    </w:p>
    <w:p>
      <w:pPr>
        <w:spacing w:after="0" w:line="103" w:lineRule="exact"/>
        <w:rPr>
          <w:rFonts w:ascii="Arial" w:cs="Arial" w:eastAsia="Arial" w:hAnsi="Arial"/>
          <w:sz w:val="18"/>
          <w:szCs w:val="18"/>
          <w:color w:val="auto"/>
        </w:rPr>
      </w:pPr>
    </w:p>
    <w:p>
      <w:pPr>
        <w:ind w:left="900" w:hanging="359"/>
        <w:spacing w:after="0"/>
        <w:tabs>
          <w:tab w:leader="none" w:pos="900" w:val="left"/>
        </w:tabs>
        <w:numPr>
          <w:ilvl w:val="0"/>
          <w:numId w:val="35"/>
        </w:numPr>
        <w:rPr>
          <w:rFonts w:ascii="Arial" w:cs="Arial" w:eastAsia="Arial" w:hAnsi="Arial"/>
          <w:sz w:val="18"/>
          <w:szCs w:val="18"/>
          <w:color w:val="auto"/>
        </w:rPr>
      </w:pPr>
      <w:r>
        <w:rPr>
          <w:rFonts w:ascii="Arial" w:cs="Arial" w:eastAsia="Arial" w:hAnsi="Arial"/>
          <w:sz w:val="18"/>
          <w:szCs w:val="18"/>
          <w:color w:val="auto"/>
        </w:rPr>
        <w:t>large integrated systems vendors;</w:t>
      </w:r>
    </w:p>
    <w:p>
      <w:pPr>
        <w:spacing w:after="0" w:line="103" w:lineRule="exact"/>
        <w:rPr>
          <w:rFonts w:ascii="Arial" w:cs="Arial" w:eastAsia="Arial" w:hAnsi="Arial"/>
          <w:sz w:val="18"/>
          <w:szCs w:val="18"/>
          <w:color w:val="auto"/>
        </w:rPr>
      </w:pPr>
    </w:p>
    <w:p>
      <w:pPr>
        <w:ind w:left="900" w:hanging="359"/>
        <w:spacing w:after="0"/>
        <w:tabs>
          <w:tab w:leader="none" w:pos="900" w:val="left"/>
        </w:tabs>
        <w:numPr>
          <w:ilvl w:val="0"/>
          <w:numId w:val="35"/>
        </w:numPr>
        <w:rPr>
          <w:rFonts w:ascii="Arial" w:cs="Arial" w:eastAsia="Arial" w:hAnsi="Arial"/>
          <w:sz w:val="18"/>
          <w:szCs w:val="18"/>
          <w:color w:val="auto"/>
        </w:rPr>
      </w:pPr>
      <w:r>
        <w:rPr>
          <w:rFonts w:ascii="Arial" w:cs="Arial" w:eastAsia="Arial" w:hAnsi="Arial"/>
          <w:sz w:val="18"/>
          <w:szCs w:val="18"/>
          <w:color w:val="auto"/>
        </w:rPr>
        <w:t>smaller companies offering alternative SaaS applications; and</w:t>
      </w:r>
    </w:p>
    <w:p>
      <w:pPr>
        <w:spacing w:after="0" w:line="116" w:lineRule="exact"/>
        <w:rPr>
          <w:rFonts w:ascii="Arial" w:cs="Arial" w:eastAsia="Arial" w:hAnsi="Arial"/>
          <w:sz w:val="18"/>
          <w:szCs w:val="18"/>
          <w:color w:val="auto"/>
        </w:rPr>
      </w:pPr>
    </w:p>
    <w:p>
      <w:pPr>
        <w:ind w:left="900" w:hanging="359"/>
        <w:spacing w:after="0"/>
        <w:tabs>
          <w:tab w:leader="none" w:pos="900" w:val="left"/>
        </w:tabs>
        <w:numPr>
          <w:ilvl w:val="0"/>
          <w:numId w:val="35"/>
        </w:numPr>
        <w:rPr>
          <w:rFonts w:ascii="Arial" w:cs="Arial" w:eastAsia="Arial" w:hAnsi="Arial"/>
          <w:sz w:val="18"/>
          <w:szCs w:val="18"/>
          <w:color w:val="auto"/>
        </w:rPr>
      </w:pPr>
      <w:r>
        <w:rPr>
          <w:rFonts w:ascii="Arial" w:cs="Arial" w:eastAsia="Arial" w:hAnsi="Arial"/>
          <w:sz w:val="18"/>
          <w:szCs w:val="18"/>
          <w:color w:val="auto"/>
        </w:rPr>
        <w:t>new or emerging entrants seeking to develop competing technologies.</w:t>
      </w:r>
    </w:p>
    <w:p>
      <w:pPr>
        <w:spacing w:after="0" w:line="211" w:lineRule="exact"/>
        <w:rPr>
          <w:sz w:val="20"/>
          <w:szCs w:val="20"/>
          <w:color w:val="auto"/>
        </w:rPr>
      </w:pPr>
    </w:p>
    <w:p>
      <w:pPr>
        <w:ind w:right="240" w:firstLine="509"/>
        <w:spacing w:after="0" w:line="289" w:lineRule="auto"/>
        <w:rPr>
          <w:sz w:val="20"/>
          <w:szCs w:val="20"/>
          <w:color w:val="auto"/>
        </w:rPr>
      </w:pPr>
      <w:r>
        <w:rPr>
          <w:rFonts w:ascii="Arial" w:cs="Arial" w:eastAsia="Arial" w:hAnsi="Arial"/>
          <w:sz w:val="16"/>
          <w:szCs w:val="16"/>
          <w:color w:val="auto"/>
        </w:rPr>
        <w:t>Our competitors may be able to respond more quickly and effectively than we can to new or changing opportunities, technologies, standards, or customer requirements. With the introduction of new technologies, the evolution of our Digital Analytics Platform, and new market entrants, we expect competition to intensify in the future. Pricing pressures and increased competition generally could result in reduced sales, reduced margins, losses, or the failure of our Digital Analytics Platform to achieve or maintain more widespread market acceptance, any of which could harm our business.</w:t>
      </w:r>
    </w:p>
    <w:p>
      <w:pPr>
        <w:spacing w:after="0" w:line="152" w:lineRule="exact"/>
        <w:rPr>
          <w:sz w:val="20"/>
          <w:szCs w:val="20"/>
          <w:color w:val="auto"/>
        </w:rPr>
      </w:pPr>
    </w:p>
    <w:p>
      <w:pPr>
        <w:ind w:right="60" w:firstLine="509"/>
        <w:spacing w:after="0" w:line="279" w:lineRule="auto"/>
        <w:rPr>
          <w:sz w:val="20"/>
          <w:szCs w:val="20"/>
          <w:color w:val="auto"/>
        </w:rPr>
      </w:pPr>
      <w:r>
        <w:rPr>
          <w:rFonts w:ascii="Arial" w:cs="Arial" w:eastAsia="Arial" w:hAnsi="Arial"/>
          <w:sz w:val="16"/>
          <w:szCs w:val="16"/>
          <w:color w:val="auto"/>
        </w:rPr>
        <w:t>Our competitors vary in size and in the breadth and scope of the products and services they offer. Further, other established SaaS providers not currently focused on digital analytics may expand their services to compete with us. Many of our current and potential competitors have established marketing relationships, access to larger customer bases, pre-existing customer relationships, and major distribution agreements with consultants, system integrators, and resellers. Certain of our competitors have partnered with, or have acquired, and may in the future partner with or acquire, other competitors to offer services, leveraging their collective competitive positions, which makes, or would make, it more difficult to compete with them. For all of these reasons, we may not be able to compete successfully against our current and future competitors, which would harm our business. For more information about the competitive landscape in which we operate, see “Business—Competition” in our 2021 Form 10-K.</w:t>
      </w:r>
    </w:p>
    <w:p>
      <w:pPr>
        <w:spacing w:after="0" w:line="283" w:lineRule="exact"/>
        <w:rPr>
          <w:sz w:val="20"/>
          <w:szCs w:val="20"/>
          <w:color w:val="auto"/>
        </w:rPr>
      </w:pPr>
    </w:p>
    <w:p>
      <w:pPr>
        <w:ind w:right="340"/>
        <w:spacing w:after="0" w:line="261" w:lineRule="auto"/>
        <w:rPr>
          <w:sz w:val="20"/>
          <w:szCs w:val="20"/>
          <w:color w:val="auto"/>
        </w:rPr>
      </w:pPr>
      <w:r>
        <w:rPr>
          <w:rFonts w:ascii="Arial" w:cs="Arial" w:eastAsia="Arial" w:hAnsi="Arial"/>
          <w:sz w:val="18"/>
          <w:szCs w:val="18"/>
          <w:b w:val="1"/>
          <w:bCs w:val="1"/>
          <w:i w:val="1"/>
          <w:iCs w:val="1"/>
          <w:color w:val="auto"/>
        </w:rPr>
        <w:t>If we fail to innovate in response to changing customer needs and technology developments and other market requirements, our business, financial condition, and results of operations would be materially adversely affected.</w:t>
      </w:r>
    </w:p>
    <w:p>
      <w:pPr>
        <w:spacing w:after="0" w:line="62" w:lineRule="exact"/>
        <w:rPr>
          <w:sz w:val="20"/>
          <w:szCs w:val="20"/>
          <w:color w:val="auto"/>
        </w:rPr>
      </w:pPr>
    </w:p>
    <w:p>
      <w:pPr>
        <w:ind w:right="60" w:firstLine="509"/>
        <w:spacing w:after="0" w:line="259" w:lineRule="auto"/>
        <w:rPr>
          <w:sz w:val="20"/>
          <w:szCs w:val="20"/>
          <w:color w:val="auto"/>
        </w:rPr>
      </w:pPr>
      <w:r>
        <w:rPr>
          <w:rFonts w:ascii="Arial" w:cs="Arial" w:eastAsia="Arial" w:hAnsi="Arial"/>
          <w:sz w:val="17"/>
          <w:szCs w:val="17"/>
          <w:color w:val="auto"/>
        </w:rPr>
        <w:t>Our ability to attract new customers and retain and increase revenue from existing customers depends in large part on our ability to enhance and improve our Digital Analytics Platform and to introduce new products, features, and functionality. In order to grow our business, we must develop products, features, and functionality that reflect the changing needs of customers, and we believe that the pace of innovation will continue to accelerate. The success of any enhancement to our Digital Analytics Platform depends on several factors, including timely completion, adequate quality testing, and market acceptance. Any new product, feature, or functionality that we develop may not be introduced in a timely or cost-effective manner, may contain defects, or may not achieve the market acceptance necessary to generate sufficient revenue. If we are unable to successfully develop new products, features or functionality, enhance our Digital Analytics Platform to meet customer requirements, or otherwise gain market acceptance, our business, financial condition, and results of operations could be materially adversely affected.</w:t>
      </w:r>
    </w:p>
    <w:p>
      <w:pPr>
        <w:spacing w:after="0" w:line="187" w:lineRule="exact"/>
        <w:rPr>
          <w:sz w:val="20"/>
          <w:szCs w:val="20"/>
          <w:color w:val="auto"/>
        </w:rPr>
      </w:pPr>
    </w:p>
    <w:p>
      <w:pPr>
        <w:ind w:right="40" w:firstLine="509"/>
        <w:spacing w:after="0" w:line="257" w:lineRule="auto"/>
        <w:rPr>
          <w:sz w:val="20"/>
          <w:szCs w:val="20"/>
          <w:color w:val="auto"/>
        </w:rPr>
      </w:pPr>
      <w:r>
        <w:rPr>
          <w:rFonts w:ascii="Arial" w:cs="Arial" w:eastAsia="Arial" w:hAnsi="Arial"/>
          <w:sz w:val="17"/>
          <w:szCs w:val="17"/>
          <w:color w:val="auto"/>
        </w:rPr>
        <w:t>Because our Digital Analytics Platform is available over the internet, we need to continuously modify and enhance it to keep pace with changes in internet-related hardware, software, analytics, and database technologies and standards. In addition, we need to continue to invest in technologies, services, and partnerships that increase the types of data processed on our platform and the ease with which customers can send data into our platform. We must also continue to enhance our data sharing and data exchange capabilities so customers can share their data with internal business units, customers, and other third parties. In addition, our platform requires third-party public cloud infrastructure to operate. We must continue to innovate to optimize our offerings for these and other public clouds that our customers require, particularly as we expand internationally. Further, the markets in which we compete are subject to evolving industry standards and regulations, resulting in increasing data governance and compliance requirements for us and our customers. To the extent we expand into the public sector and other highly regulated industries, our Digital Analytics Platform may need to address additional requirements specific to those industries.</w:t>
      </w:r>
    </w:p>
    <w:p>
      <w:pPr>
        <w:spacing w:after="0" w:line="179" w:lineRule="exact"/>
        <w:rPr>
          <w:sz w:val="20"/>
          <w:szCs w:val="20"/>
          <w:color w:val="auto"/>
        </w:rPr>
      </w:pPr>
    </w:p>
    <w:p>
      <w:pPr>
        <w:jc w:val="both"/>
        <w:ind w:right="120" w:firstLine="509"/>
        <w:spacing w:after="0" w:line="255" w:lineRule="auto"/>
        <w:rPr>
          <w:sz w:val="20"/>
          <w:szCs w:val="20"/>
          <w:color w:val="auto"/>
        </w:rPr>
      </w:pPr>
      <w:r>
        <w:rPr>
          <w:rFonts w:ascii="Arial" w:cs="Arial" w:eastAsia="Arial" w:hAnsi="Arial"/>
          <w:sz w:val="18"/>
          <w:szCs w:val="18"/>
          <w:color w:val="auto"/>
        </w:rPr>
        <w:t>If we are unable to enhance our Digital Analytics Platform to keep pace with these rapidly evolving customer requirements, or if new technologies emerge that are able to deliver competitive products at lower prices, more efficiently, more conveniently, or more securely than our platform, our business, financial condition, and results of operations would be materially adversely affected.</w:t>
      </w:r>
    </w:p>
    <w:p>
      <w:pPr>
        <w:spacing w:after="0" w:line="6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279" name="Picture 2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9"/>
                    <pic:cNvPicPr>
                      <a:picLocks noChangeAspect="1" noChangeArrowheads="1"/>
                    </pic:cNvPicPr>
                  </pic:nvPicPr>
                  <pic:blipFill>
                    <a:blip r:embed="rId28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651" w:right="339" w:bottom="1440" w:gutter="0" w:footer="0" w:header="0"/>
        </w:sectPr>
      </w:pPr>
    </w:p>
    <w:bookmarkStart w:id="47" w:name="page48"/>
    <w:bookmarkEnd w:id="47"/>
    <w:p>
      <w:pPr>
        <w:spacing w:after="0" w:line="277" w:lineRule="auto"/>
        <w:rPr>
          <w:sz w:val="20"/>
          <w:szCs w:val="20"/>
          <w:color w:val="auto"/>
        </w:rPr>
      </w:pPr>
      <w:r>
        <w:rPr>
          <w:rFonts w:ascii="Arial" w:cs="Arial" w:eastAsia="Arial" w:hAnsi="Arial"/>
          <w:sz w:val="18"/>
          <w:szCs w:val="18"/>
          <w:b w:val="1"/>
          <w:bCs w:val="1"/>
          <w:i w:val="1"/>
          <w:iCs w:val="1"/>
          <w:color w:val="auto"/>
        </w:rPr>
        <w:t>If we fail to effectively manage our growth and changes to our business over time, our business, financial condition, and results of operations would be materially adversely affected.</w:t>
      </w:r>
    </w:p>
    <w:p>
      <w:pPr>
        <w:spacing w:after="0" w:line="48" w:lineRule="exact"/>
        <w:rPr>
          <w:sz w:val="20"/>
          <w:szCs w:val="20"/>
          <w:color w:val="auto"/>
        </w:rPr>
      </w:pPr>
    </w:p>
    <w:p>
      <w:pPr>
        <w:ind w:firstLine="509"/>
        <w:spacing w:after="0" w:line="273" w:lineRule="auto"/>
        <w:rPr>
          <w:sz w:val="20"/>
          <w:szCs w:val="20"/>
          <w:color w:val="auto"/>
        </w:rPr>
      </w:pPr>
      <w:r>
        <w:rPr>
          <w:rFonts w:ascii="Arial" w:cs="Arial" w:eastAsia="Arial" w:hAnsi="Arial"/>
          <w:sz w:val="16"/>
          <w:szCs w:val="16"/>
          <w:color w:val="auto"/>
        </w:rPr>
        <w:t>We have experienced and expect to continue to experience rapid growth in our business, personnel, and operations, which has placed, and may continue to place, significant demands on our management and operational and financial resources. We intend to continue to invest to expand our business, personnel, and operations, which may cause our margins to decline, and any investments we make will occur in advance of experiencing the benefits from such investments, making it difficult to determine in a timely manner if we are efficiently allocating our resources. As usage of our Digital Analytics Platform grows, we will need to devote additional resources to improving our platform’s features and functionality, developing or acquiring new products, and maintaining infrastructure performance. Even if we are able to upgrade our systems and expand our personnel, any such expansion will be expensive and complex, requiring management’s time and attention. We could also face inefficiencies or operational failures as a result of our efforts to scale our infrastructure. Moreover, there are inherent risks associated with upgrading, improving, and expanding our information technology systems. We cannot be sure that the expansion and improvements to our infrastructure and systems will be fully or effectively implemented on a timely basis, if at all. In addition, we will need to appropriately scale our internal business systems and our services organization, including customer support, to serve our growing customer base, particularly as our customer demographics change over time. Managing these changes will require significant expenditures and allocation of valuable management resources. If we fail to successfully manage our anticipated growth and changes to our business, the quality of our products may suffer, which could negatively affect our brand and reputation and harm our ability to attract new customers and retain existing customers. As we continue to grow, we may need to implement more complex organizational management structures or adapt our corporate culture and work environments to changing circumstances, which could have an adverse impact on our corporate culture. Any failure to preserve our culture could harm our business, including our ability to retain and recruit personnel, innovate and operate effectively, and execute on our business strategy.</w:t>
      </w:r>
    </w:p>
    <w:p>
      <w:pPr>
        <w:spacing w:after="0" w:line="279" w:lineRule="exact"/>
        <w:rPr>
          <w:sz w:val="20"/>
          <w:szCs w:val="20"/>
          <w:color w:val="auto"/>
        </w:rPr>
      </w:pPr>
    </w:p>
    <w:p>
      <w:pPr>
        <w:ind w:right="340"/>
        <w:spacing w:after="0" w:line="290" w:lineRule="auto"/>
        <w:rPr>
          <w:sz w:val="20"/>
          <w:szCs w:val="20"/>
          <w:color w:val="auto"/>
        </w:rPr>
      </w:pPr>
      <w:r>
        <w:rPr>
          <w:rFonts w:ascii="Arial" w:cs="Arial" w:eastAsia="Arial" w:hAnsi="Arial"/>
          <w:sz w:val="17"/>
          <w:szCs w:val="17"/>
          <w:b w:val="1"/>
          <w:bCs w:val="1"/>
          <w:i w:val="1"/>
          <w:iCs w:val="1"/>
          <w:color w:val="auto"/>
        </w:rPr>
        <w:t>The COVID-19 pandemic or similar outbreaks could have an adverse impact on our business and operations, and the markets and communities in which we, our partners, and customers operate, and the impact of the pandemic is difficult to assess or predict.</w:t>
      </w:r>
    </w:p>
    <w:p>
      <w:pPr>
        <w:spacing w:after="0" w:line="53" w:lineRule="exact"/>
        <w:rPr>
          <w:sz w:val="20"/>
          <w:szCs w:val="20"/>
          <w:color w:val="auto"/>
        </w:rPr>
      </w:pPr>
    </w:p>
    <w:p>
      <w:pPr>
        <w:ind w:right="160" w:firstLine="509"/>
        <w:spacing w:after="0" w:line="261" w:lineRule="auto"/>
        <w:rPr>
          <w:sz w:val="20"/>
          <w:szCs w:val="20"/>
          <w:color w:val="auto"/>
        </w:rPr>
      </w:pPr>
      <w:r>
        <w:rPr>
          <w:rFonts w:ascii="Arial" w:cs="Arial" w:eastAsia="Arial" w:hAnsi="Arial"/>
          <w:sz w:val="18"/>
          <w:szCs w:val="18"/>
          <w:color w:val="auto"/>
        </w:rPr>
        <w:t>The continued impact and ultimate duration of the COVID-19 pandemic (including the Omicron variant and any new variants or mutant strains of the virus) on the global economy and our business are difficult to assess or predict. Actual and potential impacts include:</w:t>
      </w:r>
    </w:p>
    <w:p>
      <w:pPr>
        <w:spacing w:after="0" w:line="62" w:lineRule="exact"/>
        <w:rPr>
          <w:sz w:val="20"/>
          <w:szCs w:val="20"/>
          <w:color w:val="auto"/>
        </w:rPr>
      </w:pPr>
    </w:p>
    <w:p>
      <w:pPr>
        <w:ind w:left="1020" w:right="40" w:hanging="479"/>
        <w:spacing w:after="0" w:line="277" w:lineRule="auto"/>
        <w:tabs>
          <w:tab w:leader="none" w:pos="894" w:val="left"/>
        </w:tabs>
        <w:numPr>
          <w:ilvl w:val="0"/>
          <w:numId w:val="36"/>
        </w:numPr>
        <w:rPr>
          <w:rFonts w:ascii="Arial" w:cs="Arial" w:eastAsia="Arial" w:hAnsi="Arial"/>
          <w:sz w:val="18"/>
          <w:szCs w:val="18"/>
          <w:color w:val="auto"/>
        </w:rPr>
      </w:pPr>
      <w:r>
        <w:rPr>
          <w:rFonts w:ascii="Arial" w:cs="Arial" w:eastAsia="Arial" w:hAnsi="Arial"/>
          <w:sz w:val="18"/>
          <w:szCs w:val="18"/>
          <w:color w:val="auto"/>
        </w:rPr>
        <w:t>Our customers and prospective customers may experience slowdowns in their businesses which, in turn, may result in reduced demand for our Digital Analytics Platform, lengthening of sales cycles, loss of customers, and difficulties in collections.</w:t>
      </w:r>
    </w:p>
    <w:p>
      <w:pPr>
        <w:spacing w:after="0" w:line="48" w:lineRule="exact"/>
        <w:rPr>
          <w:rFonts w:ascii="Arial" w:cs="Arial" w:eastAsia="Arial" w:hAnsi="Arial"/>
          <w:sz w:val="18"/>
          <w:szCs w:val="18"/>
          <w:color w:val="auto"/>
        </w:rPr>
      </w:pPr>
    </w:p>
    <w:p>
      <w:pPr>
        <w:ind w:left="1020" w:right="140" w:hanging="479"/>
        <w:spacing w:after="0" w:line="261" w:lineRule="auto"/>
        <w:tabs>
          <w:tab w:leader="none" w:pos="894" w:val="left"/>
        </w:tabs>
        <w:numPr>
          <w:ilvl w:val="0"/>
          <w:numId w:val="36"/>
        </w:numPr>
        <w:rPr>
          <w:rFonts w:ascii="Arial" w:cs="Arial" w:eastAsia="Arial" w:hAnsi="Arial"/>
          <w:sz w:val="18"/>
          <w:szCs w:val="18"/>
          <w:color w:val="auto"/>
        </w:rPr>
      </w:pPr>
      <w:r>
        <w:rPr>
          <w:rFonts w:ascii="Arial" w:cs="Arial" w:eastAsia="Arial" w:hAnsi="Arial"/>
          <w:sz w:val="18"/>
          <w:szCs w:val="18"/>
          <w:color w:val="auto"/>
        </w:rPr>
        <w:t>Our employees are working from home significantly more frequently than they did historically prior to the COVID-19 pandemic, which may result in decreased employee productivity and morale with increased unwanted employee attrition.</w:t>
      </w:r>
    </w:p>
    <w:p>
      <w:pPr>
        <w:spacing w:after="0" w:line="62" w:lineRule="exact"/>
        <w:rPr>
          <w:rFonts w:ascii="Arial" w:cs="Arial" w:eastAsia="Arial" w:hAnsi="Arial"/>
          <w:sz w:val="18"/>
          <w:szCs w:val="18"/>
          <w:color w:val="auto"/>
        </w:rPr>
      </w:pPr>
    </w:p>
    <w:p>
      <w:pPr>
        <w:ind w:left="900" w:hanging="359"/>
        <w:spacing w:after="0"/>
        <w:tabs>
          <w:tab w:leader="none" w:pos="900" w:val="left"/>
        </w:tabs>
        <w:numPr>
          <w:ilvl w:val="0"/>
          <w:numId w:val="36"/>
        </w:numPr>
        <w:rPr>
          <w:rFonts w:ascii="Arial" w:cs="Arial" w:eastAsia="Arial" w:hAnsi="Arial"/>
          <w:sz w:val="18"/>
          <w:szCs w:val="18"/>
          <w:color w:val="auto"/>
        </w:rPr>
      </w:pPr>
      <w:r>
        <w:rPr>
          <w:rFonts w:ascii="Arial" w:cs="Arial" w:eastAsia="Arial" w:hAnsi="Arial"/>
          <w:sz w:val="18"/>
          <w:szCs w:val="18"/>
          <w:color w:val="auto"/>
        </w:rPr>
        <w:t>We continue to incur fixed costs, particularly for real estate, and are deriving reduced or no benefit from those costs.</w:t>
      </w:r>
    </w:p>
    <w:p>
      <w:pPr>
        <w:spacing w:after="0" w:line="116" w:lineRule="exact"/>
        <w:rPr>
          <w:rFonts w:ascii="Arial" w:cs="Arial" w:eastAsia="Arial" w:hAnsi="Arial"/>
          <w:sz w:val="18"/>
          <w:szCs w:val="18"/>
          <w:color w:val="auto"/>
        </w:rPr>
      </w:pPr>
    </w:p>
    <w:p>
      <w:pPr>
        <w:ind w:left="900" w:hanging="359"/>
        <w:spacing w:after="0"/>
        <w:tabs>
          <w:tab w:leader="none" w:pos="900" w:val="left"/>
        </w:tabs>
        <w:numPr>
          <w:ilvl w:val="0"/>
          <w:numId w:val="36"/>
        </w:numPr>
        <w:rPr>
          <w:rFonts w:ascii="Arial" w:cs="Arial" w:eastAsia="Arial" w:hAnsi="Arial"/>
          <w:sz w:val="18"/>
          <w:szCs w:val="18"/>
          <w:color w:val="auto"/>
        </w:rPr>
      </w:pPr>
      <w:r>
        <w:rPr>
          <w:rFonts w:ascii="Arial" w:cs="Arial" w:eastAsia="Arial" w:hAnsi="Arial"/>
          <w:sz w:val="18"/>
          <w:szCs w:val="18"/>
          <w:color w:val="auto"/>
        </w:rPr>
        <w:t>We may continue to experience disruptions to our growth planning, such as for facilities and international expansion.</w:t>
      </w:r>
    </w:p>
    <w:p>
      <w:pPr>
        <w:spacing w:after="0" w:line="103" w:lineRule="exact"/>
        <w:rPr>
          <w:rFonts w:ascii="Arial" w:cs="Arial" w:eastAsia="Arial" w:hAnsi="Arial"/>
          <w:sz w:val="18"/>
          <w:szCs w:val="18"/>
          <w:color w:val="auto"/>
        </w:rPr>
      </w:pPr>
    </w:p>
    <w:p>
      <w:pPr>
        <w:ind w:left="1020" w:right="60" w:hanging="479"/>
        <w:spacing w:after="0" w:line="261" w:lineRule="auto"/>
        <w:tabs>
          <w:tab w:leader="none" w:pos="894" w:val="left"/>
        </w:tabs>
        <w:numPr>
          <w:ilvl w:val="0"/>
          <w:numId w:val="36"/>
        </w:numPr>
        <w:rPr>
          <w:rFonts w:ascii="Arial" w:cs="Arial" w:eastAsia="Arial" w:hAnsi="Arial"/>
          <w:sz w:val="18"/>
          <w:szCs w:val="18"/>
          <w:color w:val="auto"/>
        </w:rPr>
      </w:pPr>
      <w:r>
        <w:rPr>
          <w:rFonts w:ascii="Arial" w:cs="Arial" w:eastAsia="Arial" w:hAnsi="Arial"/>
          <w:sz w:val="18"/>
          <w:szCs w:val="18"/>
          <w:color w:val="auto"/>
        </w:rPr>
        <w:t>We have incurred, and may continue to incur, costs associated with returning to work at our offices around the world, including changes to the workplace, such as space planning, food service, and amenities.</w:t>
      </w:r>
    </w:p>
    <w:p>
      <w:pPr>
        <w:spacing w:after="0" w:line="75" w:lineRule="exact"/>
        <w:rPr>
          <w:rFonts w:ascii="Arial" w:cs="Arial" w:eastAsia="Arial" w:hAnsi="Arial"/>
          <w:sz w:val="18"/>
          <w:szCs w:val="18"/>
          <w:color w:val="auto"/>
        </w:rPr>
      </w:pPr>
    </w:p>
    <w:p>
      <w:pPr>
        <w:ind w:left="900" w:hanging="359"/>
        <w:spacing w:after="0"/>
        <w:tabs>
          <w:tab w:leader="none" w:pos="900" w:val="left"/>
        </w:tabs>
        <w:numPr>
          <w:ilvl w:val="0"/>
          <w:numId w:val="36"/>
        </w:numPr>
        <w:rPr>
          <w:rFonts w:ascii="Arial" w:cs="Arial" w:eastAsia="Arial" w:hAnsi="Arial"/>
          <w:sz w:val="18"/>
          <w:szCs w:val="18"/>
          <w:color w:val="auto"/>
        </w:rPr>
      </w:pPr>
      <w:r>
        <w:rPr>
          <w:rFonts w:ascii="Arial" w:cs="Arial" w:eastAsia="Arial" w:hAnsi="Arial"/>
          <w:sz w:val="18"/>
          <w:szCs w:val="18"/>
          <w:color w:val="auto"/>
        </w:rPr>
        <w:t>We may be subject to legal liability for unsafe workplace claims.</w:t>
      </w:r>
    </w:p>
    <w:p>
      <w:pPr>
        <w:spacing w:after="0" w:line="103" w:lineRule="exact"/>
        <w:rPr>
          <w:rFonts w:ascii="Arial" w:cs="Arial" w:eastAsia="Arial" w:hAnsi="Arial"/>
          <w:sz w:val="18"/>
          <w:szCs w:val="18"/>
          <w:color w:val="auto"/>
        </w:rPr>
      </w:pPr>
    </w:p>
    <w:p>
      <w:pPr>
        <w:ind w:left="900" w:hanging="359"/>
        <w:spacing w:after="0"/>
        <w:tabs>
          <w:tab w:leader="none" w:pos="900" w:val="left"/>
        </w:tabs>
        <w:numPr>
          <w:ilvl w:val="0"/>
          <w:numId w:val="36"/>
        </w:numPr>
        <w:rPr>
          <w:rFonts w:ascii="Arial" w:cs="Arial" w:eastAsia="Arial" w:hAnsi="Arial"/>
          <w:sz w:val="18"/>
          <w:szCs w:val="18"/>
          <w:color w:val="auto"/>
        </w:rPr>
      </w:pPr>
      <w:r>
        <w:rPr>
          <w:rFonts w:ascii="Arial" w:cs="Arial" w:eastAsia="Arial" w:hAnsi="Arial"/>
          <w:sz w:val="18"/>
          <w:szCs w:val="18"/>
          <w:color w:val="auto"/>
        </w:rPr>
        <w:t>Our critical vendors could go out of business.</w:t>
      </w:r>
    </w:p>
    <w:p>
      <w:pPr>
        <w:spacing w:after="0" w:line="103" w:lineRule="exact"/>
        <w:rPr>
          <w:rFonts w:ascii="Arial" w:cs="Arial" w:eastAsia="Arial" w:hAnsi="Arial"/>
          <w:sz w:val="18"/>
          <w:szCs w:val="18"/>
          <w:color w:val="auto"/>
        </w:rPr>
      </w:pPr>
    </w:p>
    <w:p>
      <w:pPr>
        <w:ind w:left="1020" w:right="340" w:hanging="479"/>
        <w:spacing w:after="0" w:line="307" w:lineRule="auto"/>
        <w:tabs>
          <w:tab w:leader="none" w:pos="894" w:val="left"/>
        </w:tabs>
        <w:numPr>
          <w:ilvl w:val="0"/>
          <w:numId w:val="36"/>
        </w:numPr>
        <w:rPr>
          <w:rFonts w:ascii="Arial" w:cs="Arial" w:eastAsia="Arial" w:hAnsi="Arial"/>
          <w:sz w:val="17"/>
          <w:szCs w:val="17"/>
          <w:color w:val="auto"/>
        </w:rPr>
      </w:pPr>
      <w:r>
        <w:rPr>
          <w:rFonts w:ascii="Arial" w:cs="Arial" w:eastAsia="Arial" w:hAnsi="Arial"/>
          <w:sz w:val="17"/>
          <w:szCs w:val="17"/>
          <w:color w:val="auto"/>
        </w:rPr>
        <w:t>Our in-person marketing events, including customer user conferences, have been cancelled, and we may continue to experience prolonged delays in our ability to reschedule or conduct in-person marketing events and other sales and marketing activities.</w:t>
      </w:r>
    </w:p>
    <w:p>
      <w:pPr>
        <w:spacing w:after="0" w:line="25" w:lineRule="exact"/>
        <w:rPr>
          <w:rFonts w:ascii="Arial" w:cs="Arial" w:eastAsia="Arial" w:hAnsi="Arial"/>
          <w:sz w:val="17"/>
          <w:szCs w:val="17"/>
          <w:color w:val="auto"/>
        </w:rPr>
      </w:pPr>
    </w:p>
    <w:p>
      <w:pPr>
        <w:ind w:left="1020" w:right="260" w:hanging="479"/>
        <w:spacing w:after="0" w:line="255" w:lineRule="auto"/>
        <w:tabs>
          <w:tab w:leader="none" w:pos="894" w:val="left"/>
        </w:tabs>
        <w:numPr>
          <w:ilvl w:val="0"/>
          <w:numId w:val="36"/>
        </w:numPr>
        <w:rPr>
          <w:rFonts w:ascii="Arial" w:cs="Arial" w:eastAsia="Arial" w:hAnsi="Arial"/>
          <w:sz w:val="18"/>
          <w:szCs w:val="18"/>
          <w:color w:val="auto"/>
        </w:rPr>
      </w:pPr>
      <w:r>
        <w:rPr>
          <w:rFonts w:ascii="Arial" w:cs="Arial" w:eastAsia="Arial" w:hAnsi="Arial"/>
          <w:sz w:val="18"/>
          <w:szCs w:val="18"/>
          <w:color w:val="auto"/>
        </w:rPr>
        <w:t>We may be required to continue to conduct or from time to time return to conducting our business on a fully virtual basis, as opposed to the mix of virtual and in-person interactions with customers and partners that our marketing, sales, professional services, and support organizations were accustomed to prior to the COVID-19 pandemic.</w:t>
      </w:r>
    </w:p>
    <w:p>
      <w:pPr>
        <w:spacing w:after="0" w:line="176" w:lineRule="exact"/>
        <w:rPr>
          <w:sz w:val="20"/>
          <w:szCs w:val="20"/>
          <w:color w:val="auto"/>
        </w:rPr>
      </w:pPr>
    </w:p>
    <w:p>
      <w:pPr>
        <w:ind w:right="80" w:firstLine="509"/>
        <w:spacing w:after="0" w:line="260" w:lineRule="auto"/>
        <w:rPr>
          <w:sz w:val="20"/>
          <w:szCs w:val="20"/>
          <w:color w:val="auto"/>
        </w:rPr>
      </w:pPr>
      <w:r>
        <w:rPr>
          <w:rFonts w:ascii="Arial" w:cs="Arial" w:eastAsia="Arial" w:hAnsi="Arial"/>
          <w:sz w:val="17"/>
          <w:szCs w:val="17"/>
          <w:color w:val="auto"/>
        </w:rPr>
        <w:t>Overall, the COVID-19 pandemic largely resulted in favorable trends for our business, as customers were able to leverage the digital analytics of their products as sales increasingly shifted online. It can be difficult to predict customer demand, especially as customers’ priorities, resources, and economic outlooks change, along with other shifting market conditions. These shifts have occurred, and may in the future occur, more quickly than we anticipate. For example, as stay-at-home orders, travel restrictions, and other quarantine and isolation measures are lifted, the amount of time that consumers spend interacting with digital products may normalize or decline, which could slow customer demand for our Digital Analytics Platform. If we are unable to respond quickly to rapidly changing market conditions and shifts in customer behavior, our business and results of operations could be harmed, and the trading price of our Class A common stock could be adversely affected.</w:t>
      </w:r>
    </w:p>
    <w:p>
      <w:pPr>
        <w:spacing w:after="0" w:line="68"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48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61595</wp:posOffset>
            </wp:positionV>
            <wp:extent cx="7157720" cy="42545"/>
            <wp:wrapNone/>
            <wp:docPr id="280" name="Picture 2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0"/>
                    <pic:cNvPicPr>
                      <a:picLocks noChangeAspect="1" noChangeArrowheads="1"/>
                    </pic:cNvPicPr>
                  </pic:nvPicPr>
                  <pic:blipFill>
                    <a:blip r:embed="rId28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80"/>
          </w:cols>
          <w:pgMar w:left="320" w:top="651" w:right="399" w:bottom="1440" w:gutter="0" w:footer="0" w:header="0"/>
        </w:sectPr>
      </w:pPr>
    </w:p>
    <w:bookmarkStart w:id="48" w:name="page49"/>
    <w:bookmarkEnd w:id="48"/>
    <w:p>
      <w:pPr>
        <w:ind w:right="20" w:firstLine="509"/>
        <w:spacing w:after="0" w:line="256" w:lineRule="auto"/>
        <w:rPr>
          <w:sz w:val="20"/>
          <w:szCs w:val="20"/>
          <w:color w:val="auto"/>
        </w:rPr>
      </w:pPr>
      <w:r>
        <w:rPr>
          <w:rFonts w:ascii="Arial" w:cs="Arial" w:eastAsia="Arial" w:hAnsi="Arial"/>
          <w:sz w:val="17"/>
          <w:szCs w:val="17"/>
          <w:color w:val="auto"/>
        </w:rPr>
        <w:t>Although global economic conditions generally improved with the rollout of vaccines, business activity may not recover as quickly as anticipated, including as a result of inflationary pressures and the responses by central banking authorities to control such inflation, rising interest rates, debt and equity market fluctuations, diminished liquidity and credit availability, increased unemployment rates, decreased investor and consumer confidence, political turmoil, and supply chain challenges. Conditions may vary between countries and regions and will be subject to the effectiveness and duration of government policies, vaccine administration rates, and other factors that may not be foreseeable. Vaccines for COVID-19 continue to be administered in the United States and other countries around the world, but the extent and rate of vaccine adoption, the long-term efficacy of these vaccines, and other factors remain uncertain. We currently require employees in North America to be fully vaccinated to utilize our office space or attend in-person company events and have implemented other health and safety protocols, which have created, and may continue to create, additional risks and operational challenges and may require us to make additional investments in the design, implementation, and enforcement of new workplace health and safety protocols. Even if we follow what we believe to be best practices, our efforts to reopen our offices safely may not be successful and could expose our employees, partners, and customers to health risks, and us to associated liability. Furthermore, additional and/or extended governmental restrictions, new regulations, or other changing conditions could cause us to temporarily close certain of our offices. We have offered, and plan to continue to offer, a significant percentage of our employees flexibility to shift to a hybrid work arrangement, which may adversely impact the productivity of certain employees and harm our business, including our future results of operations. This may also present risks for our strategy and may present operational, cybersecurity, and workplace culture challenges that may materially adversely affect our business. It is not possible to predict with any certainty the impact that our current policies and protocols could have on our company, our workforce, and our operations. In addition, we cannot predict what policies we may determine to, or be required to, implement in the future, or the effect thereof on our business, including whether the imposition of certain policies could cause us to lose, or experience difficulties hiring, qualified personnel.</w:t>
      </w:r>
    </w:p>
    <w:p>
      <w:pPr>
        <w:spacing w:after="0" w:line="387" w:lineRule="exact"/>
        <w:rPr>
          <w:sz w:val="20"/>
          <w:szCs w:val="20"/>
          <w:color w:val="auto"/>
        </w:rPr>
      </w:pPr>
    </w:p>
    <w:p>
      <w:pPr>
        <w:ind w:right="120" w:firstLine="509"/>
        <w:spacing w:after="0" w:line="276" w:lineRule="auto"/>
        <w:rPr>
          <w:sz w:val="20"/>
          <w:szCs w:val="20"/>
          <w:color w:val="auto"/>
        </w:rPr>
      </w:pPr>
      <w:r>
        <w:rPr>
          <w:rFonts w:ascii="Arial" w:cs="Arial" w:eastAsia="Arial" w:hAnsi="Arial"/>
          <w:sz w:val="16"/>
          <w:szCs w:val="16"/>
          <w:color w:val="auto"/>
        </w:rPr>
        <w:t>Finally, the effects of the COVID-19 pandemic, or the easing of COVID-19-related restrictions, may also heighten other risks, including significant volatility in global markets and the trading price of our Class A common stock. The extent of the impact that COVID-19 could have on worldwide economic activity generally, and our business in particular, depends on future developments that cannot be accurately predicted at this time, such as the duration and spread of the COVID-19 pandemic, future waves of COVID-19 infections (including the spread of variants or mutant strains of the virus) resulting in additional preventive measures to contain or mitigate the spread of the virus, the extent and effectiveness of containment actions, the administration, adoption, and efficacy of vaccination programs, and the impact of these and other factors on our employees, customers, partners, and vendors. If we are not able to respond to and manage the impact of such events effectively, our business will be harmed. Moreover, to the extent the COVID-19 pandemic materially adversely affects our business, financial condition, and results of operations, it may also have the effect of heightening many of the other risks described in this “Risk Factors” section, including, but not limited to, those related to our ability to expand within our existing customer base, acquire new customers, develop and expand our sales and marketing capabilities, and expand internationally.</w:t>
      </w:r>
    </w:p>
    <w:p>
      <w:pPr>
        <w:spacing w:after="0" w:line="200" w:lineRule="exact"/>
        <w:rPr>
          <w:sz w:val="20"/>
          <w:szCs w:val="20"/>
          <w:color w:val="auto"/>
        </w:rPr>
      </w:pPr>
    </w:p>
    <w:p>
      <w:pPr>
        <w:spacing w:after="0" w:line="287" w:lineRule="exact"/>
        <w:rPr>
          <w:sz w:val="20"/>
          <w:szCs w:val="20"/>
          <w:color w:val="auto"/>
        </w:rPr>
      </w:pPr>
    </w:p>
    <w:p>
      <w:pPr>
        <w:ind w:right="40"/>
        <w:spacing w:after="0" w:line="247" w:lineRule="auto"/>
        <w:rPr>
          <w:sz w:val="20"/>
          <w:szCs w:val="20"/>
          <w:color w:val="auto"/>
        </w:rPr>
      </w:pPr>
      <w:r>
        <w:rPr>
          <w:rFonts w:ascii="Arial" w:cs="Arial" w:eastAsia="Arial" w:hAnsi="Arial"/>
          <w:sz w:val="18"/>
          <w:szCs w:val="18"/>
          <w:b w:val="1"/>
          <w:bCs w:val="1"/>
          <w:i w:val="1"/>
          <w:iCs w:val="1"/>
          <w:color w:val="auto"/>
        </w:rPr>
        <w:t>If our information technology systems are breached or there is otherwise unauthorized disclosure of or access to customer data, our data, or our platform, our platform may be perceived as insecure, we may lose customers or fail to attract new customers, our reputation and brand may be harmed, and we may incur significant liabilities.</w:t>
      </w:r>
    </w:p>
    <w:p>
      <w:pPr>
        <w:spacing w:after="0" w:line="89" w:lineRule="exact"/>
        <w:rPr>
          <w:sz w:val="20"/>
          <w:szCs w:val="20"/>
          <w:color w:val="auto"/>
        </w:rPr>
      </w:pPr>
    </w:p>
    <w:p>
      <w:pPr>
        <w:ind w:firstLine="509"/>
        <w:spacing w:after="0" w:line="257" w:lineRule="auto"/>
        <w:rPr>
          <w:sz w:val="20"/>
          <w:szCs w:val="20"/>
          <w:color w:val="auto"/>
        </w:rPr>
      </w:pPr>
      <w:r>
        <w:rPr>
          <w:rFonts w:ascii="Arial" w:cs="Arial" w:eastAsia="Arial" w:hAnsi="Arial"/>
          <w:sz w:val="17"/>
          <w:szCs w:val="17"/>
          <w:color w:val="auto"/>
        </w:rPr>
        <w:t>Our platform stores, transmits, and processes our customers’ proprietary data, including personal or identifying information of their customers or employees. Unauthorized disclosure of, access to, or security breaches of our platform could result in the loss of data, loss of business, severe reputational damage adversely affecting customer or investor confidence, damage to our brand, diversion of management’s attention, regulatory investigations and orders, litigation, indemnity obligations, damages for contract breach, penalties for violation of applicable laws or regulations, significant costs for remediation that may include liability for stolen assets or information and repair of system damage that may have been caused, incentives offered to customers or other business partners in an effort to maintain business relationships after a breach, and other liabilities. We have incurred, and expect to continue to incur, significant expenses to prevent security breaches, including deploying additional personnel and protection technologies, training employees, and engaging third-party experts and consultants. Even though we do not control the security measures of third parties who may have access to our customer data, our data, or our platform, we may be responsible for any breach of such measures or suffer reputational harm even where we do not have recourse to the third party that caused the breach. In addition, any failure by our vendors to comply with applicable law or regulations could result in proceedings against us by governmental entities or others.</w:t>
      </w:r>
    </w:p>
    <w:p>
      <w:pPr>
        <w:spacing w:after="0" w:line="27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281" name="Picture 2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1"/>
                    <pic:cNvPicPr>
                      <a:picLocks noChangeAspect="1" noChangeArrowheads="1"/>
                    </pic:cNvPicPr>
                  </pic:nvPicPr>
                  <pic:blipFill>
                    <a:blip r:embed="rId28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543" w:right="339" w:bottom="1440" w:gutter="0" w:footer="0" w:header="0"/>
        </w:sectPr>
      </w:pPr>
    </w:p>
    <w:bookmarkStart w:id="49" w:name="page50"/>
    <w:bookmarkEnd w:id="49"/>
    <w:p>
      <w:pPr>
        <w:ind w:firstLine="509"/>
        <w:spacing w:after="0" w:line="274" w:lineRule="auto"/>
        <w:rPr>
          <w:sz w:val="20"/>
          <w:szCs w:val="20"/>
          <w:color w:val="auto"/>
        </w:rPr>
      </w:pPr>
      <w:r>
        <w:rPr>
          <w:rFonts w:ascii="Arial" w:cs="Arial" w:eastAsia="Arial" w:hAnsi="Arial"/>
          <w:sz w:val="16"/>
          <w:szCs w:val="16"/>
          <w:color w:val="auto"/>
        </w:rPr>
        <w:t>Cyberattacks, denial-of-service attacks, ransomware attacks, business email compromises, computer malware, malicious code, viruses, and social engineering (including phishing) are prevalent in our industry and our customers’ industries. In addition, we may experience attacks, unavailable systems, unauthorized access to systems or data, or disclosure due to employee theft or misuse, denial-of-service attacks, sophisticated nation-state and nation-state-supported actors, and advanced persistent threat intrusions. Electronic security attacks designed to gain access to personal, sensitive, or confidential data are constantly evolving, and such attacks continue to grow in sophistication. The techniques used to sabotage, or to obtain unauthorized access to, our platform, information technology systems, networks, or physical facilities in which data is stored or through which data is transmitted change frequently, and we may be unable to implement adequate preventative measures or stop security breaches while they are occurring. We may also experience security breaches that may remain undetected for an extended period. Even if identified, we may be unable to adequately investigate or remediate incidents or breaches due to attackers increasingly using tools and techniques that are designed to circumvent controls, to avoid detection, and to remove or obfuscate forensic evidence. As a result of the COVID-19 pandemic, we may also face increased cybersecurity risks due to our reliance on internet technology and the number of our and our service providers’ employees who are, and may continue, working remotely, which may create additional opportunities for cybercriminals to exploit vulnerabilities. We have previously been, and may in the future become, the target of cyberattacks by third parties seeking unauthorized access to our or our customers’ data or to disrupt our operations or ability to provide our services.</w:t>
      </w:r>
    </w:p>
    <w:p>
      <w:pPr>
        <w:spacing w:after="0" w:line="168" w:lineRule="exact"/>
        <w:rPr>
          <w:sz w:val="20"/>
          <w:szCs w:val="20"/>
          <w:color w:val="auto"/>
        </w:rPr>
      </w:pPr>
    </w:p>
    <w:p>
      <w:pPr>
        <w:ind w:right="60" w:firstLine="509"/>
        <w:spacing w:after="0" w:line="275" w:lineRule="auto"/>
        <w:rPr>
          <w:sz w:val="20"/>
          <w:szCs w:val="20"/>
          <w:color w:val="auto"/>
        </w:rPr>
      </w:pPr>
      <w:r>
        <w:rPr>
          <w:rFonts w:ascii="Arial" w:cs="Arial" w:eastAsia="Arial" w:hAnsi="Arial"/>
          <w:sz w:val="16"/>
          <w:szCs w:val="16"/>
          <w:color w:val="auto"/>
        </w:rPr>
        <w:t>We and certain of our vendors are from time to time subject to cyberattacks and security incidents. While we do not believe that we have experienced any significant system failure, accident, or security breach to date, if such an event were to occur and cause interruptions in our operations, it could result in a material disruption of our business operations, whether due to a loss, corruption, or unauthorized disclosure of our trade secrets, personal information, or other proprietary or sensitive information or other similar disruptions. It could also expose us to risks, including an inability to provide our services and fulfill contractual demands, and could cause management distraction and the obligation to devote significant financial and other resources to mitigate such problems, which would increase our future information security costs, including through organizational changes, deploying additional personnel, reinforcing administrative, physical, and technical safeguards, further training of employees, changing third-party vendor control practices, and engaging third-party subject matter experts and consultants and reduce the demand for our technology and services. Because data security is a critical competitive factor in our industry, we make numerous statements in our customer contracts, privacy policies, terms of service, and marketing materials providing assurances about the security of our platform, including detailed descriptions of security measures we employ. Should any of these statements be untrue or become untrue, even in circumstances beyond our reasonable control, we may face claims of misrepresentation or deceptiveness by the U.S. Federal Trade Commission (the “FTC”), state, federal, and foreign regulators, and private litigants.</w:t>
      </w:r>
    </w:p>
    <w:p>
      <w:pPr>
        <w:spacing w:after="0" w:line="167" w:lineRule="exact"/>
        <w:rPr>
          <w:sz w:val="20"/>
          <w:szCs w:val="20"/>
          <w:color w:val="auto"/>
        </w:rPr>
      </w:pPr>
    </w:p>
    <w:p>
      <w:pPr>
        <w:ind w:firstLine="509"/>
        <w:spacing w:after="0" w:line="273" w:lineRule="auto"/>
        <w:rPr>
          <w:sz w:val="20"/>
          <w:szCs w:val="20"/>
          <w:color w:val="auto"/>
        </w:rPr>
      </w:pPr>
      <w:r>
        <w:rPr>
          <w:rFonts w:ascii="Arial" w:cs="Arial" w:eastAsia="Arial" w:hAnsi="Arial"/>
          <w:sz w:val="16"/>
          <w:szCs w:val="16"/>
          <w:color w:val="auto"/>
        </w:rPr>
        <w:t>Further, we have contractual and legal obligations to notify relevant stakeholders of security breaches. Most jurisdictions have enacted laws requiring companies to notify individuals, regulatory authorities, and others of security incidents or data breaches involving certain types of data. In addition, our agreements with certain customers may require us to notify them in the event of a security incident or data breach. Such mandatory disclosures are costly, could lead to negative publicity, may cause our customers to lose confidence in the effectiveness of our security measures, and require us to expend significant capital and other resources to respond to, or alleviate problems caused by, the actual or perceived security incident or data breach and otherwise comply with the multitude of foreign, federal, state, and local laws and regulations relating to the unauthorized access to, or use or disclosure of, personal information. Additionally, as a result of a breach or other security incident, we could be subject to demands, claims, and litigation by private parties and investigations, related actions, and penalties by regulatory authorities. Further, if we fail to detect or remediate a security breach in a timely manner, or a breach otherwise affects a large amount of data of one or more customers, or if we suffer a cyberattack that impacts our ability to operate our platform, we may suffer damage to our reputation and our brand, and our business, financial condition, and results of operations may be materially adversely affected. Further, although we maintain insurance coverage, our insurance coverage may not be adequate for data security breaches, indemnification obligations, or other liabilities. In addition, we cannot be sure that our existing insurance coverage and coverage for errors and omissions will continue to be available on acceptable terms or that our insurers will not deny coverage as to any future claim. Our risks are likely to increase as we continue to expand our platform, grow our customer base, and process, store, and transmit increasingly large amounts of proprietary and sensitive data.</w:t>
      </w:r>
    </w:p>
    <w:p>
      <w:pPr>
        <w:spacing w:after="0" w:line="27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50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61595</wp:posOffset>
            </wp:positionV>
            <wp:extent cx="7157720" cy="42545"/>
            <wp:wrapNone/>
            <wp:docPr id="282" name="Picture 2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2"/>
                    <pic:cNvPicPr>
                      <a:picLocks noChangeAspect="1" noChangeArrowheads="1"/>
                    </pic:cNvPicPr>
                  </pic:nvPicPr>
                  <pic:blipFill>
                    <a:blip r:embed="rId28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543" w:right="359" w:bottom="1440" w:gutter="0" w:footer="0" w:header="0"/>
        </w:sectPr>
      </w:pPr>
    </w:p>
    <w:bookmarkStart w:id="50" w:name="page51"/>
    <w:bookmarkEnd w:id="50"/>
    <w:p>
      <w:pPr>
        <w:ind w:right="440"/>
        <w:spacing w:after="0" w:line="341" w:lineRule="auto"/>
        <w:rPr>
          <w:sz w:val="20"/>
          <w:szCs w:val="20"/>
          <w:color w:val="auto"/>
        </w:rPr>
      </w:pPr>
      <w:r>
        <w:rPr>
          <w:rFonts w:ascii="Arial" w:cs="Arial" w:eastAsia="Arial" w:hAnsi="Arial"/>
          <w:sz w:val="16"/>
          <w:szCs w:val="16"/>
          <w:b w:val="1"/>
          <w:bCs w:val="1"/>
          <w:i w:val="1"/>
          <w:iCs w:val="1"/>
          <w:color w:val="auto"/>
        </w:rPr>
        <w:t>We could suffer disruptions, outages, defects, and other performance and quality problems with our platform or with the public cloud and internet infrastructure on which it relies, which may materially adversely affect our business, financial condition, and results of operations.</w:t>
      </w:r>
    </w:p>
    <w:p>
      <w:pPr>
        <w:spacing w:after="0" w:line="3" w:lineRule="exact"/>
        <w:rPr>
          <w:sz w:val="20"/>
          <w:szCs w:val="20"/>
          <w:color w:val="auto"/>
        </w:rPr>
      </w:pPr>
    </w:p>
    <w:p>
      <w:pPr>
        <w:ind w:firstLine="509"/>
        <w:spacing w:after="0" w:line="256" w:lineRule="auto"/>
        <w:rPr>
          <w:sz w:val="20"/>
          <w:szCs w:val="20"/>
          <w:color w:val="auto"/>
        </w:rPr>
      </w:pPr>
      <w:r>
        <w:rPr>
          <w:rFonts w:ascii="Arial" w:cs="Arial" w:eastAsia="Arial" w:hAnsi="Arial"/>
          <w:sz w:val="17"/>
          <w:szCs w:val="17"/>
          <w:color w:val="auto"/>
        </w:rPr>
        <w:t>Our business and continued growth depend in part on the ability of our customers and prospective customers to access our platform at any time and within an acceptable amount of time. Our agreements with customers typically provide for service-level commitments. If we are unable to meet these commitments or if we suffer unexcused periods of downtime for our platform, we may be contractually obligated to provide financial credits or extend the term of the subscription for the period of unexcused downtime, or our customers may be entitled to terminate their agreements and obtain a pro rata refund. We have in the past provided, and may in the future be required to provide, financial credits and pro rata refunds as a result of not being able to meet these commitments. We have experienced, and may in the future experience, disruptions, outages, defects, and other performance and quality problems with our platform. We have also experienced, and may in the future experience, disruptions, outages, defects, and other performance and quality problems with the public cloud and internet infrastructure on which our platform relies. These problems can be caused by a variety of factors, including infrastructure changes, introductions of new functionality, vulnerabilities and defects in proprietary and open-source software, human error or misconduct, capacity constraints due to an overwhelming number of users accessing our platform simultaneously, design limitations, or denial-of-service attacks or other security-related incidents. The performance and availability of the cloud computing infrastructure that we use to host our platform and many of the internal tools we use to operate our business is outside our control; therefore, we are not in full control of whether we meet the service-level commitments under our customer agreements. As a result, our business, financial condition, and results of operations could be materially adversely affected if we suffer unscheduled downtime that exceeds the service-level commitments we have made to our customers. Any extended service outages could materially adversely affect our business and reputation.</w:t>
      </w:r>
    </w:p>
    <w:p>
      <w:pPr>
        <w:spacing w:after="0" w:line="190" w:lineRule="exact"/>
        <w:rPr>
          <w:sz w:val="20"/>
          <w:szCs w:val="20"/>
          <w:color w:val="auto"/>
        </w:rPr>
      </w:pPr>
    </w:p>
    <w:p>
      <w:pPr>
        <w:ind w:right="140" w:firstLine="509"/>
        <w:spacing w:after="0" w:line="243" w:lineRule="auto"/>
        <w:rPr>
          <w:sz w:val="20"/>
          <w:szCs w:val="20"/>
          <w:color w:val="auto"/>
        </w:rPr>
      </w:pPr>
      <w:r>
        <w:rPr>
          <w:rFonts w:ascii="Arial" w:cs="Arial" w:eastAsia="Arial" w:hAnsi="Arial"/>
          <w:sz w:val="18"/>
          <w:szCs w:val="18"/>
          <w:color w:val="auto"/>
        </w:rPr>
        <w:t>Our Digital Analytics Platform is proprietary, and we rely on the expertise of members of our engineering, operations, product, and software development teams for its continued performance. It may become increasingly difficult and costly to maintain and improve the performance of our Digital Analytics Platform, especially during peak usage times and as our platform becomes more complex and our user traffic increases. To the extent that we do not effectively address capacity constraints, upgrade our systems as needed, and continually develop our technology and network architecture to accommodate actual and anticipated changes in technology, our business, financial condition, and results of operations may be materially adversely affected.</w:t>
      </w:r>
    </w:p>
    <w:p>
      <w:pPr>
        <w:spacing w:after="0" w:line="199" w:lineRule="exact"/>
        <w:rPr>
          <w:sz w:val="20"/>
          <w:szCs w:val="20"/>
          <w:color w:val="auto"/>
        </w:rPr>
      </w:pPr>
    </w:p>
    <w:p>
      <w:pPr>
        <w:ind w:right="60" w:firstLine="509"/>
        <w:spacing w:after="0" w:line="260" w:lineRule="auto"/>
        <w:rPr>
          <w:sz w:val="20"/>
          <w:szCs w:val="20"/>
          <w:color w:val="auto"/>
        </w:rPr>
      </w:pPr>
      <w:r>
        <w:rPr>
          <w:rFonts w:ascii="Arial" w:cs="Arial" w:eastAsia="Arial" w:hAnsi="Arial"/>
          <w:sz w:val="17"/>
          <w:szCs w:val="17"/>
          <w:color w:val="auto"/>
        </w:rPr>
        <w:t>We depend and rely on third-party hosted cloud services and internet infrastructure in order to operate critical functions of our business. For example, our platform and internal tools use computing, storage capabilities, bandwidth, and other services provided by AWS. If these services become unavailable due to extended outages, interruptions, or because they are no longer available on commercially reasonable terms, our expenses could increase, our ability to manage our business could be interrupted, and our processes for managing sales of and delivering our Digital Analytics Platform could be impaired until we are able to identify, obtain, and implement equivalent services, if we are able to do so at all. Any of these circumstances could materially adversely affect our business, financial condition, and results of operations.</w:t>
      </w:r>
    </w:p>
    <w:p>
      <w:pPr>
        <w:spacing w:after="0" w:line="172" w:lineRule="exact"/>
        <w:rPr>
          <w:sz w:val="20"/>
          <w:szCs w:val="20"/>
          <w:color w:val="auto"/>
        </w:rPr>
      </w:pPr>
    </w:p>
    <w:p>
      <w:pPr>
        <w:ind w:right="60" w:firstLine="509"/>
        <w:spacing w:after="0" w:line="248" w:lineRule="auto"/>
        <w:rPr>
          <w:sz w:val="20"/>
          <w:szCs w:val="20"/>
          <w:color w:val="auto"/>
        </w:rPr>
      </w:pPr>
      <w:r>
        <w:rPr>
          <w:rFonts w:ascii="Arial" w:cs="Arial" w:eastAsia="Arial" w:hAnsi="Arial"/>
          <w:sz w:val="18"/>
          <w:szCs w:val="18"/>
          <w:color w:val="auto"/>
        </w:rPr>
        <w:t>Any disruptions, outages, defects, and other performance and quality problems with our platform or with the public cloud and internet infrastructure on which it relies, or any material change in our contractual and other business relationships with any public cloud providers we contract with, could result in reduced use of our platform, increased expenses, including service credit obligations, and harm to our brand and reputation, any of which could have a material adverse effect on our business, financial condition, and results of operations.</w:t>
      </w:r>
    </w:p>
    <w:p>
      <w:pPr>
        <w:spacing w:after="0" w:line="30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Real or perceived errors, failures, or bugs in our platform could materially adversely affect our business and growth prospects.</w:t>
      </w:r>
    </w:p>
    <w:p>
      <w:pPr>
        <w:spacing w:after="0" w:line="103" w:lineRule="exact"/>
        <w:rPr>
          <w:sz w:val="20"/>
          <w:szCs w:val="20"/>
          <w:color w:val="auto"/>
        </w:rPr>
      </w:pPr>
    </w:p>
    <w:p>
      <w:pPr>
        <w:jc w:val="both"/>
        <w:ind w:right="240" w:firstLine="509"/>
        <w:spacing w:after="0" w:line="268" w:lineRule="auto"/>
        <w:rPr>
          <w:sz w:val="20"/>
          <w:szCs w:val="20"/>
          <w:color w:val="auto"/>
        </w:rPr>
      </w:pPr>
      <w:r>
        <w:rPr>
          <w:rFonts w:ascii="Arial" w:cs="Arial" w:eastAsia="Arial" w:hAnsi="Arial"/>
          <w:sz w:val="17"/>
          <w:szCs w:val="17"/>
          <w:color w:val="auto"/>
        </w:rPr>
        <w:t>Because our platform is complex, undetected errors, failures, vulnerabilities, or bugs may occur, especially when updates are deployed. We have discovered and expect we will continue to discover software errors, failures, vulnerabilities, and bugs in our platform and anticipate that certain of these errors, failures, vulnerabilities, and bugs will only be discovered and remediated after deployment to customers. Software errors, failures, vulnerabilities, and bugs in our platform could materially adversely affect our business and growth prospects.</w:t>
      </w:r>
    </w:p>
    <w:p>
      <w:pPr>
        <w:spacing w:after="0" w:line="27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51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61595</wp:posOffset>
            </wp:positionV>
            <wp:extent cx="7157720" cy="42545"/>
            <wp:wrapNone/>
            <wp:docPr id="283" name="Picture 2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3"/>
                    <pic:cNvPicPr>
                      <a:picLocks noChangeAspect="1" noChangeArrowheads="1"/>
                    </pic:cNvPicPr>
                  </pic:nvPicPr>
                  <pic:blipFill>
                    <a:blip r:embed="rId29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651" w:right="339" w:bottom="1440" w:gutter="0" w:footer="0" w:header="0"/>
        </w:sectPr>
      </w:pPr>
    </w:p>
    <w:bookmarkStart w:id="51" w:name="page52"/>
    <w:bookmarkEnd w:id="51"/>
    <w:p>
      <w:pPr>
        <w:ind w:right="40"/>
        <w:spacing w:after="0" w:line="277" w:lineRule="auto"/>
        <w:rPr>
          <w:sz w:val="20"/>
          <w:szCs w:val="20"/>
          <w:color w:val="auto"/>
        </w:rPr>
      </w:pPr>
      <w:r>
        <w:rPr>
          <w:rFonts w:ascii="Arial" w:cs="Arial" w:eastAsia="Arial" w:hAnsi="Arial"/>
          <w:sz w:val="18"/>
          <w:szCs w:val="18"/>
          <w:b w:val="1"/>
          <w:bCs w:val="1"/>
          <w:i w:val="1"/>
          <w:iCs w:val="1"/>
          <w:color w:val="auto"/>
        </w:rPr>
        <w:t>Any failure to offer high-quality product support may adversely affect our relationships with our customers, our reputation, and our business, financial condition, and results of operations.</w:t>
      </w:r>
    </w:p>
    <w:p>
      <w:pPr>
        <w:spacing w:after="0" w:line="48" w:lineRule="exact"/>
        <w:rPr>
          <w:sz w:val="20"/>
          <w:szCs w:val="20"/>
          <w:color w:val="auto"/>
        </w:rPr>
      </w:pPr>
    </w:p>
    <w:p>
      <w:pPr>
        <w:ind w:right="40" w:firstLine="509"/>
        <w:spacing w:after="0" w:line="242" w:lineRule="auto"/>
        <w:rPr>
          <w:sz w:val="20"/>
          <w:szCs w:val="20"/>
          <w:color w:val="auto"/>
        </w:rPr>
      </w:pPr>
      <w:r>
        <w:rPr>
          <w:rFonts w:ascii="Arial" w:cs="Arial" w:eastAsia="Arial" w:hAnsi="Arial"/>
          <w:sz w:val="18"/>
          <w:szCs w:val="18"/>
          <w:color w:val="auto"/>
        </w:rPr>
        <w:t>In using our Digital Analytics Platform, our customers depend on our product support team to resolve complex technical and operational issues. We may be unable to respond quickly enough to accommodate short-, medium-, and long-term increases in customer demand for product support. We also may be unable to modify the nature, scope, and delivery of our product support to compete with changes in product support services provided by our competitors. Increased customer demand for product support, without corresponding revenue, could increase costs and materially adversely affect our results of operations. Our sales are highly dependent on our business reputation and on positive recommendations from our existing customers. Any failure to maintain high-quality product support, or a market perception that we do not maintain high-quality product support, could materially adversely affect our reputation, our ability to sell our Digital Analytics Platform to our customers and prospective customers, and our business, financial condition, and results of operations.</w:t>
      </w:r>
    </w:p>
    <w:p>
      <w:pPr>
        <w:spacing w:after="0" w:line="353" w:lineRule="exact"/>
        <w:rPr>
          <w:sz w:val="20"/>
          <w:szCs w:val="20"/>
          <w:color w:val="auto"/>
        </w:rPr>
      </w:pPr>
    </w:p>
    <w:p>
      <w:pPr>
        <w:ind w:right="160"/>
        <w:spacing w:after="0" w:line="261" w:lineRule="auto"/>
        <w:rPr>
          <w:sz w:val="20"/>
          <w:szCs w:val="20"/>
          <w:color w:val="auto"/>
        </w:rPr>
      </w:pPr>
      <w:r>
        <w:rPr>
          <w:rFonts w:ascii="Arial" w:cs="Arial" w:eastAsia="Arial" w:hAnsi="Arial"/>
          <w:sz w:val="18"/>
          <w:szCs w:val="18"/>
          <w:b w:val="1"/>
          <w:bCs w:val="1"/>
          <w:i w:val="1"/>
          <w:iCs w:val="1"/>
          <w:color w:val="auto"/>
        </w:rPr>
        <w:t>Incorrect or improper implementation or use of our Digital Analytics Platform could result in customer dissatisfaction and materially adversely affect our business, financial condition, and results of operations.</w:t>
      </w:r>
    </w:p>
    <w:p>
      <w:pPr>
        <w:spacing w:after="0" w:line="76" w:lineRule="exact"/>
        <w:rPr>
          <w:sz w:val="20"/>
          <w:szCs w:val="20"/>
          <w:color w:val="auto"/>
        </w:rPr>
      </w:pPr>
    </w:p>
    <w:p>
      <w:pPr>
        <w:ind w:firstLine="509"/>
        <w:spacing w:after="0" w:line="260" w:lineRule="auto"/>
        <w:rPr>
          <w:sz w:val="20"/>
          <w:szCs w:val="20"/>
          <w:color w:val="auto"/>
        </w:rPr>
      </w:pPr>
      <w:r>
        <w:rPr>
          <w:rFonts w:ascii="Arial" w:cs="Arial" w:eastAsia="Arial" w:hAnsi="Arial"/>
          <w:sz w:val="17"/>
          <w:szCs w:val="17"/>
          <w:color w:val="auto"/>
        </w:rPr>
        <w:t>We often assist our customers in implementing our Digital Analytics Platform (whether through us directly or through a third-party implementation partner), and they may need training in the proper use of our Digital Analytics Platform to maximize its potential and avoid inadequate performance. If we or our implementation partners fail to train customers on how to efficiently and effectively use our Digital Analytics Platform or we fail to provide adequate product support to our customers, we may lose opportunities for additional subscriptions, customers may choose not to renew or expand the use of our Digital Analytics Platform, we may experience negative publicity or legal claims against us, and our reputation and brand may suffer. Any of these circumstances could materially adversely affect our business, financial condition, and results of operations.</w:t>
      </w:r>
    </w:p>
    <w:p>
      <w:pPr>
        <w:spacing w:after="0" w:line="294" w:lineRule="exact"/>
        <w:rPr>
          <w:sz w:val="20"/>
          <w:szCs w:val="20"/>
          <w:color w:val="auto"/>
        </w:rPr>
      </w:pPr>
    </w:p>
    <w:p>
      <w:pPr>
        <w:jc w:val="both"/>
        <w:ind w:right="160"/>
        <w:spacing w:after="0" w:line="247" w:lineRule="auto"/>
        <w:rPr>
          <w:sz w:val="20"/>
          <w:szCs w:val="20"/>
          <w:color w:val="auto"/>
        </w:rPr>
      </w:pPr>
      <w:r>
        <w:rPr>
          <w:rFonts w:ascii="Arial" w:cs="Arial" w:eastAsia="Arial" w:hAnsi="Arial"/>
          <w:sz w:val="18"/>
          <w:szCs w:val="18"/>
          <w:b w:val="1"/>
          <w:bCs w:val="1"/>
          <w:i w:val="1"/>
          <w:iCs w:val="1"/>
          <w:color w:val="auto"/>
        </w:rPr>
        <w:t>If we fail to integrate our platform with a variety of operating systems, software applications, and platforms that are developed by others, our platform may become less marketable, less competitive, or obsolete, and our business, financial condition, results of operations, and growth prospects could be materially adversely affected.</w:t>
      </w:r>
    </w:p>
    <w:p>
      <w:pPr>
        <w:spacing w:after="0" w:line="76" w:lineRule="exact"/>
        <w:rPr>
          <w:sz w:val="20"/>
          <w:szCs w:val="20"/>
          <w:color w:val="auto"/>
        </w:rPr>
      </w:pPr>
    </w:p>
    <w:p>
      <w:pPr>
        <w:ind w:right="40" w:firstLine="509"/>
        <w:spacing w:after="0" w:line="258" w:lineRule="auto"/>
        <w:rPr>
          <w:sz w:val="20"/>
          <w:szCs w:val="20"/>
          <w:color w:val="auto"/>
        </w:rPr>
      </w:pPr>
      <w:r>
        <w:rPr>
          <w:rFonts w:ascii="Arial" w:cs="Arial" w:eastAsia="Arial" w:hAnsi="Arial"/>
          <w:sz w:val="17"/>
          <w:szCs w:val="17"/>
          <w:color w:val="auto"/>
        </w:rPr>
        <w:t>Our customers and prospective customers expect our Digital Analytics Platform to integrate with a variety of software platforms, and we need to continuously modify and enhance our platform to adapt to changes in software, browser, and database technologies. We have developed our platform to be able to integrate with third-party SaaS applications through the interaction of application programming interfaces (“APIs”). In general, we rely on the fact that the providers of such software systems continue to allow us access to their APIs to enable these custom integrations. We are subject to the standard terms and conditions of such providers, or other agreements we may have with them, which govern the distribution, operation, and fees of such software systems, and which may be subject to change by such providers. As a result of limits or prohibitions by other parties, unacceptable terms, technical difficulties, our failure to recognize demand, or for other reasons, we may not successfully build, deploy, or offer the integrations needed. If we fail to offer a variety of integrations or the integrations that our customers and prospective customers expect and demand, then our Digital Analytics Platform may become less marketable, less competitive, or obsolete, and our business, financial condition, results of operations, and growth prospects could be materially adversely affected.</w:t>
      </w:r>
    </w:p>
    <w:p>
      <w:pPr>
        <w:spacing w:after="0" w:line="299" w:lineRule="exact"/>
        <w:rPr>
          <w:sz w:val="20"/>
          <w:szCs w:val="20"/>
          <w:color w:val="auto"/>
        </w:rPr>
      </w:pPr>
    </w:p>
    <w:p>
      <w:pPr>
        <w:ind w:right="200"/>
        <w:spacing w:after="0" w:line="261" w:lineRule="auto"/>
        <w:rPr>
          <w:sz w:val="20"/>
          <w:szCs w:val="20"/>
          <w:color w:val="auto"/>
        </w:rPr>
      </w:pPr>
      <w:r>
        <w:rPr>
          <w:rFonts w:ascii="Arial" w:cs="Arial" w:eastAsia="Arial" w:hAnsi="Arial"/>
          <w:sz w:val="18"/>
          <w:szCs w:val="18"/>
          <w:b w:val="1"/>
          <w:bCs w:val="1"/>
          <w:i w:val="1"/>
          <w:iCs w:val="1"/>
          <w:color w:val="auto"/>
        </w:rPr>
        <w:t>We do not have the history with our subscription or pricing models necessary to accurately predict optimal pricing necessary to attract new customers and retain existing customers.</w:t>
      </w:r>
    </w:p>
    <w:p>
      <w:pPr>
        <w:spacing w:after="0" w:line="62" w:lineRule="exact"/>
        <w:rPr>
          <w:sz w:val="20"/>
          <w:szCs w:val="20"/>
          <w:color w:val="auto"/>
        </w:rPr>
      </w:pPr>
    </w:p>
    <w:p>
      <w:pPr>
        <w:ind w:right="120" w:firstLine="509"/>
        <w:spacing w:after="0" w:line="259" w:lineRule="auto"/>
        <w:rPr>
          <w:sz w:val="20"/>
          <w:szCs w:val="20"/>
          <w:color w:val="auto"/>
        </w:rPr>
      </w:pPr>
      <w:r>
        <w:rPr>
          <w:rFonts w:ascii="Arial" w:cs="Arial" w:eastAsia="Arial" w:hAnsi="Arial"/>
          <w:sz w:val="17"/>
          <w:szCs w:val="17"/>
          <w:color w:val="auto"/>
        </w:rPr>
        <w:t>We have limited experience with respect to determining the optimal prices for our Digital Analytics Platform and, as a result, we have in the past needed, and expect in the future that we will need, to change our pricing model from time to time. As the market for our Digital Analytics Platform matures, or as new competitors introduce new products or services that compete with ours, we may be unable to attract new customers at the same price or based on the same pricing models as we have used historically. Pricing decisions may also impact the mix of adoption among our subscription plans and negatively impact our overall revenue. Although we occasionally upsell within contract terms based on customer needs, substantially all of our customer contracts have a subscription period of one year or longer, for which we primarily bill annually in advance with no obligation to renew. As a result, potential changes in our pricing policies, or our rate of customer expansion or retention, may not be fully reflected in our results of operations until future periods. Moreover, larger organizations may demand price concessions. As a result, in the future we may be required to reduce our prices, which could materially adversely affect our business, financial condition, and results of operations.</w:t>
      </w:r>
    </w:p>
    <w:p>
      <w:pPr>
        <w:spacing w:after="0" w:line="7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52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61595</wp:posOffset>
            </wp:positionV>
            <wp:extent cx="7157720" cy="42545"/>
            <wp:wrapNone/>
            <wp:docPr id="284" name="Picture 2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4"/>
                    <pic:cNvPicPr>
                      <a:picLocks noChangeAspect="1" noChangeArrowheads="1"/>
                    </pic:cNvPicPr>
                  </pic:nvPicPr>
                  <pic:blipFill>
                    <a:blip r:embed="rId29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651" w:right="339" w:bottom="1440" w:gutter="0" w:footer="0" w:header="0"/>
        </w:sectPr>
      </w:pPr>
    </w:p>
    <w:bookmarkStart w:id="52" w:name="page53"/>
    <w:bookmarkEnd w:id="52"/>
    <w:p>
      <w:pPr>
        <w:ind w:right="420"/>
        <w:spacing w:after="0" w:line="307" w:lineRule="auto"/>
        <w:rPr>
          <w:sz w:val="20"/>
          <w:szCs w:val="20"/>
          <w:color w:val="auto"/>
        </w:rPr>
      </w:pPr>
      <w:r>
        <w:rPr>
          <w:rFonts w:ascii="Arial" w:cs="Arial" w:eastAsia="Arial" w:hAnsi="Arial"/>
          <w:sz w:val="17"/>
          <w:szCs w:val="17"/>
          <w:b w:val="1"/>
          <w:bCs w:val="1"/>
          <w:i w:val="1"/>
          <w:iCs w:val="1"/>
          <w:color w:val="auto"/>
        </w:rPr>
        <w:t>Failure to effectively develop and expand our sales and marketing capabilities, including our relationships with channel partners, could harm our ability to increase our customer base and achieve broader market acceptance of our products and platform.</w:t>
      </w:r>
    </w:p>
    <w:p>
      <w:pPr>
        <w:spacing w:after="0" w:line="26" w:lineRule="exact"/>
        <w:rPr>
          <w:sz w:val="20"/>
          <w:szCs w:val="20"/>
          <w:color w:val="auto"/>
        </w:rPr>
      </w:pPr>
    </w:p>
    <w:p>
      <w:pPr>
        <w:ind w:firstLine="509"/>
        <w:spacing w:after="0" w:line="283" w:lineRule="auto"/>
        <w:rPr>
          <w:sz w:val="20"/>
          <w:szCs w:val="20"/>
          <w:color w:val="auto"/>
        </w:rPr>
      </w:pPr>
      <w:r>
        <w:rPr>
          <w:rFonts w:ascii="Arial" w:cs="Arial" w:eastAsia="Arial" w:hAnsi="Arial"/>
          <w:sz w:val="16"/>
          <w:szCs w:val="16"/>
          <w:color w:val="auto"/>
        </w:rPr>
        <w:t>In order to increase our sales to new and existing customers, we must expand our sales and marketing operations, including our sales force and third-party channel partners, and continue to dedicate significant resources to inbound sales and marketing programs, both domestically and internationally. Our ability to increase our customer base and achieve broader market acceptance of our products will depend, in part, on our ability to effectively organize, focus, and train our sales and marketing personnel. If we are unable to increase adoption of our Digital Analytics Platform by new and existing customers, especially enterprise customers, our business, financial condition, and results of operations may be materially adversely affected.</w:t>
      </w:r>
    </w:p>
    <w:p>
      <w:pPr>
        <w:spacing w:after="0" w:line="169" w:lineRule="exact"/>
        <w:rPr>
          <w:sz w:val="20"/>
          <w:szCs w:val="20"/>
          <w:color w:val="auto"/>
        </w:rPr>
      </w:pPr>
    </w:p>
    <w:p>
      <w:pPr>
        <w:ind w:firstLine="509"/>
        <w:spacing w:after="0" w:line="243" w:lineRule="auto"/>
        <w:rPr>
          <w:sz w:val="20"/>
          <w:szCs w:val="20"/>
          <w:color w:val="auto"/>
        </w:rPr>
      </w:pPr>
      <w:r>
        <w:rPr>
          <w:rFonts w:ascii="Arial" w:cs="Arial" w:eastAsia="Arial" w:hAnsi="Arial"/>
          <w:sz w:val="18"/>
          <w:szCs w:val="18"/>
          <w:color w:val="auto"/>
        </w:rPr>
        <w:t>Our efforts to develop and expand our sales and marketing capabilities will require us to invest significant financial and other resources, including in industries and sales channels in which we have limited experience to date. We may not achieve anticipated revenue growth from expanding our sales and marketing capabilities, and our business, financial condition, results of operations, and growth prospects may be materially adversely affected, if we are unable to hire, develop, integrate, and retain talented and effective sales personnel and global systems integrators, consultancies, and digital agencies; if our new and existing sales personnel are unable to achieve desired productivity levels in a reasonable period of time; or if our sales and marketing programs are not effective.</w:t>
      </w:r>
    </w:p>
    <w:p>
      <w:pPr>
        <w:spacing w:after="0" w:line="293" w:lineRule="exact"/>
        <w:rPr>
          <w:sz w:val="20"/>
          <w:szCs w:val="20"/>
          <w:color w:val="auto"/>
        </w:rPr>
      </w:pPr>
    </w:p>
    <w:p>
      <w:pPr>
        <w:ind w:right="60"/>
        <w:spacing w:after="0" w:line="277" w:lineRule="auto"/>
        <w:rPr>
          <w:sz w:val="20"/>
          <w:szCs w:val="20"/>
          <w:color w:val="auto"/>
        </w:rPr>
      </w:pPr>
      <w:r>
        <w:rPr>
          <w:rFonts w:ascii="Arial" w:cs="Arial" w:eastAsia="Arial" w:hAnsi="Arial"/>
          <w:sz w:val="18"/>
          <w:szCs w:val="18"/>
          <w:b w:val="1"/>
          <w:bCs w:val="1"/>
          <w:i w:val="1"/>
          <w:iCs w:val="1"/>
          <w:color w:val="auto"/>
        </w:rPr>
        <w:t>We may be unable to build and maintain successful relationships with our channel partners or such channel partners may fail to perform, which could materially adversely affect our business, financial condition, results of operations, and growth prospects.</w:t>
      </w:r>
    </w:p>
    <w:p>
      <w:pPr>
        <w:spacing w:after="0" w:line="48" w:lineRule="exact"/>
        <w:rPr>
          <w:sz w:val="20"/>
          <w:szCs w:val="20"/>
          <w:color w:val="auto"/>
        </w:rPr>
      </w:pPr>
    </w:p>
    <w:p>
      <w:pPr>
        <w:ind w:firstLine="509"/>
        <w:spacing w:after="0" w:line="259" w:lineRule="auto"/>
        <w:rPr>
          <w:sz w:val="20"/>
          <w:szCs w:val="20"/>
          <w:color w:val="auto"/>
        </w:rPr>
      </w:pPr>
      <w:r>
        <w:rPr>
          <w:rFonts w:ascii="Arial" w:cs="Arial" w:eastAsia="Arial" w:hAnsi="Arial"/>
          <w:sz w:val="17"/>
          <w:szCs w:val="17"/>
          <w:color w:val="auto"/>
        </w:rPr>
        <w:t>We employ a go-to-market business model whereby a portion of our revenue is generated by sales through our channel partners, such as independent software vendors and resellers, that further expand the reach of our direct sales force into additional geographies, sectors, and industries. In particular, we have entered, and intend to continue to enter, into strategic sales distributor and reseller relationships in certain international markets where we do not have a local presence. We provide certain of our channel partners with specific training and programs to assist them in selling access to our Digital Analytics Platform, but there can be no assurance that these steps will be effective, and restrictions on travel and other limitations as a result of the COVID-19 pandemic may undermine our efforts to provide training and build relationships. In addition, if our channel partners are unsuccessful in marketing and selling access to our Digital Analytics Platform, it would limit our expansion into certain geographies, sectors, and industries. If we are unable to develop and maintain effective sales incentive programs for our channel partners, we may not be able to incentivize these partners to sell access to our Digital Analytics Platform to customers.</w:t>
      </w:r>
    </w:p>
    <w:p>
      <w:pPr>
        <w:spacing w:after="0" w:line="178" w:lineRule="exact"/>
        <w:rPr>
          <w:sz w:val="20"/>
          <w:szCs w:val="20"/>
          <w:color w:val="auto"/>
        </w:rPr>
      </w:pPr>
    </w:p>
    <w:p>
      <w:pPr>
        <w:ind w:firstLine="509"/>
        <w:spacing w:after="0" w:line="258" w:lineRule="auto"/>
        <w:rPr>
          <w:sz w:val="20"/>
          <w:szCs w:val="20"/>
          <w:color w:val="auto"/>
        </w:rPr>
      </w:pPr>
      <w:r>
        <w:rPr>
          <w:rFonts w:ascii="Arial" w:cs="Arial" w:eastAsia="Arial" w:hAnsi="Arial"/>
          <w:sz w:val="17"/>
          <w:szCs w:val="17"/>
          <w:color w:val="auto"/>
        </w:rPr>
        <w:t>Some of these partners may also market, sell, and support offerings that are competitive with ours, may devote more resources to the marketing, sales, and support of such competitive offerings, may have incentives to promote our competitors’ offerings to the detriment of our own, or may cease selling access to our Digital Analytics Platform altogether. Our channel partners could subject us to lawsuits, potential liability, and reputational harm if, for example, any of our channel partners misrepresents the functionality of our Digital Analytics Platform to customers or violates laws or our or their corporate policies. Our ability to achieve revenue growth in the future will depend, in part, on our success in maintaining successful relationships with our channel partners, identifying additional channel partners, including in new markets, and training our channel partners to independently sell access to our Digital Analytics Platform. If our channel partners are unsuccessful in selling access to our Digital Analytics Platform, or if we are unable to enter into arrangements with or retain a sufficient number of high-quality channel partners in each of the regions in which we sell access to our Digital Analytics Platform and keep them motivated to sell access to our Digital Analytics Platform, our business, financial condition, results of operations, and growth prospects could be adversely affected.</w:t>
      </w:r>
    </w:p>
    <w:p>
      <w:pPr>
        <w:spacing w:after="0" w:line="285" w:lineRule="exact"/>
        <w:rPr>
          <w:sz w:val="20"/>
          <w:szCs w:val="20"/>
          <w:color w:val="auto"/>
        </w:rPr>
      </w:pPr>
    </w:p>
    <w:p>
      <w:pPr>
        <w:ind w:right="680"/>
        <w:spacing w:after="0" w:line="261" w:lineRule="auto"/>
        <w:rPr>
          <w:sz w:val="20"/>
          <w:szCs w:val="20"/>
          <w:color w:val="auto"/>
        </w:rPr>
      </w:pPr>
      <w:r>
        <w:rPr>
          <w:rFonts w:ascii="Arial" w:cs="Arial" w:eastAsia="Arial" w:hAnsi="Arial"/>
          <w:sz w:val="18"/>
          <w:szCs w:val="18"/>
          <w:b w:val="1"/>
          <w:bCs w:val="1"/>
          <w:i w:val="1"/>
          <w:iCs w:val="1"/>
          <w:color w:val="auto"/>
        </w:rPr>
        <w:t>If our marketing strategies are not effective in attracting new customers and retaining existing customers, our business and ability to grow our revenues would be harmed.</w:t>
      </w:r>
    </w:p>
    <w:p>
      <w:pPr>
        <w:spacing w:after="0" w:line="76" w:lineRule="exact"/>
        <w:rPr>
          <w:sz w:val="20"/>
          <w:szCs w:val="20"/>
          <w:color w:val="auto"/>
        </w:rPr>
      </w:pPr>
    </w:p>
    <w:p>
      <w:pPr>
        <w:ind w:firstLine="509"/>
        <w:spacing w:after="0" w:line="257" w:lineRule="auto"/>
        <w:rPr>
          <w:sz w:val="20"/>
          <w:szCs w:val="20"/>
          <w:color w:val="auto"/>
        </w:rPr>
      </w:pPr>
      <w:r>
        <w:rPr>
          <w:rFonts w:ascii="Arial" w:cs="Arial" w:eastAsia="Arial" w:hAnsi="Arial"/>
          <w:sz w:val="17"/>
          <w:szCs w:val="17"/>
          <w:color w:val="auto"/>
        </w:rPr>
        <w:t>We rely on our marketing strategies—which consist of a combination of online and offline marketing programs such as online advertising, blogs, public relations, social media, user conferences, educational white papers and webinars, product demos, workshops, roundtables, and customer case studies, offering customers a free-tier, self-service option, and other inbound lead generation and outbound sales strategies—to drive our sales and revenue. These strategies may not continue to generate the level of sales necessary to increase our revenue. If our outbound sales efforts are unsuccessful at attracting new customers and retaining existing customers, we may be unable to grow our market share and revenue. If our customer base does not continue to grow through word-of-mouth marketing and viral adoption or outbound sales efforts, we may be required to incur significantly higher sales and marketing expenses in order to acquire new subscribers, which could materially adversely affect our business and results of operations. In addition, high levels of customer satisfaction and market adoption are central to our marketing model. Any decrease in our customers’ satisfaction with our products, including as a result of actions outside of our control, could harm word-of-mouth referrals and our brand.</w:t>
      </w:r>
    </w:p>
    <w:p>
      <w:pPr>
        <w:spacing w:after="0" w:line="7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53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285" name="Picture 2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5"/>
                    <pic:cNvPicPr>
                      <a:picLocks noChangeAspect="1" noChangeArrowheads="1"/>
                    </pic:cNvPicPr>
                  </pic:nvPicPr>
                  <pic:blipFill>
                    <a:blip r:embed="rId29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651" w:right="359" w:bottom="1440" w:gutter="0" w:footer="0" w:header="0"/>
        </w:sectPr>
      </w:pPr>
    </w:p>
    <w:bookmarkStart w:id="53" w:name="page54"/>
    <w:bookmarkEnd w:id="53"/>
    <w:p>
      <w:pPr>
        <w:ind w:right="80" w:firstLine="509"/>
        <w:spacing w:after="0" w:line="268" w:lineRule="auto"/>
        <w:rPr>
          <w:sz w:val="20"/>
          <w:szCs w:val="20"/>
          <w:color w:val="auto"/>
        </w:rPr>
      </w:pPr>
      <w:r>
        <w:rPr>
          <w:rFonts w:ascii="Arial" w:cs="Arial" w:eastAsia="Arial" w:hAnsi="Arial"/>
          <w:sz w:val="17"/>
          <w:szCs w:val="17"/>
          <w:color w:val="auto"/>
        </w:rPr>
        <w:t>Additionally, many customers never convert from our free-tier, self-service option to a paid subscription contract. Further, we often depend on individuals within an organization who initiate our free-tier, self-service option being able to convince decision-makers within their organization to convert to a subscription contract. Many of these organizations have complex and multi-layered purchasing requirements. To the extent that these free-tier customers do not become paying subscribers, we will not realize the intended benefits of this marketing strategy.</w:t>
      </w:r>
    </w:p>
    <w:p>
      <w:pPr>
        <w:spacing w:after="0" w:line="287" w:lineRule="exact"/>
        <w:rPr>
          <w:sz w:val="20"/>
          <w:szCs w:val="20"/>
          <w:color w:val="auto"/>
        </w:rPr>
      </w:pPr>
    </w:p>
    <w:p>
      <w:pPr>
        <w:ind w:right="860"/>
        <w:spacing w:after="0" w:line="261" w:lineRule="auto"/>
        <w:rPr>
          <w:sz w:val="20"/>
          <w:szCs w:val="20"/>
          <w:color w:val="auto"/>
        </w:rPr>
      </w:pPr>
      <w:r>
        <w:rPr>
          <w:rFonts w:ascii="Arial" w:cs="Arial" w:eastAsia="Arial" w:hAnsi="Arial"/>
          <w:sz w:val="18"/>
          <w:szCs w:val="18"/>
          <w:b w:val="1"/>
          <w:bCs w:val="1"/>
          <w:i w:val="1"/>
          <w:iCs w:val="1"/>
          <w:color w:val="auto"/>
        </w:rPr>
        <w:t>Sales efforts to larger organizations involve risks that may not be present or that are present to a lesser extent with respect to sales to smaller organizations.</w:t>
      </w:r>
    </w:p>
    <w:p>
      <w:pPr>
        <w:spacing w:after="0" w:line="62" w:lineRule="exact"/>
        <w:rPr>
          <w:sz w:val="20"/>
          <w:szCs w:val="20"/>
          <w:color w:val="auto"/>
        </w:rPr>
      </w:pPr>
    </w:p>
    <w:p>
      <w:pPr>
        <w:ind w:right="80" w:firstLine="509"/>
        <w:spacing w:after="0" w:line="256" w:lineRule="auto"/>
        <w:rPr>
          <w:sz w:val="20"/>
          <w:szCs w:val="20"/>
          <w:color w:val="auto"/>
        </w:rPr>
      </w:pPr>
      <w:r>
        <w:rPr>
          <w:rFonts w:ascii="Arial" w:cs="Arial" w:eastAsia="Arial" w:hAnsi="Arial"/>
          <w:sz w:val="17"/>
          <w:szCs w:val="17"/>
          <w:color w:val="auto"/>
        </w:rPr>
        <w:t>We have experienced rapid growth in our customer base since our inception. Although our growth strategy includes acquiring new customers across industries, company size, and stages of digital maturity, we believe there is a significant opportunity to continue to penetrate the largest global organizations. Sales to larger organizations involve risks that may not be present, or that are present to a lesser extent, with sales to smaller organizations, such as longer sales cycles, more complex customer requirements, substantial upfront sales costs, and less predictability in completing some of our sales. For example, enterprise customers, which we define as customers with more than 1,500 employees, may require considerable time to evaluate and test our Digital Analytics Platform prior to making a purchase decision and placing an order. A number of factors influence the length and variability of our sales cycle, including the need to educate potential customers about the uses and benefits of our Digital Analytics Platform, the discretionary nature of purchasing and budget cycles, and the competitive nature of evaluation and purchasing approval processes. As a result, the length of our sales cycle, from identification of the opportunity to deal closure, may vary significantly from customer to customer, with sales to enterprises typically taking longer to complete. During the quarter ended September 30, 2022, the average length of our sales cycle to enterprises was four to six months, as compared to one to two months to non-enterprise customers. In addition, larger organizations may demand more features and integration services. Sales to larger organizations also may increase the variability of our financial results. If we are unable to close one or more expected significant transactions with these customers in a particular period, or if an expected transaction is delayed until a subsequent period, our results of operations for that period, and for any future periods in which revenue from such transaction would otherwise have been recognized, may be adversely affected. If we fail to effectively manage these risks associated with sales cycles and sales to larger organizations, our business, financial condition, and results of operations may be materially adversely affected.</w:t>
      </w:r>
    </w:p>
    <w:p>
      <w:pPr>
        <w:spacing w:after="0" w:line="291" w:lineRule="exact"/>
        <w:rPr>
          <w:sz w:val="20"/>
          <w:szCs w:val="20"/>
          <w:color w:val="auto"/>
        </w:rPr>
      </w:pPr>
    </w:p>
    <w:p>
      <w:pPr>
        <w:spacing w:after="0"/>
        <w:rPr>
          <w:sz w:val="20"/>
          <w:szCs w:val="20"/>
          <w:color w:val="auto"/>
        </w:rPr>
      </w:pPr>
      <w:r>
        <w:rPr>
          <w:rFonts w:ascii="Arial" w:cs="Arial" w:eastAsia="Arial" w:hAnsi="Arial"/>
          <w:sz w:val="15"/>
          <w:szCs w:val="15"/>
          <w:b w:val="1"/>
          <w:bCs w:val="1"/>
          <w:i w:val="1"/>
          <w:iCs w:val="1"/>
          <w:color w:val="auto"/>
        </w:rPr>
        <w:t>If we are unable to maintain and enhance our brand, our business, financial condition, and results of operations may be materially adversely affected.</w:t>
      </w:r>
    </w:p>
    <w:p>
      <w:pPr>
        <w:spacing w:after="0" w:line="151" w:lineRule="exact"/>
        <w:rPr>
          <w:sz w:val="20"/>
          <w:szCs w:val="20"/>
          <w:color w:val="auto"/>
        </w:rPr>
      </w:pPr>
    </w:p>
    <w:p>
      <w:pPr>
        <w:ind w:right="340" w:firstLine="509"/>
        <w:spacing w:after="0" w:line="259" w:lineRule="auto"/>
        <w:rPr>
          <w:sz w:val="20"/>
          <w:szCs w:val="20"/>
          <w:color w:val="auto"/>
        </w:rPr>
      </w:pPr>
      <w:r>
        <w:rPr>
          <w:rFonts w:ascii="Arial" w:cs="Arial" w:eastAsia="Arial" w:hAnsi="Arial"/>
          <w:sz w:val="17"/>
          <w:szCs w:val="17"/>
          <w:color w:val="auto"/>
        </w:rPr>
        <w:t>We believe that maintaining and enhancing our reputation as a differentiated and category-defining company in digital analytics is critical to our relationships with our existing customers and to our ability to attract new customers. The successful promotion of our brand attributes will depend on a number of factors, including our marketing efforts, our ability to ensure that our platform remains reliable and secure, our ability to continue to develop high-quality software, and our ability to successfully differentiate our Digital Analytics Platform from competitive products and services. In addition, independent industry analysts often provide reviews of our Digital Analytics Platform, as well as products and services offered by our competitors, and perception of our Digital Analytics Platform in the marketplace may be significantly influenced by these reviews. If these reviews are negative, or less positive as compared to those of our competitors’ products and services, our brand may be adversely affected. It may also be difficult to maintain and enhance our brand in connection with sales through channel or strategic partners.</w:t>
      </w:r>
    </w:p>
    <w:p>
      <w:pPr>
        <w:spacing w:after="0" w:line="200" w:lineRule="exact"/>
        <w:rPr>
          <w:sz w:val="20"/>
          <w:szCs w:val="20"/>
          <w:color w:val="auto"/>
        </w:rPr>
      </w:pPr>
    </w:p>
    <w:p>
      <w:pPr>
        <w:ind w:firstLine="509"/>
        <w:spacing w:after="0" w:line="267" w:lineRule="auto"/>
        <w:rPr>
          <w:sz w:val="20"/>
          <w:szCs w:val="20"/>
          <w:color w:val="auto"/>
        </w:rPr>
      </w:pPr>
      <w:r>
        <w:rPr>
          <w:rFonts w:ascii="Arial" w:cs="Arial" w:eastAsia="Arial" w:hAnsi="Arial"/>
          <w:sz w:val="17"/>
          <w:szCs w:val="17"/>
          <w:color w:val="auto"/>
        </w:rPr>
        <w:t>The promotion of our brand requires us to make substantial expenditures, and we anticipate that the expenditures will increase as our market becomes more competitive, as we expand into new markets, and as more sales are generated through our channel partners. To the extent that these activities yield increased revenue, this revenue may not offset the increased expenses we incur. If we do not successfully maintain and enhance our brand, our business may not grow, we may have reduced pricing power relative to competitors, and we could lose customers or fail to attract potential customers, all of which would materially adversely affect our business, financial condition, and results of operations.</w:t>
      </w:r>
    </w:p>
    <w:p>
      <w:pPr>
        <w:spacing w:after="0" w:line="27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Our operations are international in scope, and we plan further geographic expansion, creating a variety of operational challenges.</w:t>
      </w:r>
    </w:p>
    <w:p>
      <w:pPr>
        <w:spacing w:after="0" w:line="103" w:lineRule="exact"/>
        <w:rPr>
          <w:sz w:val="20"/>
          <w:szCs w:val="20"/>
          <w:color w:val="auto"/>
        </w:rPr>
      </w:pPr>
    </w:p>
    <w:p>
      <w:pPr>
        <w:ind w:firstLine="509"/>
        <w:spacing w:after="0" w:line="244" w:lineRule="auto"/>
        <w:rPr>
          <w:sz w:val="20"/>
          <w:szCs w:val="20"/>
          <w:color w:val="auto"/>
        </w:rPr>
      </w:pPr>
      <w:r>
        <w:rPr>
          <w:rFonts w:ascii="Arial" w:cs="Arial" w:eastAsia="Arial" w:hAnsi="Arial"/>
          <w:sz w:val="18"/>
          <w:szCs w:val="18"/>
          <w:color w:val="auto"/>
        </w:rPr>
        <w:t>For the year ended December 31, 2021 and the nine months ended September 30, 2022, 36% and 38% of our revenue was generated outside the United States, respectively. A component of our growth strategy involves the further expansion of our operations and customer base internationally, which will require significant dedication of management attention and financial resources. We are continuing to adapt to, and develop strategies to address, international markets, but there is no guarantee that such efforts will have the desired effect. Our sales organization outside the United States is substantially smaller than our sales organization in the United States and, to date, only a very small portion of our sales has been driven by resellers or other channel partners. To the extent we are unable to effectively engage with non-U.S. customers due to our limited sales force capacity and limited channel partners, we may be unable to effectively grow in international markets.</w:t>
      </w:r>
    </w:p>
    <w:p>
      <w:pPr>
        <w:spacing w:after="0" w:line="7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54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286" name="Picture 2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6"/>
                    <pic:cNvPicPr>
                      <a:picLocks noChangeAspect="1" noChangeArrowheads="1"/>
                    </pic:cNvPicPr>
                  </pic:nvPicPr>
                  <pic:blipFill>
                    <a:blip r:embed="rId29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543" w:right="339" w:bottom="1440" w:gutter="0" w:footer="0" w:header="0"/>
        </w:sectPr>
      </w:pPr>
    </w:p>
    <w:bookmarkStart w:id="54" w:name="page55"/>
    <w:bookmarkEnd w:id="54"/>
    <w:p>
      <w:pPr>
        <w:ind w:left="520"/>
        <w:spacing w:after="0"/>
        <w:rPr>
          <w:sz w:val="20"/>
          <w:szCs w:val="20"/>
          <w:color w:val="auto"/>
        </w:rPr>
      </w:pPr>
      <w:r>
        <w:rPr>
          <w:rFonts w:ascii="Arial" w:cs="Arial" w:eastAsia="Arial" w:hAnsi="Arial"/>
          <w:sz w:val="18"/>
          <w:szCs w:val="18"/>
          <w:color w:val="auto"/>
        </w:rPr>
        <w:t>Our current and future international business and operations involve a variety of risks, including:</w:t>
      </w:r>
    </w:p>
    <w:p>
      <w:pPr>
        <w:spacing w:after="0" w:line="117" w:lineRule="exact"/>
        <w:rPr>
          <w:sz w:val="20"/>
          <w:szCs w:val="20"/>
          <w:color w:val="auto"/>
        </w:rPr>
      </w:pPr>
    </w:p>
    <w:p>
      <w:pPr>
        <w:ind w:left="900" w:hanging="359"/>
        <w:spacing w:after="0"/>
        <w:tabs>
          <w:tab w:leader="none" w:pos="900" w:val="left"/>
        </w:tabs>
        <w:numPr>
          <w:ilvl w:val="0"/>
          <w:numId w:val="37"/>
        </w:numPr>
        <w:rPr>
          <w:rFonts w:ascii="Arial" w:cs="Arial" w:eastAsia="Arial" w:hAnsi="Arial"/>
          <w:sz w:val="18"/>
          <w:szCs w:val="18"/>
          <w:color w:val="auto"/>
        </w:rPr>
      </w:pPr>
      <w:r>
        <w:rPr>
          <w:rFonts w:ascii="Arial" w:cs="Arial" w:eastAsia="Arial" w:hAnsi="Arial"/>
          <w:sz w:val="18"/>
          <w:szCs w:val="18"/>
          <w:color w:val="auto"/>
        </w:rPr>
        <w:t>slower than anticipated public cloud adoption by international businesses;</w:t>
      </w:r>
    </w:p>
    <w:p>
      <w:pPr>
        <w:spacing w:after="0" w:line="103" w:lineRule="exact"/>
        <w:rPr>
          <w:rFonts w:ascii="Arial" w:cs="Arial" w:eastAsia="Arial" w:hAnsi="Arial"/>
          <w:sz w:val="18"/>
          <w:szCs w:val="18"/>
          <w:color w:val="auto"/>
        </w:rPr>
      </w:pPr>
    </w:p>
    <w:p>
      <w:pPr>
        <w:ind w:left="1020" w:right="420" w:hanging="479"/>
        <w:spacing w:after="0" w:line="290" w:lineRule="auto"/>
        <w:tabs>
          <w:tab w:leader="none" w:pos="894" w:val="left"/>
        </w:tabs>
        <w:numPr>
          <w:ilvl w:val="0"/>
          <w:numId w:val="37"/>
        </w:numPr>
        <w:rPr>
          <w:rFonts w:ascii="Arial" w:cs="Arial" w:eastAsia="Arial" w:hAnsi="Arial"/>
          <w:sz w:val="17"/>
          <w:szCs w:val="17"/>
          <w:color w:val="auto"/>
        </w:rPr>
      </w:pPr>
      <w:r>
        <w:rPr>
          <w:rFonts w:ascii="Arial" w:cs="Arial" w:eastAsia="Arial" w:hAnsi="Arial"/>
          <w:sz w:val="17"/>
          <w:szCs w:val="17"/>
          <w:color w:val="auto"/>
        </w:rPr>
        <w:t>changes, which may be unexpected, in a specific country’s or region’s political, economic, or legal and regulatory environment, including Brexit, armed conflicts, pandemics, terrorist activities, tariffs, trade wars, or long-term environmental risks;</w:t>
      </w:r>
    </w:p>
    <w:p>
      <w:pPr>
        <w:spacing w:after="0" w:line="53" w:lineRule="exact"/>
        <w:rPr>
          <w:rFonts w:ascii="Arial" w:cs="Arial" w:eastAsia="Arial" w:hAnsi="Arial"/>
          <w:sz w:val="17"/>
          <w:szCs w:val="17"/>
          <w:color w:val="auto"/>
        </w:rPr>
      </w:pPr>
    </w:p>
    <w:p>
      <w:pPr>
        <w:ind w:left="900" w:hanging="359"/>
        <w:spacing w:after="0"/>
        <w:tabs>
          <w:tab w:leader="none" w:pos="900" w:val="left"/>
        </w:tabs>
        <w:numPr>
          <w:ilvl w:val="0"/>
          <w:numId w:val="37"/>
        </w:numPr>
        <w:rPr>
          <w:rFonts w:ascii="Arial" w:cs="Arial" w:eastAsia="Arial" w:hAnsi="Arial"/>
          <w:sz w:val="18"/>
          <w:szCs w:val="18"/>
          <w:color w:val="auto"/>
        </w:rPr>
      </w:pPr>
      <w:r>
        <w:rPr>
          <w:rFonts w:ascii="Arial" w:cs="Arial" w:eastAsia="Arial" w:hAnsi="Arial"/>
          <w:sz w:val="18"/>
          <w:szCs w:val="18"/>
          <w:color w:val="auto"/>
        </w:rPr>
        <w:t>the need to adapt and localize our Digital Analytics Platform for specific countries;</w:t>
      </w:r>
    </w:p>
    <w:p>
      <w:pPr>
        <w:spacing w:after="0" w:line="103" w:lineRule="exact"/>
        <w:rPr>
          <w:rFonts w:ascii="Arial" w:cs="Arial" w:eastAsia="Arial" w:hAnsi="Arial"/>
          <w:sz w:val="18"/>
          <w:szCs w:val="18"/>
          <w:color w:val="auto"/>
        </w:rPr>
      </w:pPr>
    </w:p>
    <w:p>
      <w:pPr>
        <w:ind w:left="1020" w:right="400" w:hanging="479"/>
        <w:spacing w:after="0" w:line="261" w:lineRule="auto"/>
        <w:tabs>
          <w:tab w:leader="none" w:pos="894" w:val="left"/>
        </w:tabs>
        <w:numPr>
          <w:ilvl w:val="0"/>
          <w:numId w:val="37"/>
        </w:numPr>
        <w:rPr>
          <w:rFonts w:ascii="Arial" w:cs="Arial" w:eastAsia="Arial" w:hAnsi="Arial"/>
          <w:sz w:val="18"/>
          <w:szCs w:val="18"/>
          <w:color w:val="auto"/>
        </w:rPr>
      </w:pPr>
      <w:r>
        <w:rPr>
          <w:rFonts w:ascii="Arial" w:cs="Arial" w:eastAsia="Arial" w:hAnsi="Arial"/>
          <w:sz w:val="18"/>
          <w:szCs w:val="18"/>
          <w:color w:val="auto"/>
        </w:rPr>
        <w:t>longer payment cycles and greater difficulty enforcing contracts, collecting accounts receivable, or satisfying revenue recognition criteria, especially in emerging markets;</w:t>
      </w:r>
    </w:p>
    <w:p>
      <w:pPr>
        <w:spacing w:after="0" w:line="75" w:lineRule="exact"/>
        <w:rPr>
          <w:rFonts w:ascii="Arial" w:cs="Arial" w:eastAsia="Arial" w:hAnsi="Arial"/>
          <w:sz w:val="18"/>
          <w:szCs w:val="18"/>
          <w:color w:val="auto"/>
        </w:rPr>
      </w:pPr>
    </w:p>
    <w:p>
      <w:pPr>
        <w:ind w:left="1020" w:right="200" w:hanging="479"/>
        <w:spacing w:after="0" w:line="261" w:lineRule="auto"/>
        <w:tabs>
          <w:tab w:leader="none" w:pos="894" w:val="left"/>
        </w:tabs>
        <w:numPr>
          <w:ilvl w:val="0"/>
          <w:numId w:val="37"/>
        </w:numPr>
        <w:rPr>
          <w:rFonts w:ascii="Arial" w:cs="Arial" w:eastAsia="Arial" w:hAnsi="Arial"/>
          <w:sz w:val="18"/>
          <w:szCs w:val="18"/>
          <w:color w:val="auto"/>
        </w:rPr>
      </w:pPr>
      <w:r>
        <w:rPr>
          <w:rFonts w:ascii="Arial" w:cs="Arial" w:eastAsia="Arial" w:hAnsi="Arial"/>
          <w:sz w:val="18"/>
          <w:szCs w:val="18"/>
          <w:color w:val="auto"/>
        </w:rPr>
        <w:t>new, evolving, and more stringent regulations relating to privacy and data security and the unauthorized use of, or access to, commercial and personal information, particularly in Europe;</w:t>
      </w:r>
    </w:p>
    <w:p>
      <w:pPr>
        <w:spacing w:after="0" w:line="62" w:lineRule="exact"/>
        <w:rPr>
          <w:rFonts w:ascii="Arial" w:cs="Arial" w:eastAsia="Arial" w:hAnsi="Arial"/>
          <w:sz w:val="18"/>
          <w:szCs w:val="18"/>
          <w:color w:val="auto"/>
        </w:rPr>
      </w:pPr>
    </w:p>
    <w:p>
      <w:pPr>
        <w:ind w:left="1020" w:hanging="479"/>
        <w:spacing w:after="0" w:line="261" w:lineRule="auto"/>
        <w:tabs>
          <w:tab w:leader="none" w:pos="894" w:val="left"/>
        </w:tabs>
        <w:numPr>
          <w:ilvl w:val="0"/>
          <w:numId w:val="37"/>
        </w:numPr>
        <w:rPr>
          <w:rFonts w:ascii="Arial" w:cs="Arial" w:eastAsia="Arial" w:hAnsi="Arial"/>
          <w:sz w:val="18"/>
          <w:szCs w:val="18"/>
          <w:color w:val="auto"/>
        </w:rPr>
      </w:pPr>
      <w:r>
        <w:rPr>
          <w:rFonts w:ascii="Arial" w:cs="Arial" w:eastAsia="Arial" w:hAnsi="Arial"/>
          <w:sz w:val="18"/>
          <w:szCs w:val="18"/>
          <w:color w:val="auto"/>
        </w:rPr>
        <w:t>differing and potentially more onerous labor regulations, especially in Europe, where labor laws are generally more advantageous to employees as compared to the United States, including deemed hourly wage and overtime regulations in these locations;</w:t>
      </w:r>
    </w:p>
    <w:p>
      <w:pPr>
        <w:spacing w:after="0" w:line="75" w:lineRule="exact"/>
        <w:rPr>
          <w:rFonts w:ascii="Arial" w:cs="Arial" w:eastAsia="Arial" w:hAnsi="Arial"/>
          <w:sz w:val="18"/>
          <w:szCs w:val="18"/>
          <w:color w:val="auto"/>
        </w:rPr>
      </w:pPr>
    </w:p>
    <w:p>
      <w:pPr>
        <w:ind w:left="1020" w:right="120" w:hanging="479"/>
        <w:spacing w:after="0" w:line="247" w:lineRule="auto"/>
        <w:tabs>
          <w:tab w:leader="none" w:pos="894" w:val="left"/>
        </w:tabs>
        <w:numPr>
          <w:ilvl w:val="0"/>
          <w:numId w:val="37"/>
        </w:numPr>
        <w:rPr>
          <w:rFonts w:ascii="Arial" w:cs="Arial" w:eastAsia="Arial" w:hAnsi="Arial"/>
          <w:sz w:val="18"/>
          <w:szCs w:val="18"/>
          <w:color w:val="auto"/>
        </w:rPr>
      </w:pPr>
      <w:r>
        <w:rPr>
          <w:rFonts w:ascii="Arial" w:cs="Arial" w:eastAsia="Arial" w:hAnsi="Arial"/>
          <w:sz w:val="18"/>
          <w:szCs w:val="18"/>
          <w:color w:val="auto"/>
        </w:rPr>
        <w:t>challenges inherent in efficiently managing, and the increased costs associated with, an increased number of employees over large geographic distances, including the need to implement appropriate systems, policies, benefits, and compliance programs that are specific to each jurisdiction;</w:t>
      </w:r>
    </w:p>
    <w:p>
      <w:pPr>
        <w:spacing w:after="0" w:line="89" w:lineRule="exact"/>
        <w:rPr>
          <w:rFonts w:ascii="Arial" w:cs="Arial" w:eastAsia="Arial" w:hAnsi="Arial"/>
          <w:sz w:val="18"/>
          <w:szCs w:val="18"/>
          <w:color w:val="auto"/>
        </w:rPr>
      </w:pPr>
    </w:p>
    <w:p>
      <w:pPr>
        <w:ind w:left="1020" w:right="220" w:hanging="479"/>
        <w:spacing w:after="0" w:line="261" w:lineRule="auto"/>
        <w:tabs>
          <w:tab w:leader="none" w:pos="894" w:val="left"/>
        </w:tabs>
        <w:numPr>
          <w:ilvl w:val="0"/>
          <w:numId w:val="37"/>
        </w:numPr>
        <w:rPr>
          <w:rFonts w:ascii="Arial" w:cs="Arial" w:eastAsia="Arial" w:hAnsi="Arial"/>
          <w:sz w:val="18"/>
          <w:szCs w:val="18"/>
          <w:color w:val="auto"/>
        </w:rPr>
      </w:pPr>
      <w:r>
        <w:rPr>
          <w:rFonts w:ascii="Arial" w:cs="Arial" w:eastAsia="Arial" w:hAnsi="Arial"/>
          <w:sz w:val="18"/>
          <w:szCs w:val="18"/>
          <w:color w:val="auto"/>
        </w:rPr>
        <w:t>difficulties in managing a business in new markets with diverse cultures, languages, customs, legal systems, alternative dispute systems, and regulatory systems;</w:t>
      </w:r>
    </w:p>
    <w:p>
      <w:pPr>
        <w:spacing w:after="0" w:line="62" w:lineRule="exact"/>
        <w:rPr>
          <w:rFonts w:ascii="Arial" w:cs="Arial" w:eastAsia="Arial" w:hAnsi="Arial"/>
          <w:sz w:val="18"/>
          <w:szCs w:val="18"/>
          <w:color w:val="auto"/>
        </w:rPr>
      </w:pPr>
    </w:p>
    <w:p>
      <w:pPr>
        <w:ind w:left="900" w:hanging="359"/>
        <w:spacing w:after="0"/>
        <w:tabs>
          <w:tab w:leader="none" w:pos="900" w:val="left"/>
        </w:tabs>
        <w:numPr>
          <w:ilvl w:val="0"/>
          <w:numId w:val="37"/>
        </w:numPr>
        <w:rPr>
          <w:rFonts w:ascii="Arial" w:cs="Arial" w:eastAsia="Arial" w:hAnsi="Arial"/>
          <w:sz w:val="18"/>
          <w:szCs w:val="18"/>
          <w:color w:val="auto"/>
        </w:rPr>
      </w:pPr>
      <w:r>
        <w:rPr>
          <w:rFonts w:ascii="Arial" w:cs="Arial" w:eastAsia="Arial" w:hAnsi="Arial"/>
          <w:sz w:val="18"/>
          <w:szCs w:val="18"/>
          <w:color w:val="auto"/>
        </w:rPr>
        <w:t>increased travel, real estate, infrastructure, and legal compliance costs associated with international operations;</w:t>
      </w:r>
    </w:p>
    <w:p>
      <w:pPr>
        <w:spacing w:after="0" w:line="116" w:lineRule="exact"/>
        <w:rPr>
          <w:rFonts w:ascii="Arial" w:cs="Arial" w:eastAsia="Arial" w:hAnsi="Arial"/>
          <w:sz w:val="18"/>
          <w:szCs w:val="18"/>
          <w:color w:val="auto"/>
        </w:rPr>
      </w:pPr>
    </w:p>
    <w:p>
      <w:pPr>
        <w:ind w:left="1020" w:right="600" w:hanging="479"/>
        <w:spacing w:after="0" w:line="261" w:lineRule="auto"/>
        <w:tabs>
          <w:tab w:leader="none" w:pos="894" w:val="left"/>
        </w:tabs>
        <w:numPr>
          <w:ilvl w:val="0"/>
          <w:numId w:val="37"/>
        </w:numPr>
        <w:rPr>
          <w:rFonts w:ascii="Arial" w:cs="Arial" w:eastAsia="Arial" w:hAnsi="Arial"/>
          <w:sz w:val="18"/>
          <w:szCs w:val="18"/>
          <w:color w:val="auto"/>
        </w:rPr>
      </w:pPr>
      <w:r>
        <w:rPr>
          <w:rFonts w:ascii="Arial" w:cs="Arial" w:eastAsia="Arial" w:hAnsi="Arial"/>
          <w:sz w:val="18"/>
          <w:szCs w:val="18"/>
          <w:color w:val="auto"/>
        </w:rPr>
        <w:t>currency exchange rate fluctuations and the resulting effect on our revenue and expenses, and the cost and risk of entering into hedging transactions if we choose to do so in the future;</w:t>
      </w:r>
    </w:p>
    <w:p>
      <w:pPr>
        <w:spacing w:after="0" w:line="62" w:lineRule="exact"/>
        <w:rPr>
          <w:rFonts w:ascii="Arial" w:cs="Arial" w:eastAsia="Arial" w:hAnsi="Arial"/>
          <w:sz w:val="18"/>
          <w:szCs w:val="18"/>
          <w:color w:val="auto"/>
        </w:rPr>
      </w:pPr>
    </w:p>
    <w:p>
      <w:pPr>
        <w:ind w:left="900" w:hanging="359"/>
        <w:spacing w:after="0"/>
        <w:tabs>
          <w:tab w:leader="none" w:pos="900" w:val="left"/>
        </w:tabs>
        <w:numPr>
          <w:ilvl w:val="0"/>
          <w:numId w:val="37"/>
        </w:numPr>
        <w:rPr>
          <w:rFonts w:ascii="Arial" w:cs="Arial" w:eastAsia="Arial" w:hAnsi="Arial"/>
          <w:sz w:val="17"/>
          <w:szCs w:val="17"/>
          <w:color w:val="auto"/>
        </w:rPr>
      </w:pPr>
      <w:r>
        <w:rPr>
          <w:rFonts w:ascii="Arial" w:cs="Arial" w:eastAsia="Arial" w:hAnsi="Arial"/>
          <w:sz w:val="17"/>
          <w:szCs w:val="17"/>
          <w:color w:val="auto"/>
        </w:rPr>
        <w:t>limitations on our ability to reinvest earnings from operations in one country to fund the capital needs of our operations in other countries;</w:t>
      </w:r>
    </w:p>
    <w:p>
      <w:pPr>
        <w:spacing w:after="0" w:line="128" w:lineRule="exact"/>
        <w:rPr>
          <w:rFonts w:ascii="Arial" w:cs="Arial" w:eastAsia="Arial" w:hAnsi="Arial"/>
          <w:sz w:val="17"/>
          <w:szCs w:val="17"/>
          <w:color w:val="auto"/>
        </w:rPr>
      </w:pPr>
    </w:p>
    <w:p>
      <w:pPr>
        <w:ind w:left="900" w:hanging="359"/>
        <w:spacing w:after="0"/>
        <w:tabs>
          <w:tab w:leader="none" w:pos="900" w:val="left"/>
        </w:tabs>
        <w:numPr>
          <w:ilvl w:val="0"/>
          <w:numId w:val="37"/>
        </w:numPr>
        <w:rPr>
          <w:rFonts w:ascii="Arial" w:cs="Arial" w:eastAsia="Arial" w:hAnsi="Arial"/>
          <w:sz w:val="18"/>
          <w:szCs w:val="18"/>
          <w:color w:val="auto"/>
        </w:rPr>
      </w:pPr>
      <w:r>
        <w:rPr>
          <w:rFonts w:ascii="Arial" w:cs="Arial" w:eastAsia="Arial" w:hAnsi="Arial"/>
          <w:sz w:val="18"/>
          <w:szCs w:val="18"/>
          <w:color w:val="auto"/>
        </w:rPr>
        <w:t>laws and business practices favoring local competitors or general market preferences for local vendors;</w:t>
      </w:r>
    </w:p>
    <w:p>
      <w:pPr>
        <w:spacing w:after="0" w:line="103" w:lineRule="exact"/>
        <w:rPr>
          <w:rFonts w:ascii="Arial" w:cs="Arial" w:eastAsia="Arial" w:hAnsi="Arial"/>
          <w:sz w:val="18"/>
          <w:szCs w:val="18"/>
          <w:color w:val="auto"/>
        </w:rPr>
      </w:pPr>
    </w:p>
    <w:p>
      <w:pPr>
        <w:ind w:left="1020" w:right="220" w:hanging="479"/>
        <w:spacing w:after="0" w:line="261" w:lineRule="auto"/>
        <w:tabs>
          <w:tab w:leader="none" w:pos="894" w:val="left"/>
        </w:tabs>
        <w:numPr>
          <w:ilvl w:val="0"/>
          <w:numId w:val="37"/>
        </w:numPr>
        <w:rPr>
          <w:rFonts w:ascii="Arial" w:cs="Arial" w:eastAsia="Arial" w:hAnsi="Arial"/>
          <w:sz w:val="18"/>
          <w:szCs w:val="18"/>
          <w:color w:val="auto"/>
        </w:rPr>
      </w:pPr>
      <w:r>
        <w:rPr>
          <w:rFonts w:ascii="Arial" w:cs="Arial" w:eastAsia="Arial" w:hAnsi="Arial"/>
          <w:sz w:val="18"/>
          <w:szCs w:val="18"/>
          <w:color w:val="auto"/>
        </w:rPr>
        <w:t>limited or insufficient intellectual property protection or difficulties obtaining, maintaining, protecting, or enforcing our intellectual property rights, including our trademarks and patents;</w:t>
      </w:r>
    </w:p>
    <w:p>
      <w:pPr>
        <w:spacing w:after="0" w:line="75" w:lineRule="exact"/>
        <w:rPr>
          <w:rFonts w:ascii="Arial" w:cs="Arial" w:eastAsia="Arial" w:hAnsi="Arial"/>
          <w:sz w:val="18"/>
          <w:szCs w:val="18"/>
          <w:color w:val="auto"/>
        </w:rPr>
      </w:pPr>
    </w:p>
    <w:p>
      <w:pPr>
        <w:ind w:left="1020" w:right="80" w:hanging="479"/>
        <w:spacing w:after="0" w:line="247" w:lineRule="auto"/>
        <w:tabs>
          <w:tab w:leader="none" w:pos="894" w:val="left"/>
        </w:tabs>
        <w:numPr>
          <w:ilvl w:val="0"/>
          <w:numId w:val="37"/>
        </w:numPr>
        <w:rPr>
          <w:rFonts w:ascii="Arial" w:cs="Arial" w:eastAsia="Arial" w:hAnsi="Arial"/>
          <w:sz w:val="18"/>
          <w:szCs w:val="18"/>
          <w:color w:val="auto"/>
        </w:rPr>
      </w:pPr>
      <w:r>
        <w:rPr>
          <w:rFonts w:ascii="Arial" w:cs="Arial" w:eastAsia="Arial" w:hAnsi="Arial"/>
          <w:sz w:val="18"/>
          <w:szCs w:val="18"/>
          <w:color w:val="auto"/>
        </w:rPr>
        <w:t>COVID-19 or other pandemics or epidemics, or other global events, including the recent and developing war in Ukraine, that could decrease economic activity in certain markets, decrease use of our products and services, or decrease our ability to import, export, or sell our products and services to existing or new customers in international markets;</w:t>
      </w:r>
    </w:p>
    <w:p>
      <w:pPr>
        <w:spacing w:after="0" w:line="75" w:lineRule="exact"/>
        <w:rPr>
          <w:rFonts w:ascii="Arial" w:cs="Arial" w:eastAsia="Arial" w:hAnsi="Arial"/>
          <w:sz w:val="18"/>
          <w:szCs w:val="18"/>
          <w:color w:val="auto"/>
        </w:rPr>
      </w:pPr>
    </w:p>
    <w:p>
      <w:pPr>
        <w:ind w:left="1020" w:right="20" w:hanging="479"/>
        <w:spacing w:after="0" w:line="277" w:lineRule="auto"/>
        <w:tabs>
          <w:tab w:leader="none" w:pos="894" w:val="left"/>
        </w:tabs>
        <w:numPr>
          <w:ilvl w:val="0"/>
          <w:numId w:val="37"/>
        </w:numPr>
        <w:rPr>
          <w:rFonts w:ascii="Arial" w:cs="Arial" w:eastAsia="Arial" w:hAnsi="Arial"/>
          <w:sz w:val="17"/>
          <w:szCs w:val="17"/>
          <w:color w:val="auto"/>
        </w:rPr>
      </w:pPr>
      <w:r>
        <w:rPr>
          <w:rFonts w:ascii="Arial" w:cs="Arial" w:eastAsia="Arial" w:hAnsi="Arial"/>
          <w:sz w:val="17"/>
          <w:szCs w:val="17"/>
          <w:color w:val="auto"/>
        </w:rPr>
        <w:t>exposure to liabilities under export control, economic and trade sanctions, anti-corruption, and anti-money laundering laws, including the Export Administration Regulations, regulations administered by the Office of Foreign Assets Control, the U.S. Foreign Corrupt Practices Act (“FCPA”), U.S. bribery laws, the UK Bribery Act, and similar laws and regulations in other jurisdictions;</w:t>
      </w:r>
    </w:p>
    <w:p>
      <w:pPr>
        <w:spacing w:after="0" w:line="51" w:lineRule="exact"/>
        <w:rPr>
          <w:rFonts w:ascii="Arial" w:cs="Arial" w:eastAsia="Arial" w:hAnsi="Arial"/>
          <w:sz w:val="17"/>
          <w:szCs w:val="17"/>
          <w:color w:val="auto"/>
        </w:rPr>
      </w:pPr>
    </w:p>
    <w:p>
      <w:pPr>
        <w:ind w:left="900" w:hanging="359"/>
        <w:spacing w:after="0"/>
        <w:tabs>
          <w:tab w:leader="none" w:pos="900" w:val="left"/>
        </w:tabs>
        <w:numPr>
          <w:ilvl w:val="0"/>
          <w:numId w:val="37"/>
        </w:numPr>
        <w:rPr>
          <w:rFonts w:ascii="Arial" w:cs="Arial" w:eastAsia="Arial" w:hAnsi="Arial"/>
          <w:sz w:val="18"/>
          <w:szCs w:val="18"/>
          <w:color w:val="auto"/>
        </w:rPr>
      </w:pPr>
      <w:r>
        <w:rPr>
          <w:rFonts w:ascii="Arial" w:cs="Arial" w:eastAsia="Arial" w:hAnsi="Arial"/>
          <w:sz w:val="18"/>
          <w:szCs w:val="18"/>
          <w:color w:val="auto"/>
        </w:rPr>
        <w:t>increased financial accounting and reporting burdens and complexities;</w:t>
      </w:r>
    </w:p>
    <w:p>
      <w:pPr>
        <w:spacing w:after="0" w:line="116" w:lineRule="exact"/>
        <w:rPr>
          <w:rFonts w:ascii="Arial" w:cs="Arial" w:eastAsia="Arial" w:hAnsi="Arial"/>
          <w:sz w:val="18"/>
          <w:szCs w:val="18"/>
          <w:color w:val="auto"/>
        </w:rPr>
      </w:pPr>
    </w:p>
    <w:p>
      <w:pPr>
        <w:ind w:left="900" w:hanging="359"/>
        <w:spacing w:after="0"/>
        <w:tabs>
          <w:tab w:leader="none" w:pos="900" w:val="left"/>
        </w:tabs>
        <w:numPr>
          <w:ilvl w:val="0"/>
          <w:numId w:val="37"/>
        </w:numPr>
        <w:rPr>
          <w:rFonts w:ascii="Arial" w:cs="Arial" w:eastAsia="Arial" w:hAnsi="Arial"/>
          <w:sz w:val="18"/>
          <w:szCs w:val="18"/>
          <w:color w:val="auto"/>
        </w:rPr>
      </w:pPr>
      <w:r>
        <w:rPr>
          <w:rFonts w:ascii="Arial" w:cs="Arial" w:eastAsia="Arial" w:hAnsi="Arial"/>
          <w:sz w:val="18"/>
          <w:szCs w:val="18"/>
          <w:color w:val="auto"/>
        </w:rPr>
        <w:t>requirements or preferences for domestic products;</w:t>
      </w:r>
    </w:p>
    <w:p>
      <w:pPr>
        <w:spacing w:after="0" w:line="103" w:lineRule="exact"/>
        <w:rPr>
          <w:rFonts w:ascii="Arial" w:cs="Arial" w:eastAsia="Arial" w:hAnsi="Arial"/>
          <w:sz w:val="18"/>
          <w:szCs w:val="18"/>
          <w:color w:val="auto"/>
        </w:rPr>
      </w:pPr>
    </w:p>
    <w:p>
      <w:pPr>
        <w:ind w:left="900" w:hanging="359"/>
        <w:spacing w:after="0"/>
        <w:tabs>
          <w:tab w:leader="none" w:pos="900" w:val="left"/>
        </w:tabs>
        <w:numPr>
          <w:ilvl w:val="0"/>
          <w:numId w:val="37"/>
        </w:numPr>
        <w:rPr>
          <w:rFonts w:ascii="Arial" w:cs="Arial" w:eastAsia="Arial" w:hAnsi="Arial"/>
          <w:sz w:val="18"/>
          <w:szCs w:val="18"/>
          <w:color w:val="auto"/>
        </w:rPr>
      </w:pPr>
      <w:r>
        <w:rPr>
          <w:rFonts w:ascii="Arial" w:cs="Arial" w:eastAsia="Arial" w:hAnsi="Arial"/>
          <w:sz w:val="18"/>
          <w:szCs w:val="18"/>
          <w:color w:val="auto"/>
        </w:rPr>
        <w:t>differing technical standards, existing or future regulatory and certification requirements, and required features and functionality;</w:t>
      </w:r>
    </w:p>
    <w:p>
      <w:pPr>
        <w:spacing w:after="0" w:line="103" w:lineRule="exact"/>
        <w:rPr>
          <w:rFonts w:ascii="Arial" w:cs="Arial" w:eastAsia="Arial" w:hAnsi="Arial"/>
          <w:sz w:val="18"/>
          <w:szCs w:val="18"/>
          <w:color w:val="auto"/>
        </w:rPr>
      </w:pPr>
    </w:p>
    <w:p>
      <w:pPr>
        <w:ind w:left="1020" w:right="280" w:hanging="479"/>
        <w:spacing w:after="0" w:line="277" w:lineRule="auto"/>
        <w:tabs>
          <w:tab w:leader="none" w:pos="894" w:val="left"/>
        </w:tabs>
        <w:numPr>
          <w:ilvl w:val="0"/>
          <w:numId w:val="37"/>
        </w:numPr>
        <w:rPr>
          <w:rFonts w:ascii="Arial" w:cs="Arial" w:eastAsia="Arial" w:hAnsi="Arial"/>
          <w:sz w:val="18"/>
          <w:szCs w:val="18"/>
          <w:color w:val="auto"/>
        </w:rPr>
      </w:pPr>
      <w:r>
        <w:rPr>
          <w:rFonts w:ascii="Arial" w:cs="Arial" w:eastAsia="Arial" w:hAnsi="Arial"/>
          <w:sz w:val="18"/>
          <w:szCs w:val="18"/>
          <w:color w:val="auto"/>
        </w:rPr>
        <w:t>burdens of complying with laws and regulations related to privacy and data security, including the E.U. General Data Protection Regulation (“GDPR”) and similar laws and regulations in other jurisdictions; and</w:t>
      </w:r>
    </w:p>
    <w:p>
      <w:pPr>
        <w:spacing w:after="0" w:line="48" w:lineRule="exact"/>
        <w:rPr>
          <w:rFonts w:ascii="Arial" w:cs="Arial" w:eastAsia="Arial" w:hAnsi="Arial"/>
          <w:sz w:val="18"/>
          <w:szCs w:val="18"/>
          <w:color w:val="auto"/>
        </w:rPr>
      </w:pPr>
    </w:p>
    <w:p>
      <w:pPr>
        <w:ind w:left="1020" w:right="220" w:hanging="479"/>
        <w:spacing w:after="0" w:line="261" w:lineRule="auto"/>
        <w:tabs>
          <w:tab w:leader="none" w:pos="894" w:val="left"/>
        </w:tabs>
        <w:numPr>
          <w:ilvl w:val="0"/>
          <w:numId w:val="37"/>
        </w:numPr>
        <w:rPr>
          <w:rFonts w:ascii="Arial" w:cs="Arial" w:eastAsia="Arial" w:hAnsi="Arial"/>
          <w:sz w:val="18"/>
          <w:szCs w:val="18"/>
          <w:color w:val="auto"/>
        </w:rPr>
      </w:pPr>
      <w:r>
        <w:rPr>
          <w:rFonts w:ascii="Arial" w:cs="Arial" w:eastAsia="Arial" w:hAnsi="Arial"/>
          <w:sz w:val="18"/>
          <w:szCs w:val="18"/>
          <w:color w:val="auto"/>
        </w:rPr>
        <w:t>burdens of complying with laws and regulations related to taxation, and regulations, adverse tax burdens, and foreign exchange controls that could make it difficult to repatriate earnings and cash.</w:t>
      </w:r>
    </w:p>
    <w:p>
      <w:pPr>
        <w:spacing w:after="0" w:line="184" w:lineRule="exact"/>
        <w:rPr>
          <w:sz w:val="20"/>
          <w:szCs w:val="20"/>
          <w:color w:val="auto"/>
        </w:rPr>
      </w:pPr>
    </w:p>
    <w:p>
      <w:pPr>
        <w:ind w:right="580" w:firstLine="509"/>
        <w:spacing w:after="0" w:line="261" w:lineRule="auto"/>
        <w:rPr>
          <w:sz w:val="20"/>
          <w:szCs w:val="20"/>
          <w:color w:val="auto"/>
        </w:rPr>
      </w:pPr>
      <w:r>
        <w:rPr>
          <w:rFonts w:ascii="Arial" w:cs="Arial" w:eastAsia="Arial" w:hAnsi="Arial"/>
          <w:sz w:val="18"/>
          <w:szCs w:val="18"/>
          <w:color w:val="auto"/>
        </w:rPr>
        <w:t>If we invest substantial time and resources to further expand our international operations and are unable to do so successfully and in a timely manner, our business, financial condition, and results of operations could be materially adversely affected.</w:t>
      </w:r>
    </w:p>
    <w:p>
      <w:pPr>
        <w:spacing w:after="0" w:line="62"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55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287" name="Picture 2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7"/>
                    <pic:cNvPicPr>
                      <a:picLocks noChangeAspect="1" noChangeArrowheads="1"/>
                    </pic:cNvPicPr>
                  </pic:nvPicPr>
                  <pic:blipFill>
                    <a:blip r:embed="rId29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543" w:right="359" w:bottom="1440" w:gutter="0" w:footer="0" w:header="0"/>
        </w:sectPr>
      </w:pPr>
    </w:p>
    <w:bookmarkStart w:id="55" w:name="page56"/>
    <w:bookmarkEnd w:id="55"/>
    <w:p>
      <w:pPr>
        <w:spacing w:after="0"/>
        <w:rPr>
          <w:sz w:val="20"/>
          <w:szCs w:val="20"/>
          <w:color w:val="auto"/>
        </w:rPr>
      </w:pPr>
      <w:r>
        <w:rPr>
          <w:rFonts w:ascii="Arial" w:cs="Arial" w:eastAsia="Arial" w:hAnsi="Arial"/>
          <w:sz w:val="15"/>
          <w:szCs w:val="15"/>
          <w:b w:val="1"/>
          <w:bCs w:val="1"/>
          <w:i w:val="1"/>
          <w:iCs w:val="1"/>
          <w:color w:val="auto"/>
        </w:rPr>
        <w:t>The ongoing military action between Russia and Ukraine could materially adversely affect our business, results of operations, and financial condition.</w:t>
      </w:r>
    </w:p>
    <w:p>
      <w:pPr>
        <w:spacing w:after="0" w:line="151" w:lineRule="exact"/>
        <w:rPr>
          <w:sz w:val="20"/>
          <w:szCs w:val="20"/>
          <w:color w:val="auto"/>
        </w:rPr>
      </w:pPr>
    </w:p>
    <w:p>
      <w:pPr>
        <w:ind w:right="20" w:firstLine="509"/>
        <w:spacing w:after="0" w:line="248" w:lineRule="auto"/>
        <w:rPr>
          <w:sz w:val="20"/>
          <w:szCs w:val="20"/>
          <w:color w:val="auto"/>
        </w:rPr>
      </w:pPr>
      <w:r>
        <w:rPr>
          <w:rFonts w:ascii="Arial" w:cs="Arial" w:eastAsia="Arial" w:hAnsi="Arial"/>
          <w:sz w:val="18"/>
          <w:szCs w:val="18"/>
          <w:color w:val="auto"/>
        </w:rPr>
        <w:t>On February 24, 2022, Russian military forces invaded Ukraine, and sustained conflict and disruption in the region is likely. Although the length, impact, and outcome of the ongoing war in Ukraine is highly unpredictable, this conflict has led, and could continue to lead, to significant market and other disruptions, including instability in financial markets, supply chain interruptions, political and social instability, changes in consumer or purchaser preferences, as well as an increase in cyberattacks, intellectual property theft, and espionage.</w:t>
      </w:r>
    </w:p>
    <w:p>
      <w:pPr>
        <w:spacing w:after="0" w:line="385" w:lineRule="exact"/>
        <w:rPr>
          <w:sz w:val="20"/>
          <w:szCs w:val="20"/>
          <w:color w:val="auto"/>
        </w:rPr>
      </w:pPr>
    </w:p>
    <w:p>
      <w:pPr>
        <w:ind w:right="280" w:firstLine="509"/>
        <w:spacing w:after="0" w:line="289" w:lineRule="auto"/>
        <w:rPr>
          <w:sz w:val="20"/>
          <w:szCs w:val="20"/>
          <w:color w:val="auto"/>
        </w:rPr>
      </w:pPr>
      <w:r>
        <w:rPr>
          <w:rFonts w:ascii="Arial" w:cs="Arial" w:eastAsia="Arial" w:hAnsi="Arial"/>
          <w:sz w:val="16"/>
          <w:szCs w:val="16"/>
          <w:color w:val="auto"/>
        </w:rPr>
        <w:t>We are actively monitoring the situation in Ukraine and assessing its impact on our business, including our business partners and customers. For example, we and various companies have voluntarily stopped seeking to increase business in Russia. Such circumstances, combined with new sanctions have resulted in disruptions to our customers' businesses in the impacted regions, including, at times, their ability to pay for our services. As such, we expect a reduction in revenue from customers in the impacted regions as long as these circumstances continue.</w:t>
      </w:r>
    </w:p>
    <w:p>
      <w:pPr>
        <w:spacing w:after="0" w:line="368" w:lineRule="exact"/>
        <w:rPr>
          <w:sz w:val="20"/>
          <w:szCs w:val="20"/>
          <w:color w:val="auto"/>
        </w:rPr>
      </w:pPr>
    </w:p>
    <w:p>
      <w:pPr>
        <w:ind w:right="180" w:firstLine="509"/>
        <w:spacing w:after="0" w:line="283" w:lineRule="auto"/>
        <w:rPr>
          <w:sz w:val="20"/>
          <w:szCs w:val="20"/>
          <w:color w:val="auto"/>
        </w:rPr>
      </w:pPr>
      <w:r>
        <w:rPr>
          <w:rFonts w:ascii="Arial" w:cs="Arial" w:eastAsia="Arial" w:hAnsi="Arial"/>
          <w:sz w:val="16"/>
          <w:szCs w:val="16"/>
          <w:color w:val="auto"/>
        </w:rPr>
        <w:t>We have no way to predict the progress or outcome of the conflict in Ukraine or its impacts in Ukraine, Russia, or Belarus as the conflict, and any resulting government reactions, are rapidly developing and beyond our control. The extent and duration of the military action, sanctions, and resulting market disruptions could be significant and could potentially have a substantial impact on the global economy and our business for an unknown period of time. Any of the above-mentioned factors could materially adversely affect our business, financial condition, and results of operations. Any such disruptions may also magnify the impact of other risks described in this “Risk Factors” section and elsewhere in this Quarterly Report on Form 10-Q.</w:t>
      </w:r>
    </w:p>
    <w:p>
      <w:pPr>
        <w:spacing w:after="0" w:line="200" w:lineRule="exact"/>
        <w:rPr>
          <w:sz w:val="20"/>
          <w:szCs w:val="20"/>
          <w:color w:val="auto"/>
        </w:rPr>
      </w:pPr>
    </w:p>
    <w:p>
      <w:pPr>
        <w:spacing w:after="0" w:line="27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We derive, and expect to continue for some time to derive, substantially all of our revenue from our Amplitude Analytics product.</w:t>
      </w:r>
    </w:p>
    <w:p>
      <w:pPr>
        <w:spacing w:after="0" w:line="103" w:lineRule="exact"/>
        <w:rPr>
          <w:sz w:val="20"/>
          <w:szCs w:val="20"/>
          <w:color w:val="auto"/>
        </w:rPr>
      </w:pPr>
    </w:p>
    <w:p>
      <w:pPr>
        <w:ind w:firstLine="509"/>
        <w:spacing w:after="0" w:line="259" w:lineRule="auto"/>
        <w:rPr>
          <w:sz w:val="20"/>
          <w:szCs w:val="20"/>
          <w:color w:val="auto"/>
        </w:rPr>
      </w:pPr>
      <w:r>
        <w:rPr>
          <w:rFonts w:ascii="Arial" w:cs="Arial" w:eastAsia="Arial" w:hAnsi="Arial"/>
          <w:sz w:val="17"/>
          <w:szCs w:val="17"/>
          <w:color w:val="auto"/>
        </w:rPr>
        <w:t>Although we recently released our Amplitude CDP and Amplitude Experiment products, we currently derive, and expect to continue for some time to derive, substantially all of our revenue from our Amplitude Analytics product. As such, the continued growth in demand for, and market acceptance, of Amplitude Analytics is critical to our success. Demand for Amplitude Analytics and our other products and platform functionality is affected by a number of factors, many of which are beyond our control, such as continued market acceptance of our products by customers for existing and new use cases, the timing of development and release of new products, features, and functionality that are lower-cost alternatives introduced by us or our competitors, technological changes and developments within the markets we serve, and growth or contraction in our addressable markets. If we are unable to continue to meet customer demands or to achieve more widespread market acceptance of our products, particularly our Amplitude Analytics product, our business, financial condition, and results of operations could be materially adversely affected.</w:t>
      </w:r>
    </w:p>
    <w:p>
      <w:pPr>
        <w:spacing w:after="0" w:line="281" w:lineRule="exact"/>
        <w:rPr>
          <w:sz w:val="20"/>
          <w:szCs w:val="20"/>
          <w:color w:val="auto"/>
        </w:rPr>
      </w:pPr>
    </w:p>
    <w:p>
      <w:pPr>
        <w:ind w:right="80"/>
        <w:spacing w:after="0" w:line="255" w:lineRule="auto"/>
        <w:rPr>
          <w:sz w:val="20"/>
          <w:szCs w:val="20"/>
          <w:color w:val="auto"/>
        </w:rPr>
      </w:pPr>
      <w:r>
        <w:rPr>
          <w:rFonts w:ascii="Arial" w:cs="Arial" w:eastAsia="Arial" w:hAnsi="Arial"/>
          <w:sz w:val="18"/>
          <w:szCs w:val="18"/>
          <w:b w:val="1"/>
          <w:bCs w:val="1"/>
          <w:i w:val="1"/>
          <w:iCs w:val="1"/>
          <w:color w:val="auto"/>
        </w:rPr>
        <w:t>We invest significantly in research and development, and to the extent our research and development investments do not translate into new products or material enhancements to our current products, or if we do not use those investments efficiently, our business, financial condition, and results of operations would be materially adversely affected.</w:t>
      </w:r>
    </w:p>
    <w:p>
      <w:pPr>
        <w:spacing w:after="0" w:line="68" w:lineRule="exact"/>
        <w:rPr>
          <w:sz w:val="20"/>
          <w:szCs w:val="20"/>
          <w:color w:val="auto"/>
        </w:rPr>
      </w:pPr>
    </w:p>
    <w:p>
      <w:pPr>
        <w:ind w:right="20" w:firstLine="509"/>
        <w:spacing w:after="0" w:line="277" w:lineRule="auto"/>
        <w:rPr>
          <w:sz w:val="20"/>
          <w:szCs w:val="20"/>
          <w:color w:val="auto"/>
        </w:rPr>
      </w:pPr>
      <w:r>
        <w:rPr>
          <w:rFonts w:ascii="Arial" w:cs="Arial" w:eastAsia="Arial" w:hAnsi="Arial"/>
          <w:sz w:val="16"/>
          <w:szCs w:val="16"/>
          <w:color w:val="auto"/>
        </w:rPr>
        <w:t>For the year ended December 31, 2021 and the nine months ended September 30, 2022 and 2021, our research and development expenses were 29%, 34%, and 29% of our revenue, respectively. If we do not spend our research and development budget efficiently or effectively on compelling innovation and technologies, our business may be harmed. Moreover, research and development projects can be technically challenging and expensive. The nature of these research and development cycles may cause us to experience delays between the time we incur expenses associated with research and development and the time we are able to offer compelling products and generate revenue, if any, from such investment. Additionally, anticipated customer demand for a product or service we are developing could decrease after the development cycle has commenced, and we would nonetheless be unable to avoid substantial costs associated with the development of any such product or service. If we expend a significant amount of resources on research and development and our efforts do not lead to the successful introduction or improvement of products that are competitive in our current or future markets, our business, financial condition, and results of operations would be materially adversely affected.</w:t>
      </w:r>
    </w:p>
    <w:p>
      <w:pPr>
        <w:spacing w:after="0" w:line="58"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56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288" name="Picture 2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8"/>
                    <pic:cNvPicPr>
                      <a:picLocks noChangeAspect="1" noChangeArrowheads="1"/>
                    </pic:cNvPicPr>
                  </pic:nvPicPr>
                  <pic:blipFill>
                    <a:blip r:embed="rId29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651" w:right="359" w:bottom="1440" w:gutter="0" w:footer="0" w:header="0"/>
        </w:sectPr>
      </w:pPr>
    </w:p>
    <w:bookmarkStart w:id="56" w:name="page57"/>
    <w:bookmarkEnd w:id="56"/>
    <w:p>
      <w:pPr>
        <w:spacing w:after="0"/>
        <w:rPr>
          <w:sz w:val="20"/>
          <w:szCs w:val="20"/>
          <w:color w:val="auto"/>
        </w:rPr>
      </w:pPr>
      <w:r>
        <w:rPr>
          <w:rFonts w:ascii="Arial" w:cs="Arial" w:eastAsia="Arial" w:hAnsi="Arial"/>
          <w:sz w:val="18"/>
          <w:szCs w:val="18"/>
          <w:b w:val="1"/>
          <w:bCs w:val="1"/>
          <w:i w:val="1"/>
          <w:iCs w:val="1"/>
          <w:color w:val="auto"/>
        </w:rPr>
        <w:t>We agree to indemnify customers and other third parties, which exposes us to substantial potential liability.</w:t>
      </w:r>
    </w:p>
    <w:p>
      <w:pPr>
        <w:spacing w:after="0" w:line="117" w:lineRule="exact"/>
        <w:rPr>
          <w:sz w:val="20"/>
          <w:szCs w:val="20"/>
          <w:color w:val="auto"/>
        </w:rPr>
      </w:pPr>
    </w:p>
    <w:p>
      <w:pPr>
        <w:ind w:right="20" w:firstLine="509"/>
        <w:spacing w:after="0" w:line="277" w:lineRule="auto"/>
        <w:rPr>
          <w:sz w:val="20"/>
          <w:szCs w:val="20"/>
          <w:color w:val="auto"/>
        </w:rPr>
      </w:pPr>
      <w:r>
        <w:rPr>
          <w:rFonts w:ascii="Arial" w:cs="Arial" w:eastAsia="Arial" w:hAnsi="Arial"/>
          <w:sz w:val="16"/>
          <w:szCs w:val="16"/>
          <w:color w:val="auto"/>
        </w:rPr>
        <w:t>Our contracts with customers and other third parties may include indemnification or other provisions under which we agree to indemnify or otherwise be liable to them for losses arising from alleged infringement, misappropriation, or other violation of intellectual property rights, data protection violations, breaches of representations and warranties, damage to property or persons, or other liabilities arising from our platform or such contracts. Although we attempt to limit our indemnity obligations, an event triggering our indemnity obligations could give rise to multiple claims involving multiple customers or other third parties. These claims may require us to initiate or defend protracted and costly litigation on behalf of our customers and other third parties, regardless of the merits of these claims. We may not have adequate, or any, insurance coverage and may be liable for up to the full amount of the indemnified claims, which could result in substantial liability or material disruption to our business or could negatively impact our relationships with customers or other third parties, reduce demand for our products, and materially adversely affect our business, financial condition, and results of operations.</w:t>
      </w:r>
    </w:p>
    <w:p>
      <w:pPr>
        <w:spacing w:after="0" w:line="270"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auto"/>
        </w:rPr>
        <w:t>We may require additional capital to support the growth of our business, and this capital might not be available on acceptable terms, if at all.</w:t>
      </w:r>
    </w:p>
    <w:p>
      <w:pPr>
        <w:spacing w:after="0" w:line="126" w:lineRule="exact"/>
        <w:rPr>
          <w:sz w:val="20"/>
          <w:szCs w:val="20"/>
          <w:color w:val="auto"/>
        </w:rPr>
      </w:pPr>
    </w:p>
    <w:p>
      <w:pPr>
        <w:ind w:firstLine="509"/>
        <w:spacing w:after="0" w:line="258" w:lineRule="auto"/>
        <w:rPr>
          <w:sz w:val="20"/>
          <w:szCs w:val="20"/>
          <w:color w:val="auto"/>
        </w:rPr>
      </w:pPr>
      <w:r>
        <w:rPr>
          <w:rFonts w:ascii="Arial" w:cs="Arial" w:eastAsia="Arial" w:hAnsi="Arial"/>
          <w:sz w:val="17"/>
          <w:szCs w:val="17"/>
          <w:color w:val="auto"/>
        </w:rPr>
        <w:t>We do not know when or if our operations will generate sufficient cash to fully fund our ongoing operations or the growth of our business. We intend to continue to make investments to support our business, which may require us to engage in debt or equity financings to secure additional funds. Additional financing may not be available on terms favorable to us, if at all. If adequate funds are not available on acceptable terms, we may be unable to invest in future growth opportunities, which could materially adversely affect our business, financial condition, and results of operations. If we incur debt, the debt holders would have rights senior to holders of common stock to make claims on our assets, and the terms of any debt could restrict our operations, including our ability to pay dividends on our common stock. Furthermore, if we issue additional equity securities, stockholders will experience dilution, and the new equity securities could have rights senior to those of our common stock. Because our decision to issue securities in the future will depend on numerous considerations, including factors beyond our control, we cannot predict or estimate the amount, timing, or nature of any future issuances of debt or equity securities. As a result, our stockholders bear the risk of future issuances of debt or equity securities reducing the value of our common stock and diluting their interests.</w:t>
      </w:r>
    </w:p>
    <w:p>
      <w:pPr>
        <w:spacing w:after="0" w:line="29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Risks Related to Our Intellectual Property</w:t>
      </w:r>
    </w:p>
    <w:p>
      <w:pPr>
        <w:spacing w:after="0" w:line="107" w:lineRule="exact"/>
        <w:rPr>
          <w:sz w:val="20"/>
          <w:szCs w:val="20"/>
          <w:color w:val="auto"/>
        </w:rPr>
      </w:pPr>
    </w:p>
    <w:p>
      <w:pPr>
        <w:ind w:right="80"/>
        <w:spacing w:after="0" w:line="261" w:lineRule="auto"/>
        <w:rPr>
          <w:sz w:val="20"/>
          <w:szCs w:val="20"/>
          <w:color w:val="auto"/>
        </w:rPr>
      </w:pPr>
      <w:r>
        <w:rPr>
          <w:rFonts w:ascii="Arial" w:cs="Arial" w:eastAsia="Arial" w:hAnsi="Arial"/>
          <w:sz w:val="18"/>
          <w:szCs w:val="18"/>
          <w:b w:val="1"/>
          <w:bCs w:val="1"/>
          <w:i w:val="1"/>
          <w:iCs w:val="1"/>
          <w:color w:val="auto"/>
        </w:rPr>
        <w:t>Our intellectual property rights may not protect our business or provide us with a competitive advantage, which could have a material adverse effect on our business, financial condition, and results of operations.</w:t>
      </w:r>
    </w:p>
    <w:p>
      <w:pPr>
        <w:spacing w:after="0" w:line="76" w:lineRule="exact"/>
        <w:rPr>
          <w:sz w:val="20"/>
          <w:szCs w:val="20"/>
          <w:color w:val="auto"/>
        </w:rPr>
      </w:pPr>
    </w:p>
    <w:p>
      <w:pPr>
        <w:ind w:right="100" w:firstLine="509"/>
        <w:spacing w:after="0" w:line="243" w:lineRule="auto"/>
        <w:rPr>
          <w:sz w:val="20"/>
          <w:szCs w:val="20"/>
          <w:color w:val="auto"/>
        </w:rPr>
      </w:pPr>
      <w:r>
        <w:rPr>
          <w:rFonts w:ascii="Arial" w:cs="Arial" w:eastAsia="Arial" w:hAnsi="Arial"/>
          <w:sz w:val="18"/>
          <w:szCs w:val="18"/>
          <w:color w:val="auto"/>
        </w:rPr>
        <w:t>To be successful, we must protect our technology and brand in the United States and other jurisdictions through trademarks, trade secrets, patents, copyrights, service marks, invention assignments, contractual restrictions, and other intellectual property rights and confidentiality procedures. Despite our efforts to implement these protections, these measures may not protect our business or provide us with a competitive advantage for a variety of reasons, including:</w:t>
      </w:r>
    </w:p>
    <w:p>
      <w:pPr>
        <w:spacing w:after="0" w:line="92" w:lineRule="exact"/>
        <w:rPr>
          <w:sz w:val="20"/>
          <w:szCs w:val="20"/>
          <w:color w:val="auto"/>
        </w:rPr>
      </w:pPr>
    </w:p>
    <w:p>
      <w:pPr>
        <w:ind w:left="1020" w:right="260" w:hanging="479"/>
        <w:spacing w:after="0" w:line="261" w:lineRule="auto"/>
        <w:tabs>
          <w:tab w:leader="none" w:pos="894" w:val="left"/>
        </w:tabs>
        <w:numPr>
          <w:ilvl w:val="0"/>
          <w:numId w:val="38"/>
        </w:numPr>
        <w:rPr>
          <w:rFonts w:ascii="Arial" w:cs="Arial" w:eastAsia="Arial" w:hAnsi="Arial"/>
          <w:sz w:val="18"/>
          <w:szCs w:val="18"/>
          <w:color w:val="auto"/>
        </w:rPr>
      </w:pPr>
      <w:r>
        <w:rPr>
          <w:rFonts w:ascii="Arial" w:cs="Arial" w:eastAsia="Arial" w:hAnsi="Arial"/>
          <w:sz w:val="18"/>
          <w:szCs w:val="18"/>
          <w:color w:val="auto"/>
        </w:rPr>
        <w:t>our failure to obtain patents and other intellectual property rights for important innovations or maintain appropriate confidentiality and other protective measures to establish and maintain our trade secrets;</w:t>
      </w:r>
    </w:p>
    <w:p>
      <w:pPr>
        <w:spacing w:after="0" w:line="62" w:lineRule="exact"/>
        <w:rPr>
          <w:rFonts w:ascii="Arial" w:cs="Arial" w:eastAsia="Arial" w:hAnsi="Arial"/>
          <w:sz w:val="18"/>
          <w:szCs w:val="18"/>
          <w:color w:val="auto"/>
        </w:rPr>
      </w:pPr>
    </w:p>
    <w:p>
      <w:pPr>
        <w:ind w:left="900" w:hanging="359"/>
        <w:spacing w:after="0"/>
        <w:tabs>
          <w:tab w:leader="none" w:pos="900" w:val="left"/>
        </w:tabs>
        <w:numPr>
          <w:ilvl w:val="0"/>
          <w:numId w:val="38"/>
        </w:numPr>
        <w:rPr>
          <w:rFonts w:ascii="Arial" w:cs="Arial" w:eastAsia="Arial" w:hAnsi="Arial"/>
          <w:sz w:val="16"/>
          <w:szCs w:val="16"/>
          <w:color w:val="auto"/>
        </w:rPr>
      </w:pPr>
      <w:r>
        <w:rPr>
          <w:rFonts w:ascii="Arial" w:cs="Arial" w:eastAsia="Arial" w:hAnsi="Arial"/>
          <w:sz w:val="16"/>
          <w:szCs w:val="16"/>
          <w:color w:val="auto"/>
        </w:rPr>
        <w:t>uncertainty in, and evolution of, legal standards relating to the validity, enforceability, and scope of protection of intellectual property rights;</w:t>
      </w:r>
    </w:p>
    <w:p>
      <w:pPr>
        <w:spacing w:after="0" w:line="139" w:lineRule="exact"/>
        <w:rPr>
          <w:rFonts w:ascii="Arial" w:cs="Arial" w:eastAsia="Arial" w:hAnsi="Arial"/>
          <w:sz w:val="16"/>
          <w:szCs w:val="16"/>
          <w:color w:val="auto"/>
        </w:rPr>
      </w:pPr>
    </w:p>
    <w:p>
      <w:pPr>
        <w:ind w:left="900" w:hanging="359"/>
        <w:spacing w:after="0"/>
        <w:tabs>
          <w:tab w:leader="none" w:pos="900" w:val="left"/>
        </w:tabs>
        <w:numPr>
          <w:ilvl w:val="0"/>
          <w:numId w:val="38"/>
        </w:numPr>
        <w:rPr>
          <w:rFonts w:ascii="Arial" w:cs="Arial" w:eastAsia="Arial" w:hAnsi="Arial"/>
          <w:sz w:val="18"/>
          <w:szCs w:val="18"/>
          <w:color w:val="auto"/>
        </w:rPr>
      </w:pPr>
      <w:r>
        <w:rPr>
          <w:rFonts w:ascii="Arial" w:cs="Arial" w:eastAsia="Arial" w:hAnsi="Arial"/>
          <w:sz w:val="18"/>
          <w:szCs w:val="18"/>
          <w:color w:val="auto"/>
        </w:rPr>
        <w:t>potential invalidation of our intellectual property rights through administrative processes or litigation;</w:t>
      </w:r>
    </w:p>
    <w:p>
      <w:pPr>
        <w:spacing w:after="0" w:line="103" w:lineRule="exact"/>
        <w:rPr>
          <w:rFonts w:ascii="Arial" w:cs="Arial" w:eastAsia="Arial" w:hAnsi="Arial"/>
          <w:sz w:val="18"/>
          <w:szCs w:val="18"/>
          <w:color w:val="auto"/>
        </w:rPr>
      </w:pPr>
    </w:p>
    <w:p>
      <w:pPr>
        <w:ind w:left="900" w:hanging="359"/>
        <w:spacing w:after="0"/>
        <w:tabs>
          <w:tab w:leader="none" w:pos="900" w:val="left"/>
        </w:tabs>
        <w:numPr>
          <w:ilvl w:val="0"/>
          <w:numId w:val="38"/>
        </w:numPr>
        <w:rPr>
          <w:rFonts w:ascii="Arial" w:cs="Arial" w:eastAsia="Arial" w:hAnsi="Arial"/>
          <w:sz w:val="18"/>
          <w:szCs w:val="18"/>
          <w:color w:val="auto"/>
        </w:rPr>
      </w:pPr>
      <w:r>
        <w:rPr>
          <w:rFonts w:ascii="Arial" w:cs="Arial" w:eastAsia="Arial" w:hAnsi="Arial"/>
          <w:sz w:val="18"/>
          <w:szCs w:val="18"/>
          <w:color w:val="auto"/>
        </w:rPr>
        <w:t>any inability by us to detect infringement or other misappropriation of our intellectual property rights by third parties; and</w:t>
      </w:r>
    </w:p>
    <w:p>
      <w:pPr>
        <w:spacing w:after="0" w:line="103" w:lineRule="exact"/>
        <w:rPr>
          <w:rFonts w:ascii="Arial" w:cs="Arial" w:eastAsia="Arial" w:hAnsi="Arial"/>
          <w:sz w:val="18"/>
          <w:szCs w:val="18"/>
          <w:color w:val="auto"/>
        </w:rPr>
      </w:pPr>
    </w:p>
    <w:p>
      <w:pPr>
        <w:ind w:left="900" w:hanging="359"/>
        <w:spacing w:after="0"/>
        <w:tabs>
          <w:tab w:leader="none" w:pos="900" w:val="left"/>
        </w:tabs>
        <w:numPr>
          <w:ilvl w:val="0"/>
          <w:numId w:val="38"/>
        </w:numPr>
        <w:rPr>
          <w:rFonts w:ascii="Arial" w:cs="Arial" w:eastAsia="Arial" w:hAnsi="Arial"/>
          <w:sz w:val="18"/>
          <w:szCs w:val="18"/>
          <w:color w:val="auto"/>
        </w:rPr>
      </w:pPr>
      <w:r>
        <w:rPr>
          <w:rFonts w:ascii="Arial" w:cs="Arial" w:eastAsia="Arial" w:hAnsi="Arial"/>
          <w:sz w:val="18"/>
          <w:szCs w:val="18"/>
          <w:color w:val="auto"/>
        </w:rPr>
        <w:t>other practical, resource, or business limitations on our ability to enforce our rights.</w:t>
      </w:r>
    </w:p>
    <w:p>
      <w:pPr>
        <w:spacing w:after="0" w:line="225" w:lineRule="exact"/>
        <w:rPr>
          <w:sz w:val="20"/>
          <w:szCs w:val="20"/>
          <w:color w:val="auto"/>
        </w:rPr>
      </w:pPr>
    </w:p>
    <w:p>
      <w:pPr>
        <w:ind w:right="120" w:firstLine="509"/>
        <w:spacing w:after="0" w:line="260" w:lineRule="auto"/>
        <w:rPr>
          <w:sz w:val="20"/>
          <w:szCs w:val="20"/>
          <w:color w:val="auto"/>
        </w:rPr>
      </w:pPr>
      <w:r>
        <w:rPr>
          <w:rFonts w:ascii="Arial" w:cs="Arial" w:eastAsia="Arial" w:hAnsi="Arial"/>
          <w:sz w:val="17"/>
          <w:szCs w:val="17"/>
          <w:color w:val="auto"/>
        </w:rPr>
        <w:t>Further, the laws of certain foreign countries, particularly certain developing countries, do not provide the same level of protection of corporate proprietary information and assets, such as intellectual property, trademarks, trade secrets, know-how, and records, as the laws of the United States. As a result, we may encounter significant problems in protecting and defending our intellectual property or proprietary rights in foreign jurisdictions. Additionally, we may also be exposed to material risks of theft or unauthorized reverse engineering of our proprietary information and other intellectual property, including technical data, data sets, or other sensitive information. Our efforts to enforce our intellectual property rights in such foreign countries may be inadequate to obtain a significant commercial advantage from the intellectual property that we develop, which could have a material adverse effect on our business, financial condition, and results of operations.</w:t>
      </w:r>
    </w:p>
    <w:p>
      <w:pPr>
        <w:spacing w:after="0" w:line="6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61595</wp:posOffset>
            </wp:positionV>
            <wp:extent cx="7157720" cy="42545"/>
            <wp:wrapNone/>
            <wp:docPr id="289" name="Picture 2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9"/>
                    <pic:cNvPicPr>
                      <a:picLocks noChangeAspect="1" noChangeArrowheads="1"/>
                    </pic:cNvPicPr>
                  </pic:nvPicPr>
                  <pic:blipFill>
                    <a:blip r:embed="rId29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651" w:right="339" w:bottom="1440" w:gutter="0" w:footer="0" w:header="0"/>
        </w:sectPr>
      </w:pPr>
    </w:p>
    <w:bookmarkStart w:id="57" w:name="page58"/>
    <w:bookmarkEnd w:id="57"/>
    <w:p>
      <w:pPr>
        <w:ind w:right="300" w:firstLine="509"/>
        <w:spacing w:after="0" w:line="289" w:lineRule="auto"/>
        <w:rPr>
          <w:sz w:val="20"/>
          <w:szCs w:val="20"/>
          <w:color w:val="auto"/>
        </w:rPr>
      </w:pPr>
      <w:r>
        <w:rPr>
          <w:rFonts w:ascii="Arial" w:cs="Arial" w:eastAsia="Arial" w:hAnsi="Arial"/>
          <w:sz w:val="16"/>
          <w:szCs w:val="16"/>
          <w:color w:val="auto"/>
        </w:rPr>
        <w:t>We enter into confidentiality and invention assignment agreements with our employees and consultants and enter into confidentiality agreements with the parties with whom we have strategic relationships and business alliances. No assurance can be given that these agreements will be effective in controlling access to, and distribution of, our products and proprietary information. Further, these agreements may not prevent our competitors from independently developing technologies that are substantially equivalent or superior to our platform and offerings.</w:t>
      </w:r>
    </w:p>
    <w:p>
      <w:pPr>
        <w:spacing w:after="0" w:line="166" w:lineRule="exact"/>
        <w:rPr>
          <w:sz w:val="20"/>
          <w:szCs w:val="20"/>
          <w:color w:val="auto"/>
        </w:rPr>
      </w:pPr>
    </w:p>
    <w:p>
      <w:pPr>
        <w:ind w:firstLine="509"/>
        <w:spacing w:after="0" w:line="263" w:lineRule="auto"/>
        <w:rPr>
          <w:sz w:val="20"/>
          <w:szCs w:val="20"/>
          <w:color w:val="auto"/>
        </w:rPr>
      </w:pPr>
      <w:r>
        <w:rPr>
          <w:rFonts w:ascii="Arial" w:cs="Arial" w:eastAsia="Arial" w:hAnsi="Arial"/>
          <w:sz w:val="17"/>
          <w:szCs w:val="17"/>
          <w:color w:val="auto"/>
        </w:rPr>
        <w:t>Further, litigation may be necessary to enforce our intellectual property or proprietary rights, protect our trade secrets, or determine the validity and scope of proprietary rights claimed by others. Any litigation, whether or not resolved in our favor, could result in significant expense to us, divert the efforts of our technical and management personnel, and result in counterclaims with respect to infringement of intellectual property rights by us. If we are unable to prevent third parties from infringing upon or misappropriating our intellectual property or are required to incur substantial expenses defending our intellectual property rights, our business, financial condition, and results of operations may be materially adversely affected.</w:t>
      </w:r>
    </w:p>
    <w:p>
      <w:pPr>
        <w:spacing w:after="0" w:line="277" w:lineRule="exact"/>
        <w:rPr>
          <w:sz w:val="20"/>
          <w:szCs w:val="20"/>
          <w:color w:val="auto"/>
        </w:rPr>
      </w:pPr>
    </w:p>
    <w:p>
      <w:pPr>
        <w:ind w:right="20"/>
        <w:spacing w:after="0" w:line="261" w:lineRule="auto"/>
        <w:rPr>
          <w:sz w:val="20"/>
          <w:szCs w:val="20"/>
          <w:color w:val="auto"/>
        </w:rPr>
      </w:pPr>
      <w:r>
        <w:rPr>
          <w:rFonts w:ascii="Arial" w:cs="Arial" w:eastAsia="Arial" w:hAnsi="Arial"/>
          <w:sz w:val="18"/>
          <w:szCs w:val="18"/>
          <w:b w:val="1"/>
          <w:bCs w:val="1"/>
          <w:i w:val="1"/>
          <w:iCs w:val="1"/>
          <w:color w:val="auto"/>
        </w:rPr>
        <w:t>We may become subject to intellectual property disputes, which are expensive to support and, if resolved adversely, may subject us to significant liability and increased costs of doing business, which could have a material adverse effect on us.</w:t>
      </w:r>
    </w:p>
    <w:p>
      <w:pPr>
        <w:spacing w:after="0" w:line="76" w:lineRule="exact"/>
        <w:rPr>
          <w:sz w:val="20"/>
          <w:szCs w:val="20"/>
          <w:color w:val="auto"/>
        </w:rPr>
      </w:pPr>
    </w:p>
    <w:p>
      <w:pPr>
        <w:ind w:right="20" w:firstLine="509"/>
        <w:spacing w:after="0" w:line="279" w:lineRule="auto"/>
        <w:rPr>
          <w:sz w:val="20"/>
          <w:szCs w:val="20"/>
          <w:color w:val="auto"/>
        </w:rPr>
      </w:pPr>
      <w:r>
        <w:rPr>
          <w:rFonts w:ascii="Arial" w:cs="Arial" w:eastAsia="Arial" w:hAnsi="Arial"/>
          <w:sz w:val="16"/>
          <w:szCs w:val="16"/>
          <w:color w:val="auto"/>
        </w:rPr>
        <w:t>We compete in markets where there are a large number of patents, copyrights, trademarks, trade secrets, and other intellectual and proprietary rights, as well as disputes regarding infringement of these rights. Many of the holders of patents, copyrights, trademarks, trade secrets, and other intellectual and proprietary rights have extensive intellectual property portfolios and greater resources than we do to enforce their rights. As compared to our large competitors, our patent portfolio is relatively undeveloped and may not provide a material deterrent to such assertions or provide us with a strong basis to counterclaim or negotiate settlements. Further, to the extent assertions are made against us by entities that hold patents but are not operating companies, our patent portfolio may not provide deterrence because such entities are not concerned with counterclaims.</w:t>
      </w:r>
    </w:p>
    <w:p>
      <w:pPr>
        <w:spacing w:after="0" w:line="173" w:lineRule="exact"/>
        <w:rPr>
          <w:sz w:val="20"/>
          <w:szCs w:val="20"/>
          <w:color w:val="auto"/>
        </w:rPr>
      </w:pPr>
    </w:p>
    <w:p>
      <w:pPr>
        <w:ind w:left="520"/>
        <w:spacing w:after="0"/>
        <w:rPr>
          <w:sz w:val="20"/>
          <w:szCs w:val="20"/>
          <w:color w:val="auto"/>
        </w:rPr>
      </w:pPr>
      <w:r>
        <w:rPr>
          <w:rFonts w:ascii="Arial" w:cs="Arial" w:eastAsia="Arial" w:hAnsi="Arial"/>
          <w:sz w:val="18"/>
          <w:szCs w:val="18"/>
          <w:color w:val="auto"/>
        </w:rPr>
        <w:t>Any intellectual property litigation to which we become a party may require us to do one or more of the following:</w:t>
      </w:r>
    </w:p>
    <w:p>
      <w:pPr>
        <w:spacing w:after="0" w:line="103" w:lineRule="exact"/>
        <w:rPr>
          <w:sz w:val="20"/>
          <w:szCs w:val="20"/>
          <w:color w:val="auto"/>
        </w:rPr>
      </w:pPr>
    </w:p>
    <w:p>
      <w:pPr>
        <w:ind w:left="1020" w:right="1080" w:hanging="504"/>
        <w:spacing w:after="0" w:line="261" w:lineRule="auto"/>
        <w:tabs>
          <w:tab w:leader="none" w:pos="1020" w:val="left"/>
        </w:tabs>
        <w:numPr>
          <w:ilvl w:val="0"/>
          <w:numId w:val="39"/>
        </w:numPr>
        <w:rPr>
          <w:rFonts w:ascii="Arial" w:cs="Arial" w:eastAsia="Arial" w:hAnsi="Arial"/>
          <w:sz w:val="18"/>
          <w:szCs w:val="18"/>
          <w:color w:val="auto"/>
        </w:rPr>
      </w:pPr>
      <w:r>
        <w:rPr>
          <w:rFonts w:ascii="Arial" w:cs="Arial" w:eastAsia="Arial" w:hAnsi="Arial"/>
          <w:sz w:val="18"/>
          <w:szCs w:val="18"/>
          <w:color w:val="auto"/>
        </w:rPr>
        <w:t>cease selling, licensing, or using products or features that incorporate the intellectual property rights that we allegedly infringe, misappropriate, or violate;</w:t>
      </w:r>
    </w:p>
    <w:p>
      <w:pPr>
        <w:spacing w:after="0" w:line="75" w:lineRule="exact"/>
        <w:rPr>
          <w:rFonts w:ascii="Arial" w:cs="Arial" w:eastAsia="Arial" w:hAnsi="Arial"/>
          <w:sz w:val="18"/>
          <w:szCs w:val="18"/>
          <w:color w:val="auto"/>
        </w:rPr>
      </w:pPr>
    </w:p>
    <w:p>
      <w:pPr>
        <w:ind w:left="1020" w:right="20" w:hanging="504"/>
        <w:spacing w:after="0" w:line="261" w:lineRule="auto"/>
        <w:tabs>
          <w:tab w:leader="none" w:pos="1020" w:val="left"/>
        </w:tabs>
        <w:numPr>
          <w:ilvl w:val="0"/>
          <w:numId w:val="39"/>
        </w:numPr>
        <w:rPr>
          <w:rFonts w:ascii="Arial" w:cs="Arial" w:eastAsia="Arial" w:hAnsi="Arial"/>
          <w:sz w:val="18"/>
          <w:szCs w:val="18"/>
          <w:color w:val="auto"/>
        </w:rPr>
      </w:pPr>
      <w:r>
        <w:rPr>
          <w:rFonts w:ascii="Arial" w:cs="Arial" w:eastAsia="Arial" w:hAnsi="Arial"/>
          <w:sz w:val="18"/>
          <w:szCs w:val="18"/>
          <w:color w:val="auto"/>
        </w:rPr>
        <w:t>make substantial payments for legal fees, settlement payments, subscription fee refunds, or other costs or damages, including indemnification of third parties;</w:t>
      </w:r>
    </w:p>
    <w:p>
      <w:pPr>
        <w:spacing w:after="0" w:line="62" w:lineRule="exact"/>
        <w:rPr>
          <w:rFonts w:ascii="Arial" w:cs="Arial" w:eastAsia="Arial" w:hAnsi="Arial"/>
          <w:sz w:val="18"/>
          <w:szCs w:val="18"/>
          <w:color w:val="auto"/>
        </w:rPr>
      </w:pPr>
    </w:p>
    <w:p>
      <w:pPr>
        <w:ind w:left="1020" w:right="300" w:hanging="504"/>
        <w:spacing w:after="0" w:line="277" w:lineRule="auto"/>
        <w:tabs>
          <w:tab w:leader="none" w:pos="1020" w:val="left"/>
        </w:tabs>
        <w:numPr>
          <w:ilvl w:val="0"/>
          <w:numId w:val="39"/>
        </w:numPr>
        <w:rPr>
          <w:rFonts w:ascii="Arial" w:cs="Arial" w:eastAsia="Arial" w:hAnsi="Arial"/>
          <w:sz w:val="18"/>
          <w:szCs w:val="18"/>
          <w:color w:val="auto"/>
        </w:rPr>
      </w:pPr>
      <w:r>
        <w:rPr>
          <w:rFonts w:ascii="Arial" w:cs="Arial" w:eastAsia="Arial" w:hAnsi="Arial"/>
          <w:sz w:val="18"/>
          <w:szCs w:val="18"/>
          <w:color w:val="auto"/>
        </w:rPr>
        <w:t>obtain a license or enter into a royalty agreement, either of which may not be available on reasonable terms or at all, in order to obtain the right to sell or use the relevant intellectual property; or</w:t>
      </w:r>
    </w:p>
    <w:p>
      <w:pPr>
        <w:spacing w:after="0" w:line="48" w:lineRule="exact"/>
        <w:rPr>
          <w:rFonts w:ascii="Arial" w:cs="Arial" w:eastAsia="Arial" w:hAnsi="Arial"/>
          <w:sz w:val="18"/>
          <w:szCs w:val="18"/>
          <w:color w:val="auto"/>
        </w:rPr>
      </w:pPr>
    </w:p>
    <w:p>
      <w:pPr>
        <w:ind w:left="1020" w:right="200" w:hanging="504"/>
        <w:spacing w:after="0" w:line="261" w:lineRule="auto"/>
        <w:tabs>
          <w:tab w:leader="none" w:pos="1020" w:val="left"/>
        </w:tabs>
        <w:numPr>
          <w:ilvl w:val="0"/>
          <w:numId w:val="39"/>
        </w:numPr>
        <w:rPr>
          <w:rFonts w:ascii="Arial" w:cs="Arial" w:eastAsia="Arial" w:hAnsi="Arial"/>
          <w:sz w:val="18"/>
          <w:szCs w:val="18"/>
          <w:color w:val="auto"/>
        </w:rPr>
      </w:pPr>
      <w:r>
        <w:rPr>
          <w:rFonts w:ascii="Arial" w:cs="Arial" w:eastAsia="Arial" w:hAnsi="Arial"/>
          <w:sz w:val="18"/>
          <w:szCs w:val="18"/>
          <w:color w:val="auto"/>
        </w:rPr>
        <w:t>redesign the allegedly infringing products to avoid infringement, misappropriation, or violation, which could be costly, time-consuming, or impossible.</w:t>
      </w:r>
    </w:p>
    <w:p>
      <w:pPr>
        <w:spacing w:after="0" w:line="170" w:lineRule="exact"/>
        <w:rPr>
          <w:sz w:val="20"/>
          <w:szCs w:val="20"/>
          <w:color w:val="auto"/>
        </w:rPr>
      </w:pPr>
    </w:p>
    <w:p>
      <w:pPr>
        <w:ind w:right="40" w:firstLine="509"/>
        <w:spacing w:after="0" w:line="245" w:lineRule="auto"/>
        <w:rPr>
          <w:sz w:val="20"/>
          <w:szCs w:val="20"/>
          <w:color w:val="auto"/>
        </w:rPr>
      </w:pPr>
      <w:r>
        <w:rPr>
          <w:rFonts w:ascii="Arial" w:cs="Arial" w:eastAsia="Arial" w:hAnsi="Arial"/>
          <w:sz w:val="18"/>
          <w:szCs w:val="18"/>
          <w:color w:val="auto"/>
        </w:rPr>
        <w:t>Intellectual property litigation is typically complex, time consuming, and expensive to resolve and would divert the resources, time, and attention of our management and technical personnel, which might seriously harm our business, financial condition, and results of operations. We may be required to settle such litigation on terms that are unfavorable to us. For example, a settlement may require us to obtain a license to continue practices found to be in violation of a third party’s rights, which may not be available on reasonable terms and may significantly increase our operating expenses. A license to continue such practices may not be available to us at all. As a result, we may also be required to develop alternative, non-infringing technology or practices or discontinue the practices. The development of alternative non-infringing technology or practices would require significant effort and expense. Similarly, if any litigation to which we may be a party fails to settle and we go to trial, we may be subject to an unfavorable judgment which may not be reversible upon appeal.</w:t>
      </w:r>
    </w:p>
    <w:p>
      <w:pPr>
        <w:spacing w:after="0" w:line="184" w:lineRule="exact"/>
        <w:rPr>
          <w:sz w:val="20"/>
          <w:szCs w:val="20"/>
          <w:color w:val="auto"/>
        </w:rPr>
      </w:pPr>
    </w:p>
    <w:p>
      <w:pPr>
        <w:jc w:val="both"/>
        <w:ind w:right="120" w:firstLine="509"/>
        <w:spacing w:after="0" w:line="255" w:lineRule="auto"/>
        <w:rPr>
          <w:sz w:val="20"/>
          <w:szCs w:val="20"/>
          <w:color w:val="auto"/>
        </w:rPr>
      </w:pPr>
      <w:r>
        <w:rPr>
          <w:rFonts w:ascii="Arial" w:cs="Arial" w:eastAsia="Arial" w:hAnsi="Arial"/>
          <w:sz w:val="18"/>
          <w:szCs w:val="18"/>
          <w:color w:val="auto"/>
        </w:rPr>
        <w:t>Further, such litigation may also result in adverse publicity, which could harm our reputation and ability to attract or retain customers. As we grow, we may experience a heightened risk of allegations of intellectual property infringement. An adverse result in any litigation claims against us could have a material adverse effect on our business, financial condition, and results of operations.</w:t>
      </w:r>
    </w:p>
    <w:p>
      <w:pPr>
        <w:spacing w:after="0" w:line="6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58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61595</wp:posOffset>
            </wp:positionV>
            <wp:extent cx="7157720" cy="42545"/>
            <wp:wrapNone/>
            <wp:docPr id="290" name="Picture 2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0"/>
                    <pic:cNvPicPr>
                      <a:picLocks noChangeAspect="1" noChangeArrowheads="1"/>
                    </pic:cNvPicPr>
                  </pic:nvPicPr>
                  <pic:blipFill>
                    <a:blip r:embed="rId29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543" w:right="359" w:bottom="1440" w:gutter="0" w:footer="0" w:header="0"/>
        </w:sectPr>
      </w:pPr>
    </w:p>
    <w:bookmarkStart w:id="58" w:name="page59"/>
    <w:bookmarkEnd w:id="58"/>
    <w:p>
      <w:pPr>
        <w:spacing w:after="0"/>
        <w:rPr>
          <w:sz w:val="20"/>
          <w:szCs w:val="20"/>
          <w:color w:val="auto"/>
        </w:rPr>
      </w:pPr>
      <w:r>
        <w:rPr>
          <w:rFonts w:ascii="Arial" w:cs="Arial" w:eastAsia="Arial" w:hAnsi="Arial"/>
          <w:sz w:val="18"/>
          <w:szCs w:val="18"/>
          <w:b w:val="1"/>
          <w:bCs w:val="1"/>
          <w:i w:val="1"/>
          <w:iCs w:val="1"/>
          <w:color w:val="auto"/>
        </w:rPr>
        <w:t>Our use of “open-source” software could negatively affect our ability to sell our platform and subject us to possible litigation.</w:t>
      </w:r>
    </w:p>
    <w:p>
      <w:pPr>
        <w:spacing w:after="0" w:line="117" w:lineRule="exact"/>
        <w:rPr>
          <w:sz w:val="20"/>
          <w:szCs w:val="20"/>
          <w:color w:val="auto"/>
        </w:rPr>
      </w:pPr>
    </w:p>
    <w:p>
      <w:pPr>
        <w:ind w:firstLine="509"/>
        <w:spacing w:after="0" w:line="273" w:lineRule="auto"/>
        <w:rPr>
          <w:sz w:val="20"/>
          <w:szCs w:val="20"/>
          <w:color w:val="auto"/>
        </w:rPr>
      </w:pPr>
      <w:r>
        <w:rPr>
          <w:rFonts w:ascii="Arial" w:cs="Arial" w:eastAsia="Arial" w:hAnsi="Arial"/>
          <w:sz w:val="16"/>
          <w:szCs w:val="16"/>
          <w:color w:val="auto"/>
        </w:rPr>
        <w:t>We use software in our Digital Analytics Platform that is licensed from third parties pursuant to open-source licenses. Certain open-source software licenses require a user who distributes or otherwise makes available the open-source software in connection with the user’s proprietary software to disclose publicly part or all of the source code to the user’s proprietary software. The use and distribution of open-source software may entail greater risks than the use of third-party commercial software, as open-source licensors generally do not provide warranties or other contractual protections regarding infringement claims or the quality of the code. Additionally, certain open-source software licenses are difficult to interpret and require the user of such software to make the source code of any derivative works of the open-source code and certain related software available to third parties with few restrictions on the use or further distribution of such software by such third parties. As a result, we may face claims from others seeking to enforce the terms of an open-source license, including by demanding the release of derivative works of the open-source software and our proprietary source code that was developed or used in connection with such software. These claims could also result in litigation and require us to replace certain open-source software with proprietary software licensed under costly commercial licenses or require us to devote additional research and development resources to change our platform, any of which would have a material adverse effect on our business and results of operations. Although we have implemented policies to regulate the use and incorporation of open-source software into our platform, we cannot be certain that we have not incorporated open-source software in our platform in a manner that is inconsistent with such policies. Any use of open-source software inconsistent with our policies or licensing terms could materially adversely affect our business, financial condition, and results of operations.</w:t>
      </w:r>
    </w:p>
    <w:p>
      <w:pPr>
        <w:spacing w:after="0" w:line="64" w:lineRule="exact"/>
        <w:rPr>
          <w:sz w:val="20"/>
          <w:szCs w:val="20"/>
          <w:color w:val="auto"/>
        </w:rPr>
      </w:pPr>
    </w:p>
    <w:p>
      <w:pPr>
        <w:jc w:val="center"/>
        <w:ind w:right="-79"/>
        <w:spacing w:after="0"/>
        <w:rPr>
          <w:sz w:val="20"/>
          <w:szCs w:val="20"/>
          <w:color w:val="auto"/>
        </w:rPr>
      </w:pPr>
      <w:r>
        <w:rPr>
          <w:rFonts w:ascii="Arial" w:cs="Arial" w:eastAsia="Arial" w:hAnsi="Arial"/>
          <w:sz w:val="18"/>
          <w:szCs w:val="18"/>
          <w:color w:val="auto"/>
        </w:rPr>
        <w:t>59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61595</wp:posOffset>
            </wp:positionV>
            <wp:extent cx="7157720" cy="42545"/>
            <wp:wrapNone/>
            <wp:docPr id="291" name="Picture 2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1"/>
                    <pic:cNvPicPr>
                      <a:picLocks noChangeAspect="1" noChangeArrowheads="1"/>
                    </pic:cNvPicPr>
                  </pic:nvPicPr>
                  <pic:blipFill>
                    <a:blip r:embed="rId29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60"/>
          </w:cols>
          <w:pgMar w:left="320" w:top="651" w:right="419" w:bottom="1440" w:gutter="0" w:footer="0" w:header="0"/>
        </w:sectPr>
      </w:pPr>
    </w:p>
    <w:bookmarkStart w:id="59" w:name="page60"/>
    <w:bookmarkEnd w:id="59"/>
    <w:p>
      <w:pPr>
        <w:spacing w:after="0"/>
        <w:rPr>
          <w:sz w:val="20"/>
          <w:szCs w:val="20"/>
          <w:color w:val="auto"/>
        </w:rPr>
      </w:pPr>
      <w:r>
        <w:rPr>
          <w:rFonts w:ascii="Arial" w:cs="Arial" w:eastAsia="Arial" w:hAnsi="Arial"/>
          <w:sz w:val="18"/>
          <w:szCs w:val="18"/>
          <w:b w:val="1"/>
          <w:bCs w:val="1"/>
          <w:color w:val="auto"/>
        </w:rPr>
        <w:t>Risks Related to Regulatory Compliance and Legal Matters</w:t>
      </w:r>
    </w:p>
    <w:p>
      <w:pPr>
        <w:spacing w:after="0" w:line="121" w:lineRule="exact"/>
        <w:rPr>
          <w:sz w:val="20"/>
          <w:szCs w:val="20"/>
          <w:color w:val="auto"/>
        </w:rPr>
      </w:pPr>
    </w:p>
    <w:p>
      <w:pPr>
        <w:ind w:right="160"/>
        <w:spacing w:after="0" w:line="261" w:lineRule="auto"/>
        <w:rPr>
          <w:sz w:val="20"/>
          <w:szCs w:val="20"/>
          <w:color w:val="auto"/>
        </w:rPr>
      </w:pPr>
      <w:r>
        <w:rPr>
          <w:rFonts w:ascii="Arial" w:cs="Arial" w:eastAsia="Arial" w:hAnsi="Arial"/>
          <w:sz w:val="18"/>
          <w:szCs w:val="18"/>
          <w:b w:val="1"/>
          <w:bCs w:val="1"/>
          <w:i w:val="1"/>
          <w:iCs w:val="1"/>
          <w:color w:val="auto"/>
        </w:rPr>
        <w:t>We are subject to government regulation, including import, export, economic and trade sanctions, and anti-corruption laws and regulations, that may expose us to liability and increase our costs.</w:t>
      </w:r>
    </w:p>
    <w:p>
      <w:pPr>
        <w:spacing w:after="0" w:line="62" w:lineRule="exact"/>
        <w:rPr>
          <w:sz w:val="20"/>
          <w:szCs w:val="20"/>
          <w:color w:val="auto"/>
        </w:rPr>
      </w:pPr>
    </w:p>
    <w:p>
      <w:pPr>
        <w:ind w:right="20" w:firstLine="509"/>
        <w:spacing w:after="0" w:line="273" w:lineRule="auto"/>
        <w:rPr>
          <w:sz w:val="20"/>
          <w:szCs w:val="20"/>
          <w:color w:val="auto"/>
        </w:rPr>
      </w:pPr>
      <w:r>
        <w:rPr>
          <w:rFonts w:ascii="Arial" w:cs="Arial" w:eastAsia="Arial" w:hAnsi="Arial"/>
          <w:sz w:val="16"/>
          <w:szCs w:val="16"/>
          <w:color w:val="auto"/>
        </w:rPr>
        <w:t>Our Digital Analytics Platform is subject to U.S. export controls, including the U.S. Department of Commerce’s Export Administration Regulations and economic and trade sanctions regulations administered by the U.S. Department of the Treasury’s Office of Foreign Assets Control. These regulations may limit the export of our products and provision of our services outside of the United States, or may require export authorizations, including by license, a license exception, or other appropriate government authorizations, including annual or semi-annual reporting and the filing of an encryption registration. Export control and economic sanctions laws may also include prohibitions on the sale or supply of certain of our products to embargoed or sanctioned countries, regions, governments, persons, and entities. In addition, various countries regulate the importation of certain products, through import permitting and licensing requirements, and have enacted laws that could limit our ability to distribute our products. The exportation, reexportation, and importation of our products and the provision of services, including by our partners, must comply with these laws or else we may be adversely affected, through reputational harm, government investigations, penalties, and a denial or curtailment of our ability to export our products or provide services. Complying with export control and sanctions laws may be time consuming and may result in the delay or loss of sales opportunities. Although we have controls designed to prevent our services from being used in violation of such laws, we are aware of a limited number of past occasions in which persons from U.S. sanctioned countries or regions appear to have accessed our platform. We have taken measures designed to prevent such situations from reoccurring, but there can be no guarantee that such measures will be successful in every case. If we are found to be in violation of U.S. sanctions or export control laws, it could result in substantial fines and penalties for us and for individuals working for us. Changes in export or import laws, or corresponding sanctions, may delay the introduction and sale of our services in international markets, or, in some cases, prevent the export or import of our services to certain countries, regions, governments, persons, or entities altogether, which could materially adversely affect our business, financial condition, and results of operations.</w:t>
      </w:r>
    </w:p>
    <w:p>
      <w:pPr>
        <w:spacing w:after="0" w:line="171" w:lineRule="exact"/>
        <w:rPr>
          <w:sz w:val="20"/>
          <w:szCs w:val="20"/>
          <w:color w:val="auto"/>
        </w:rPr>
      </w:pPr>
    </w:p>
    <w:p>
      <w:pPr>
        <w:ind w:firstLine="509"/>
        <w:spacing w:after="0" w:line="259" w:lineRule="auto"/>
        <w:rPr>
          <w:sz w:val="20"/>
          <w:szCs w:val="20"/>
          <w:color w:val="auto"/>
        </w:rPr>
      </w:pPr>
      <w:r>
        <w:rPr>
          <w:rFonts w:ascii="Arial" w:cs="Arial" w:eastAsia="Arial" w:hAnsi="Arial"/>
          <w:sz w:val="17"/>
          <w:szCs w:val="17"/>
          <w:color w:val="auto"/>
        </w:rPr>
        <w:t>We are also subject to various domestic and international anti-corruption laws, such as the FCPA and the UK Bribery Act, as well as other similar anti-bribery and anti-kickback laws and regulations. These laws and regulations generally prohibit companies and their employees and intermediaries from directly or indirectly authorizing, promising, offering, or providing payments or benefits to government officials and other recipients for improper purposes, such as to obtain or retain business improperly or secure an improper business advantage. We rely on certain third parties to support our sales and regulatory compliance efforts and can be held liable in certain cases for their corrupt or other illegal activities, even if we do not explicitly authorize such activities. The FCPA also requires that we keep accurate books and records and maintain a system of adequate internal controls. Although we take precautions to prevent violations of these laws, we cannot provide assurance that our internal controls and compliance systems will always prevent misconduct by our employees, agents, third parties, or business partners. Our exposure for violating these laws will increase as our international presence expands and as we increase sales and operations in foreign jurisdictions.</w:t>
      </w:r>
    </w:p>
    <w:p>
      <w:pPr>
        <w:spacing w:after="0" w:line="178" w:lineRule="exact"/>
        <w:rPr>
          <w:sz w:val="20"/>
          <w:szCs w:val="20"/>
          <w:color w:val="auto"/>
        </w:rPr>
      </w:pPr>
    </w:p>
    <w:p>
      <w:pPr>
        <w:ind w:right="160" w:firstLine="509"/>
        <w:spacing w:after="0" w:line="245" w:lineRule="auto"/>
        <w:rPr>
          <w:sz w:val="20"/>
          <w:szCs w:val="20"/>
          <w:color w:val="auto"/>
        </w:rPr>
      </w:pPr>
      <w:r>
        <w:rPr>
          <w:rFonts w:ascii="Arial" w:cs="Arial" w:eastAsia="Arial" w:hAnsi="Arial"/>
          <w:sz w:val="18"/>
          <w:szCs w:val="18"/>
          <w:color w:val="auto"/>
        </w:rPr>
        <w:t>Violations of applicable anti-corruption laws could subject us to significant sanctions, including civil or criminal fines and penalties, disgorgement of profits, injunctions, and debarment from government contracts, as well as related stockholder lawsuits and other remedial measures, all of which could adversely affect our reputation, business, financial condition, and results of operations. Violations or allegations of violations could also result in whistleblower complaints, adverse media coverage, and investigations, any of which could have a material adverse effect on our reputation, business, and results of operations.</w:t>
      </w:r>
    </w:p>
    <w:p>
      <w:pPr>
        <w:spacing w:after="0" w:line="305" w:lineRule="exact"/>
        <w:rPr>
          <w:sz w:val="20"/>
          <w:szCs w:val="20"/>
          <w:color w:val="auto"/>
        </w:rPr>
      </w:pPr>
    </w:p>
    <w:p>
      <w:pPr>
        <w:ind w:right="120"/>
        <w:spacing w:after="0" w:line="261" w:lineRule="auto"/>
        <w:rPr>
          <w:sz w:val="20"/>
          <w:szCs w:val="20"/>
          <w:color w:val="auto"/>
        </w:rPr>
      </w:pPr>
      <w:r>
        <w:rPr>
          <w:rFonts w:ascii="Arial" w:cs="Arial" w:eastAsia="Arial" w:hAnsi="Arial"/>
          <w:sz w:val="18"/>
          <w:szCs w:val="18"/>
          <w:b w:val="1"/>
          <w:bCs w:val="1"/>
          <w:i w:val="1"/>
          <w:iCs w:val="1"/>
          <w:color w:val="auto"/>
        </w:rPr>
        <w:t>Our business may be affected by sanctions, export controls, and similar measures targeting Russia and other countries and territories, as well as other responses to Russia’s invasion of Ukraine.</w:t>
      </w:r>
    </w:p>
    <w:p>
      <w:pPr>
        <w:spacing w:after="0" w:line="62" w:lineRule="exact"/>
        <w:rPr>
          <w:sz w:val="20"/>
          <w:szCs w:val="20"/>
          <w:color w:val="auto"/>
        </w:rPr>
      </w:pPr>
    </w:p>
    <w:p>
      <w:pPr>
        <w:ind w:right="300" w:firstLine="509"/>
        <w:spacing w:after="0" w:line="277" w:lineRule="auto"/>
        <w:rPr>
          <w:sz w:val="20"/>
          <w:szCs w:val="20"/>
          <w:color w:val="auto"/>
        </w:rPr>
      </w:pPr>
      <w:r>
        <w:rPr>
          <w:rFonts w:ascii="Arial" w:cs="Arial" w:eastAsia="Arial" w:hAnsi="Arial"/>
          <w:sz w:val="18"/>
          <w:szCs w:val="18"/>
          <w:color w:val="auto"/>
        </w:rPr>
        <w:t>As a result of Russia’s invasion of Ukraine, governmental authorities in the United States, the European Union, and the United Kingdom, among others, launched an expansion of coordinated sanctions and export control measures, including:</w:t>
      </w:r>
    </w:p>
    <w:p>
      <w:pPr>
        <w:spacing w:after="0" w:line="48" w:lineRule="exact"/>
        <w:rPr>
          <w:sz w:val="20"/>
          <w:szCs w:val="20"/>
          <w:color w:val="auto"/>
        </w:rPr>
      </w:pPr>
    </w:p>
    <w:p>
      <w:pPr>
        <w:ind w:left="1020" w:right="460" w:hanging="504"/>
        <w:spacing w:after="0" w:line="261" w:lineRule="auto"/>
        <w:tabs>
          <w:tab w:leader="none" w:pos="1020" w:val="left"/>
        </w:tabs>
        <w:numPr>
          <w:ilvl w:val="0"/>
          <w:numId w:val="40"/>
        </w:numPr>
        <w:rPr>
          <w:rFonts w:ascii="Arial" w:cs="Arial" w:eastAsia="Arial" w:hAnsi="Arial"/>
          <w:sz w:val="18"/>
          <w:szCs w:val="18"/>
          <w:color w:val="auto"/>
        </w:rPr>
      </w:pPr>
      <w:r>
        <w:rPr>
          <w:rFonts w:ascii="Arial" w:cs="Arial" w:eastAsia="Arial" w:hAnsi="Arial"/>
          <w:sz w:val="18"/>
          <w:szCs w:val="18"/>
          <w:color w:val="auto"/>
        </w:rPr>
        <w:t>blocking sanctions on some of the largest state-owned and private Russian financial institutions (and their subsequent removal from the Society for Worldwide Interbank Financial Telecommunication (“SWIFT”) payment system);</w:t>
      </w:r>
    </w:p>
    <w:p>
      <w:pPr>
        <w:spacing w:after="0" w:line="75" w:lineRule="exact"/>
        <w:rPr>
          <w:rFonts w:ascii="Arial" w:cs="Arial" w:eastAsia="Arial" w:hAnsi="Arial"/>
          <w:sz w:val="18"/>
          <w:szCs w:val="18"/>
          <w:color w:val="auto"/>
        </w:rPr>
      </w:pPr>
    </w:p>
    <w:p>
      <w:pPr>
        <w:ind w:left="1020" w:right="60" w:hanging="504"/>
        <w:spacing w:after="0" w:line="261" w:lineRule="auto"/>
        <w:tabs>
          <w:tab w:leader="none" w:pos="1020" w:val="left"/>
        </w:tabs>
        <w:numPr>
          <w:ilvl w:val="0"/>
          <w:numId w:val="40"/>
        </w:numPr>
        <w:rPr>
          <w:rFonts w:ascii="Arial" w:cs="Arial" w:eastAsia="Arial" w:hAnsi="Arial"/>
          <w:sz w:val="18"/>
          <w:szCs w:val="18"/>
          <w:color w:val="auto"/>
        </w:rPr>
      </w:pPr>
      <w:r>
        <w:rPr>
          <w:rFonts w:ascii="Arial" w:cs="Arial" w:eastAsia="Arial" w:hAnsi="Arial"/>
          <w:sz w:val="18"/>
          <w:szCs w:val="18"/>
          <w:color w:val="auto"/>
        </w:rPr>
        <w:t>blocking sanctions against Russian and Belarusian individuals, including the Russian President, other politicians, and those with government connections or involvement in Russian military activities;</w:t>
      </w:r>
    </w:p>
    <w:p>
      <w:pPr>
        <w:spacing w:after="0" w:line="62" w:lineRule="exact"/>
        <w:rPr>
          <w:rFonts w:ascii="Arial" w:cs="Arial" w:eastAsia="Arial" w:hAnsi="Arial"/>
          <w:sz w:val="18"/>
          <w:szCs w:val="18"/>
          <w:color w:val="auto"/>
        </w:rPr>
      </w:pPr>
    </w:p>
    <w:p>
      <w:pPr>
        <w:ind w:left="1020" w:right="240" w:hanging="504"/>
        <w:spacing w:after="0" w:line="261" w:lineRule="auto"/>
        <w:tabs>
          <w:tab w:leader="none" w:pos="1020" w:val="left"/>
        </w:tabs>
        <w:numPr>
          <w:ilvl w:val="0"/>
          <w:numId w:val="40"/>
        </w:numPr>
        <w:rPr>
          <w:rFonts w:ascii="Arial" w:cs="Arial" w:eastAsia="Arial" w:hAnsi="Arial"/>
          <w:sz w:val="18"/>
          <w:szCs w:val="18"/>
          <w:color w:val="auto"/>
        </w:rPr>
      </w:pPr>
      <w:r>
        <w:rPr>
          <w:rFonts w:ascii="Arial" w:cs="Arial" w:eastAsia="Arial" w:hAnsi="Arial"/>
          <w:sz w:val="18"/>
          <w:szCs w:val="18"/>
          <w:color w:val="auto"/>
        </w:rPr>
        <w:t>blocking sanctions against certain Russian businessmen and their businesses, some of which have significant financial and trade ties to the European Union;</w:t>
      </w:r>
    </w:p>
    <w:p>
      <w:pPr>
        <w:spacing w:after="0" w:line="75" w:lineRule="exact"/>
        <w:rPr>
          <w:rFonts w:ascii="Arial" w:cs="Arial" w:eastAsia="Arial" w:hAnsi="Arial"/>
          <w:sz w:val="18"/>
          <w:szCs w:val="18"/>
          <w:color w:val="auto"/>
        </w:rPr>
      </w:pPr>
    </w:p>
    <w:p>
      <w:pPr>
        <w:ind w:left="1020" w:right="160" w:hanging="504"/>
        <w:spacing w:after="0" w:line="261" w:lineRule="auto"/>
        <w:tabs>
          <w:tab w:leader="none" w:pos="1020" w:val="left"/>
        </w:tabs>
        <w:numPr>
          <w:ilvl w:val="0"/>
          <w:numId w:val="40"/>
        </w:numPr>
        <w:rPr>
          <w:rFonts w:ascii="Arial" w:cs="Arial" w:eastAsia="Arial" w:hAnsi="Arial"/>
          <w:sz w:val="18"/>
          <w:szCs w:val="18"/>
          <w:color w:val="auto"/>
        </w:rPr>
      </w:pPr>
      <w:r>
        <w:rPr>
          <w:rFonts w:ascii="Arial" w:cs="Arial" w:eastAsia="Arial" w:hAnsi="Arial"/>
          <w:sz w:val="18"/>
          <w:szCs w:val="18"/>
          <w:color w:val="auto"/>
        </w:rPr>
        <w:t>blocking of Russia’s foreign currency reserves and prohibition on secondary trading in Russian sovereign debt and certain transactions with the Russian Central Bank, National Wealth Fund, and the Ministry of Finance of the Russian Federation;</w:t>
      </w:r>
    </w:p>
    <w:p>
      <w:pPr>
        <w:spacing w:after="0" w:line="62" w:lineRule="exact"/>
        <w:rPr>
          <w:rFonts w:ascii="Arial" w:cs="Arial" w:eastAsia="Arial" w:hAnsi="Arial"/>
          <w:sz w:val="18"/>
          <w:szCs w:val="18"/>
          <w:color w:val="auto"/>
        </w:rPr>
      </w:pPr>
    </w:p>
    <w:p>
      <w:pPr>
        <w:ind w:left="1020" w:hanging="504"/>
        <w:spacing w:after="0"/>
        <w:tabs>
          <w:tab w:leader="none" w:pos="1020" w:val="left"/>
        </w:tabs>
        <w:numPr>
          <w:ilvl w:val="0"/>
          <w:numId w:val="40"/>
        </w:numPr>
        <w:rPr>
          <w:rFonts w:ascii="Arial" w:cs="Arial" w:eastAsia="Arial" w:hAnsi="Arial"/>
          <w:sz w:val="18"/>
          <w:szCs w:val="18"/>
          <w:color w:val="auto"/>
        </w:rPr>
      </w:pPr>
      <w:r>
        <w:rPr>
          <w:rFonts w:ascii="Arial" w:cs="Arial" w:eastAsia="Arial" w:hAnsi="Arial"/>
          <w:sz w:val="18"/>
          <w:szCs w:val="18"/>
          <w:color w:val="auto"/>
        </w:rPr>
        <w:t>expansion of sectoral sanctions in various sectors of the Russian and Belarusian economies and the defense sector;</w:t>
      </w:r>
    </w:p>
    <w:p>
      <w:pPr>
        <w:spacing w:after="0" w:line="11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60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61595</wp:posOffset>
            </wp:positionV>
            <wp:extent cx="7157720" cy="42545"/>
            <wp:wrapNone/>
            <wp:docPr id="292" name="Picture 2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2"/>
                    <pic:cNvPicPr>
                      <a:picLocks noChangeAspect="1" noChangeArrowheads="1"/>
                    </pic:cNvPicPr>
                  </pic:nvPicPr>
                  <pic:blipFill>
                    <a:blip r:embed="rId29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647" w:right="359" w:bottom="1440" w:gutter="0" w:footer="0" w:header="0"/>
        </w:sectPr>
      </w:pPr>
    </w:p>
    <w:bookmarkStart w:id="60" w:name="page61"/>
    <w:bookmarkEnd w:id="60"/>
    <w:p>
      <w:pPr>
        <w:ind w:left="1020" w:hanging="504"/>
        <w:spacing w:after="0"/>
        <w:tabs>
          <w:tab w:leader="none" w:pos="1020" w:val="left"/>
        </w:tabs>
        <w:numPr>
          <w:ilvl w:val="0"/>
          <w:numId w:val="41"/>
        </w:numPr>
        <w:rPr>
          <w:rFonts w:ascii="Arial" w:cs="Arial" w:eastAsia="Arial" w:hAnsi="Arial"/>
          <w:sz w:val="16"/>
          <w:szCs w:val="16"/>
          <w:color w:val="auto"/>
        </w:rPr>
      </w:pPr>
      <w:r>
        <w:rPr>
          <w:rFonts w:ascii="Arial" w:cs="Arial" w:eastAsia="Arial" w:hAnsi="Arial"/>
          <w:sz w:val="16"/>
          <w:szCs w:val="16"/>
          <w:color w:val="auto"/>
        </w:rPr>
        <w:t>United Kingdom sanctions introducing restrictions on providing loans to, and dealing in securities issued by, persons connected with Russia;</w:t>
      </w:r>
    </w:p>
    <w:p>
      <w:pPr>
        <w:spacing w:after="0" w:line="139" w:lineRule="exact"/>
        <w:rPr>
          <w:rFonts w:ascii="Arial" w:cs="Arial" w:eastAsia="Arial" w:hAnsi="Arial"/>
          <w:sz w:val="16"/>
          <w:szCs w:val="16"/>
          <w:color w:val="auto"/>
        </w:rPr>
      </w:pPr>
    </w:p>
    <w:p>
      <w:pPr>
        <w:ind w:left="1020" w:hanging="504"/>
        <w:spacing w:after="0"/>
        <w:tabs>
          <w:tab w:leader="none" w:pos="1020" w:val="left"/>
        </w:tabs>
        <w:numPr>
          <w:ilvl w:val="0"/>
          <w:numId w:val="41"/>
        </w:numPr>
        <w:rPr>
          <w:rFonts w:ascii="Arial" w:cs="Arial" w:eastAsia="Arial" w:hAnsi="Arial"/>
          <w:sz w:val="17"/>
          <w:szCs w:val="17"/>
          <w:color w:val="auto"/>
        </w:rPr>
      </w:pPr>
      <w:r>
        <w:rPr>
          <w:rFonts w:ascii="Arial" w:cs="Arial" w:eastAsia="Arial" w:hAnsi="Arial"/>
          <w:sz w:val="17"/>
          <w:szCs w:val="17"/>
          <w:color w:val="auto"/>
        </w:rPr>
        <w:t>restrictions on access to the financial and capital markets in the European Union, as well as prohibitions on aircraft leasing operations;</w:t>
      </w:r>
    </w:p>
    <w:p>
      <w:pPr>
        <w:spacing w:after="0" w:line="114" w:lineRule="exact"/>
        <w:rPr>
          <w:rFonts w:ascii="Arial" w:cs="Arial" w:eastAsia="Arial" w:hAnsi="Arial"/>
          <w:sz w:val="17"/>
          <w:szCs w:val="17"/>
          <w:color w:val="auto"/>
        </w:rPr>
      </w:pPr>
    </w:p>
    <w:p>
      <w:pPr>
        <w:ind w:left="1020" w:hanging="504"/>
        <w:spacing w:after="0"/>
        <w:tabs>
          <w:tab w:leader="none" w:pos="1020" w:val="left"/>
        </w:tabs>
        <w:numPr>
          <w:ilvl w:val="0"/>
          <w:numId w:val="41"/>
        </w:numPr>
        <w:rPr>
          <w:rFonts w:ascii="Arial" w:cs="Arial" w:eastAsia="Arial" w:hAnsi="Arial"/>
          <w:sz w:val="18"/>
          <w:szCs w:val="18"/>
          <w:color w:val="auto"/>
        </w:rPr>
      </w:pPr>
      <w:r>
        <w:rPr>
          <w:rFonts w:ascii="Arial" w:cs="Arial" w:eastAsia="Arial" w:hAnsi="Arial"/>
          <w:sz w:val="18"/>
          <w:szCs w:val="18"/>
          <w:color w:val="auto"/>
        </w:rPr>
        <w:t>sanctions prohibiting most commercial activities of U.S. and E.U. persons in Crimea and Sevastopol;</w:t>
      </w:r>
    </w:p>
    <w:p>
      <w:pPr>
        <w:spacing w:after="0" w:line="103" w:lineRule="exact"/>
        <w:rPr>
          <w:rFonts w:ascii="Arial" w:cs="Arial" w:eastAsia="Arial" w:hAnsi="Arial"/>
          <w:sz w:val="18"/>
          <w:szCs w:val="18"/>
          <w:color w:val="auto"/>
        </w:rPr>
      </w:pPr>
    </w:p>
    <w:p>
      <w:pPr>
        <w:ind w:left="1020" w:right="60" w:hanging="504"/>
        <w:spacing w:after="0" w:line="248" w:lineRule="auto"/>
        <w:tabs>
          <w:tab w:leader="none" w:pos="1020" w:val="left"/>
        </w:tabs>
        <w:numPr>
          <w:ilvl w:val="0"/>
          <w:numId w:val="41"/>
        </w:numPr>
        <w:rPr>
          <w:rFonts w:ascii="Arial" w:cs="Arial" w:eastAsia="Arial" w:hAnsi="Arial"/>
          <w:sz w:val="18"/>
          <w:szCs w:val="18"/>
          <w:color w:val="auto"/>
        </w:rPr>
      </w:pPr>
      <w:r>
        <w:rPr>
          <w:rFonts w:ascii="Arial" w:cs="Arial" w:eastAsia="Arial" w:hAnsi="Arial"/>
          <w:sz w:val="18"/>
          <w:szCs w:val="18"/>
          <w:color w:val="auto"/>
        </w:rPr>
        <w:t>enhanced export controls and trade sanctions targeting Russia’s imports of technological goods as a whole, including tighter controls on exports and reexports of dual-use items, stricter licensing policy with respect to issuing export licenses, and/or increased use of “end-use” controls to block or impose licensing requirements on exports, as well as higher import tariffs and a prohibition on exporting luxury goods to Russia and Belarus;</w:t>
      </w:r>
    </w:p>
    <w:p>
      <w:pPr>
        <w:spacing w:after="0" w:line="88" w:lineRule="exact"/>
        <w:rPr>
          <w:rFonts w:ascii="Arial" w:cs="Arial" w:eastAsia="Arial" w:hAnsi="Arial"/>
          <w:sz w:val="18"/>
          <w:szCs w:val="18"/>
          <w:color w:val="auto"/>
        </w:rPr>
      </w:pPr>
    </w:p>
    <w:p>
      <w:pPr>
        <w:ind w:left="1020" w:hanging="504"/>
        <w:spacing w:after="0"/>
        <w:tabs>
          <w:tab w:leader="none" w:pos="1020" w:val="left"/>
        </w:tabs>
        <w:numPr>
          <w:ilvl w:val="0"/>
          <w:numId w:val="41"/>
        </w:numPr>
        <w:rPr>
          <w:rFonts w:ascii="Arial" w:cs="Arial" w:eastAsia="Arial" w:hAnsi="Arial"/>
          <w:sz w:val="18"/>
          <w:szCs w:val="18"/>
          <w:color w:val="auto"/>
        </w:rPr>
      </w:pPr>
      <w:r>
        <w:rPr>
          <w:rFonts w:ascii="Arial" w:cs="Arial" w:eastAsia="Arial" w:hAnsi="Arial"/>
          <w:sz w:val="18"/>
          <w:szCs w:val="18"/>
          <w:color w:val="auto"/>
        </w:rPr>
        <w:t>closure of airspace to Russian aircraft; and</w:t>
      </w:r>
    </w:p>
    <w:p>
      <w:pPr>
        <w:spacing w:after="0" w:line="103" w:lineRule="exact"/>
        <w:rPr>
          <w:rFonts w:ascii="Arial" w:cs="Arial" w:eastAsia="Arial" w:hAnsi="Arial"/>
          <w:sz w:val="18"/>
          <w:szCs w:val="18"/>
          <w:color w:val="auto"/>
        </w:rPr>
      </w:pPr>
    </w:p>
    <w:p>
      <w:pPr>
        <w:ind w:left="1020" w:hanging="504"/>
        <w:spacing w:after="0"/>
        <w:tabs>
          <w:tab w:leader="none" w:pos="1020" w:val="left"/>
        </w:tabs>
        <w:numPr>
          <w:ilvl w:val="0"/>
          <w:numId w:val="41"/>
        </w:numPr>
        <w:rPr>
          <w:rFonts w:ascii="Arial" w:cs="Arial" w:eastAsia="Arial" w:hAnsi="Arial"/>
          <w:sz w:val="18"/>
          <w:szCs w:val="18"/>
          <w:color w:val="auto"/>
        </w:rPr>
      </w:pPr>
      <w:r>
        <w:rPr>
          <w:rFonts w:ascii="Arial" w:cs="Arial" w:eastAsia="Arial" w:hAnsi="Arial"/>
          <w:sz w:val="18"/>
          <w:szCs w:val="18"/>
          <w:color w:val="auto"/>
        </w:rPr>
        <w:t>ban on imports of Russian oil, liquefied natural gas, and coal to the United States.</w:t>
      </w:r>
    </w:p>
    <w:p>
      <w:pPr>
        <w:spacing w:after="0" w:line="211" w:lineRule="exact"/>
        <w:rPr>
          <w:sz w:val="20"/>
          <w:szCs w:val="20"/>
          <w:color w:val="auto"/>
        </w:rPr>
      </w:pPr>
    </w:p>
    <w:p>
      <w:pPr>
        <w:ind w:right="40" w:firstLine="509"/>
        <w:spacing w:after="0" w:line="246" w:lineRule="auto"/>
        <w:rPr>
          <w:sz w:val="20"/>
          <w:szCs w:val="20"/>
          <w:color w:val="auto"/>
        </w:rPr>
      </w:pPr>
      <w:r>
        <w:rPr>
          <w:rFonts w:ascii="Arial" w:cs="Arial" w:eastAsia="Arial" w:hAnsi="Arial"/>
          <w:sz w:val="18"/>
          <w:szCs w:val="18"/>
          <w:color w:val="auto"/>
        </w:rPr>
        <w:t>As the conflict in Ukraine continues, there can be no certainty regarding whether the governmental authorities in the United States, the European Union, the United Kingdom, or other counties will impose additional sanctions, export controls, or other measures targeting Russia, Belarus, or other territories. Furthermore, in retaliation against new international sanctions and as part of measures to stabilize and support the volatile Russian financial and currency markets, the Russian authorities also imposed significant currency control measures aimed at restricting the outflow of foreign currency and capital from Russia, imposed various restrictions on transacting with non-Russian parties, banned exports of various products, and imposed other economic and financial restrictions.</w:t>
      </w:r>
    </w:p>
    <w:p>
      <w:pPr>
        <w:spacing w:after="0" w:line="183" w:lineRule="exact"/>
        <w:rPr>
          <w:sz w:val="20"/>
          <w:szCs w:val="20"/>
          <w:color w:val="auto"/>
        </w:rPr>
      </w:pPr>
    </w:p>
    <w:p>
      <w:pPr>
        <w:ind w:right="20" w:firstLine="509"/>
        <w:spacing w:after="0" w:line="246" w:lineRule="auto"/>
        <w:rPr>
          <w:sz w:val="20"/>
          <w:szCs w:val="20"/>
          <w:color w:val="auto"/>
        </w:rPr>
      </w:pPr>
      <w:r>
        <w:rPr>
          <w:rFonts w:ascii="Arial" w:cs="Arial" w:eastAsia="Arial" w:hAnsi="Arial"/>
          <w:sz w:val="18"/>
          <w:szCs w:val="18"/>
          <w:color w:val="auto"/>
        </w:rPr>
        <w:t>Our business must be conducted in compliance with applicable economic and trade sanctions laws and regulations, including those administered and enforced by the U.S. Department of Treasury’s Office of Foreign Assets Control, the U.S. Department of State, the U.S. Department of Commerce, the United Nations Security Council, and other relevant governmental authorities. We must be ready to comply with the existing and any other potential additional measures imposed in connection with the conflict in Ukraine. The imposition of such measures could adversely impact our business, including preventing us from performing existing contracts, recognizing revenue, pursuing new business opportunities, or receiving payment for subscriptions from our existing customers.</w:t>
      </w:r>
    </w:p>
    <w:p>
      <w:pPr>
        <w:spacing w:after="0" w:line="183" w:lineRule="exact"/>
        <w:rPr>
          <w:sz w:val="20"/>
          <w:szCs w:val="20"/>
          <w:color w:val="auto"/>
        </w:rPr>
      </w:pPr>
    </w:p>
    <w:p>
      <w:pPr>
        <w:ind w:firstLine="509"/>
        <w:spacing w:after="0" w:line="244" w:lineRule="auto"/>
        <w:rPr>
          <w:sz w:val="20"/>
          <w:szCs w:val="20"/>
          <w:color w:val="auto"/>
        </w:rPr>
      </w:pPr>
      <w:r>
        <w:rPr>
          <w:rFonts w:ascii="Arial" w:cs="Arial" w:eastAsia="Arial" w:hAnsi="Arial"/>
          <w:sz w:val="18"/>
          <w:szCs w:val="18"/>
          <w:color w:val="auto"/>
        </w:rPr>
        <w:t>We believe we do not currently have contracts directly with the entities or businesses on the sanctions list and we currently do not have facilities or employees in Russia, Belarus, the Crimea Region of Ukraine, the so-called Donetsk People’s Republic, or the so-called Luhansk People’s Republic. We are reviewing and monitoring our contractual relationships with suppliers and customers to establish whether any are implicated by applicable sanctions. However, given the range of possible outcomes, the full costs, burdens, and limitations on our and our customer’s and business partners’ businesses are currently unknown and may become significant. As a result, based on the extent and breadth of sanctions, export controls, and other measures that may be imposed and related effects in connection with the conflict in Ukraine, it is possible that our business, financial condition, and results of operations could be materially adversely affected.</w:t>
      </w:r>
    </w:p>
    <w:p>
      <w:pPr>
        <w:spacing w:after="0" w:line="293" w:lineRule="exact"/>
        <w:rPr>
          <w:sz w:val="20"/>
          <w:szCs w:val="20"/>
          <w:color w:val="auto"/>
        </w:rPr>
      </w:pPr>
    </w:p>
    <w:p>
      <w:pPr>
        <w:ind w:right="180"/>
        <w:spacing w:after="0" w:line="330" w:lineRule="auto"/>
        <w:rPr>
          <w:sz w:val="20"/>
          <w:szCs w:val="20"/>
          <w:color w:val="auto"/>
        </w:rPr>
      </w:pPr>
      <w:r>
        <w:rPr>
          <w:rFonts w:ascii="Arial" w:cs="Arial" w:eastAsia="Arial" w:hAnsi="Arial"/>
          <w:sz w:val="15"/>
          <w:szCs w:val="15"/>
          <w:b w:val="1"/>
          <w:bCs w:val="1"/>
          <w:i w:val="1"/>
          <w:iCs w:val="1"/>
          <w:color w:val="auto"/>
        </w:rPr>
        <w:t>Complying with evolving privacy and other data-related laws, as well as contractual and other requirements, may be expensive and force us to make adverse changes to our business, and the failure or perceived failure to comply with such laws, contracts, and other requirements could result in adverse reputational and brand damage and significant fines and liability or otherwise materially adversely affect our business and growth prospects.</w:t>
      </w:r>
    </w:p>
    <w:p>
      <w:pPr>
        <w:spacing w:after="0" w:line="17" w:lineRule="exact"/>
        <w:rPr>
          <w:sz w:val="20"/>
          <w:szCs w:val="20"/>
          <w:color w:val="auto"/>
        </w:rPr>
      </w:pPr>
    </w:p>
    <w:p>
      <w:pPr>
        <w:ind w:firstLine="509"/>
        <w:spacing w:after="0" w:line="282" w:lineRule="auto"/>
        <w:rPr>
          <w:sz w:val="20"/>
          <w:szCs w:val="20"/>
          <w:color w:val="auto"/>
        </w:rPr>
      </w:pPr>
      <w:r>
        <w:rPr>
          <w:rFonts w:ascii="Arial" w:cs="Arial" w:eastAsia="Arial" w:hAnsi="Arial"/>
          <w:sz w:val="16"/>
          <w:szCs w:val="16"/>
          <w:color w:val="auto"/>
        </w:rPr>
        <w:t>We are subject to numerous federal, state, local, and foreign privacy and data protection laws, regulations, policies, and contractual obligations that apply to the collection, transmission, storage, processing, sharing, disclosure, security, and use of personal information or personal data which, among other things, impose certain requirements relating to the privacy and security of personal information and other data. Laws and regulations governing privacy and data protection, the use of the internet as a commercial medium, the use of data in artificial intelligence and machine learning, and data sovereignty requirements are rapidly evolving, extensive, complex, and include inconsistencies and uncertainties and may conflict with other rules or our practices. Further, new laws, rules, and regulations could be enacted with which we are not familiar or with which our current practices do not comply.</w:t>
      </w:r>
    </w:p>
    <w:p>
      <w:pPr>
        <w:spacing w:after="0" w:line="5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61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61595</wp:posOffset>
            </wp:positionV>
            <wp:extent cx="7157720" cy="42545"/>
            <wp:wrapNone/>
            <wp:docPr id="293" name="Picture 2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3"/>
                    <pic:cNvPicPr>
                      <a:picLocks noChangeAspect="1" noChangeArrowheads="1"/>
                    </pic:cNvPicPr>
                  </pic:nvPicPr>
                  <pic:blipFill>
                    <a:blip r:embed="rId30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435" w:right="359" w:bottom="1440" w:gutter="0" w:footer="0" w:header="0"/>
        </w:sectPr>
      </w:pPr>
    </w:p>
    <w:bookmarkStart w:id="61" w:name="page62"/>
    <w:bookmarkEnd w:id="61"/>
    <w:p>
      <w:pPr>
        <w:ind w:firstLine="509"/>
        <w:spacing w:after="0" w:line="256" w:lineRule="auto"/>
        <w:rPr>
          <w:sz w:val="20"/>
          <w:szCs w:val="20"/>
          <w:color w:val="auto"/>
        </w:rPr>
      </w:pPr>
      <w:r>
        <w:rPr>
          <w:rFonts w:ascii="Arial" w:cs="Arial" w:eastAsia="Arial" w:hAnsi="Arial"/>
          <w:sz w:val="17"/>
          <w:szCs w:val="17"/>
          <w:color w:val="auto"/>
        </w:rPr>
        <w:t>We may incur significant expenses to comply with the laws, regulations, and other obligations that apply to us. For example, the GDPR imposes stringent data protection requirements for processing the personal data of individuals within the European Economic Area (the “EEA”), including certain disclosure requirements, limitations on retention of personal data, mandatory data breach notification requirements, and additional obligations. Non-compliance with the GDPR can trigger fines of up to the greater of €20 million or 4% of our global annual turnover. Among other requirements, the GDPR regulates transfers of personal data subject to the GDPR to third countries that have not been found to provide adequate protection to such personal data, including the United States, and the efficacy and longevity of current transfer mechanisms between the E.U. and the United States remains uncertain. For example, on July 16, 2020, the Court of Justice of the European Union (the “CJEU”) invalidated the EU-US Privacy Shield Framework, or Privacy Shield, under which personal information could be transferred from the EEA (and the United Kingdom) to relevant self-certified U.S. entities. The CJEU further noted that reliance on the standard contractual clauses (a standard form of contract approved by the European Commission as an adequate personal data transfer mechanism and potential alternative to the Privacy Shield) alone may not necessarily be sufficient in all circumstances and that transfers must be assessed on a case-by-case basis. European court and regulatory decisions subsequent to the CJEU decision of July 16, 2020 have taken a restrictive approach to international data transfers. As the enforcement landscape further develops, and supervisory authorities issue further guidance on—and revised standard contractual clauses for—international data transfers, we could suffer additional costs, complaints, and/or regulatory investigations or fines, we may have to stop using certain tools and vendors and make other operational changes, and/or manner in which we provide our services could otherwise be affected, which could adversely affect our business, financial condition, and results of operations. Since the beginning of 2021, companies have had to comply with both the GDPR and the UK General Data Protection Regulation (the “UK GDPR”), which, together with the amended UK Data Protection Act 2018, retains the GDPR in UK national law. The UK GDPR mirrors the fines under the GDPR, imposing fines up to the greater of €20 million (£17.5 million) or 4% of global turnover.</w:t>
      </w:r>
    </w:p>
    <w:p>
      <w:pPr>
        <w:spacing w:after="0" w:line="184" w:lineRule="exact"/>
        <w:rPr>
          <w:sz w:val="20"/>
          <w:szCs w:val="20"/>
          <w:color w:val="auto"/>
        </w:rPr>
      </w:pPr>
    </w:p>
    <w:p>
      <w:pPr>
        <w:ind w:right="60" w:firstLine="509"/>
        <w:spacing w:after="0" w:line="275" w:lineRule="auto"/>
        <w:rPr>
          <w:sz w:val="20"/>
          <w:szCs w:val="20"/>
          <w:color w:val="auto"/>
        </w:rPr>
      </w:pPr>
      <w:r>
        <w:rPr>
          <w:rFonts w:ascii="Arial" w:cs="Arial" w:eastAsia="Arial" w:hAnsi="Arial"/>
          <w:sz w:val="16"/>
          <w:szCs w:val="16"/>
          <w:color w:val="auto"/>
        </w:rPr>
        <w:t>In addition to the European Union and United Kingdom, a growing number of other global jurisdictions are considering, or have passed, legislation implementing data protection requirements or requiring local storage and processing of data or similar requirements that could increase the cost and complexity of delivering our platform, particularly as we expand our operations internationally. Some of these laws, such as the General Data Protection Law in Brazil, or the Act on the Protection of Personal Information in Japan, impose similar obligations as those under the GDPR. Others, such as those in Russia, India, and China, could potentially impose more stringent obligations, including data localization requirements. If we are unable to develop and offer features that meet legal requirements or help our customers meet their obligations under the laws or regulations relating to privacy, data protection, or information security, or if we violate or are perceived to violate any laws, regulations, or other obligations relating to privacy, data protection, or information security, we may experience reduced demand for our Digital Analytics Platform, harm to our reputation, and could become subject to investigations, claims, and other remedies, which would expose us to significant fines, penalties, and other damages, all of which would harm our business. Further, given the breadth and depth of changes in global data protection obligations, compliance has caused us to expend significant resources, and such expenditures are likely to continue into the future as we continue our compliance efforts and respond to new interpretations and enforcement actions.</w:t>
      </w:r>
    </w:p>
    <w:p>
      <w:pPr>
        <w:spacing w:after="0" w:line="162" w:lineRule="exact"/>
        <w:rPr>
          <w:sz w:val="20"/>
          <w:szCs w:val="20"/>
          <w:color w:val="auto"/>
        </w:rPr>
      </w:pPr>
    </w:p>
    <w:p>
      <w:pPr>
        <w:ind w:right="20" w:firstLine="509"/>
        <w:spacing w:after="0" w:line="257" w:lineRule="auto"/>
        <w:rPr>
          <w:sz w:val="20"/>
          <w:szCs w:val="20"/>
          <w:color w:val="auto"/>
        </w:rPr>
      </w:pPr>
      <w:r>
        <w:rPr>
          <w:rFonts w:ascii="Arial" w:cs="Arial" w:eastAsia="Arial" w:hAnsi="Arial"/>
          <w:sz w:val="17"/>
          <w:szCs w:val="17"/>
          <w:color w:val="auto"/>
        </w:rPr>
        <w:t>The data protection landscape is also rapidly growing and evolving in the United States. As our operations and business grow, we may become subject to or affected by new or additional data protection laws and regulations and face increased scrutiny or attention from regulatory authorities. For example, the California Consumer Privacy Act of 2018 (the “CCPA”) became effective on January 1, 2020. The CCPA requires companies that process information on California residents to make certain disclosures to consumers about their data collection, use, and sharing practices, allows consumers to opt out of certain data sharing with third parties and exercise certain individual rights regarding their personal information, provides a new private right of action for data breaches, and provides for penalties for noncompliance. Additionally, the California Privacy Rights Act (the “CPRA”) was recently passed in California. The CPRA will impose additional data protection obligations on covered businesses, including additional consumer rights processes, limitations on data uses, new audit requirements for higher risk data, and opt outs for certain uses of sensitive data. It will also create a new California data protection agency authorized to issue substantive regulations and could result in increased privacy and information security enforcement. The majority of the CPRA provisions will go into effect on January 1, 2023, and additional compliance investment and potential business process changes may be required. Similar laws have been passed in Virginia, Colorado, Connecticut, and Utah and have been proposed in other states and at the federal level, reflecting a trend toward more stringent privacy legislation in the United States. The enactment of such laws may have potentially conflicting requirements that would make compliance challenging.</w:t>
      </w:r>
    </w:p>
    <w:p>
      <w:pPr>
        <w:spacing w:after="0" w:line="178" w:lineRule="exact"/>
        <w:rPr>
          <w:sz w:val="20"/>
          <w:szCs w:val="20"/>
          <w:color w:val="auto"/>
        </w:rPr>
      </w:pPr>
    </w:p>
    <w:p>
      <w:pPr>
        <w:ind w:right="60" w:firstLine="509"/>
        <w:spacing w:after="0" w:line="244" w:lineRule="auto"/>
        <w:rPr>
          <w:sz w:val="20"/>
          <w:szCs w:val="20"/>
          <w:color w:val="auto"/>
        </w:rPr>
      </w:pPr>
      <w:r>
        <w:rPr>
          <w:rFonts w:ascii="Arial" w:cs="Arial" w:eastAsia="Arial" w:hAnsi="Arial"/>
          <w:sz w:val="18"/>
          <w:szCs w:val="18"/>
          <w:color w:val="auto"/>
        </w:rPr>
        <w:t>Furthermore, the FTC and many state Attorneys General continue to enforce federal and state consumer protection laws against companies for online collection, use, dissemination, and security practices that appear to be unfair or deceptive. For example, according to the FTC, failing to take appropriate steps to keep consumers’ personal information secure can constitute unfair acts or practices in or affecting commerce in violation of Section 5(a) of the Federal Trade Commission Act. The FTC expects a company’s data security measures to be reasonable and appropriate in light of the sensitivity and volume of consumer information it holds, the size and complexity of its business, and the cost of available tools to improve security and reduce vulnerabilities. There are a number of legislative proposals in the United States, at both the federal and state level, and in the European Union and elsewhere, that could</w:t>
      </w:r>
    </w:p>
    <w:p>
      <w:pPr>
        <w:spacing w:after="0" w:line="9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62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61595</wp:posOffset>
            </wp:positionV>
            <wp:extent cx="7157720" cy="42545"/>
            <wp:wrapNone/>
            <wp:docPr id="294" name="Picture 2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4"/>
                    <pic:cNvPicPr>
                      <a:picLocks noChangeAspect="1" noChangeArrowheads="1"/>
                    </pic:cNvPicPr>
                  </pic:nvPicPr>
                  <pic:blipFill>
                    <a:blip r:embed="rId30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543" w:right="339" w:bottom="1440" w:gutter="0" w:footer="0" w:header="0"/>
        </w:sectPr>
      </w:pPr>
    </w:p>
    <w:bookmarkStart w:id="62" w:name="page63"/>
    <w:bookmarkEnd w:id="62"/>
    <w:p>
      <w:pPr>
        <w:ind w:right="340"/>
        <w:spacing w:after="0" w:line="277" w:lineRule="auto"/>
        <w:rPr>
          <w:sz w:val="20"/>
          <w:szCs w:val="20"/>
          <w:color w:val="auto"/>
        </w:rPr>
      </w:pPr>
      <w:r>
        <w:rPr>
          <w:rFonts w:ascii="Arial" w:cs="Arial" w:eastAsia="Arial" w:hAnsi="Arial"/>
          <w:sz w:val="18"/>
          <w:szCs w:val="18"/>
          <w:color w:val="auto"/>
        </w:rPr>
        <w:t>impose new obligations in areas such as e-commerce and other related legislation or liability for copyright infringement by third parties. We cannot yet determine the impact that these future laws, regulations, and standards may have on our business.</w:t>
      </w:r>
    </w:p>
    <w:p>
      <w:pPr>
        <w:spacing w:after="0" w:line="156" w:lineRule="exact"/>
        <w:rPr>
          <w:sz w:val="20"/>
          <w:szCs w:val="20"/>
          <w:color w:val="auto"/>
        </w:rPr>
      </w:pPr>
    </w:p>
    <w:p>
      <w:pPr>
        <w:jc w:val="center"/>
        <w:ind w:right="100"/>
        <w:spacing w:after="0"/>
        <w:rPr>
          <w:sz w:val="20"/>
          <w:szCs w:val="20"/>
          <w:color w:val="auto"/>
        </w:rPr>
      </w:pPr>
      <w:r>
        <w:rPr>
          <w:rFonts w:ascii="Arial" w:cs="Arial" w:eastAsia="Arial" w:hAnsi="Arial"/>
          <w:sz w:val="18"/>
          <w:szCs w:val="18"/>
          <w:color w:val="auto"/>
        </w:rPr>
        <w:t>Although we work to comply with applicable laws, regulations, and standards, our contractual obligations, and other legal obligations, these</w:t>
      </w:r>
    </w:p>
    <w:p>
      <w:pPr>
        <w:spacing w:after="0" w:line="11" w:lineRule="exact"/>
        <w:rPr>
          <w:sz w:val="20"/>
          <w:szCs w:val="20"/>
          <w:color w:val="auto"/>
        </w:rPr>
      </w:pPr>
    </w:p>
    <w:p>
      <w:pPr>
        <w:spacing w:after="0"/>
        <w:rPr>
          <w:sz w:val="20"/>
          <w:szCs w:val="20"/>
          <w:color w:val="auto"/>
        </w:rPr>
      </w:pPr>
      <w:r>
        <w:rPr>
          <w:rFonts w:ascii="Arial" w:cs="Arial" w:eastAsia="Arial" w:hAnsi="Arial"/>
          <w:sz w:val="18"/>
          <w:szCs w:val="18"/>
          <w:color w:val="auto"/>
        </w:rPr>
        <w:t>requirements are evolving and may be modified, interpreted, and applied in an inconsistent manner from one jurisdiction to another, and may conflict with one another or other legal obligations with which we must comply. Any failure or perceived failure by us or our employees, representatives, contractors, consultants, collaborators, or other third parties to comply with such requirements or adequately address privacy and security concerns, even if unfounded, could result in additional costs and liability to us and damage to our reputation, and could adversely affect our business and results of operations. In addition, if our practices are not consistent, or viewed as not consistent, with legal and regulatory requirements, including changes in laws, regulations, and standards or new interpretations or applications of existing laws, regulations, and standards, we may also become subject to audits, inquiries, whistleblower complaints, adverse media coverage, investigations, or criminal or civil sanctions, all of which may harm our business, financial condition, and results of operations.</w:t>
      </w:r>
    </w:p>
    <w:p>
      <w:pPr>
        <w:spacing w:after="0" w:line="31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Any future litigation against us could be costly and time-consuming to defend.</w:t>
      </w:r>
    </w:p>
    <w:p>
      <w:pPr>
        <w:spacing w:after="0" w:line="103" w:lineRule="exact"/>
        <w:rPr>
          <w:sz w:val="20"/>
          <w:szCs w:val="20"/>
          <w:color w:val="auto"/>
        </w:rPr>
      </w:pPr>
    </w:p>
    <w:p>
      <w:pPr>
        <w:ind w:firstLine="509"/>
        <w:spacing w:after="0" w:line="277" w:lineRule="auto"/>
        <w:rPr>
          <w:sz w:val="20"/>
          <w:szCs w:val="20"/>
          <w:color w:val="auto"/>
        </w:rPr>
      </w:pPr>
      <w:r>
        <w:rPr>
          <w:rFonts w:ascii="Arial" w:cs="Arial" w:eastAsia="Arial" w:hAnsi="Arial"/>
          <w:sz w:val="16"/>
          <w:szCs w:val="16"/>
          <w:color w:val="auto"/>
        </w:rPr>
        <w:t>We may become subject to legal proceedings and claims that arise in the ordinary course of business, such as claims brought by our customers in connection with commercial disputes or employment claims made by our current or former employees. Litigation might result in substantial costs and may divert management’s attention and resources, which might materially adversely affect our business, financial condition, and results of operations. Insurance might not cover such claims, might not provide sufficient payments to cover all the costs to resolve one or more such claims, and might not continue to be available on terms acceptable to us (including premium increases or the imposition of large deductible or co-insurance requirements). A claim brought against us that is uninsured or underinsured could result in unanticipated costs, potentially having a material adverse effect on our business, financial condition, and results of operations. In addition, we cannot be sure that our existing insurance coverage and coverage for errors and omissions will continue to be available on acceptable terms or that our insurers will not deny coverage as to any future claim.</w:t>
      </w:r>
    </w:p>
    <w:p>
      <w:pPr>
        <w:spacing w:after="0" w:line="68"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63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61595</wp:posOffset>
            </wp:positionV>
            <wp:extent cx="7157720" cy="42545"/>
            <wp:wrapNone/>
            <wp:docPr id="295" name="Picture 2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5"/>
                    <pic:cNvPicPr>
                      <a:picLocks noChangeAspect="1" noChangeArrowheads="1"/>
                    </pic:cNvPicPr>
                  </pic:nvPicPr>
                  <pic:blipFill>
                    <a:blip r:embed="rId30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543" w:right="379" w:bottom="1440" w:gutter="0" w:footer="0" w:header="0"/>
        </w:sectPr>
      </w:pPr>
    </w:p>
    <w:bookmarkStart w:id="63" w:name="page64"/>
    <w:bookmarkEnd w:id="63"/>
    <w:p>
      <w:pPr>
        <w:spacing w:after="0"/>
        <w:rPr>
          <w:sz w:val="20"/>
          <w:szCs w:val="20"/>
          <w:color w:val="auto"/>
        </w:rPr>
      </w:pPr>
      <w:r>
        <w:rPr>
          <w:rFonts w:ascii="Arial" w:cs="Arial" w:eastAsia="Arial" w:hAnsi="Arial"/>
          <w:sz w:val="18"/>
          <w:szCs w:val="18"/>
          <w:b w:val="1"/>
          <w:bCs w:val="1"/>
          <w:color w:val="auto"/>
        </w:rPr>
        <w:t>Risks Related to Tax and Accounting Matters</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We face exposure to foreign currency exchange rate fluctuations.</w:t>
      </w:r>
    </w:p>
    <w:p>
      <w:pPr>
        <w:spacing w:after="0" w:line="103" w:lineRule="exact"/>
        <w:rPr>
          <w:sz w:val="20"/>
          <w:szCs w:val="20"/>
          <w:color w:val="auto"/>
        </w:rPr>
      </w:pPr>
    </w:p>
    <w:p>
      <w:pPr>
        <w:ind w:right="20" w:firstLine="509"/>
        <w:spacing w:after="0" w:line="273" w:lineRule="auto"/>
        <w:rPr>
          <w:sz w:val="20"/>
          <w:szCs w:val="20"/>
          <w:color w:val="auto"/>
        </w:rPr>
      </w:pPr>
      <w:r>
        <w:rPr>
          <w:rFonts w:ascii="Arial" w:cs="Arial" w:eastAsia="Arial" w:hAnsi="Arial"/>
          <w:sz w:val="16"/>
          <w:szCs w:val="16"/>
          <w:color w:val="auto"/>
        </w:rPr>
        <w:t>We conduct transactions, particularly intercompany transactions, in currencies other than the U.S. dollar. While we have primarily transacted with customers and vendors in U.S. dollars, we have transacted in foreign currencies for subscriptions to our Digital Analytics Platform, and we expect to significantly expand the number of transactions with customers for our Digital Analytics Platform that are denominated in foreign currencies. A portion of our operating expenses are incurred outside the United States, denominated in foreign currencies, and subject to fluctuations due to changes in foreign currency exchange rates, particularly changes in the Euro, British Pound, Canadian Dollar, Singapore Dollar, and Japanese Yen. In addition, our international subsidiaries maintain net assets denominated in currencies other than the functional operating currencies of these entities. Accordingly, changes in the value of foreign currencies relative to the U.S. dollar can affect our revenue and results of operations due to transactional and translational remeasurements. As a result of these foreign currency exchange rate fluctuations, it could be more difficult to detect underlying trends in our business and results of operations. To the extent that fluctuations in currency exchange rates cause our results of operations to differ from our expectations or the expectations of our investors, the trading price of our Class A common stock could be adversely affected. We do not currently maintain a program to hedge transactional exposures in foreign currencies. However, in the future, we may use derivative instruments, such as foreign currency forward and option contracts, to hedge certain exposures to fluctuations in foreign currency exchange rates. The use of these hedging instruments may not offset any, or more than a portion of, the adverse financial effects of unfavorable movements in foreign exchange rates over the limited time the hedges are in place, and may introduce additional risks if they are not structured effectively.</w:t>
      </w:r>
    </w:p>
    <w:p>
      <w:pPr>
        <w:spacing w:after="0" w:line="171" w:lineRule="exact"/>
        <w:rPr>
          <w:sz w:val="20"/>
          <w:szCs w:val="20"/>
          <w:color w:val="auto"/>
        </w:rPr>
      </w:pPr>
    </w:p>
    <w:p>
      <w:pPr>
        <w:ind w:right="380" w:firstLine="509"/>
        <w:spacing w:after="0" w:line="287" w:lineRule="auto"/>
        <w:rPr>
          <w:sz w:val="20"/>
          <w:szCs w:val="20"/>
          <w:color w:val="auto"/>
        </w:rPr>
      </w:pPr>
      <w:r>
        <w:rPr>
          <w:rFonts w:ascii="Arial" w:cs="Arial" w:eastAsia="Arial" w:hAnsi="Arial"/>
          <w:sz w:val="16"/>
          <w:szCs w:val="16"/>
          <w:color w:val="auto"/>
        </w:rPr>
        <w:t>In addition, our international subsidiaries maintain net assets denominated in currencies other than the functional operating currencies of these entities. Accordingly, changes in the value of foreign currencies relative to the U.S. dollar can affect our revenue and results of operations due to transactional and translational remeasurements. As a result of these foreign currency exchange rate fluctuations, it could be more difficult to detect underlying trends in our business and results of operations. To the extent that fluctuations in currency exchange rates cause our results of operations to differ from our expectations or the expectations of our investors, the trading price of our Class A common stock could be adversely affected.</w:t>
      </w:r>
    </w:p>
    <w:p>
      <w:pPr>
        <w:spacing w:after="0" w:line="26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Our global operations and structure subject us to potentially adverse tax consequences.</w:t>
      </w:r>
    </w:p>
    <w:p>
      <w:pPr>
        <w:spacing w:after="0" w:line="103" w:lineRule="exact"/>
        <w:rPr>
          <w:sz w:val="20"/>
          <w:szCs w:val="20"/>
          <w:color w:val="auto"/>
        </w:rPr>
      </w:pPr>
    </w:p>
    <w:p>
      <w:pPr>
        <w:ind w:firstLine="509"/>
        <w:spacing w:after="0" w:line="260" w:lineRule="auto"/>
        <w:rPr>
          <w:sz w:val="20"/>
          <w:szCs w:val="20"/>
          <w:color w:val="auto"/>
        </w:rPr>
      </w:pPr>
      <w:r>
        <w:rPr>
          <w:rFonts w:ascii="Arial" w:cs="Arial" w:eastAsia="Arial" w:hAnsi="Arial"/>
          <w:sz w:val="17"/>
          <w:szCs w:val="17"/>
          <w:color w:val="auto"/>
        </w:rPr>
        <w:t>We generally conduct our global operations through subsidiaries and report our taxable income in various jurisdictions worldwide based upon our business operations in those jurisdictions. A change in our global operations could result in higher effective tax rates, reduced cash flows, and lower overall profitability. In particular, our intercompany relationships are subject to complex transfer pricing regulations administered by taxing authorities in various jurisdictions. The relevant revenue and taxing authorities may disagree with positions we have taken generally, or our determinations as to the value of assets sold or acquired or income and expenses attributable to specific jurisdictions. If such a disagreement were to occur, and our position was not sustained, we could be required to pay additional taxes, interest, and penalties, which could result in one-time tax charges, higher effective tax rates, reduced cash flows, and lower overall profitability of our operations.</w:t>
      </w:r>
    </w:p>
    <w:p>
      <w:pPr>
        <w:spacing w:after="0" w:line="176" w:lineRule="exact"/>
        <w:rPr>
          <w:sz w:val="20"/>
          <w:szCs w:val="20"/>
          <w:color w:val="auto"/>
        </w:rPr>
      </w:pPr>
    </w:p>
    <w:p>
      <w:pPr>
        <w:ind w:right="120" w:firstLine="509"/>
        <w:spacing w:after="0" w:line="289" w:lineRule="auto"/>
        <w:rPr>
          <w:sz w:val="20"/>
          <w:szCs w:val="20"/>
          <w:color w:val="auto"/>
        </w:rPr>
      </w:pPr>
      <w:r>
        <w:rPr>
          <w:rFonts w:ascii="Arial" w:cs="Arial" w:eastAsia="Arial" w:hAnsi="Arial"/>
          <w:sz w:val="16"/>
          <w:szCs w:val="16"/>
          <w:color w:val="auto"/>
        </w:rPr>
        <w:t>In addition, the Organisation for Economic Co-operation and Development has initiated a base erosion and profit shifting project that seeks to establish certain international standards for taxing the worldwide income of multinational companies. As a result of these developments, the tax laws of certain countries in which we do business could change on a prospective or retroactive basis, and any such changes could increase our liabilities for taxes, interest, and penalties, and therefore could materially adversely affect our cash flows, financial condition, and results of operations.</w:t>
      </w:r>
    </w:p>
    <w:p>
      <w:pPr>
        <w:spacing w:after="0" w:line="27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Our ability to use our net operating loss carryforwards may be limited.</w:t>
      </w:r>
    </w:p>
    <w:p>
      <w:pPr>
        <w:spacing w:after="0" w:line="103" w:lineRule="exact"/>
        <w:rPr>
          <w:sz w:val="20"/>
          <w:szCs w:val="20"/>
          <w:color w:val="auto"/>
        </w:rPr>
      </w:pPr>
    </w:p>
    <w:p>
      <w:pPr>
        <w:ind w:right="200" w:firstLine="509"/>
        <w:spacing w:after="0" w:line="257" w:lineRule="auto"/>
        <w:rPr>
          <w:sz w:val="20"/>
          <w:szCs w:val="20"/>
          <w:color w:val="auto"/>
        </w:rPr>
      </w:pPr>
      <w:r>
        <w:rPr>
          <w:rFonts w:ascii="Arial" w:cs="Arial" w:eastAsia="Arial" w:hAnsi="Arial"/>
          <w:sz w:val="17"/>
          <w:szCs w:val="17"/>
          <w:color w:val="auto"/>
        </w:rPr>
        <w:t>Under Section 382 of the Internal Revenue Code of 1986, as amended (the “Code”), and corresponding provisions of state law, if a corporation undergoes an “ownership change,” which is generally defined as a greater than 50 percentage point change (by value) in its equity ownership by certain stockholders over a three-year period, the corporation’s ability to use its pre-change net operating loss carryforwards (“NOLs”) to offset its post-change income or taxes may be limited. We have completed a Section 382 study and have determined that none of the operating losses will expire solely due to Section 382 limitations. However, we may experience ownership changes as a result of subsequent shifts in our stock ownership, some of which may be outside of our control. Such change could limit the amount of NOLs that we can utilize annually to offset future taxable income or tax liabilities. Subsequent ownership changes and changes to the U.S. tax rules in respect of the utilization of NOLs may further affect the limitation in future years. In addition, at the state level, there may be periods during which the use of NOLs is suspended or otherwise limited, which could accelerate or permanently increase state taxes owed.</w:t>
      </w:r>
    </w:p>
    <w:p>
      <w:pPr>
        <w:spacing w:after="0" w:line="85"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64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61595</wp:posOffset>
            </wp:positionV>
            <wp:extent cx="7157720" cy="42545"/>
            <wp:wrapNone/>
            <wp:docPr id="296" name="Picture 2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6"/>
                    <pic:cNvPicPr>
                      <a:picLocks noChangeAspect="1" noChangeArrowheads="1"/>
                    </pic:cNvPicPr>
                  </pic:nvPicPr>
                  <pic:blipFill>
                    <a:blip r:embed="rId30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647" w:right="379" w:bottom="1440" w:gutter="0" w:footer="0" w:header="0"/>
        </w:sectPr>
      </w:pPr>
    </w:p>
    <w:bookmarkStart w:id="64" w:name="page65"/>
    <w:bookmarkEnd w:id="64"/>
    <w:p>
      <w:pPr>
        <w:spacing w:after="0"/>
        <w:rPr>
          <w:sz w:val="20"/>
          <w:szCs w:val="20"/>
          <w:color w:val="auto"/>
        </w:rPr>
      </w:pPr>
      <w:r>
        <w:rPr>
          <w:rFonts w:ascii="Arial" w:cs="Arial" w:eastAsia="Arial" w:hAnsi="Arial"/>
          <w:sz w:val="18"/>
          <w:szCs w:val="18"/>
          <w:b w:val="1"/>
          <w:bCs w:val="1"/>
          <w:i w:val="1"/>
          <w:iCs w:val="1"/>
          <w:color w:val="auto"/>
        </w:rPr>
        <w:t>Changes in our effective tax rate or tax liability may have a material adverse effect on our results of operations.</w:t>
      </w:r>
    </w:p>
    <w:p>
      <w:pPr>
        <w:spacing w:after="0" w:line="117" w:lineRule="exact"/>
        <w:rPr>
          <w:sz w:val="20"/>
          <w:szCs w:val="20"/>
          <w:color w:val="auto"/>
        </w:rPr>
      </w:pPr>
    </w:p>
    <w:p>
      <w:pPr>
        <w:ind w:right="180" w:firstLine="509"/>
        <w:spacing w:after="0" w:line="289" w:lineRule="auto"/>
        <w:rPr>
          <w:sz w:val="20"/>
          <w:szCs w:val="20"/>
          <w:color w:val="auto"/>
        </w:rPr>
      </w:pPr>
      <w:r>
        <w:rPr>
          <w:rFonts w:ascii="Arial" w:cs="Arial" w:eastAsia="Arial" w:hAnsi="Arial"/>
          <w:sz w:val="16"/>
          <w:szCs w:val="16"/>
          <w:color w:val="auto"/>
        </w:rPr>
        <w:t>We are subject to income taxes in the United States and various foreign jurisdictions. The determination of our worldwide provision for income taxes and other tax liabilities requires significant judgment by management, and there are many transactions where the ultimate tax determination is uncertain. We believe that our provision for income taxes is reasonable, but the ultimate tax outcome may differ from the amounts recorded in our condensed consolidated financial statements and may materially affect our financial results in the period or periods in which such outcome is determined.</w:t>
      </w:r>
    </w:p>
    <w:p>
      <w:pPr>
        <w:spacing w:after="0" w:line="152" w:lineRule="exact"/>
        <w:rPr>
          <w:sz w:val="20"/>
          <w:szCs w:val="20"/>
          <w:color w:val="auto"/>
        </w:rPr>
      </w:pPr>
    </w:p>
    <w:p>
      <w:pPr>
        <w:ind w:left="520"/>
        <w:spacing w:after="0"/>
        <w:rPr>
          <w:sz w:val="20"/>
          <w:szCs w:val="20"/>
          <w:color w:val="auto"/>
        </w:rPr>
      </w:pPr>
      <w:r>
        <w:rPr>
          <w:rFonts w:ascii="Arial" w:cs="Arial" w:eastAsia="Arial" w:hAnsi="Arial"/>
          <w:sz w:val="18"/>
          <w:szCs w:val="18"/>
          <w:color w:val="auto"/>
        </w:rPr>
        <w:t>Our effective tax rate could increase due to several factors, including:</w:t>
      </w:r>
    </w:p>
    <w:p>
      <w:pPr>
        <w:spacing w:after="0" w:line="103" w:lineRule="exact"/>
        <w:rPr>
          <w:sz w:val="20"/>
          <w:szCs w:val="20"/>
          <w:color w:val="auto"/>
        </w:rPr>
      </w:pPr>
    </w:p>
    <w:p>
      <w:pPr>
        <w:ind w:left="900" w:hanging="359"/>
        <w:spacing w:after="0"/>
        <w:tabs>
          <w:tab w:leader="none" w:pos="900" w:val="left"/>
        </w:tabs>
        <w:numPr>
          <w:ilvl w:val="0"/>
          <w:numId w:val="42"/>
        </w:numPr>
        <w:rPr>
          <w:rFonts w:ascii="Arial" w:cs="Arial" w:eastAsia="Arial" w:hAnsi="Arial"/>
          <w:sz w:val="16"/>
          <w:szCs w:val="16"/>
          <w:color w:val="auto"/>
        </w:rPr>
      </w:pPr>
      <w:r>
        <w:rPr>
          <w:rFonts w:ascii="Arial" w:cs="Arial" w:eastAsia="Arial" w:hAnsi="Arial"/>
          <w:sz w:val="16"/>
          <w:szCs w:val="16"/>
          <w:color w:val="auto"/>
        </w:rPr>
        <w:t>changes in the relative amounts of income before taxes in the various jurisdictions in which we operate that have differing statutory tax rates;</w:t>
      </w:r>
    </w:p>
    <w:p>
      <w:pPr>
        <w:spacing w:after="0" w:line="139" w:lineRule="exact"/>
        <w:rPr>
          <w:rFonts w:ascii="Arial" w:cs="Arial" w:eastAsia="Arial" w:hAnsi="Arial"/>
          <w:sz w:val="16"/>
          <w:szCs w:val="16"/>
          <w:color w:val="auto"/>
        </w:rPr>
      </w:pPr>
    </w:p>
    <w:p>
      <w:pPr>
        <w:ind w:left="1020" w:right="120" w:hanging="479"/>
        <w:spacing w:after="0" w:line="261" w:lineRule="auto"/>
        <w:tabs>
          <w:tab w:leader="none" w:pos="894" w:val="left"/>
        </w:tabs>
        <w:numPr>
          <w:ilvl w:val="0"/>
          <w:numId w:val="42"/>
        </w:numPr>
        <w:rPr>
          <w:rFonts w:ascii="Arial" w:cs="Arial" w:eastAsia="Arial" w:hAnsi="Arial"/>
          <w:sz w:val="18"/>
          <w:szCs w:val="18"/>
          <w:color w:val="auto"/>
        </w:rPr>
      </w:pPr>
      <w:r>
        <w:rPr>
          <w:rFonts w:ascii="Arial" w:cs="Arial" w:eastAsia="Arial" w:hAnsi="Arial"/>
          <w:sz w:val="18"/>
          <w:szCs w:val="18"/>
          <w:color w:val="auto"/>
        </w:rPr>
        <w:t>changes in tax laws, tax treaties, and regulations or the interpretation of them, such as the Tax Cuts and Jobs Act, the Coronavirus Aid, Relief, and Economic Security Act, and the Inflation Reduction Act;</w:t>
      </w:r>
    </w:p>
    <w:p>
      <w:pPr>
        <w:spacing w:after="0" w:line="62" w:lineRule="exact"/>
        <w:rPr>
          <w:rFonts w:ascii="Arial" w:cs="Arial" w:eastAsia="Arial" w:hAnsi="Arial"/>
          <w:sz w:val="18"/>
          <w:szCs w:val="18"/>
          <w:color w:val="auto"/>
        </w:rPr>
      </w:pPr>
    </w:p>
    <w:p>
      <w:pPr>
        <w:ind w:left="1020" w:right="80" w:hanging="479"/>
        <w:spacing w:after="0" w:line="290" w:lineRule="auto"/>
        <w:tabs>
          <w:tab w:leader="none" w:pos="894" w:val="left"/>
        </w:tabs>
        <w:numPr>
          <w:ilvl w:val="0"/>
          <w:numId w:val="42"/>
        </w:numPr>
        <w:rPr>
          <w:rFonts w:ascii="Arial" w:cs="Arial" w:eastAsia="Arial" w:hAnsi="Arial"/>
          <w:sz w:val="17"/>
          <w:szCs w:val="17"/>
          <w:color w:val="auto"/>
        </w:rPr>
      </w:pPr>
      <w:r>
        <w:rPr>
          <w:rFonts w:ascii="Arial" w:cs="Arial" w:eastAsia="Arial" w:hAnsi="Arial"/>
          <w:sz w:val="17"/>
          <w:szCs w:val="17"/>
          <w:color w:val="auto"/>
        </w:rPr>
        <w:t>changes to our assessment about our ability to realize our deferred tax assets that are based on estimates of our future results, the prudence and feasibility of possible tax planning strategies, and the economic and political environments in which we do business;</w:t>
      </w:r>
    </w:p>
    <w:p>
      <w:pPr>
        <w:spacing w:after="0" w:line="53" w:lineRule="exact"/>
        <w:rPr>
          <w:rFonts w:ascii="Arial" w:cs="Arial" w:eastAsia="Arial" w:hAnsi="Arial"/>
          <w:sz w:val="17"/>
          <w:szCs w:val="17"/>
          <w:color w:val="auto"/>
        </w:rPr>
      </w:pPr>
    </w:p>
    <w:p>
      <w:pPr>
        <w:ind w:left="900" w:hanging="359"/>
        <w:spacing w:after="0"/>
        <w:tabs>
          <w:tab w:leader="none" w:pos="900" w:val="left"/>
        </w:tabs>
        <w:numPr>
          <w:ilvl w:val="0"/>
          <w:numId w:val="42"/>
        </w:numPr>
        <w:rPr>
          <w:rFonts w:ascii="Arial" w:cs="Arial" w:eastAsia="Arial" w:hAnsi="Arial"/>
          <w:sz w:val="18"/>
          <w:szCs w:val="18"/>
          <w:color w:val="auto"/>
        </w:rPr>
      </w:pPr>
      <w:r>
        <w:rPr>
          <w:rFonts w:ascii="Arial" w:cs="Arial" w:eastAsia="Arial" w:hAnsi="Arial"/>
          <w:sz w:val="18"/>
          <w:szCs w:val="18"/>
          <w:color w:val="auto"/>
        </w:rPr>
        <w:t>the outcome of current and future tax audits, examinations, or administrative appeals; and</w:t>
      </w:r>
    </w:p>
    <w:p>
      <w:pPr>
        <w:spacing w:after="0" w:line="103" w:lineRule="exact"/>
        <w:rPr>
          <w:rFonts w:ascii="Arial" w:cs="Arial" w:eastAsia="Arial" w:hAnsi="Arial"/>
          <w:sz w:val="18"/>
          <w:szCs w:val="18"/>
          <w:color w:val="auto"/>
        </w:rPr>
      </w:pPr>
    </w:p>
    <w:p>
      <w:pPr>
        <w:ind w:left="900" w:hanging="359"/>
        <w:spacing w:after="0"/>
        <w:tabs>
          <w:tab w:leader="none" w:pos="900" w:val="left"/>
        </w:tabs>
        <w:numPr>
          <w:ilvl w:val="0"/>
          <w:numId w:val="42"/>
        </w:numPr>
        <w:rPr>
          <w:rFonts w:ascii="Arial" w:cs="Arial" w:eastAsia="Arial" w:hAnsi="Arial"/>
          <w:sz w:val="18"/>
          <w:szCs w:val="18"/>
          <w:color w:val="auto"/>
        </w:rPr>
      </w:pPr>
      <w:r>
        <w:rPr>
          <w:rFonts w:ascii="Arial" w:cs="Arial" w:eastAsia="Arial" w:hAnsi="Arial"/>
          <w:sz w:val="18"/>
          <w:szCs w:val="18"/>
          <w:color w:val="auto"/>
        </w:rPr>
        <w:t>the effects of acquisitions.</w:t>
      </w:r>
    </w:p>
    <w:p>
      <w:pPr>
        <w:spacing w:after="0" w:line="211" w:lineRule="exact"/>
        <w:rPr>
          <w:sz w:val="20"/>
          <w:szCs w:val="20"/>
          <w:color w:val="auto"/>
        </w:rPr>
      </w:pPr>
    </w:p>
    <w:p>
      <w:pPr>
        <w:ind w:left="520"/>
        <w:spacing w:after="0"/>
        <w:rPr>
          <w:sz w:val="20"/>
          <w:szCs w:val="20"/>
          <w:color w:val="auto"/>
        </w:rPr>
      </w:pPr>
      <w:r>
        <w:rPr>
          <w:rFonts w:ascii="Arial" w:cs="Arial" w:eastAsia="Arial" w:hAnsi="Arial"/>
          <w:sz w:val="18"/>
          <w:szCs w:val="18"/>
          <w:color w:val="auto"/>
        </w:rPr>
        <w:t>Any of these developments could materially adversely affect our results of operations.</w:t>
      </w:r>
    </w:p>
    <w:p>
      <w:pPr>
        <w:spacing w:after="0" w:line="225" w:lineRule="exact"/>
        <w:rPr>
          <w:sz w:val="20"/>
          <w:szCs w:val="20"/>
          <w:color w:val="auto"/>
        </w:rPr>
      </w:pPr>
    </w:p>
    <w:p>
      <w:pPr>
        <w:ind w:right="260" w:firstLine="509"/>
        <w:spacing w:after="0" w:line="248" w:lineRule="auto"/>
        <w:rPr>
          <w:sz w:val="20"/>
          <w:szCs w:val="20"/>
          <w:color w:val="auto"/>
        </w:rPr>
      </w:pPr>
      <w:r>
        <w:rPr>
          <w:rFonts w:ascii="Arial" w:cs="Arial" w:eastAsia="Arial" w:hAnsi="Arial"/>
          <w:sz w:val="18"/>
          <w:szCs w:val="18"/>
          <w:color w:val="auto"/>
        </w:rPr>
        <w:t>In addition, we may be subject to income tax audits by many tax jurisdictions throughout the world, many of which have not established clear guidance on the tax treatment of SaaS-based companies. Although we believe our income tax liabilities are reasonably estimated and accounted for in accordance with applicable laws and principles, an adverse resolution of one or more uncertain tax positions in any period could have a material adverse effect on the results of operations for that period.</w:t>
      </w:r>
    </w:p>
    <w:p>
      <w:pPr>
        <w:spacing w:after="0" w:line="291" w:lineRule="exact"/>
        <w:rPr>
          <w:sz w:val="20"/>
          <w:szCs w:val="20"/>
          <w:color w:val="auto"/>
        </w:rPr>
      </w:pPr>
    </w:p>
    <w:p>
      <w:pPr>
        <w:ind w:right="260"/>
        <w:spacing w:after="0" w:line="261" w:lineRule="auto"/>
        <w:rPr>
          <w:sz w:val="20"/>
          <w:szCs w:val="20"/>
          <w:color w:val="auto"/>
        </w:rPr>
      </w:pPr>
      <w:r>
        <w:rPr>
          <w:rFonts w:ascii="Arial" w:cs="Arial" w:eastAsia="Arial" w:hAnsi="Arial"/>
          <w:sz w:val="18"/>
          <w:szCs w:val="18"/>
          <w:b w:val="1"/>
          <w:bCs w:val="1"/>
          <w:i w:val="1"/>
          <w:iCs w:val="1"/>
          <w:color w:val="auto"/>
        </w:rPr>
        <w:t>We could be required to collect additional sales or indirect taxes or be subject to other tax liabilities that may increase the costs our customers would have to pay for our products and materially adversely affect our results of operations.</w:t>
      </w:r>
    </w:p>
    <w:p>
      <w:pPr>
        <w:spacing w:after="0" w:line="76" w:lineRule="exact"/>
        <w:rPr>
          <w:sz w:val="20"/>
          <w:szCs w:val="20"/>
          <w:color w:val="auto"/>
        </w:rPr>
      </w:pPr>
    </w:p>
    <w:p>
      <w:pPr>
        <w:ind w:right="40" w:firstLine="509"/>
        <w:spacing w:after="0" w:line="260" w:lineRule="auto"/>
        <w:rPr>
          <w:sz w:val="20"/>
          <w:szCs w:val="20"/>
          <w:color w:val="auto"/>
        </w:rPr>
      </w:pPr>
      <w:r>
        <w:rPr>
          <w:rFonts w:ascii="Arial" w:cs="Arial" w:eastAsia="Arial" w:hAnsi="Arial"/>
          <w:sz w:val="17"/>
          <w:szCs w:val="17"/>
          <w:color w:val="auto"/>
        </w:rPr>
        <w:t>We currently collect and remit applicable sales and indirect taxes and other applicable transfer taxes in jurisdictions where we, through our employees or economic activity, have a presence and where we have determined, based on applicable legal precedents, that sales or licensing of our products are classified as taxable. We do not currently collect and remit state and local excise, utility user and ad valorem taxes, fees, or surcharges in jurisdictions where we believe we do not have sufficient “nexus.” There is uncertainty as to what constitutes sufficient nexus for a state or local jurisdiction to levy taxes, fees, and surcharges for sales made over the internet, and there is also uncertainty as to whether our characterization of our products as not taxable in certain jurisdictions will be accepted by state and local tax authorities.</w:t>
      </w:r>
    </w:p>
    <w:p>
      <w:pPr>
        <w:spacing w:after="0" w:line="172" w:lineRule="exact"/>
        <w:rPr>
          <w:sz w:val="20"/>
          <w:szCs w:val="20"/>
          <w:color w:val="auto"/>
        </w:rPr>
      </w:pPr>
    </w:p>
    <w:p>
      <w:pPr>
        <w:ind w:firstLine="509"/>
        <w:spacing w:after="0" w:line="259" w:lineRule="auto"/>
        <w:rPr>
          <w:sz w:val="20"/>
          <w:szCs w:val="20"/>
          <w:color w:val="auto"/>
        </w:rPr>
      </w:pPr>
      <w:r>
        <w:rPr>
          <w:rFonts w:ascii="Arial" w:cs="Arial" w:eastAsia="Arial" w:hAnsi="Arial"/>
          <w:sz w:val="17"/>
          <w:szCs w:val="17"/>
          <w:color w:val="auto"/>
        </w:rPr>
        <w:t xml:space="preserve">An increasing number of states have considered or adopted laws that attempt to impose tax collection obligations on out-of-state companies. Additionally, the Supreme Court of the United States ruled in </w:t>
      </w:r>
      <w:r>
        <w:rPr>
          <w:rFonts w:ascii="Arial" w:cs="Arial" w:eastAsia="Arial" w:hAnsi="Arial"/>
          <w:sz w:val="17"/>
          <w:szCs w:val="17"/>
          <w:i w:val="1"/>
          <w:iCs w:val="1"/>
          <w:color w:val="auto"/>
        </w:rPr>
        <w:t>South Dakota v. Wayfair, Inc. et al</w:t>
      </w:r>
      <w:r>
        <w:rPr>
          <w:rFonts w:ascii="Arial" w:cs="Arial" w:eastAsia="Arial" w:hAnsi="Arial"/>
          <w:sz w:val="17"/>
          <w:szCs w:val="17"/>
          <w:color w:val="auto"/>
        </w:rPr>
        <w:t xml:space="preserve"> (“</w:t>
      </w:r>
      <w:r>
        <w:rPr>
          <w:rFonts w:ascii="Arial" w:cs="Arial" w:eastAsia="Arial" w:hAnsi="Arial"/>
          <w:sz w:val="17"/>
          <w:szCs w:val="17"/>
          <w:i w:val="1"/>
          <w:iCs w:val="1"/>
          <w:color w:val="auto"/>
        </w:rPr>
        <w:t>Wayfair</w:t>
      </w:r>
      <w:r>
        <w:rPr>
          <w:rFonts w:ascii="Arial" w:cs="Arial" w:eastAsia="Arial" w:hAnsi="Arial"/>
          <w:sz w:val="17"/>
          <w:szCs w:val="17"/>
          <w:color w:val="auto"/>
        </w:rPr>
        <w:t xml:space="preserve">”), that online sellers can be required to collect sales and use tax despite not having a physical presence in the buyer’s state. In response to </w:t>
      </w:r>
      <w:r>
        <w:rPr>
          <w:rFonts w:ascii="Arial" w:cs="Arial" w:eastAsia="Arial" w:hAnsi="Arial"/>
          <w:sz w:val="17"/>
          <w:szCs w:val="17"/>
          <w:i w:val="1"/>
          <w:iCs w:val="1"/>
          <w:color w:val="auto"/>
        </w:rPr>
        <w:t>Wayfair</w:t>
      </w:r>
      <w:r>
        <w:rPr>
          <w:rFonts w:ascii="Arial" w:cs="Arial" w:eastAsia="Arial" w:hAnsi="Arial"/>
          <w:sz w:val="17"/>
          <w:szCs w:val="17"/>
          <w:color w:val="auto"/>
        </w:rPr>
        <w:t>, or otherwise, states or local governments may adopt, or begin to enforce, laws requiring us to calculate, collect, and remit taxes on sales in their jurisdictions. A successful assertion by one or more states requiring us to collect taxes where we presently do not do so, or to collect more taxes in a jurisdiction in which we currently do collect some taxes, could result in substantial tax liabilities, including taxes on past sales, as well as penalties and interest. The imposition by state governments or local governments of sales tax collection obligations on out-of-state sellers could also create additional administrative burdens for us, put us at a competitive disadvantage if they do not impose similar obligations on our competitors, and decrease our future sales, which could have a material adverse effect on our business and results of operations.</w:t>
      </w:r>
    </w:p>
    <w:p>
      <w:pPr>
        <w:spacing w:after="0" w:line="286"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Our reported financial results may be adversely affected by changes in accounting principles generally accepted in the United States.</w:t>
      </w:r>
    </w:p>
    <w:p>
      <w:pPr>
        <w:spacing w:after="0" w:line="128" w:lineRule="exact"/>
        <w:rPr>
          <w:sz w:val="20"/>
          <w:szCs w:val="20"/>
          <w:color w:val="auto"/>
        </w:rPr>
      </w:pPr>
    </w:p>
    <w:p>
      <w:pPr>
        <w:ind w:right="120" w:firstLine="509"/>
        <w:spacing w:after="0" w:line="248" w:lineRule="auto"/>
        <w:rPr>
          <w:sz w:val="20"/>
          <w:szCs w:val="20"/>
          <w:color w:val="auto"/>
        </w:rPr>
      </w:pPr>
      <w:r>
        <w:rPr>
          <w:rFonts w:ascii="Arial" w:cs="Arial" w:eastAsia="Arial" w:hAnsi="Arial"/>
          <w:sz w:val="18"/>
          <w:szCs w:val="18"/>
          <w:color w:val="auto"/>
        </w:rPr>
        <w:t>U.S. generally accepted accounting principles (“U.S. GAAP”) are subject to interpretation by the Financial Accounting Standards Board, the Securities and Exchange Commission (the “SEC”), and various bodies formed to promulgate and interpret appropriate accounting principles. A change in these principles or interpretations could have a significant effect on our reported results of operations and could affect the reporting of transactions already completed before the announcement of a change.</w:t>
      </w:r>
    </w:p>
    <w:p>
      <w:pPr>
        <w:spacing w:after="0" w:line="75"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65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61595</wp:posOffset>
            </wp:positionV>
            <wp:extent cx="7157720" cy="42545"/>
            <wp:wrapNone/>
            <wp:docPr id="297" name="Picture 2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7"/>
                    <pic:cNvPicPr>
                      <a:picLocks noChangeAspect="1" noChangeArrowheads="1"/>
                    </pic:cNvPicPr>
                  </pic:nvPicPr>
                  <pic:blipFill>
                    <a:blip r:embed="rId30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651" w:right="359" w:bottom="1440" w:gutter="0" w:footer="0" w:header="0"/>
        </w:sectPr>
      </w:pPr>
    </w:p>
    <w:bookmarkStart w:id="65" w:name="page66"/>
    <w:bookmarkEnd w:id="65"/>
    <w:p>
      <w:pPr>
        <w:ind w:right="240"/>
        <w:spacing w:after="0" w:line="277" w:lineRule="auto"/>
        <w:rPr>
          <w:sz w:val="20"/>
          <w:szCs w:val="20"/>
          <w:color w:val="auto"/>
        </w:rPr>
      </w:pPr>
      <w:r>
        <w:rPr>
          <w:rFonts w:ascii="Arial" w:cs="Arial" w:eastAsia="Arial" w:hAnsi="Arial"/>
          <w:sz w:val="18"/>
          <w:szCs w:val="18"/>
          <w:b w:val="1"/>
          <w:bCs w:val="1"/>
          <w:i w:val="1"/>
          <w:iCs w:val="1"/>
          <w:color w:val="auto"/>
        </w:rPr>
        <w:t>If our estimates or judgments relating to our critical accounting policies prove to be incorrect, our results of operations could be materially adversely affected.</w:t>
      </w:r>
    </w:p>
    <w:p>
      <w:pPr>
        <w:spacing w:after="0" w:line="48" w:lineRule="exact"/>
        <w:rPr>
          <w:sz w:val="20"/>
          <w:szCs w:val="20"/>
          <w:color w:val="auto"/>
        </w:rPr>
      </w:pPr>
    </w:p>
    <w:p>
      <w:pPr>
        <w:ind w:firstLine="509"/>
        <w:spacing w:after="0" w:line="257" w:lineRule="auto"/>
        <w:rPr>
          <w:sz w:val="20"/>
          <w:szCs w:val="20"/>
          <w:color w:val="auto"/>
        </w:rPr>
      </w:pPr>
      <w:r>
        <w:rPr>
          <w:rFonts w:ascii="Arial" w:cs="Arial" w:eastAsia="Arial" w:hAnsi="Arial"/>
          <w:sz w:val="17"/>
          <w:szCs w:val="17"/>
          <w:color w:val="auto"/>
        </w:rPr>
        <w:t>The preparation of financial statements in conformity with U.S. GAAP requires management to make estimates and assumptions that affect the amounts reported in our condensed consolidated financial statements and accompanying notes appearing elsewhere in this Quarterly Report on Form 10-Q. We base our estimates on historical experience and on various other assumptions that we believe to be reasonable under the circumstances, as provided in the section titled “Management’s Discussion and Analysis of Financial Condition and Results of Operations—Critical Accounting Policies and Estimates” within this Quarterly Report on Form 10-Q. The results of these estimates form the basis for making judgments about the carrying values of assets, liabilities, and equity, and the amount of revenue and expenses that are not readily apparent from other sources. Significant estimates and judgments involve those related to revenue recognition, deferred commissions, valuation of our stock-based compensation awards, including the determination of fair value of our common stock, valuation of goodwill and intangible assets, accounting for income taxes, and useful lives of long-lived assets, among others. Our results of operations may be materially adversely affected if our assumptions change or if actual circumstances differ from those in our assumptions, which could cause our results of operations to fall below the expectations of securities analysts and investors, resulting in a decline in the trading price of our Class A common stock.</w:t>
      </w:r>
    </w:p>
    <w:p>
      <w:pPr>
        <w:spacing w:after="0" w:line="28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If our goodwill or intangible assets become impaired, we may be required to record a significant charge to earnings.</w:t>
      </w:r>
    </w:p>
    <w:p>
      <w:pPr>
        <w:spacing w:after="0" w:line="117" w:lineRule="exact"/>
        <w:rPr>
          <w:sz w:val="20"/>
          <w:szCs w:val="20"/>
          <w:color w:val="auto"/>
        </w:rPr>
      </w:pPr>
    </w:p>
    <w:p>
      <w:pPr>
        <w:ind w:right="260" w:firstLine="509"/>
        <w:spacing w:after="0" w:line="289" w:lineRule="auto"/>
        <w:rPr>
          <w:sz w:val="20"/>
          <w:szCs w:val="20"/>
          <w:color w:val="auto"/>
        </w:rPr>
      </w:pPr>
      <w:r>
        <w:rPr>
          <w:rFonts w:ascii="Arial" w:cs="Arial" w:eastAsia="Arial" w:hAnsi="Arial"/>
          <w:sz w:val="16"/>
          <w:szCs w:val="16"/>
          <w:color w:val="auto"/>
        </w:rPr>
        <w:t>We review our intangible assets for impairment when events or changes in circumstances indicate the carrying value may not be recoverable. Goodwill is required to be tested for impairment at least annually. An adverse change in market conditions, particularly if such change has the effect of changing one of our critical assumptions or estimates, could result in a change to the estimation of fair value that could result in an impairment charge to our goodwill or intangible assets. Any such charges may have a material adverse effect on our results of operations.</w:t>
      </w:r>
    </w:p>
    <w:p>
      <w:pPr>
        <w:spacing w:after="0" w:line="25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Risks Related to Ownership of Our Class A Common Stock</w:t>
      </w:r>
    </w:p>
    <w:p>
      <w:pPr>
        <w:spacing w:after="0" w:line="10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Our stock price has been, and in the future, may be, volatile, and could decline significantly and rapidly.</w:t>
      </w:r>
    </w:p>
    <w:p>
      <w:pPr>
        <w:spacing w:after="0" w:line="117" w:lineRule="exact"/>
        <w:rPr>
          <w:sz w:val="20"/>
          <w:szCs w:val="20"/>
          <w:color w:val="auto"/>
        </w:rPr>
      </w:pPr>
    </w:p>
    <w:p>
      <w:pPr>
        <w:ind w:right="520" w:firstLine="509"/>
        <w:spacing w:after="0" w:line="261" w:lineRule="auto"/>
        <w:rPr>
          <w:sz w:val="20"/>
          <w:szCs w:val="20"/>
          <w:color w:val="auto"/>
        </w:rPr>
      </w:pPr>
      <w:r>
        <w:rPr>
          <w:rFonts w:ascii="Arial" w:cs="Arial" w:eastAsia="Arial" w:hAnsi="Arial"/>
          <w:sz w:val="18"/>
          <w:szCs w:val="18"/>
          <w:color w:val="auto"/>
        </w:rPr>
        <w:t>The trading price of our Class A common stock has fluctuated and may in the future fluctuate substantially in response to numerous factors in addition to the ones described in the preceding risk factors, many of which are beyond our control, including:</w:t>
      </w:r>
    </w:p>
    <w:p>
      <w:pPr>
        <w:spacing w:after="0" w:line="62" w:lineRule="exact"/>
        <w:rPr>
          <w:sz w:val="20"/>
          <w:szCs w:val="20"/>
          <w:color w:val="auto"/>
        </w:rPr>
      </w:pPr>
    </w:p>
    <w:p>
      <w:pPr>
        <w:ind w:left="1020" w:hanging="504"/>
        <w:spacing w:after="0"/>
        <w:tabs>
          <w:tab w:leader="none" w:pos="1020" w:val="left"/>
        </w:tabs>
        <w:numPr>
          <w:ilvl w:val="0"/>
          <w:numId w:val="43"/>
        </w:numPr>
        <w:rPr>
          <w:rFonts w:ascii="Arial" w:cs="Arial" w:eastAsia="Arial" w:hAnsi="Arial"/>
          <w:sz w:val="17"/>
          <w:szCs w:val="17"/>
          <w:color w:val="auto"/>
        </w:rPr>
      </w:pPr>
      <w:r>
        <w:rPr>
          <w:rFonts w:ascii="Arial" w:cs="Arial" w:eastAsia="Arial" w:hAnsi="Arial"/>
          <w:sz w:val="17"/>
          <w:szCs w:val="17"/>
          <w:color w:val="auto"/>
        </w:rPr>
        <w:t>actual or anticipated fluctuations in our financial condition, results of operations, or operating metrics and those of our competitors;</w:t>
      </w:r>
    </w:p>
    <w:p>
      <w:pPr>
        <w:spacing w:after="0" w:line="128" w:lineRule="exact"/>
        <w:rPr>
          <w:rFonts w:ascii="Arial" w:cs="Arial" w:eastAsia="Arial" w:hAnsi="Arial"/>
          <w:sz w:val="17"/>
          <w:szCs w:val="17"/>
          <w:color w:val="auto"/>
        </w:rPr>
      </w:pPr>
    </w:p>
    <w:p>
      <w:pPr>
        <w:ind w:left="1020" w:hanging="504"/>
        <w:spacing w:after="0"/>
        <w:tabs>
          <w:tab w:leader="none" w:pos="1020" w:val="left"/>
        </w:tabs>
        <w:numPr>
          <w:ilvl w:val="0"/>
          <w:numId w:val="43"/>
        </w:numPr>
        <w:rPr>
          <w:rFonts w:ascii="Arial" w:cs="Arial" w:eastAsia="Arial" w:hAnsi="Arial"/>
          <w:sz w:val="18"/>
          <w:szCs w:val="18"/>
          <w:color w:val="auto"/>
        </w:rPr>
      </w:pPr>
      <w:r>
        <w:rPr>
          <w:rFonts w:ascii="Arial" w:cs="Arial" w:eastAsia="Arial" w:hAnsi="Arial"/>
          <w:sz w:val="18"/>
          <w:szCs w:val="18"/>
          <w:color w:val="auto"/>
        </w:rPr>
        <w:t>changes in our projected operating and financial results or our failure to meet these projections;</w:t>
      </w:r>
    </w:p>
    <w:p>
      <w:pPr>
        <w:spacing w:after="0" w:line="103" w:lineRule="exact"/>
        <w:rPr>
          <w:rFonts w:ascii="Arial" w:cs="Arial" w:eastAsia="Arial" w:hAnsi="Arial"/>
          <w:sz w:val="18"/>
          <w:szCs w:val="18"/>
          <w:color w:val="auto"/>
        </w:rPr>
      </w:pPr>
    </w:p>
    <w:p>
      <w:pPr>
        <w:ind w:left="1020" w:right="240" w:hanging="504"/>
        <w:spacing w:after="0" w:line="261" w:lineRule="auto"/>
        <w:tabs>
          <w:tab w:leader="none" w:pos="1020" w:val="left"/>
        </w:tabs>
        <w:numPr>
          <w:ilvl w:val="0"/>
          <w:numId w:val="43"/>
        </w:numPr>
        <w:rPr>
          <w:rFonts w:ascii="Arial" w:cs="Arial" w:eastAsia="Arial" w:hAnsi="Arial"/>
          <w:sz w:val="18"/>
          <w:szCs w:val="18"/>
          <w:color w:val="auto"/>
        </w:rPr>
      </w:pPr>
      <w:r>
        <w:rPr>
          <w:rFonts w:ascii="Arial" w:cs="Arial" w:eastAsia="Arial" w:hAnsi="Arial"/>
          <w:sz w:val="18"/>
          <w:szCs w:val="18"/>
          <w:color w:val="auto"/>
        </w:rPr>
        <w:t>failure of securities analysts to initiate or maintain coverage of us, changes in financial estimates by any securities analysts who follow our company, or variance in our financial performance from expectations of securities analysts;</w:t>
      </w:r>
    </w:p>
    <w:p>
      <w:pPr>
        <w:spacing w:after="0" w:line="62" w:lineRule="exact"/>
        <w:rPr>
          <w:rFonts w:ascii="Arial" w:cs="Arial" w:eastAsia="Arial" w:hAnsi="Arial"/>
          <w:sz w:val="18"/>
          <w:szCs w:val="18"/>
          <w:color w:val="auto"/>
        </w:rPr>
      </w:pPr>
    </w:p>
    <w:p>
      <w:pPr>
        <w:ind w:left="1020" w:hanging="504"/>
        <w:spacing w:after="0"/>
        <w:tabs>
          <w:tab w:leader="none" w:pos="1020" w:val="left"/>
        </w:tabs>
        <w:numPr>
          <w:ilvl w:val="0"/>
          <w:numId w:val="43"/>
        </w:numPr>
        <w:rPr>
          <w:rFonts w:ascii="Arial" w:cs="Arial" w:eastAsia="Arial" w:hAnsi="Arial"/>
          <w:sz w:val="18"/>
          <w:szCs w:val="18"/>
          <w:color w:val="auto"/>
        </w:rPr>
      </w:pPr>
      <w:r>
        <w:rPr>
          <w:rFonts w:ascii="Arial" w:cs="Arial" w:eastAsia="Arial" w:hAnsi="Arial"/>
          <w:sz w:val="18"/>
          <w:szCs w:val="18"/>
          <w:color w:val="auto"/>
        </w:rPr>
        <w:t>changes in the pricing of our Digital Analytics Platform;</w:t>
      </w:r>
    </w:p>
    <w:p>
      <w:pPr>
        <w:spacing w:after="0" w:line="116" w:lineRule="exact"/>
        <w:rPr>
          <w:rFonts w:ascii="Arial" w:cs="Arial" w:eastAsia="Arial" w:hAnsi="Arial"/>
          <w:sz w:val="18"/>
          <w:szCs w:val="18"/>
          <w:color w:val="auto"/>
        </w:rPr>
      </w:pPr>
    </w:p>
    <w:p>
      <w:pPr>
        <w:ind w:left="1020" w:hanging="504"/>
        <w:spacing w:after="0"/>
        <w:tabs>
          <w:tab w:leader="none" w:pos="1020" w:val="left"/>
        </w:tabs>
        <w:numPr>
          <w:ilvl w:val="0"/>
          <w:numId w:val="43"/>
        </w:numPr>
        <w:rPr>
          <w:rFonts w:ascii="Arial" w:cs="Arial" w:eastAsia="Arial" w:hAnsi="Arial"/>
          <w:sz w:val="18"/>
          <w:szCs w:val="18"/>
          <w:color w:val="auto"/>
        </w:rPr>
      </w:pPr>
      <w:r>
        <w:rPr>
          <w:rFonts w:ascii="Arial" w:cs="Arial" w:eastAsia="Arial" w:hAnsi="Arial"/>
          <w:sz w:val="18"/>
          <w:szCs w:val="18"/>
          <w:color w:val="auto"/>
        </w:rPr>
        <w:t>changes in the anticipated future size or growth rate of our addressable markets;</w:t>
      </w:r>
    </w:p>
    <w:p>
      <w:pPr>
        <w:spacing w:after="0" w:line="103" w:lineRule="exact"/>
        <w:rPr>
          <w:rFonts w:ascii="Arial" w:cs="Arial" w:eastAsia="Arial" w:hAnsi="Arial"/>
          <w:sz w:val="18"/>
          <w:szCs w:val="18"/>
          <w:color w:val="auto"/>
        </w:rPr>
      </w:pPr>
    </w:p>
    <w:p>
      <w:pPr>
        <w:ind w:left="1020" w:hanging="504"/>
        <w:spacing w:after="0"/>
        <w:tabs>
          <w:tab w:leader="none" w:pos="1020" w:val="left"/>
        </w:tabs>
        <w:numPr>
          <w:ilvl w:val="0"/>
          <w:numId w:val="43"/>
        </w:numPr>
        <w:rPr>
          <w:rFonts w:ascii="Arial" w:cs="Arial" w:eastAsia="Arial" w:hAnsi="Arial"/>
          <w:sz w:val="18"/>
          <w:szCs w:val="18"/>
          <w:color w:val="auto"/>
        </w:rPr>
      </w:pPr>
      <w:r>
        <w:rPr>
          <w:rFonts w:ascii="Arial" w:cs="Arial" w:eastAsia="Arial" w:hAnsi="Arial"/>
          <w:sz w:val="18"/>
          <w:szCs w:val="18"/>
          <w:color w:val="auto"/>
        </w:rPr>
        <w:t>changes in laws or regulations applicable to our Digital Analytics Platform;</w:t>
      </w:r>
    </w:p>
    <w:p>
      <w:pPr>
        <w:spacing w:after="0" w:line="103" w:lineRule="exact"/>
        <w:rPr>
          <w:rFonts w:ascii="Arial" w:cs="Arial" w:eastAsia="Arial" w:hAnsi="Arial"/>
          <w:sz w:val="18"/>
          <w:szCs w:val="18"/>
          <w:color w:val="auto"/>
        </w:rPr>
      </w:pPr>
    </w:p>
    <w:p>
      <w:pPr>
        <w:ind w:left="1020" w:hanging="504"/>
        <w:spacing w:after="0"/>
        <w:tabs>
          <w:tab w:leader="none" w:pos="1020" w:val="left"/>
        </w:tabs>
        <w:numPr>
          <w:ilvl w:val="0"/>
          <w:numId w:val="43"/>
        </w:numPr>
        <w:rPr>
          <w:rFonts w:ascii="Arial" w:cs="Arial" w:eastAsia="Arial" w:hAnsi="Arial"/>
          <w:sz w:val="18"/>
          <w:szCs w:val="18"/>
          <w:color w:val="auto"/>
        </w:rPr>
      </w:pPr>
      <w:r>
        <w:rPr>
          <w:rFonts w:ascii="Arial" w:cs="Arial" w:eastAsia="Arial" w:hAnsi="Arial"/>
          <w:sz w:val="18"/>
          <w:szCs w:val="18"/>
          <w:color w:val="auto"/>
        </w:rPr>
        <w:t>announcements by us or our competitors of significant business developments, acquisitions, or new offerings;</w:t>
      </w:r>
    </w:p>
    <w:p>
      <w:pPr>
        <w:spacing w:after="0" w:line="116" w:lineRule="exact"/>
        <w:rPr>
          <w:rFonts w:ascii="Arial" w:cs="Arial" w:eastAsia="Arial" w:hAnsi="Arial"/>
          <w:sz w:val="18"/>
          <w:szCs w:val="18"/>
          <w:color w:val="auto"/>
        </w:rPr>
      </w:pPr>
    </w:p>
    <w:p>
      <w:pPr>
        <w:ind w:left="1020" w:hanging="504"/>
        <w:spacing w:after="0"/>
        <w:tabs>
          <w:tab w:leader="none" w:pos="1020" w:val="left"/>
        </w:tabs>
        <w:numPr>
          <w:ilvl w:val="0"/>
          <w:numId w:val="43"/>
        </w:numPr>
        <w:rPr>
          <w:rFonts w:ascii="Arial" w:cs="Arial" w:eastAsia="Arial" w:hAnsi="Arial"/>
          <w:sz w:val="18"/>
          <w:szCs w:val="18"/>
          <w:color w:val="auto"/>
        </w:rPr>
      </w:pPr>
      <w:r>
        <w:rPr>
          <w:rFonts w:ascii="Arial" w:cs="Arial" w:eastAsia="Arial" w:hAnsi="Arial"/>
          <w:sz w:val="18"/>
          <w:szCs w:val="18"/>
          <w:color w:val="auto"/>
        </w:rPr>
        <w:t>significant data breaches, disruptions to, or other incidents involving, our platform;</w:t>
      </w:r>
    </w:p>
    <w:p>
      <w:pPr>
        <w:spacing w:after="0" w:line="103" w:lineRule="exact"/>
        <w:rPr>
          <w:rFonts w:ascii="Arial" w:cs="Arial" w:eastAsia="Arial" w:hAnsi="Arial"/>
          <w:sz w:val="18"/>
          <w:szCs w:val="18"/>
          <w:color w:val="auto"/>
        </w:rPr>
      </w:pPr>
    </w:p>
    <w:p>
      <w:pPr>
        <w:ind w:left="1020" w:hanging="504"/>
        <w:spacing w:after="0"/>
        <w:tabs>
          <w:tab w:leader="none" w:pos="1020" w:val="left"/>
        </w:tabs>
        <w:numPr>
          <w:ilvl w:val="0"/>
          <w:numId w:val="43"/>
        </w:numPr>
        <w:rPr>
          <w:rFonts w:ascii="Arial" w:cs="Arial" w:eastAsia="Arial" w:hAnsi="Arial"/>
          <w:sz w:val="18"/>
          <w:szCs w:val="18"/>
          <w:color w:val="auto"/>
        </w:rPr>
      </w:pPr>
      <w:r>
        <w:rPr>
          <w:rFonts w:ascii="Arial" w:cs="Arial" w:eastAsia="Arial" w:hAnsi="Arial"/>
          <w:sz w:val="18"/>
          <w:szCs w:val="18"/>
          <w:color w:val="auto"/>
        </w:rPr>
        <w:t>our involvement in litigation;</w:t>
      </w:r>
    </w:p>
    <w:p>
      <w:pPr>
        <w:spacing w:after="0" w:line="103" w:lineRule="exact"/>
        <w:rPr>
          <w:rFonts w:ascii="Arial" w:cs="Arial" w:eastAsia="Arial" w:hAnsi="Arial"/>
          <w:sz w:val="18"/>
          <w:szCs w:val="18"/>
          <w:color w:val="auto"/>
        </w:rPr>
      </w:pPr>
    </w:p>
    <w:p>
      <w:pPr>
        <w:ind w:left="1020" w:hanging="504"/>
        <w:spacing w:after="0"/>
        <w:tabs>
          <w:tab w:leader="none" w:pos="1020" w:val="left"/>
        </w:tabs>
        <w:numPr>
          <w:ilvl w:val="0"/>
          <w:numId w:val="43"/>
        </w:numPr>
        <w:rPr>
          <w:rFonts w:ascii="Arial" w:cs="Arial" w:eastAsia="Arial" w:hAnsi="Arial"/>
          <w:sz w:val="18"/>
          <w:szCs w:val="18"/>
          <w:color w:val="auto"/>
        </w:rPr>
      </w:pPr>
      <w:r>
        <w:rPr>
          <w:rFonts w:ascii="Arial" w:cs="Arial" w:eastAsia="Arial" w:hAnsi="Arial"/>
          <w:sz w:val="18"/>
          <w:szCs w:val="18"/>
          <w:color w:val="auto"/>
        </w:rPr>
        <w:t>changes in our board of directors, senior management, or key personnel;</w:t>
      </w:r>
    </w:p>
    <w:p>
      <w:pPr>
        <w:spacing w:after="0" w:line="116" w:lineRule="exact"/>
        <w:rPr>
          <w:rFonts w:ascii="Arial" w:cs="Arial" w:eastAsia="Arial" w:hAnsi="Arial"/>
          <w:sz w:val="18"/>
          <w:szCs w:val="18"/>
          <w:color w:val="auto"/>
        </w:rPr>
      </w:pPr>
    </w:p>
    <w:p>
      <w:pPr>
        <w:ind w:left="1020" w:hanging="504"/>
        <w:spacing w:after="0"/>
        <w:tabs>
          <w:tab w:leader="none" w:pos="1020" w:val="left"/>
        </w:tabs>
        <w:numPr>
          <w:ilvl w:val="0"/>
          <w:numId w:val="43"/>
        </w:numPr>
        <w:rPr>
          <w:rFonts w:ascii="Arial" w:cs="Arial" w:eastAsia="Arial" w:hAnsi="Arial"/>
          <w:sz w:val="18"/>
          <w:szCs w:val="18"/>
          <w:color w:val="auto"/>
        </w:rPr>
      </w:pPr>
      <w:r>
        <w:rPr>
          <w:rFonts w:ascii="Arial" w:cs="Arial" w:eastAsia="Arial" w:hAnsi="Arial"/>
          <w:sz w:val="18"/>
          <w:szCs w:val="18"/>
          <w:color w:val="auto"/>
        </w:rPr>
        <w:t>the number of shares of our Class A common stock made available for trading;</w:t>
      </w:r>
    </w:p>
    <w:p>
      <w:pPr>
        <w:spacing w:after="0" w:line="103" w:lineRule="exact"/>
        <w:rPr>
          <w:rFonts w:ascii="Arial" w:cs="Arial" w:eastAsia="Arial" w:hAnsi="Arial"/>
          <w:sz w:val="18"/>
          <w:szCs w:val="18"/>
          <w:color w:val="auto"/>
        </w:rPr>
      </w:pPr>
    </w:p>
    <w:p>
      <w:pPr>
        <w:ind w:left="1020" w:hanging="504"/>
        <w:spacing w:after="0"/>
        <w:tabs>
          <w:tab w:leader="none" w:pos="1020" w:val="left"/>
        </w:tabs>
        <w:numPr>
          <w:ilvl w:val="0"/>
          <w:numId w:val="43"/>
        </w:numPr>
        <w:rPr>
          <w:rFonts w:ascii="Arial" w:cs="Arial" w:eastAsia="Arial" w:hAnsi="Arial"/>
          <w:sz w:val="18"/>
          <w:szCs w:val="18"/>
          <w:color w:val="auto"/>
        </w:rPr>
      </w:pPr>
      <w:r>
        <w:rPr>
          <w:rFonts w:ascii="Arial" w:cs="Arial" w:eastAsia="Arial" w:hAnsi="Arial"/>
          <w:sz w:val="18"/>
          <w:szCs w:val="18"/>
          <w:color w:val="auto"/>
        </w:rPr>
        <w:t>future sales of our Class A common stock by us or our stockholders;</w:t>
      </w:r>
    </w:p>
    <w:p>
      <w:pPr>
        <w:spacing w:after="0" w:line="103" w:lineRule="exact"/>
        <w:rPr>
          <w:rFonts w:ascii="Arial" w:cs="Arial" w:eastAsia="Arial" w:hAnsi="Arial"/>
          <w:sz w:val="18"/>
          <w:szCs w:val="18"/>
          <w:color w:val="auto"/>
        </w:rPr>
      </w:pPr>
    </w:p>
    <w:p>
      <w:pPr>
        <w:ind w:left="1020" w:hanging="504"/>
        <w:spacing w:after="0"/>
        <w:tabs>
          <w:tab w:leader="none" w:pos="1020" w:val="left"/>
        </w:tabs>
        <w:numPr>
          <w:ilvl w:val="0"/>
          <w:numId w:val="43"/>
        </w:numPr>
        <w:rPr>
          <w:rFonts w:ascii="Arial" w:cs="Arial" w:eastAsia="Arial" w:hAnsi="Arial"/>
          <w:sz w:val="18"/>
          <w:szCs w:val="18"/>
          <w:color w:val="auto"/>
        </w:rPr>
      </w:pPr>
      <w:r>
        <w:rPr>
          <w:rFonts w:ascii="Arial" w:cs="Arial" w:eastAsia="Arial" w:hAnsi="Arial"/>
          <w:sz w:val="18"/>
          <w:szCs w:val="18"/>
          <w:color w:val="auto"/>
        </w:rPr>
        <w:t>the trading volume of our Class A common stock;</w:t>
      </w:r>
    </w:p>
    <w:p>
      <w:pPr>
        <w:spacing w:after="0" w:line="116" w:lineRule="exact"/>
        <w:rPr>
          <w:rFonts w:ascii="Arial" w:cs="Arial" w:eastAsia="Arial" w:hAnsi="Arial"/>
          <w:sz w:val="18"/>
          <w:szCs w:val="18"/>
          <w:color w:val="auto"/>
        </w:rPr>
      </w:pPr>
    </w:p>
    <w:p>
      <w:pPr>
        <w:ind w:left="1020" w:hanging="504"/>
        <w:spacing w:after="0"/>
        <w:tabs>
          <w:tab w:leader="none" w:pos="1020" w:val="left"/>
        </w:tabs>
        <w:numPr>
          <w:ilvl w:val="0"/>
          <w:numId w:val="43"/>
        </w:numPr>
        <w:rPr>
          <w:rFonts w:ascii="Arial" w:cs="Arial" w:eastAsia="Arial" w:hAnsi="Arial"/>
          <w:sz w:val="18"/>
          <w:szCs w:val="18"/>
          <w:color w:val="auto"/>
        </w:rPr>
      </w:pPr>
      <w:r>
        <w:rPr>
          <w:rFonts w:ascii="Arial" w:cs="Arial" w:eastAsia="Arial" w:hAnsi="Arial"/>
          <w:sz w:val="18"/>
          <w:szCs w:val="18"/>
          <w:color w:val="auto"/>
        </w:rPr>
        <w:t>changes in the anticipated future size and growth rate of our market;</w:t>
      </w:r>
    </w:p>
    <w:p>
      <w:pPr>
        <w:spacing w:after="0" w:line="103" w:lineRule="exact"/>
        <w:rPr>
          <w:rFonts w:ascii="Arial" w:cs="Arial" w:eastAsia="Arial" w:hAnsi="Arial"/>
          <w:sz w:val="18"/>
          <w:szCs w:val="18"/>
          <w:color w:val="auto"/>
        </w:rPr>
      </w:pPr>
    </w:p>
    <w:p>
      <w:pPr>
        <w:ind w:left="1020" w:right="240" w:hanging="504"/>
        <w:spacing w:after="0" w:line="261" w:lineRule="auto"/>
        <w:tabs>
          <w:tab w:leader="none" w:pos="1020" w:val="left"/>
        </w:tabs>
        <w:numPr>
          <w:ilvl w:val="0"/>
          <w:numId w:val="43"/>
        </w:numPr>
        <w:rPr>
          <w:rFonts w:ascii="Arial" w:cs="Arial" w:eastAsia="Arial" w:hAnsi="Arial"/>
          <w:sz w:val="18"/>
          <w:szCs w:val="18"/>
          <w:color w:val="auto"/>
        </w:rPr>
      </w:pPr>
      <w:r>
        <w:rPr>
          <w:rFonts w:ascii="Arial" w:cs="Arial" w:eastAsia="Arial" w:hAnsi="Arial"/>
          <w:sz w:val="18"/>
          <w:szCs w:val="18"/>
          <w:color w:val="auto"/>
        </w:rPr>
        <w:t>general economic, market, and industry conditions, including economic slowdowns, recessions, inflationary pressures, rising interest rates, financial market fluctuations, and reduced credit availability;</w:t>
      </w:r>
    </w:p>
    <w:p>
      <w:pPr>
        <w:spacing w:after="0" w:line="75" w:lineRule="exact"/>
        <w:rPr>
          <w:rFonts w:ascii="Arial" w:cs="Arial" w:eastAsia="Arial" w:hAnsi="Arial"/>
          <w:sz w:val="18"/>
          <w:szCs w:val="18"/>
          <w:color w:val="auto"/>
        </w:rPr>
      </w:pPr>
    </w:p>
    <w:p>
      <w:pPr>
        <w:ind w:left="1020" w:right="500" w:hanging="504"/>
        <w:spacing w:after="0" w:line="261" w:lineRule="auto"/>
        <w:tabs>
          <w:tab w:leader="none" w:pos="1020" w:val="left"/>
        </w:tabs>
        <w:numPr>
          <w:ilvl w:val="0"/>
          <w:numId w:val="43"/>
        </w:numPr>
        <w:rPr>
          <w:rFonts w:ascii="Arial" w:cs="Arial" w:eastAsia="Arial" w:hAnsi="Arial"/>
          <w:sz w:val="18"/>
          <w:szCs w:val="18"/>
          <w:color w:val="auto"/>
        </w:rPr>
      </w:pPr>
      <w:r>
        <w:rPr>
          <w:rFonts w:ascii="Arial" w:cs="Arial" w:eastAsia="Arial" w:hAnsi="Arial"/>
          <w:sz w:val="18"/>
          <w:szCs w:val="18"/>
          <w:color w:val="auto"/>
        </w:rPr>
        <w:t>other events or factors, including those resulting from war (including the recent and developing war in Ukraine), incidents of terrorism, pandemics (including the COVID-19 pandemic), elections, or responses to these events; and</w:t>
      </w:r>
    </w:p>
    <w:p>
      <w:pPr>
        <w:spacing w:after="0" w:line="6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61595</wp:posOffset>
            </wp:positionV>
            <wp:extent cx="7157720" cy="42545"/>
            <wp:wrapNone/>
            <wp:docPr id="298" name="Picture 2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8"/>
                    <pic:cNvPicPr>
                      <a:picLocks noChangeAspect="1" noChangeArrowheads="1"/>
                    </pic:cNvPicPr>
                  </pic:nvPicPr>
                  <pic:blipFill>
                    <a:blip r:embed="rId30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651" w:right="339" w:bottom="1440" w:gutter="0" w:footer="0" w:header="0"/>
        </w:sectPr>
      </w:pPr>
    </w:p>
    <w:bookmarkStart w:id="66" w:name="page67"/>
    <w:bookmarkEnd w:id="66"/>
    <w:p>
      <w:pPr>
        <w:ind w:left="1020" w:right="60" w:hanging="504"/>
        <w:spacing w:after="0" w:line="277" w:lineRule="auto"/>
        <w:tabs>
          <w:tab w:leader="none" w:pos="1020" w:val="left"/>
        </w:tabs>
        <w:numPr>
          <w:ilvl w:val="0"/>
          <w:numId w:val="44"/>
        </w:numPr>
        <w:rPr>
          <w:rFonts w:ascii="Arial" w:cs="Arial" w:eastAsia="Arial" w:hAnsi="Arial"/>
          <w:sz w:val="18"/>
          <w:szCs w:val="18"/>
          <w:color w:val="auto"/>
        </w:rPr>
      </w:pPr>
      <w:r>
        <w:rPr>
          <w:rFonts w:ascii="Arial" w:cs="Arial" w:eastAsia="Arial" w:hAnsi="Arial"/>
          <w:sz w:val="18"/>
          <w:szCs w:val="18"/>
          <w:color w:val="auto"/>
        </w:rPr>
        <w:t>whether investors or securities analysts view our stock structure unfavorably, particularly our dual class structure and the concentrated voting control of our executive officers, directors, and their affiliates.</w:t>
      </w:r>
    </w:p>
    <w:p>
      <w:pPr>
        <w:spacing w:after="0" w:line="156" w:lineRule="exact"/>
        <w:rPr>
          <w:sz w:val="20"/>
          <w:szCs w:val="20"/>
          <w:color w:val="auto"/>
        </w:rPr>
      </w:pPr>
    </w:p>
    <w:p>
      <w:pPr>
        <w:ind w:right="160" w:firstLine="509"/>
        <w:spacing w:after="0" w:line="263" w:lineRule="auto"/>
        <w:rPr>
          <w:sz w:val="20"/>
          <w:szCs w:val="20"/>
          <w:color w:val="auto"/>
        </w:rPr>
      </w:pPr>
      <w:r>
        <w:rPr>
          <w:rFonts w:ascii="Arial" w:cs="Arial" w:eastAsia="Arial" w:hAnsi="Arial"/>
          <w:sz w:val="17"/>
          <w:szCs w:val="17"/>
          <w:color w:val="auto"/>
        </w:rPr>
        <w:t>In addition, stock markets with respect to newly public companies, particularly companies in the technology industry, have experienced significant price and volume fluctuations that have affected and continue to affect, the stock prices of these companies. Stock prices of many companies, including technology companies, have fluctuated in a manner often unrelated to the operating performance of those companies. In the past, companies that have experienced volatility in the trading price of their securities have been subject to securities class action litigation. We may be the target of this type of litigation in the future, which could result in substantial expenses and divert our management’s attention.</w:t>
      </w:r>
    </w:p>
    <w:p>
      <w:pPr>
        <w:spacing w:after="0" w:line="291"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auto"/>
        </w:rPr>
        <w:t>Our principal stockholders have the ability to influence the outcome of director elections and other matters requiring stockholder approval.</w:t>
      </w:r>
    </w:p>
    <w:p>
      <w:pPr>
        <w:spacing w:after="0" w:line="126" w:lineRule="exact"/>
        <w:rPr>
          <w:sz w:val="20"/>
          <w:szCs w:val="20"/>
          <w:color w:val="auto"/>
        </w:rPr>
      </w:pPr>
    </w:p>
    <w:p>
      <w:pPr>
        <w:ind w:firstLine="509"/>
        <w:spacing w:after="0" w:line="244" w:lineRule="auto"/>
        <w:rPr>
          <w:sz w:val="20"/>
          <w:szCs w:val="20"/>
          <w:color w:val="auto"/>
        </w:rPr>
      </w:pPr>
      <w:r>
        <w:rPr>
          <w:rFonts w:ascii="Arial" w:cs="Arial" w:eastAsia="Arial" w:hAnsi="Arial"/>
          <w:sz w:val="18"/>
          <w:szCs w:val="18"/>
          <w:color w:val="auto"/>
        </w:rPr>
        <w:t>As of the date of this Quarterly Report on Form 10-Q, our directors, executive officers, and holders of more than 5% of our capital stock and their affiliates collectively beneficially own, in the aggregate, shares representing a substantial majority of the voting power of our outstanding Class A and Class B common stock. These stockholders currently have, and likely will continue to have, considerable influence with respect to the election of our board of directors and approval or disapproval of all significant corporate actions. The concentrated voting power of these stockholders could have the effect of delaying or preventing a significant corporate transaction, such as a merger or other sale of our company or our assets. This concentration of ownership limits the ability of other stockholders to influence corporate matters and may cause us to make strategic decisions that could be adverse to the interests of other stockholders.</w:t>
      </w:r>
    </w:p>
    <w:p>
      <w:pPr>
        <w:spacing w:after="0" w:line="293" w:lineRule="exact"/>
        <w:rPr>
          <w:sz w:val="20"/>
          <w:szCs w:val="20"/>
          <w:color w:val="auto"/>
        </w:rPr>
      </w:pPr>
    </w:p>
    <w:p>
      <w:pPr>
        <w:ind w:right="40"/>
        <w:spacing w:after="0" w:line="248" w:lineRule="auto"/>
        <w:rPr>
          <w:sz w:val="20"/>
          <w:szCs w:val="20"/>
          <w:color w:val="auto"/>
        </w:rPr>
      </w:pPr>
      <w:r>
        <w:rPr>
          <w:rFonts w:ascii="Arial" w:cs="Arial" w:eastAsia="Arial" w:hAnsi="Arial"/>
          <w:sz w:val="18"/>
          <w:szCs w:val="18"/>
          <w:b w:val="1"/>
          <w:bCs w:val="1"/>
          <w:i w:val="1"/>
          <w:iCs w:val="1"/>
          <w:color w:val="auto"/>
        </w:rPr>
        <w:t>The dual class structure of our common stock has the effect of concentrating voting control with our existing stockholders, executive officers, directors, and their affiliates, which limits your ability to influence the outcome of important transactions and to influence corporate governance matters, such as electing directors, and to approve material mergers, acquisitions, or other business combination transactions that may not be aligned with your interests.</w:t>
      </w:r>
    </w:p>
    <w:p>
      <w:pPr>
        <w:spacing w:after="0" w:line="75" w:lineRule="exact"/>
        <w:rPr>
          <w:sz w:val="20"/>
          <w:szCs w:val="20"/>
          <w:color w:val="auto"/>
        </w:rPr>
      </w:pPr>
    </w:p>
    <w:p>
      <w:pPr>
        <w:ind w:right="20" w:firstLine="509"/>
        <w:spacing w:after="0" w:line="259" w:lineRule="auto"/>
        <w:rPr>
          <w:sz w:val="20"/>
          <w:szCs w:val="20"/>
          <w:color w:val="auto"/>
        </w:rPr>
      </w:pPr>
      <w:r>
        <w:rPr>
          <w:rFonts w:ascii="Arial" w:cs="Arial" w:eastAsia="Arial" w:hAnsi="Arial"/>
          <w:sz w:val="17"/>
          <w:szCs w:val="17"/>
          <w:color w:val="auto"/>
        </w:rPr>
        <w:t>Our Class B common stock has five votes per share, whereas our Class A common stock, which is listed on the Nasdaq Capital Market, has one vote per share. Because of the five-to-one voting ratio between our Class B common stock and our Class A common stock, the holders of our Class B common stock are able to exercise considerable influence over matters requiring stockholder approval, including the election of directors and approval of significant corporate transactions, such as a merger or other sale of our company or our assets, even if their stock holdings represent less than 50% of the outstanding shares of our capital stock, until the date that is six months following the date on which no founder is an employee or director of our company (unless a founder has rejoined our company during such six-month period), when all outstanding shares of Class A common stock and Class B common stock will convert automatically into shares of a single class of common stock. This concentration of ownership limits the ability of other stockholders to influence corporate matters and may cause us to make strategic decisions that could involve risks to you or that may not be aligned with your interests. This control may adversely affect the trading price of our Class A common stock.</w:t>
      </w:r>
    </w:p>
    <w:p>
      <w:pPr>
        <w:spacing w:after="0" w:line="178" w:lineRule="exact"/>
        <w:rPr>
          <w:sz w:val="20"/>
          <w:szCs w:val="20"/>
          <w:color w:val="auto"/>
        </w:rPr>
      </w:pPr>
    </w:p>
    <w:p>
      <w:pPr>
        <w:ind w:right="20" w:firstLine="509"/>
        <w:spacing w:after="0" w:line="283" w:lineRule="auto"/>
        <w:rPr>
          <w:sz w:val="20"/>
          <w:szCs w:val="20"/>
          <w:color w:val="auto"/>
        </w:rPr>
      </w:pPr>
      <w:r>
        <w:rPr>
          <w:rFonts w:ascii="Arial" w:cs="Arial" w:eastAsia="Arial" w:hAnsi="Arial"/>
          <w:sz w:val="16"/>
          <w:szCs w:val="16"/>
          <w:color w:val="auto"/>
        </w:rPr>
        <w:t>Further, future transfers by holders of our Class B common stock will generally result in those shares converting into shares of our Class A common stock, subject to limited exceptions, such as certain transfers effected for tax- or estate-planning purposes. The conversion of shares of our Class B common stock into shares of our Class A common stock will have the effect, over time, of increasing the relative voting power of those holders of Class B common stock who retain their shares in the long term. As a result, it is possible that one or more of the persons or entities holding our Class B common stock could gain significant voting control as other holders of Class B common stock sell or otherwise convert their shares into Class A common stock.</w:t>
      </w:r>
    </w:p>
    <w:p>
      <w:pPr>
        <w:spacing w:after="0" w:line="169" w:lineRule="exact"/>
        <w:rPr>
          <w:sz w:val="20"/>
          <w:szCs w:val="20"/>
          <w:color w:val="auto"/>
        </w:rPr>
      </w:pPr>
    </w:p>
    <w:p>
      <w:pPr>
        <w:ind w:right="200" w:firstLine="509"/>
        <w:spacing w:after="0" w:line="261" w:lineRule="auto"/>
        <w:rPr>
          <w:sz w:val="20"/>
          <w:szCs w:val="20"/>
          <w:color w:val="auto"/>
        </w:rPr>
      </w:pPr>
      <w:r>
        <w:rPr>
          <w:rFonts w:ascii="Arial" w:cs="Arial" w:eastAsia="Arial" w:hAnsi="Arial"/>
          <w:sz w:val="18"/>
          <w:szCs w:val="18"/>
          <w:color w:val="auto"/>
        </w:rPr>
        <w:t>In addition, while we do not expect to issue any additional shares of Class B common stock, any future issuances of Class B common stock would be dilutive to holders of Class A common stock.</w:t>
      </w:r>
    </w:p>
    <w:p>
      <w:pPr>
        <w:spacing w:after="0" w:line="27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We cannot predict the impact our dual class structure may have on the trading price of our Class A common stock.</w:t>
      </w:r>
    </w:p>
    <w:p>
      <w:pPr>
        <w:spacing w:after="0" w:line="117" w:lineRule="exact"/>
        <w:rPr>
          <w:sz w:val="20"/>
          <w:szCs w:val="20"/>
          <w:color w:val="auto"/>
        </w:rPr>
      </w:pPr>
    </w:p>
    <w:p>
      <w:pPr>
        <w:ind w:right="100" w:firstLine="509"/>
        <w:spacing w:after="0" w:line="276" w:lineRule="auto"/>
        <w:rPr>
          <w:sz w:val="20"/>
          <w:szCs w:val="20"/>
          <w:color w:val="auto"/>
        </w:rPr>
      </w:pPr>
      <w:r>
        <w:rPr>
          <w:rFonts w:ascii="Arial" w:cs="Arial" w:eastAsia="Arial" w:hAnsi="Arial"/>
          <w:sz w:val="16"/>
          <w:szCs w:val="16"/>
          <w:color w:val="auto"/>
        </w:rPr>
        <w:t>We cannot predict whether our dual class structure, combined with the concentrated control of our stockholders who held our capital stock prior to the listing of our Class A common stock on the Nasdaq Capital Market, including our executive officers, employees, directors, and their affiliates, will result in a lower or more volatile trading price of our Class A common stock or in adverse publicity or other adverse consequences. For example, certain index providers have announced restrictions on including companies with multiple class share structures in certain of their indices. In July 2017, FTSE Russell and Standard &amp; Poor’s announced that they would cease to allow most newly public companies utilizing dual or multiple class capital structures to be included in their indices. Under the announced policies, our dual class capital structure would make us ineligible for inclusion in any of these indices. Given the sustained flow of investment funds into passive strategies that seek to track certain indexes, exclusion from</w:t>
      </w:r>
    </w:p>
    <w:p>
      <w:pPr>
        <w:spacing w:after="0" w:line="7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67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61595</wp:posOffset>
            </wp:positionV>
            <wp:extent cx="7157720" cy="42545"/>
            <wp:wrapNone/>
            <wp:docPr id="299" name="Picture 2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9"/>
                    <pic:cNvPicPr>
                      <a:picLocks noChangeAspect="1" noChangeArrowheads="1"/>
                    </pic:cNvPicPr>
                  </pic:nvPicPr>
                  <pic:blipFill>
                    <a:blip r:embed="rId30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435" w:right="339" w:bottom="1440" w:gutter="0" w:footer="0" w:header="0"/>
        </w:sectPr>
      </w:pPr>
    </w:p>
    <w:bookmarkStart w:id="67" w:name="page68"/>
    <w:bookmarkEnd w:id="67"/>
    <w:p>
      <w:pPr>
        <w:ind w:right="180"/>
        <w:spacing w:after="0" w:line="277" w:lineRule="auto"/>
        <w:rPr>
          <w:sz w:val="20"/>
          <w:szCs w:val="20"/>
          <w:color w:val="auto"/>
        </w:rPr>
      </w:pPr>
      <w:r>
        <w:rPr>
          <w:rFonts w:ascii="Arial" w:cs="Arial" w:eastAsia="Arial" w:hAnsi="Arial"/>
          <w:sz w:val="18"/>
          <w:szCs w:val="18"/>
          <w:color w:val="auto"/>
        </w:rPr>
        <w:t>stock indexes would likely preclude investment by many of these funds and could make our Class A common stock less attractive to other investors. As a result, the trading price of our Class A common stock could be adversely affected.</w:t>
      </w:r>
    </w:p>
    <w:p>
      <w:pPr>
        <w:spacing w:after="0" w:line="264" w:lineRule="exact"/>
        <w:rPr>
          <w:sz w:val="20"/>
          <w:szCs w:val="20"/>
          <w:color w:val="auto"/>
        </w:rPr>
      </w:pPr>
    </w:p>
    <w:p>
      <w:pPr>
        <w:jc w:val="both"/>
        <w:ind w:right="160"/>
        <w:spacing w:after="0" w:line="255" w:lineRule="auto"/>
        <w:rPr>
          <w:sz w:val="20"/>
          <w:szCs w:val="20"/>
          <w:color w:val="auto"/>
        </w:rPr>
      </w:pPr>
      <w:r>
        <w:rPr>
          <w:rFonts w:ascii="Arial" w:cs="Arial" w:eastAsia="Arial" w:hAnsi="Arial"/>
          <w:sz w:val="18"/>
          <w:szCs w:val="18"/>
          <w:b w:val="1"/>
          <w:bCs w:val="1"/>
          <w:i w:val="1"/>
          <w:iCs w:val="1"/>
          <w:color w:val="auto"/>
        </w:rPr>
        <w:t>None of our stockholders are party to any contractual lock-up agreement or other contractual restrictions on transfer. Sales of substantial amounts of our Class A common stock in the public markets, or the perception that sales might occur, could cause the trading price of our Class A common stock to decline.</w:t>
      </w:r>
    </w:p>
    <w:p>
      <w:pPr>
        <w:spacing w:after="0" w:line="68" w:lineRule="exact"/>
        <w:rPr>
          <w:sz w:val="20"/>
          <w:szCs w:val="20"/>
          <w:color w:val="auto"/>
        </w:rPr>
      </w:pPr>
    </w:p>
    <w:p>
      <w:pPr>
        <w:jc w:val="both"/>
        <w:ind w:right="260" w:firstLine="509"/>
        <w:spacing w:after="0" w:line="255" w:lineRule="auto"/>
        <w:rPr>
          <w:sz w:val="20"/>
          <w:szCs w:val="20"/>
          <w:color w:val="auto"/>
        </w:rPr>
      </w:pPr>
      <w:r>
        <w:rPr>
          <w:rFonts w:ascii="Arial" w:cs="Arial" w:eastAsia="Arial" w:hAnsi="Arial"/>
          <w:sz w:val="18"/>
          <w:szCs w:val="18"/>
          <w:color w:val="auto"/>
        </w:rPr>
        <w:t>In addition to the supply and demand and volatility factors discussed above, sales of a substantial number of shares of our Class A common stock into the public market, particularly sales by our directors, executive officers, and principal stockholders, or the perception that these sales might occur in large quantities, could cause the trading price of our Class A common stock to decline.</w:t>
      </w:r>
    </w:p>
    <w:p>
      <w:pPr>
        <w:spacing w:after="0" w:line="176" w:lineRule="exact"/>
        <w:rPr>
          <w:sz w:val="20"/>
          <w:szCs w:val="20"/>
          <w:color w:val="auto"/>
        </w:rPr>
      </w:pPr>
    </w:p>
    <w:p>
      <w:pPr>
        <w:ind w:left="520"/>
        <w:spacing w:after="0"/>
        <w:rPr>
          <w:sz w:val="20"/>
          <w:szCs w:val="20"/>
          <w:color w:val="auto"/>
        </w:rPr>
      </w:pPr>
      <w:r>
        <w:rPr>
          <w:rFonts w:ascii="Arial" w:cs="Arial" w:eastAsia="Arial" w:hAnsi="Arial"/>
          <w:sz w:val="18"/>
          <w:szCs w:val="18"/>
          <w:color w:val="auto"/>
        </w:rPr>
        <w:t>None of our securityholders are subject to any contractual lock-up or other contractual restriction on the transfer or sale of their shares.</w:t>
      </w:r>
    </w:p>
    <w:p>
      <w:pPr>
        <w:spacing w:after="0" w:line="211" w:lineRule="exact"/>
        <w:rPr>
          <w:sz w:val="20"/>
          <w:szCs w:val="20"/>
          <w:color w:val="auto"/>
        </w:rPr>
      </w:pPr>
    </w:p>
    <w:p>
      <w:pPr>
        <w:ind w:right="140" w:firstLine="509"/>
        <w:spacing w:after="0" w:line="248" w:lineRule="auto"/>
        <w:rPr>
          <w:sz w:val="20"/>
          <w:szCs w:val="20"/>
          <w:color w:val="auto"/>
        </w:rPr>
      </w:pPr>
      <w:r>
        <w:rPr>
          <w:rFonts w:ascii="Arial" w:cs="Arial" w:eastAsia="Arial" w:hAnsi="Arial"/>
          <w:sz w:val="18"/>
          <w:szCs w:val="18"/>
          <w:color w:val="auto"/>
        </w:rPr>
        <w:t>Moreover, assuming the availability of certain public information about us, (i) non-affiliates who have beneficially owned our common stock for at least six months may rely on Rule 144 to sell their shares of common stock, and (ii) our directors, executive officers, and other affiliates who have beneficially owned our common stock for at least six months will be entitled to sell their shares of our Class A common stock subject to volume and other limitations under Rule 144 and various vesting agreements.</w:t>
      </w:r>
    </w:p>
    <w:p>
      <w:pPr>
        <w:spacing w:after="0" w:line="183" w:lineRule="exact"/>
        <w:rPr>
          <w:sz w:val="20"/>
          <w:szCs w:val="20"/>
          <w:color w:val="auto"/>
        </w:rPr>
      </w:pPr>
    </w:p>
    <w:p>
      <w:pPr>
        <w:ind w:right="80" w:firstLine="509"/>
        <w:spacing w:after="0" w:line="277" w:lineRule="auto"/>
        <w:rPr>
          <w:sz w:val="20"/>
          <w:szCs w:val="20"/>
          <w:color w:val="auto"/>
        </w:rPr>
      </w:pPr>
      <w:r>
        <w:rPr>
          <w:rFonts w:ascii="Arial" w:cs="Arial" w:eastAsia="Arial" w:hAnsi="Arial"/>
          <w:sz w:val="17"/>
          <w:szCs w:val="17"/>
          <w:color w:val="auto"/>
        </w:rPr>
        <w:t>In addition, we have filed registration statements to register all shares subject to options and RSUs outstanding or reserved for future issuance under our equity compensation plans. As of September 30, 2022, we had options outstanding that, if fully exercised, would result in the issuance of 17,398,329 shares of Class A common stock, as well as 9,086,234 shares of Class A common stock subject to RSU awards.</w:t>
      </w:r>
    </w:p>
    <w:p>
      <w:pPr>
        <w:spacing w:after="0" w:line="159" w:lineRule="exact"/>
        <w:rPr>
          <w:sz w:val="20"/>
          <w:szCs w:val="20"/>
          <w:color w:val="auto"/>
        </w:rPr>
      </w:pPr>
    </w:p>
    <w:p>
      <w:pPr>
        <w:ind w:right="820" w:firstLine="509"/>
        <w:spacing w:after="0" w:line="277" w:lineRule="auto"/>
        <w:rPr>
          <w:sz w:val="20"/>
          <w:szCs w:val="20"/>
          <w:color w:val="auto"/>
        </w:rPr>
      </w:pPr>
      <w:r>
        <w:rPr>
          <w:rFonts w:ascii="Arial" w:cs="Arial" w:eastAsia="Arial" w:hAnsi="Arial"/>
          <w:sz w:val="18"/>
          <w:szCs w:val="18"/>
          <w:color w:val="auto"/>
        </w:rPr>
        <w:t>Accordingly, these shares will be able to be freely sold in the public market upon issuance, subject to applicable vesting requirements and compliance by affiliates with Rule 144.</w:t>
      </w:r>
    </w:p>
    <w:p>
      <w:pPr>
        <w:spacing w:after="0" w:line="156" w:lineRule="exact"/>
        <w:rPr>
          <w:sz w:val="20"/>
          <w:szCs w:val="20"/>
          <w:color w:val="auto"/>
        </w:rPr>
      </w:pPr>
    </w:p>
    <w:p>
      <w:pPr>
        <w:ind w:right="40" w:firstLine="509"/>
        <w:spacing w:after="0" w:line="289" w:lineRule="auto"/>
        <w:rPr>
          <w:sz w:val="20"/>
          <w:szCs w:val="20"/>
          <w:color w:val="auto"/>
        </w:rPr>
      </w:pPr>
      <w:r>
        <w:rPr>
          <w:rFonts w:ascii="Arial" w:cs="Arial" w:eastAsia="Arial" w:hAnsi="Arial"/>
          <w:sz w:val="16"/>
          <w:szCs w:val="16"/>
          <w:color w:val="auto"/>
        </w:rPr>
        <w:t>Further, certain of the holders of our common stock have rights, subject to some conditions, to require us to file registration statements for the public resale of the Class A common stock issuable upon the conversion of shares of our Class B common stock into shares of our Class A common stock or to include such shares in registration statements that we may file for us or other stockholders. Any registration statement we file to register additional shares, whether as a result of registration rights or otherwise, could cause the trading price of our Class A common stock to decline or be volatile.</w:t>
      </w:r>
    </w:p>
    <w:p>
      <w:pPr>
        <w:spacing w:after="0" w:line="260" w:lineRule="exact"/>
        <w:rPr>
          <w:sz w:val="20"/>
          <w:szCs w:val="20"/>
          <w:color w:val="auto"/>
        </w:rPr>
      </w:pPr>
    </w:p>
    <w:p>
      <w:pPr>
        <w:ind w:right="80"/>
        <w:spacing w:after="0" w:line="277" w:lineRule="auto"/>
        <w:rPr>
          <w:sz w:val="20"/>
          <w:szCs w:val="20"/>
          <w:color w:val="auto"/>
        </w:rPr>
      </w:pPr>
      <w:r>
        <w:rPr>
          <w:rFonts w:ascii="Arial" w:cs="Arial" w:eastAsia="Arial" w:hAnsi="Arial"/>
          <w:sz w:val="18"/>
          <w:szCs w:val="18"/>
          <w:b w:val="1"/>
          <w:bCs w:val="1"/>
          <w:i w:val="1"/>
          <w:iCs w:val="1"/>
          <w:color w:val="auto"/>
        </w:rPr>
        <w:t>Our issuance of additional capital stock in connection with financings, acquisitions, investments, our equity incentive plans, or otherwise will dilute all other stockholders.</w:t>
      </w:r>
    </w:p>
    <w:p>
      <w:pPr>
        <w:spacing w:after="0" w:line="48" w:lineRule="exact"/>
        <w:rPr>
          <w:sz w:val="20"/>
          <w:szCs w:val="20"/>
          <w:color w:val="auto"/>
        </w:rPr>
      </w:pPr>
    </w:p>
    <w:p>
      <w:pPr>
        <w:ind w:firstLine="509"/>
        <w:spacing w:after="0" w:line="283" w:lineRule="auto"/>
        <w:rPr>
          <w:sz w:val="20"/>
          <w:szCs w:val="20"/>
          <w:color w:val="auto"/>
        </w:rPr>
      </w:pPr>
      <w:r>
        <w:rPr>
          <w:rFonts w:ascii="Arial" w:cs="Arial" w:eastAsia="Arial" w:hAnsi="Arial"/>
          <w:sz w:val="16"/>
          <w:szCs w:val="16"/>
          <w:color w:val="auto"/>
        </w:rPr>
        <w:t>We expect to issue additional capital stock in the future that will result in dilution to all other stockholders. We expect to grant equity awards to employees, directors, and consultants under our equity incentive plans and issue shares of our Class A common stock under our employee stock purchase plan. We may also raise capital through equity financings in the future. As part of our business strategy, we may acquire or make investments in companies, products, or technologies and issue equity securities to pay for any such acquisition or investment. Any such issuances of additional capital stock may cause stockholders to experience significant dilution of their ownership interests and the per share value of our Class A common stock to decline.</w:t>
      </w:r>
    </w:p>
    <w:p>
      <w:pPr>
        <w:spacing w:after="0" w:line="264" w:lineRule="exact"/>
        <w:rPr>
          <w:sz w:val="20"/>
          <w:szCs w:val="20"/>
          <w:color w:val="auto"/>
        </w:rPr>
      </w:pPr>
    </w:p>
    <w:p>
      <w:pPr>
        <w:ind w:right="700"/>
        <w:spacing w:after="0" w:line="277" w:lineRule="auto"/>
        <w:rPr>
          <w:sz w:val="20"/>
          <w:szCs w:val="20"/>
          <w:color w:val="auto"/>
        </w:rPr>
      </w:pPr>
      <w:r>
        <w:rPr>
          <w:rFonts w:ascii="Arial" w:cs="Arial" w:eastAsia="Arial" w:hAnsi="Arial"/>
          <w:sz w:val="18"/>
          <w:szCs w:val="18"/>
          <w:b w:val="1"/>
          <w:bCs w:val="1"/>
          <w:i w:val="1"/>
          <w:iCs w:val="1"/>
          <w:color w:val="auto"/>
        </w:rPr>
        <w:t>We do not intend to pay dividends for the foreseeable future and, as a result, your ability to achieve a return on your investment will depend on appreciation in the trading price of our Class A common stock.</w:t>
      </w:r>
    </w:p>
    <w:p>
      <w:pPr>
        <w:spacing w:after="0" w:line="48" w:lineRule="exact"/>
        <w:rPr>
          <w:sz w:val="20"/>
          <w:szCs w:val="20"/>
          <w:color w:val="auto"/>
        </w:rPr>
      </w:pPr>
    </w:p>
    <w:p>
      <w:pPr>
        <w:ind w:right="80" w:firstLine="509"/>
        <w:spacing w:after="0" w:line="277" w:lineRule="auto"/>
        <w:rPr>
          <w:sz w:val="20"/>
          <w:szCs w:val="20"/>
          <w:color w:val="auto"/>
        </w:rPr>
      </w:pPr>
      <w:r>
        <w:rPr>
          <w:rFonts w:ascii="Arial" w:cs="Arial" w:eastAsia="Arial" w:hAnsi="Arial"/>
          <w:sz w:val="17"/>
          <w:szCs w:val="17"/>
          <w:color w:val="auto"/>
        </w:rPr>
        <w:t>We have never declared or paid any cash dividends on our capital stock, and we do not intend to pay any cash dividends in the foreseeable future. Any determination to pay dividends in the future will be at the discretion of our board of directors. Accordingly, you may need to rely on sales of our Class A common stock after price appreciation, which may never occur, as the only way to realize any future gains on your investment.</w:t>
      </w:r>
    </w:p>
    <w:p>
      <w:pPr>
        <w:spacing w:after="0" w:line="267" w:lineRule="exact"/>
        <w:rPr>
          <w:sz w:val="20"/>
          <w:szCs w:val="20"/>
          <w:color w:val="auto"/>
        </w:rPr>
      </w:pPr>
    </w:p>
    <w:p>
      <w:pPr>
        <w:ind w:right="160"/>
        <w:spacing w:after="0" w:line="261" w:lineRule="auto"/>
        <w:rPr>
          <w:sz w:val="20"/>
          <w:szCs w:val="20"/>
          <w:color w:val="auto"/>
        </w:rPr>
      </w:pPr>
      <w:r>
        <w:rPr>
          <w:rFonts w:ascii="Arial" w:cs="Arial" w:eastAsia="Arial" w:hAnsi="Arial"/>
          <w:sz w:val="18"/>
          <w:szCs w:val="18"/>
          <w:b w:val="1"/>
          <w:bCs w:val="1"/>
          <w:i w:val="1"/>
          <w:iCs w:val="1"/>
          <w:color w:val="auto"/>
        </w:rPr>
        <w:t>We are currently an “emerging growth company,” but commencing December 31, 2022, we will no longer be an “emerging growth company” and the reduced disclosure requirements applicable to emerging growth companies will no longer apply to us.</w:t>
      </w:r>
    </w:p>
    <w:p>
      <w:pPr>
        <w:spacing w:after="0" w:line="278" w:lineRule="exact"/>
        <w:rPr>
          <w:sz w:val="20"/>
          <w:szCs w:val="20"/>
          <w:color w:val="auto"/>
        </w:rPr>
      </w:pPr>
    </w:p>
    <w:p>
      <w:pPr>
        <w:jc w:val="both"/>
        <w:ind w:right="40" w:firstLine="509"/>
        <w:spacing w:after="0" w:line="255" w:lineRule="auto"/>
        <w:rPr>
          <w:sz w:val="20"/>
          <w:szCs w:val="20"/>
          <w:color w:val="auto"/>
        </w:rPr>
      </w:pPr>
      <w:r>
        <w:rPr>
          <w:rFonts w:ascii="Arial" w:cs="Arial" w:eastAsia="Arial" w:hAnsi="Arial"/>
          <w:sz w:val="18"/>
          <w:szCs w:val="18"/>
          <w:color w:val="auto"/>
        </w:rPr>
        <w:t>We are currently an emerging growth company but, because the market value of our Class A common stock that was held by non-affiliates exceeded $700 million as of the last business day of our second fiscal quarter ended June 30, 2022, we will no longer qualify for such status commencing December 31, 2022 and we will be a large accelerated filer. As a large accelerated filer, we will be</w:t>
      </w:r>
    </w:p>
    <w:p>
      <w:pPr>
        <w:spacing w:after="0" w:line="6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68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61595</wp:posOffset>
            </wp:positionV>
            <wp:extent cx="7157720" cy="42545"/>
            <wp:wrapNone/>
            <wp:docPr id="300" name="Picture 3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0"/>
                    <pic:cNvPicPr>
                      <a:picLocks noChangeAspect="1" noChangeArrowheads="1"/>
                    </pic:cNvPicPr>
                  </pic:nvPicPr>
                  <pic:blipFill>
                    <a:blip r:embed="rId30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435" w:right="339" w:bottom="1440" w:gutter="0" w:footer="0" w:header="0"/>
        </w:sectPr>
      </w:pPr>
    </w:p>
    <w:bookmarkStart w:id="68" w:name="page69"/>
    <w:bookmarkEnd w:id="68"/>
    <w:p>
      <w:pPr>
        <w:spacing w:after="0"/>
        <w:rPr>
          <w:sz w:val="20"/>
          <w:szCs w:val="20"/>
          <w:color w:val="auto"/>
        </w:rPr>
      </w:pPr>
      <w:r>
        <w:rPr>
          <w:rFonts w:ascii="Arial" w:cs="Arial" w:eastAsia="Arial" w:hAnsi="Arial"/>
          <w:sz w:val="16"/>
          <w:szCs w:val="16"/>
          <w:color w:val="auto"/>
        </w:rPr>
        <w:t>subject to certain disclosure requirements that are applicable to other public companies that have not been applicable to us as an emerging growth company.</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color w:val="auto"/>
        </w:rPr>
        <w:t>These requirements include:</w:t>
      </w:r>
    </w:p>
    <w:p>
      <w:pPr>
        <w:spacing w:after="0" w:line="89" w:lineRule="exact"/>
        <w:rPr>
          <w:sz w:val="20"/>
          <w:szCs w:val="20"/>
          <w:color w:val="auto"/>
        </w:rPr>
      </w:pPr>
    </w:p>
    <w:p>
      <w:pPr>
        <w:ind w:left="900" w:hanging="359"/>
        <w:spacing w:after="0"/>
        <w:tabs>
          <w:tab w:leader="none" w:pos="900" w:val="left"/>
        </w:tabs>
        <w:numPr>
          <w:ilvl w:val="0"/>
          <w:numId w:val="45"/>
        </w:numPr>
        <w:rPr>
          <w:rFonts w:ascii="Arial" w:cs="Arial" w:eastAsia="Arial" w:hAnsi="Arial"/>
          <w:sz w:val="18"/>
          <w:szCs w:val="18"/>
          <w:color w:val="auto"/>
        </w:rPr>
      </w:pPr>
      <w:r>
        <w:rPr>
          <w:rFonts w:ascii="Arial" w:cs="Arial" w:eastAsia="Arial" w:hAnsi="Arial"/>
          <w:sz w:val="18"/>
          <w:szCs w:val="18"/>
          <w:color w:val="auto"/>
        </w:rPr>
        <w:t>compliance with the auditor attestation requirements in the assessment of our internal control over financial reporting;</w:t>
      </w:r>
    </w:p>
    <w:p>
      <w:pPr>
        <w:spacing w:after="0" w:line="103" w:lineRule="exact"/>
        <w:rPr>
          <w:rFonts w:ascii="Arial" w:cs="Arial" w:eastAsia="Arial" w:hAnsi="Arial"/>
          <w:sz w:val="18"/>
          <w:szCs w:val="18"/>
          <w:color w:val="auto"/>
        </w:rPr>
      </w:pPr>
    </w:p>
    <w:p>
      <w:pPr>
        <w:ind w:left="1020" w:right="240" w:hanging="479"/>
        <w:spacing w:after="0" w:line="307" w:lineRule="auto"/>
        <w:tabs>
          <w:tab w:leader="none" w:pos="894" w:val="left"/>
        </w:tabs>
        <w:numPr>
          <w:ilvl w:val="0"/>
          <w:numId w:val="45"/>
        </w:numPr>
        <w:rPr>
          <w:rFonts w:ascii="Arial" w:cs="Arial" w:eastAsia="Arial" w:hAnsi="Arial"/>
          <w:sz w:val="17"/>
          <w:szCs w:val="17"/>
          <w:color w:val="auto"/>
        </w:rPr>
      </w:pPr>
      <w:r>
        <w:rPr>
          <w:rFonts w:ascii="Arial" w:cs="Arial" w:eastAsia="Arial" w:hAnsi="Arial"/>
          <w:sz w:val="17"/>
          <w:szCs w:val="17"/>
          <w:color w:val="auto"/>
        </w:rPr>
        <w:t>compliance with any requirement that may be adopted by the Public Company Accounting Oversight Board regarding mandatory audit firm rotation or a supplement to the auditor's report providing additional information about the audit and the financial statements;</w:t>
      </w:r>
    </w:p>
    <w:p>
      <w:pPr>
        <w:spacing w:after="0" w:line="25" w:lineRule="exact"/>
        <w:rPr>
          <w:rFonts w:ascii="Arial" w:cs="Arial" w:eastAsia="Arial" w:hAnsi="Arial"/>
          <w:sz w:val="17"/>
          <w:szCs w:val="17"/>
          <w:color w:val="auto"/>
        </w:rPr>
      </w:pPr>
    </w:p>
    <w:p>
      <w:pPr>
        <w:ind w:left="900" w:hanging="359"/>
        <w:spacing w:after="0"/>
        <w:tabs>
          <w:tab w:leader="none" w:pos="900" w:val="left"/>
        </w:tabs>
        <w:numPr>
          <w:ilvl w:val="0"/>
          <w:numId w:val="45"/>
        </w:numPr>
        <w:rPr>
          <w:rFonts w:ascii="Arial" w:cs="Arial" w:eastAsia="Arial" w:hAnsi="Arial"/>
          <w:sz w:val="18"/>
          <w:szCs w:val="18"/>
          <w:color w:val="auto"/>
        </w:rPr>
      </w:pPr>
      <w:r>
        <w:rPr>
          <w:rFonts w:ascii="Arial" w:cs="Arial" w:eastAsia="Arial" w:hAnsi="Arial"/>
          <w:sz w:val="18"/>
          <w:szCs w:val="18"/>
          <w:color w:val="auto"/>
        </w:rPr>
        <w:t>full disclosure obligations regarding executive compensation in our periodic reports and proxy statements; and</w:t>
      </w:r>
    </w:p>
    <w:p>
      <w:pPr>
        <w:spacing w:after="0" w:line="103" w:lineRule="exact"/>
        <w:rPr>
          <w:rFonts w:ascii="Arial" w:cs="Arial" w:eastAsia="Arial" w:hAnsi="Arial"/>
          <w:sz w:val="18"/>
          <w:szCs w:val="18"/>
          <w:color w:val="auto"/>
        </w:rPr>
      </w:pPr>
    </w:p>
    <w:p>
      <w:pPr>
        <w:ind w:left="1020" w:right="120" w:hanging="479"/>
        <w:spacing w:after="0" w:line="277" w:lineRule="auto"/>
        <w:tabs>
          <w:tab w:leader="none" w:pos="894" w:val="left"/>
        </w:tabs>
        <w:numPr>
          <w:ilvl w:val="0"/>
          <w:numId w:val="45"/>
        </w:numPr>
        <w:rPr>
          <w:rFonts w:ascii="Arial" w:cs="Arial" w:eastAsia="Arial" w:hAnsi="Arial"/>
          <w:sz w:val="18"/>
          <w:szCs w:val="18"/>
          <w:color w:val="auto"/>
        </w:rPr>
      </w:pPr>
      <w:r>
        <w:rPr>
          <w:rFonts w:ascii="Arial" w:cs="Arial" w:eastAsia="Arial" w:hAnsi="Arial"/>
          <w:sz w:val="18"/>
          <w:szCs w:val="18"/>
          <w:color w:val="auto"/>
        </w:rPr>
        <w:t>compliance with the requirements of holding a non-binding advisory vote on executive compensation and stockholder approval of any golden parachute payments not previously approved.</w:t>
      </w:r>
    </w:p>
    <w:p>
      <w:pPr>
        <w:spacing w:after="0" w:line="358" w:lineRule="exact"/>
        <w:rPr>
          <w:sz w:val="20"/>
          <w:szCs w:val="20"/>
          <w:color w:val="auto"/>
        </w:rPr>
      </w:pPr>
    </w:p>
    <w:p>
      <w:pPr>
        <w:ind w:right="100"/>
        <w:spacing w:after="0" w:line="261" w:lineRule="auto"/>
        <w:rPr>
          <w:sz w:val="20"/>
          <w:szCs w:val="20"/>
          <w:color w:val="auto"/>
        </w:rPr>
      </w:pPr>
      <w:r>
        <w:rPr>
          <w:rFonts w:ascii="Arial" w:cs="Arial" w:eastAsia="Arial" w:hAnsi="Arial"/>
          <w:sz w:val="18"/>
          <w:szCs w:val="18"/>
          <w:color w:val="auto"/>
        </w:rPr>
        <w:t>In addition, we will no longer be able to use the extended transition period for complying with new or revised accounting standards and will be required to comply with the effective dates for new or revised accounting standards that are applicable to public companies.</w:t>
      </w:r>
    </w:p>
    <w:p>
      <w:pPr>
        <w:spacing w:after="0" w:line="200" w:lineRule="exact"/>
        <w:rPr>
          <w:sz w:val="20"/>
          <w:szCs w:val="20"/>
          <w:color w:val="auto"/>
        </w:rPr>
      </w:pPr>
    </w:p>
    <w:p>
      <w:pPr>
        <w:spacing w:after="0" w:line="294" w:lineRule="exact"/>
        <w:rPr>
          <w:sz w:val="20"/>
          <w:szCs w:val="20"/>
          <w:color w:val="auto"/>
        </w:rPr>
      </w:pPr>
    </w:p>
    <w:p>
      <w:pPr>
        <w:ind w:right="40"/>
        <w:spacing w:after="0" w:line="290" w:lineRule="auto"/>
        <w:rPr>
          <w:sz w:val="20"/>
          <w:szCs w:val="20"/>
          <w:color w:val="auto"/>
        </w:rPr>
      </w:pPr>
      <w:r>
        <w:rPr>
          <w:rFonts w:ascii="Arial" w:cs="Arial" w:eastAsia="Arial" w:hAnsi="Arial"/>
          <w:sz w:val="17"/>
          <w:szCs w:val="17"/>
          <w:b w:val="1"/>
          <w:bCs w:val="1"/>
          <w:i w:val="1"/>
          <w:iCs w:val="1"/>
          <w:color w:val="auto"/>
        </w:rPr>
        <w:t>Anti-takeover provisions in our charter documents and under Delaware law could make an acquisition of our company more difficult, limit attempts by our stockholders to replace or remove our current management, and limit the trading price of our Class A common stock.</w:t>
      </w:r>
    </w:p>
    <w:p>
      <w:pPr>
        <w:spacing w:after="0" w:line="53" w:lineRule="exact"/>
        <w:rPr>
          <w:sz w:val="20"/>
          <w:szCs w:val="20"/>
          <w:color w:val="auto"/>
        </w:rPr>
      </w:pPr>
    </w:p>
    <w:p>
      <w:pPr>
        <w:ind w:right="240" w:firstLine="509"/>
        <w:spacing w:after="0" w:line="324" w:lineRule="auto"/>
        <w:rPr>
          <w:sz w:val="20"/>
          <w:szCs w:val="20"/>
          <w:color w:val="auto"/>
        </w:rPr>
      </w:pPr>
      <w:r>
        <w:rPr>
          <w:rFonts w:ascii="Arial" w:cs="Arial" w:eastAsia="Arial" w:hAnsi="Arial"/>
          <w:sz w:val="16"/>
          <w:szCs w:val="16"/>
          <w:color w:val="auto"/>
        </w:rPr>
        <w:t>Provisions in our restated certificate of incorporation and amended and restated bylaws may have the effect of delaying or preventing a change of control or changes in our management. Our restated certificate of incorporation and amended and restated bylaws include provisions that:</w:t>
      </w:r>
    </w:p>
    <w:p>
      <w:pPr>
        <w:spacing w:after="0" w:line="16" w:lineRule="exact"/>
        <w:rPr>
          <w:sz w:val="20"/>
          <w:szCs w:val="20"/>
          <w:color w:val="auto"/>
        </w:rPr>
      </w:pPr>
    </w:p>
    <w:p>
      <w:pPr>
        <w:ind w:left="1020" w:right="140" w:hanging="479"/>
        <w:spacing w:after="0" w:line="277" w:lineRule="auto"/>
        <w:tabs>
          <w:tab w:leader="none" w:pos="894" w:val="left"/>
        </w:tabs>
        <w:numPr>
          <w:ilvl w:val="0"/>
          <w:numId w:val="46"/>
        </w:numPr>
        <w:rPr>
          <w:rFonts w:ascii="Arial" w:cs="Arial" w:eastAsia="Arial" w:hAnsi="Arial"/>
          <w:sz w:val="18"/>
          <w:szCs w:val="18"/>
          <w:color w:val="auto"/>
        </w:rPr>
      </w:pPr>
      <w:r>
        <w:rPr>
          <w:rFonts w:ascii="Arial" w:cs="Arial" w:eastAsia="Arial" w:hAnsi="Arial"/>
          <w:sz w:val="18"/>
          <w:szCs w:val="18"/>
          <w:color w:val="auto"/>
        </w:rPr>
        <w:t>authorize our board of directors to issue, without further action by the stockholders, shares of undesignated preferred stock with terms, rights, and preferences determined by our board of directors that may be senior to our Class A common stock;</w:t>
      </w:r>
    </w:p>
    <w:p>
      <w:pPr>
        <w:spacing w:after="0" w:line="48" w:lineRule="exact"/>
        <w:rPr>
          <w:rFonts w:ascii="Arial" w:cs="Arial" w:eastAsia="Arial" w:hAnsi="Arial"/>
          <w:sz w:val="18"/>
          <w:szCs w:val="18"/>
          <w:color w:val="auto"/>
        </w:rPr>
      </w:pPr>
    </w:p>
    <w:p>
      <w:pPr>
        <w:ind w:left="900" w:hanging="359"/>
        <w:spacing w:after="0"/>
        <w:tabs>
          <w:tab w:leader="none" w:pos="900" w:val="left"/>
        </w:tabs>
        <w:numPr>
          <w:ilvl w:val="0"/>
          <w:numId w:val="46"/>
        </w:numPr>
        <w:rPr>
          <w:rFonts w:ascii="Arial" w:cs="Arial" w:eastAsia="Arial" w:hAnsi="Arial"/>
          <w:sz w:val="17"/>
          <w:szCs w:val="17"/>
          <w:color w:val="auto"/>
        </w:rPr>
      </w:pPr>
      <w:r>
        <w:rPr>
          <w:rFonts w:ascii="Arial" w:cs="Arial" w:eastAsia="Arial" w:hAnsi="Arial"/>
          <w:sz w:val="17"/>
          <w:szCs w:val="17"/>
          <w:color w:val="auto"/>
        </w:rPr>
        <w:t>require that any action to be taken by our stockholders be effected at a duly called annual or special meeting and not by written consent;</w:t>
      </w:r>
    </w:p>
    <w:p>
      <w:pPr>
        <w:spacing w:after="0" w:line="114" w:lineRule="exact"/>
        <w:rPr>
          <w:rFonts w:ascii="Arial" w:cs="Arial" w:eastAsia="Arial" w:hAnsi="Arial"/>
          <w:sz w:val="17"/>
          <w:szCs w:val="17"/>
          <w:color w:val="auto"/>
        </w:rPr>
      </w:pPr>
    </w:p>
    <w:p>
      <w:pPr>
        <w:ind w:left="900" w:hanging="359"/>
        <w:spacing w:after="0"/>
        <w:tabs>
          <w:tab w:leader="none" w:pos="900" w:val="left"/>
        </w:tabs>
        <w:numPr>
          <w:ilvl w:val="0"/>
          <w:numId w:val="46"/>
        </w:numPr>
        <w:rPr>
          <w:rFonts w:ascii="Arial" w:cs="Arial" w:eastAsia="Arial" w:hAnsi="Arial"/>
          <w:sz w:val="18"/>
          <w:szCs w:val="18"/>
          <w:color w:val="auto"/>
        </w:rPr>
      </w:pPr>
      <w:r>
        <w:rPr>
          <w:rFonts w:ascii="Arial" w:cs="Arial" w:eastAsia="Arial" w:hAnsi="Arial"/>
          <w:sz w:val="18"/>
          <w:szCs w:val="18"/>
          <w:color w:val="auto"/>
        </w:rPr>
        <w:t>specify that special meetings of our stockholders can be called only by our board of directors;</w:t>
      </w:r>
    </w:p>
    <w:p>
      <w:pPr>
        <w:spacing w:after="0" w:line="116" w:lineRule="exact"/>
        <w:rPr>
          <w:rFonts w:ascii="Arial" w:cs="Arial" w:eastAsia="Arial" w:hAnsi="Arial"/>
          <w:sz w:val="18"/>
          <w:szCs w:val="18"/>
          <w:color w:val="auto"/>
        </w:rPr>
      </w:pPr>
    </w:p>
    <w:p>
      <w:pPr>
        <w:ind w:left="1020" w:right="260" w:hanging="479"/>
        <w:spacing w:after="0" w:line="261" w:lineRule="auto"/>
        <w:tabs>
          <w:tab w:leader="none" w:pos="894" w:val="left"/>
        </w:tabs>
        <w:numPr>
          <w:ilvl w:val="0"/>
          <w:numId w:val="46"/>
        </w:numPr>
        <w:rPr>
          <w:rFonts w:ascii="Arial" w:cs="Arial" w:eastAsia="Arial" w:hAnsi="Arial"/>
          <w:sz w:val="18"/>
          <w:szCs w:val="18"/>
          <w:color w:val="auto"/>
        </w:rPr>
      </w:pPr>
      <w:r>
        <w:rPr>
          <w:rFonts w:ascii="Arial" w:cs="Arial" w:eastAsia="Arial" w:hAnsi="Arial"/>
          <w:sz w:val="18"/>
          <w:szCs w:val="18"/>
          <w:color w:val="auto"/>
        </w:rPr>
        <w:t>establish an advance notice procedure for stockholder proposals to be brought before an annual meeting, including proposed nominations of persons for election to our board of directors;</w:t>
      </w:r>
    </w:p>
    <w:p>
      <w:pPr>
        <w:spacing w:after="0" w:line="62" w:lineRule="exact"/>
        <w:rPr>
          <w:rFonts w:ascii="Arial" w:cs="Arial" w:eastAsia="Arial" w:hAnsi="Arial"/>
          <w:sz w:val="18"/>
          <w:szCs w:val="18"/>
          <w:color w:val="auto"/>
        </w:rPr>
      </w:pPr>
    </w:p>
    <w:p>
      <w:pPr>
        <w:ind w:left="900" w:hanging="359"/>
        <w:spacing w:after="0"/>
        <w:tabs>
          <w:tab w:leader="none" w:pos="900" w:val="left"/>
        </w:tabs>
        <w:numPr>
          <w:ilvl w:val="0"/>
          <w:numId w:val="46"/>
        </w:numPr>
        <w:rPr>
          <w:rFonts w:ascii="Arial" w:cs="Arial" w:eastAsia="Arial" w:hAnsi="Arial"/>
          <w:sz w:val="18"/>
          <w:szCs w:val="18"/>
          <w:color w:val="auto"/>
        </w:rPr>
      </w:pPr>
      <w:r>
        <w:rPr>
          <w:rFonts w:ascii="Arial" w:cs="Arial" w:eastAsia="Arial" w:hAnsi="Arial"/>
          <w:sz w:val="18"/>
          <w:szCs w:val="18"/>
          <w:color w:val="auto"/>
        </w:rPr>
        <w:t>establish that our board of directors is divided into three classes, with each class serving three-year staggered terms;</w:t>
      </w:r>
    </w:p>
    <w:p>
      <w:pPr>
        <w:spacing w:after="0" w:line="116" w:lineRule="exact"/>
        <w:rPr>
          <w:rFonts w:ascii="Arial" w:cs="Arial" w:eastAsia="Arial" w:hAnsi="Arial"/>
          <w:sz w:val="18"/>
          <w:szCs w:val="18"/>
          <w:color w:val="auto"/>
        </w:rPr>
      </w:pPr>
    </w:p>
    <w:p>
      <w:pPr>
        <w:ind w:left="900" w:hanging="359"/>
        <w:spacing w:after="0"/>
        <w:tabs>
          <w:tab w:leader="none" w:pos="900" w:val="left"/>
        </w:tabs>
        <w:numPr>
          <w:ilvl w:val="0"/>
          <w:numId w:val="46"/>
        </w:numPr>
        <w:rPr>
          <w:rFonts w:ascii="Arial" w:cs="Arial" w:eastAsia="Arial" w:hAnsi="Arial"/>
          <w:sz w:val="18"/>
          <w:szCs w:val="18"/>
          <w:color w:val="auto"/>
        </w:rPr>
      </w:pPr>
      <w:r>
        <w:rPr>
          <w:rFonts w:ascii="Arial" w:cs="Arial" w:eastAsia="Arial" w:hAnsi="Arial"/>
          <w:sz w:val="18"/>
          <w:szCs w:val="18"/>
          <w:color w:val="auto"/>
        </w:rPr>
        <w:t>prohibit cumulative voting in the election of directors;</w:t>
      </w:r>
    </w:p>
    <w:p>
      <w:pPr>
        <w:spacing w:after="0" w:line="103" w:lineRule="exact"/>
        <w:rPr>
          <w:rFonts w:ascii="Arial" w:cs="Arial" w:eastAsia="Arial" w:hAnsi="Arial"/>
          <w:sz w:val="18"/>
          <w:szCs w:val="18"/>
          <w:color w:val="auto"/>
        </w:rPr>
      </w:pPr>
    </w:p>
    <w:p>
      <w:pPr>
        <w:ind w:left="900" w:hanging="359"/>
        <w:spacing w:after="0"/>
        <w:tabs>
          <w:tab w:leader="none" w:pos="900" w:val="left"/>
        </w:tabs>
        <w:numPr>
          <w:ilvl w:val="0"/>
          <w:numId w:val="46"/>
        </w:numPr>
        <w:rPr>
          <w:rFonts w:ascii="Arial" w:cs="Arial" w:eastAsia="Arial" w:hAnsi="Arial"/>
          <w:sz w:val="18"/>
          <w:szCs w:val="18"/>
          <w:color w:val="auto"/>
        </w:rPr>
      </w:pPr>
      <w:r>
        <w:rPr>
          <w:rFonts w:ascii="Arial" w:cs="Arial" w:eastAsia="Arial" w:hAnsi="Arial"/>
          <w:sz w:val="18"/>
          <w:szCs w:val="18"/>
          <w:color w:val="auto"/>
        </w:rPr>
        <w:t>provide that our directors may only be removed for cause;</w:t>
      </w:r>
    </w:p>
    <w:p>
      <w:pPr>
        <w:spacing w:after="0" w:line="103" w:lineRule="exact"/>
        <w:rPr>
          <w:rFonts w:ascii="Arial" w:cs="Arial" w:eastAsia="Arial" w:hAnsi="Arial"/>
          <w:sz w:val="18"/>
          <w:szCs w:val="18"/>
          <w:color w:val="auto"/>
        </w:rPr>
      </w:pPr>
    </w:p>
    <w:p>
      <w:pPr>
        <w:ind w:left="1020" w:right="240" w:hanging="479"/>
        <w:spacing w:after="0" w:line="261" w:lineRule="auto"/>
        <w:tabs>
          <w:tab w:leader="none" w:pos="894" w:val="left"/>
        </w:tabs>
        <w:numPr>
          <w:ilvl w:val="0"/>
          <w:numId w:val="46"/>
        </w:numPr>
        <w:rPr>
          <w:rFonts w:ascii="Arial" w:cs="Arial" w:eastAsia="Arial" w:hAnsi="Arial"/>
          <w:sz w:val="18"/>
          <w:szCs w:val="18"/>
          <w:color w:val="auto"/>
        </w:rPr>
      </w:pPr>
      <w:r>
        <w:rPr>
          <w:rFonts w:ascii="Arial" w:cs="Arial" w:eastAsia="Arial" w:hAnsi="Arial"/>
          <w:sz w:val="18"/>
          <w:szCs w:val="18"/>
          <w:color w:val="auto"/>
        </w:rPr>
        <w:t>provide that vacancies on our board of directors may be filled only by a majority of directors then in office, even though less than a quorum; and</w:t>
      </w:r>
    </w:p>
    <w:p>
      <w:pPr>
        <w:spacing w:after="0" w:line="75" w:lineRule="exact"/>
        <w:rPr>
          <w:rFonts w:ascii="Arial" w:cs="Arial" w:eastAsia="Arial" w:hAnsi="Arial"/>
          <w:sz w:val="18"/>
          <w:szCs w:val="18"/>
          <w:color w:val="auto"/>
        </w:rPr>
      </w:pPr>
    </w:p>
    <w:p>
      <w:pPr>
        <w:ind w:left="1020" w:right="120" w:hanging="479"/>
        <w:spacing w:after="0" w:line="261" w:lineRule="auto"/>
        <w:tabs>
          <w:tab w:leader="none" w:pos="894" w:val="left"/>
        </w:tabs>
        <w:numPr>
          <w:ilvl w:val="0"/>
          <w:numId w:val="46"/>
        </w:numPr>
        <w:rPr>
          <w:rFonts w:ascii="Arial" w:cs="Arial" w:eastAsia="Arial" w:hAnsi="Arial"/>
          <w:sz w:val="18"/>
          <w:szCs w:val="18"/>
          <w:color w:val="auto"/>
        </w:rPr>
      </w:pPr>
      <w:r>
        <w:rPr>
          <w:rFonts w:ascii="Arial" w:cs="Arial" w:eastAsia="Arial" w:hAnsi="Arial"/>
          <w:sz w:val="18"/>
          <w:szCs w:val="18"/>
          <w:color w:val="auto"/>
        </w:rPr>
        <w:t>require the approval of our board of directors or the holders of at least 66 2/3% of our outstanding shares of voting stock to amend our bylaws and certain provisions of our certificate of incorporation.</w:t>
      </w:r>
    </w:p>
    <w:p>
      <w:pPr>
        <w:spacing w:after="0" w:line="170" w:lineRule="exact"/>
        <w:rPr>
          <w:sz w:val="20"/>
          <w:szCs w:val="20"/>
          <w:color w:val="auto"/>
        </w:rPr>
      </w:pPr>
    </w:p>
    <w:p>
      <w:pPr>
        <w:ind w:right="40" w:firstLine="509"/>
        <w:spacing w:after="0" w:line="279" w:lineRule="auto"/>
        <w:rPr>
          <w:sz w:val="20"/>
          <w:szCs w:val="20"/>
          <w:color w:val="auto"/>
        </w:rPr>
      </w:pPr>
      <w:r>
        <w:rPr>
          <w:rFonts w:ascii="Arial" w:cs="Arial" w:eastAsia="Arial" w:hAnsi="Arial"/>
          <w:sz w:val="16"/>
          <w:szCs w:val="16"/>
          <w:color w:val="auto"/>
        </w:rPr>
        <w:t>These provisions may frustrate or prevent any attempts by our stockholders to replace or remove our current management by making it more difficult for stockholders to replace members of our board of directors, which is responsible for appointing the members of our management. In addition, because we are incorporated in Delaware, we are governed by the provisions of Section 203 of the Delaware General Corporation Law, which generally, subject to certain exceptions, prohibits a Delaware corporation from engaging in any of a broad range of business combinations with any “interested” stockholder for a period of three years following the date on which the stockholder became an “interested” stockholder. Any of the foregoing provisions could limit the price that investors might be willing to pay in the future for shares of our Class A common stock, and they could deter potential acquirers of our company, thereby reducing the likelihood that you would receive a premium for your shares of our Class A common stock in an acquisition.</w:t>
      </w:r>
    </w:p>
    <w:p>
      <w:pPr>
        <w:spacing w:after="0" w:line="283" w:lineRule="exact"/>
        <w:rPr>
          <w:sz w:val="20"/>
          <w:szCs w:val="20"/>
          <w:color w:val="auto"/>
        </w:rPr>
      </w:pPr>
    </w:p>
    <w:p>
      <w:pPr>
        <w:ind w:right="340"/>
        <w:spacing w:after="0" w:line="261" w:lineRule="auto"/>
        <w:rPr>
          <w:sz w:val="20"/>
          <w:szCs w:val="20"/>
          <w:color w:val="auto"/>
        </w:rPr>
      </w:pPr>
      <w:r>
        <w:rPr>
          <w:rFonts w:ascii="Arial" w:cs="Arial" w:eastAsia="Arial" w:hAnsi="Arial"/>
          <w:sz w:val="18"/>
          <w:szCs w:val="18"/>
          <w:b w:val="1"/>
          <w:bCs w:val="1"/>
          <w:i w:val="1"/>
          <w:iCs w:val="1"/>
          <w:color w:val="auto"/>
        </w:rPr>
        <w:t>Claims for indemnification by our directors and officers may reduce our available funds to satisfy successful third-party claims against us and may reduce the amount of money available to us.</w:t>
      </w:r>
    </w:p>
    <w:p>
      <w:pPr>
        <w:spacing w:after="0" w:line="62" w:lineRule="exact"/>
        <w:rPr>
          <w:sz w:val="20"/>
          <w:szCs w:val="20"/>
          <w:color w:val="auto"/>
        </w:rPr>
      </w:pPr>
    </w:p>
    <w:p>
      <w:pPr>
        <w:ind w:right="120" w:firstLine="509"/>
        <w:spacing w:after="0" w:line="277" w:lineRule="auto"/>
        <w:rPr>
          <w:sz w:val="20"/>
          <w:szCs w:val="20"/>
          <w:color w:val="auto"/>
        </w:rPr>
      </w:pPr>
      <w:r>
        <w:rPr>
          <w:rFonts w:ascii="Arial" w:cs="Arial" w:eastAsia="Arial" w:hAnsi="Arial"/>
          <w:sz w:val="18"/>
          <w:szCs w:val="18"/>
          <w:color w:val="auto"/>
        </w:rPr>
        <w:t>Our restated certificate of incorporation and amended and restated bylaws provide that we will indemnify our directors and officers, in each case to the fullest extent permitted by Delaware law.</w:t>
      </w:r>
    </w:p>
    <w:p>
      <w:pPr>
        <w:spacing w:after="0" w:line="48"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69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61595</wp:posOffset>
            </wp:positionV>
            <wp:extent cx="7157720" cy="42545"/>
            <wp:wrapNone/>
            <wp:docPr id="301" name="Picture 3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1"/>
                    <pic:cNvPicPr>
                      <a:picLocks noChangeAspect="1" noChangeArrowheads="1"/>
                    </pic:cNvPicPr>
                  </pic:nvPicPr>
                  <pic:blipFill>
                    <a:blip r:embed="rId30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435" w:right="359" w:bottom="1440" w:gutter="0" w:footer="0" w:header="0"/>
        </w:sectPr>
      </w:pPr>
    </w:p>
    <w:bookmarkStart w:id="69" w:name="page70"/>
    <w:bookmarkEnd w:id="69"/>
    <w:p>
      <w:pPr>
        <w:ind w:right="780" w:firstLine="509"/>
        <w:spacing w:after="0" w:line="277" w:lineRule="auto"/>
        <w:rPr>
          <w:sz w:val="20"/>
          <w:szCs w:val="20"/>
          <w:color w:val="auto"/>
        </w:rPr>
      </w:pPr>
      <w:r>
        <w:rPr>
          <w:rFonts w:ascii="Arial" w:cs="Arial" w:eastAsia="Arial" w:hAnsi="Arial"/>
          <w:sz w:val="18"/>
          <w:szCs w:val="18"/>
          <w:color w:val="auto"/>
        </w:rPr>
        <w:t>In addition, as permitted by Section 145 of the Delaware General Corporation Law, our amended and restated bylaws and indemnification agreements that we have entered into with our directors and officers provide that:</w:t>
      </w:r>
    </w:p>
    <w:p>
      <w:pPr>
        <w:spacing w:after="0" w:line="48" w:lineRule="exact"/>
        <w:rPr>
          <w:sz w:val="20"/>
          <w:szCs w:val="20"/>
          <w:color w:val="auto"/>
        </w:rPr>
      </w:pPr>
    </w:p>
    <w:p>
      <w:pPr>
        <w:ind w:left="1020" w:right="40" w:hanging="479"/>
        <w:spacing w:after="0" w:line="268" w:lineRule="auto"/>
        <w:tabs>
          <w:tab w:leader="none" w:pos="894" w:val="left"/>
        </w:tabs>
        <w:numPr>
          <w:ilvl w:val="0"/>
          <w:numId w:val="47"/>
        </w:numPr>
        <w:rPr>
          <w:rFonts w:ascii="Arial" w:cs="Arial" w:eastAsia="Arial" w:hAnsi="Arial"/>
          <w:sz w:val="17"/>
          <w:szCs w:val="17"/>
          <w:color w:val="auto"/>
        </w:rPr>
      </w:pPr>
      <w:r>
        <w:rPr>
          <w:rFonts w:ascii="Arial" w:cs="Arial" w:eastAsia="Arial" w:hAnsi="Arial"/>
          <w:sz w:val="17"/>
          <w:szCs w:val="17"/>
          <w:color w:val="auto"/>
        </w:rPr>
        <w:t>we will indemnify our directors and officers for serving us in those capacities or for serving other business enterprises at our request, to the fullest extent permitted by Delaware law. Delaware law provides that a corporation may indemnify such person if such person acted in good faith and in a manner such person reasonably believed to be in or not opposed to, the best interests of the corporation and, with respect to any criminal proceeding, had no reasonable cause to believe such person’s conduct was unlawful;</w:t>
      </w:r>
    </w:p>
    <w:p>
      <w:pPr>
        <w:spacing w:after="0" w:line="57" w:lineRule="exact"/>
        <w:rPr>
          <w:rFonts w:ascii="Arial" w:cs="Arial" w:eastAsia="Arial" w:hAnsi="Arial"/>
          <w:sz w:val="17"/>
          <w:szCs w:val="17"/>
          <w:color w:val="auto"/>
        </w:rPr>
      </w:pPr>
    </w:p>
    <w:p>
      <w:pPr>
        <w:ind w:left="900" w:hanging="359"/>
        <w:spacing w:after="0"/>
        <w:tabs>
          <w:tab w:leader="none" w:pos="900" w:val="left"/>
        </w:tabs>
        <w:numPr>
          <w:ilvl w:val="0"/>
          <w:numId w:val="47"/>
        </w:numPr>
        <w:rPr>
          <w:rFonts w:ascii="Arial" w:cs="Arial" w:eastAsia="Arial" w:hAnsi="Arial"/>
          <w:sz w:val="17"/>
          <w:szCs w:val="17"/>
          <w:color w:val="auto"/>
        </w:rPr>
      </w:pPr>
      <w:r>
        <w:rPr>
          <w:rFonts w:ascii="Arial" w:cs="Arial" w:eastAsia="Arial" w:hAnsi="Arial"/>
          <w:sz w:val="17"/>
          <w:szCs w:val="17"/>
          <w:color w:val="auto"/>
        </w:rPr>
        <w:t>we may, in our discretion, indemnify employees and agents in those circumstances where indemnification is permitted by applicable law;</w:t>
      </w:r>
    </w:p>
    <w:p>
      <w:pPr>
        <w:spacing w:after="0" w:line="128" w:lineRule="exact"/>
        <w:rPr>
          <w:rFonts w:ascii="Arial" w:cs="Arial" w:eastAsia="Arial" w:hAnsi="Arial"/>
          <w:sz w:val="17"/>
          <w:szCs w:val="17"/>
          <w:color w:val="auto"/>
        </w:rPr>
      </w:pPr>
    </w:p>
    <w:p>
      <w:pPr>
        <w:ind w:left="1020" w:right="200" w:hanging="479"/>
        <w:spacing w:after="0" w:line="324" w:lineRule="auto"/>
        <w:tabs>
          <w:tab w:leader="none" w:pos="894" w:val="left"/>
        </w:tabs>
        <w:numPr>
          <w:ilvl w:val="0"/>
          <w:numId w:val="47"/>
        </w:numPr>
        <w:rPr>
          <w:rFonts w:ascii="Arial" w:cs="Arial" w:eastAsia="Arial" w:hAnsi="Arial"/>
          <w:sz w:val="16"/>
          <w:szCs w:val="16"/>
          <w:color w:val="auto"/>
        </w:rPr>
      </w:pPr>
      <w:r>
        <w:rPr>
          <w:rFonts w:ascii="Arial" w:cs="Arial" w:eastAsia="Arial" w:hAnsi="Arial"/>
          <w:sz w:val="16"/>
          <w:szCs w:val="16"/>
          <w:color w:val="auto"/>
        </w:rPr>
        <w:t>we are required to advance expenses, as incurred, to our directors and officers in connection with defending a proceeding, except that such directors or officers shall undertake to repay such advances if it is ultimately determined that such person is not entitled to indemnification;</w:t>
      </w:r>
    </w:p>
    <w:p>
      <w:pPr>
        <w:spacing w:after="0" w:line="15" w:lineRule="exact"/>
        <w:rPr>
          <w:rFonts w:ascii="Arial" w:cs="Arial" w:eastAsia="Arial" w:hAnsi="Arial"/>
          <w:sz w:val="16"/>
          <w:szCs w:val="16"/>
          <w:color w:val="auto"/>
        </w:rPr>
      </w:pPr>
    </w:p>
    <w:p>
      <w:pPr>
        <w:ind w:left="1020" w:right="20" w:hanging="479"/>
        <w:spacing w:after="0" w:line="261" w:lineRule="auto"/>
        <w:tabs>
          <w:tab w:leader="none" w:pos="894" w:val="left"/>
        </w:tabs>
        <w:numPr>
          <w:ilvl w:val="0"/>
          <w:numId w:val="47"/>
        </w:numPr>
        <w:rPr>
          <w:rFonts w:ascii="Arial" w:cs="Arial" w:eastAsia="Arial" w:hAnsi="Arial"/>
          <w:sz w:val="18"/>
          <w:szCs w:val="18"/>
          <w:color w:val="auto"/>
        </w:rPr>
      </w:pPr>
      <w:r>
        <w:rPr>
          <w:rFonts w:ascii="Arial" w:cs="Arial" w:eastAsia="Arial" w:hAnsi="Arial"/>
          <w:sz w:val="18"/>
          <w:szCs w:val="18"/>
          <w:color w:val="auto"/>
        </w:rPr>
        <w:t>the rights conferred in our amended and restated bylaws are not exclusive, and we are authorized to enter into indemnification agreements with our directors, officers, employees, and agents and to obtain insurance to indemnify such persons; and</w:t>
      </w:r>
    </w:p>
    <w:p>
      <w:pPr>
        <w:spacing w:after="0" w:line="75" w:lineRule="exact"/>
        <w:rPr>
          <w:rFonts w:ascii="Arial" w:cs="Arial" w:eastAsia="Arial" w:hAnsi="Arial"/>
          <w:sz w:val="18"/>
          <w:szCs w:val="18"/>
          <w:color w:val="auto"/>
        </w:rPr>
      </w:pPr>
    </w:p>
    <w:p>
      <w:pPr>
        <w:ind w:left="1020" w:right="140" w:hanging="479"/>
        <w:spacing w:after="0" w:line="261" w:lineRule="auto"/>
        <w:tabs>
          <w:tab w:leader="none" w:pos="894" w:val="left"/>
        </w:tabs>
        <w:numPr>
          <w:ilvl w:val="0"/>
          <w:numId w:val="47"/>
        </w:numPr>
        <w:rPr>
          <w:rFonts w:ascii="Arial" w:cs="Arial" w:eastAsia="Arial" w:hAnsi="Arial"/>
          <w:sz w:val="18"/>
          <w:szCs w:val="18"/>
          <w:color w:val="auto"/>
        </w:rPr>
      </w:pPr>
      <w:r>
        <w:rPr>
          <w:rFonts w:ascii="Arial" w:cs="Arial" w:eastAsia="Arial" w:hAnsi="Arial"/>
          <w:sz w:val="18"/>
          <w:szCs w:val="18"/>
          <w:color w:val="auto"/>
        </w:rPr>
        <w:t>we may not retroactively amend our amended and restated bylaws to reduce our indemnification obligations to directors, officers, employees, and agents.</w:t>
      </w:r>
    </w:p>
    <w:p>
      <w:pPr>
        <w:spacing w:after="0" w:line="170" w:lineRule="exact"/>
        <w:rPr>
          <w:sz w:val="20"/>
          <w:szCs w:val="20"/>
          <w:color w:val="auto"/>
        </w:rPr>
      </w:pPr>
    </w:p>
    <w:p>
      <w:pPr>
        <w:jc w:val="both"/>
        <w:ind w:right="400" w:firstLine="509"/>
        <w:spacing w:after="0" w:line="341" w:lineRule="auto"/>
        <w:rPr>
          <w:sz w:val="20"/>
          <w:szCs w:val="20"/>
          <w:color w:val="auto"/>
        </w:rPr>
      </w:pPr>
      <w:r>
        <w:rPr>
          <w:rFonts w:ascii="Arial" w:cs="Arial" w:eastAsia="Arial" w:hAnsi="Arial"/>
          <w:sz w:val="16"/>
          <w:szCs w:val="16"/>
          <w:color w:val="auto"/>
        </w:rPr>
        <w:t>While we have procured directors’ and officers’ liability insurance policies, such insurance policies may not be available to us in the future at a reasonable rate, may not cover all potential claims for indemnification, and may not be adequate to indemnify us for all liability that may be imposed.</w:t>
      </w:r>
    </w:p>
    <w:p>
      <w:pPr>
        <w:spacing w:after="0" w:line="219" w:lineRule="exact"/>
        <w:rPr>
          <w:sz w:val="20"/>
          <w:szCs w:val="20"/>
          <w:color w:val="auto"/>
        </w:rPr>
      </w:pPr>
    </w:p>
    <w:p>
      <w:pPr>
        <w:ind w:right="180"/>
        <w:spacing w:after="0" w:line="277" w:lineRule="auto"/>
        <w:rPr>
          <w:sz w:val="20"/>
          <w:szCs w:val="20"/>
          <w:color w:val="auto"/>
        </w:rPr>
      </w:pPr>
      <w:r>
        <w:rPr>
          <w:rFonts w:ascii="Arial" w:cs="Arial" w:eastAsia="Arial" w:hAnsi="Arial"/>
          <w:sz w:val="17"/>
          <w:szCs w:val="17"/>
          <w:b w:val="1"/>
          <w:bCs w:val="1"/>
          <w:i w:val="1"/>
          <w:iCs w:val="1"/>
          <w:color w:val="auto"/>
        </w:rPr>
        <w:t>Our restated certificate of incorporation and amended and restated bylaws provide for an exclusive forum in the Court of Chancery of the State of Delaware for certain disputes between us and our stockholders, and that the federal district courts of the United States will be the exclusive forum for the resolution of any complaint asserting a cause of action under the Securities Act.</w:t>
      </w:r>
    </w:p>
    <w:p>
      <w:pPr>
        <w:spacing w:after="0" w:line="51" w:lineRule="exact"/>
        <w:rPr>
          <w:sz w:val="20"/>
          <w:szCs w:val="20"/>
          <w:color w:val="auto"/>
        </w:rPr>
      </w:pPr>
    </w:p>
    <w:p>
      <w:pPr>
        <w:ind w:firstLine="509"/>
        <w:spacing w:after="0" w:line="273" w:lineRule="auto"/>
        <w:rPr>
          <w:sz w:val="20"/>
          <w:szCs w:val="20"/>
          <w:color w:val="auto"/>
        </w:rPr>
      </w:pPr>
      <w:r>
        <w:rPr>
          <w:rFonts w:ascii="Arial" w:cs="Arial" w:eastAsia="Arial" w:hAnsi="Arial"/>
          <w:sz w:val="16"/>
          <w:szCs w:val="16"/>
          <w:color w:val="auto"/>
        </w:rPr>
        <w:t>Our restated certificate of incorporation and our amended and restated bylaws provide that: (i) unless we consent in writing to the selection of an alternative forum, the Court of Chancery of the State of Delaware (or, if such court does not have subject matter jurisdiction thereof, the federal district court of the State of Delaware) will, to the fullest extent permitted by law, be the sole and exclusive forum for: (A) any derivative action or proceeding brought on our behalf, (B) any action asserting a claim for or based on a breach of a fiduciary duty owed by any of our current or former directors, officers, other employees, agents, or stockholders to us or our stockholders, including, without limitation, a claim alleging the aiding and abetting of such a breach of fiduciary duty, (C) any action asserting a claim against us or any of our current or former directors, officers, other employees, agents, or stockholders arising pursuant to any provision of the Delaware General Corporation Law or our restated certificate of incorporation or amended and restated bylaws or as to which the Delaware General Corporation Law confers jurisdiction on the Court of Chancery of the State of Delaware, or (D) any action asserting a claim related to or involving us that is governed by the internal affairs doctrine; (ii) unless we consent in writing to the selection of an alternative forum, the federal district courts of the United States of America will, to the fullest extent permitted by law, be the sole and exclusive forum for the resolution of any complaint asserting a cause of action arising under the Securities Act and the rules and regulations promulgated thereunder; (iii) the exclusive forum provisions are intended to benefit and may be enforced by us, our officers and directors, the financial advisors to any offering giving rise to such complaint, and any other professional or entity whose profession gives authority to a statement made by that person or entity and who has prepared or certified any part of the documents underlying the offering; and (iv) any person or entity purchasing or otherwise acquiring or holding any interest in our shares of capital stock will be deemed to have notice of and consented to these provisions. Nothing in our restated certificate of incorporation or amended and restated bylaws precludes stockholders that assert claims under the Exchange Act from bringing such claims in federal court, to the extent that the Exchange Act confers exclusive federal jurisdiction over such claims, subject to applicable law.</w:t>
      </w:r>
    </w:p>
    <w:p>
      <w:pPr>
        <w:spacing w:after="0" w:line="164" w:lineRule="exact"/>
        <w:rPr>
          <w:sz w:val="20"/>
          <w:szCs w:val="20"/>
          <w:color w:val="auto"/>
        </w:rPr>
      </w:pPr>
    </w:p>
    <w:p>
      <w:pPr>
        <w:ind w:right="180" w:firstLine="509"/>
        <w:spacing w:after="0" w:line="246" w:lineRule="auto"/>
        <w:rPr>
          <w:sz w:val="20"/>
          <w:szCs w:val="20"/>
          <w:color w:val="auto"/>
        </w:rPr>
      </w:pPr>
      <w:r>
        <w:rPr>
          <w:rFonts w:ascii="Arial" w:cs="Arial" w:eastAsia="Arial" w:hAnsi="Arial"/>
          <w:sz w:val="18"/>
          <w:szCs w:val="18"/>
          <w:color w:val="auto"/>
        </w:rPr>
        <w:t>We believe these provisions may benefit us by providing increased consistency in the application of Delaware law and federal securities laws by chancellors and judges, as applicable, particularly experienced in resolving corporate disputes, efficient administration of cases on a more expedited schedule relative to other forums, and protection against the burdens of multi-forum litigation. If a court were to find the choice of forum provision contained in our restated certificate of incorporation or our amended and restated bylaws to be inapplicable or unenforceable in an action, we may incur additional costs associated with resolving such action in other jurisdictions, which could materially adversely affect our business, financial condition, and results of operations.</w:t>
      </w:r>
    </w:p>
    <w:p>
      <w:pPr>
        <w:spacing w:after="0" w:line="75"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70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61595</wp:posOffset>
            </wp:positionV>
            <wp:extent cx="7157720" cy="42545"/>
            <wp:wrapNone/>
            <wp:docPr id="302" name="Picture 3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2"/>
                    <pic:cNvPicPr>
                      <a:picLocks noChangeAspect="1" noChangeArrowheads="1"/>
                    </pic:cNvPicPr>
                  </pic:nvPicPr>
                  <pic:blipFill>
                    <a:blip r:embed="rId30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543" w:right="359" w:bottom="1440" w:gutter="0" w:footer="0" w:header="0"/>
        </w:sectPr>
      </w:pPr>
    </w:p>
    <w:bookmarkStart w:id="70" w:name="page71"/>
    <w:bookmarkEnd w:id="70"/>
    <w:p>
      <w:pPr>
        <w:spacing w:after="0"/>
        <w:rPr>
          <w:sz w:val="20"/>
          <w:szCs w:val="20"/>
          <w:color w:val="auto"/>
        </w:rPr>
      </w:pPr>
      <w:r>
        <w:rPr>
          <w:rFonts w:ascii="Arial" w:cs="Arial" w:eastAsia="Arial" w:hAnsi="Arial"/>
          <w:sz w:val="18"/>
          <w:szCs w:val="18"/>
          <w:b w:val="1"/>
          <w:bCs w:val="1"/>
          <w:color w:val="auto"/>
        </w:rPr>
        <w:t>General Risk Factors</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Our inability to attract and retain highly skilled employees could materially adversely affect our business.</w:t>
      </w:r>
    </w:p>
    <w:p>
      <w:pPr>
        <w:spacing w:after="0" w:line="103" w:lineRule="exact"/>
        <w:rPr>
          <w:sz w:val="20"/>
          <w:szCs w:val="20"/>
          <w:color w:val="auto"/>
        </w:rPr>
      </w:pPr>
    </w:p>
    <w:p>
      <w:pPr>
        <w:ind w:firstLine="509"/>
        <w:spacing w:after="0" w:line="256" w:lineRule="auto"/>
        <w:rPr>
          <w:sz w:val="20"/>
          <w:szCs w:val="20"/>
          <w:color w:val="auto"/>
        </w:rPr>
      </w:pPr>
      <w:r>
        <w:rPr>
          <w:rFonts w:ascii="Arial" w:cs="Arial" w:eastAsia="Arial" w:hAnsi="Arial"/>
          <w:sz w:val="17"/>
          <w:szCs w:val="17"/>
          <w:color w:val="auto"/>
        </w:rPr>
        <w:t>In order to execute our growth plan, we must attract and retain highly qualified personnel. Competition for these personnel in the San Francisco Bay Area, where our headquarters is located, and in other locations where we engage in recruiting, is intense, especially for engineers experienced in designing and developing software and for experienced sales professionals. We have, from time to time experienced, and we expect to continue to experience, difficulty in hiring and retaining employees with appropriate qualifications. The cost of living is high in the San Francisco Bay Area, which may make it harder for us to attract and retain highly skilled employees. Many of the companies with which we compete for experienced personnel may have greater resources than we do. As our company grows and evolves, we may need to implement more complex organizational management structures or adapt our corporate culture and work environments. These changes could have an adverse impact on our corporate culture, which could harm our ability to retain and recruit personnel. If we hire employees from competitors or other companies, their former employers may attempt to assert that these employees or we have breached their legal obligations, resulting in a diversion of our time and resources. In addition, job candidates and existing employees often consider the value of the equity awards they receive in connection with their employment. If the perceived value of our equity awards declines, it may adversely affect our ability to recruit and retain highly skilled employees. If we fail to attract new personnel or fail to retain and motivate our current personnel, our business and growth prospects could be materially adversely affected.</w:t>
      </w:r>
    </w:p>
    <w:p>
      <w:pPr>
        <w:spacing w:after="0" w:line="303" w:lineRule="exact"/>
        <w:rPr>
          <w:sz w:val="20"/>
          <w:szCs w:val="20"/>
          <w:color w:val="auto"/>
        </w:rPr>
      </w:pPr>
    </w:p>
    <w:p>
      <w:pPr>
        <w:ind w:right="420"/>
        <w:spacing w:after="0" w:line="261" w:lineRule="auto"/>
        <w:rPr>
          <w:sz w:val="20"/>
          <w:szCs w:val="20"/>
          <w:color w:val="auto"/>
        </w:rPr>
      </w:pPr>
      <w:r>
        <w:rPr>
          <w:rFonts w:ascii="Arial" w:cs="Arial" w:eastAsia="Arial" w:hAnsi="Arial"/>
          <w:sz w:val="18"/>
          <w:szCs w:val="18"/>
          <w:b w:val="1"/>
          <w:bCs w:val="1"/>
          <w:i w:val="1"/>
          <w:iCs w:val="1"/>
          <w:color w:val="auto"/>
        </w:rPr>
        <w:t>We depend on our executive officers and other key employees, and the loss of one or more of these employees could materially adversely affect our business.</w:t>
      </w:r>
    </w:p>
    <w:p>
      <w:pPr>
        <w:spacing w:after="0" w:line="62" w:lineRule="exact"/>
        <w:rPr>
          <w:sz w:val="20"/>
          <w:szCs w:val="20"/>
          <w:color w:val="auto"/>
        </w:rPr>
      </w:pPr>
    </w:p>
    <w:p>
      <w:pPr>
        <w:ind w:right="140" w:firstLine="509"/>
        <w:spacing w:after="0" w:line="282" w:lineRule="auto"/>
        <w:rPr>
          <w:sz w:val="20"/>
          <w:szCs w:val="20"/>
          <w:color w:val="auto"/>
        </w:rPr>
      </w:pPr>
      <w:r>
        <w:rPr>
          <w:rFonts w:ascii="Arial" w:cs="Arial" w:eastAsia="Arial" w:hAnsi="Arial"/>
          <w:sz w:val="16"/>
          <w:szCs w:val="16"/>
          <w:color w:val="auto"/>
        </w:rPr>
        <w:t>Our success depends largely upon the continued services of our executive officers and other key employees. We rely on our leadership team in the areas of research and development, operations, security, marketing, sales, support, general and administrative functions, and on individual contributors in our research and development and operations. From time to time, there may be changes in our executive management team resulting from the hiring or departure of executives, which could disrupt our business. We do not have employment agreements with our executive officers or other key personnel that require them to continue to work for us for any specified period; therefore, they could terminate their employment with us at any time. The loss of one or more of our executive officers, especially our Chief Executive Officer, or key employees could have an adverse effect on our business.</w:t>
      </w:r>
    </w:p>
    <w:p>
      <w:pPr>
        <w:spacing w:after="0" w:line="26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Changes in the business, regulatory, or political climate in the San Francisco Bay Area could adversely affect our operations.</w:t>
      </w:r>
    </w:p>
    <w:p>
      <w:pPr>
        <w:spacing w:after="0" w:line="117" w:lineRule="exact"/>
        <w:rPr>
          <w:sz w:val="20"/>
          <w:szCs w:val="20"/>
          <w:color w:val="auto"/>
        </w:rPr>
      </w:pPr>
    </w:p>
    <w:p>
      <w:pPr>
        <w:ind w:firstLine="509"/>
        <w:spacing w:after="0" w:line="245" w:lineRule="auto"/>
        <w:rPr>
          <w:sz w:val="20"/>
          <w:szCs w:val="20"/>
          <w:color w:val="auto"/>
        </w:rPr>
      </w:pPr>
      <w:r>
        <w:rPr>
          <w:rFonts w:ascii="Arial" w:cs="Arial" w:eastAsia="Arial" w:hAnsi="Arial"/>
          <w:sz w:val="18"/>
          <w:szCs w:val="18"/>
          <w:color w:val="auto"/>
        </w:rPr>
        <w:t>Changes in the business, regulatory, or political climate in the San Francisco Bay Area, where our headquarters is located and most of our employees live, could affect our ability to expand or continue our operations there, which could have a material adverse impact on our business, financial condition, and results of operations. For example, if we were required to move our headquarters or downsize our operations in the San Francisco Bay Area due to material adverse changes in the business, regulatory, or political climate, such as increases in local tax rates, we may lose key employees and incur significant costs of relocation.</w:t>
      </w:r>
    </w:p>
    <w:p>
      <w:pPr>
        <w:spacing w:after="0" w:line="292" w:lineRule="exact"/>
        <w:rPr>
          <w:sz w:val="20"/>
          <w:szCs w:val="20"/>
          <w:color w:val="auto"/>
        </w:rPr>
      </w:pPr>
    </w:p>
    <w:p>
      <w:pPr>
        <w:ind w:right="640"/>
        <w:spacing w:after="0" w:line="261" w:lineRule="auto"/>
        <w:rPr>
          <w:sz w:val="20"/>
          <w:szCs w:val="20"/>
          <w:color w:val="auto"/>
        </w:rPr>
      </w:pPr>
      <w:r>
        <w:rPr>
          <w:rFonts w:ascii="Arial" w:cs="Arial" w:eastAsia="Arial" w:hAnsi="Arial"/>
          <w:sz w:val="18"/>
          <w:szCs w:val="18"/>
          <w:b w:val="1"/>
          <w:bCs w:val="1"/>
          <w:i w:val="1"/>
          <w:iCs w:val="1"/>
          <w:color w:val="auto"/>
        </w:rPr>
        <w:t>Changes in laws and regulations related to the internet or changes in the internet infrastructure itself may diminish the demand for our Digital Analytics Platform, and could harm our business.</w:t>
      </w:r>
    </w:p>
    <w:p>
      <w:pPr>
        <w:spacing w:after="0" w:line="76" w:lineRule="exact"/>
        <w:rPr>
          <w:sz w:val="20"/>
          <w:szCs w:val="20"/>
          <w:color w:val="auto"/>
        </w:rPr>
      </w:pPr>
    </w:p>
    <w:p>
      <w:pPr>
        <w:ind w:right="20" w:firstLine="509"/>
        <w:spacing w:after="0" w:line="257" w:lineRule="auto"/>
        <w:rPr>
          <w:sz w:val="20"/>
          <w:szCs w:val="20"/>
          <w:color w:val="auto"/>
        </w:rPr>
      </w:pPr>
      <w:r>
        <w:rPr>
          <w:rFonts w:ascii="Arial" w:cs="Arial" w:eastAsia="Arial" w:hAnsi="Arial"/>
          <w:sz w:val="17"/>
          <w:szCs w:val="17"/>
          <w:color w:val="auto"/>
        </w:rPr>
        <w:t>The future success of our business depends upon our customers’ and potential customers’ access to the internet. Federal, state, or foreign government bodies or agencies have in the past adopted, and may in the future adopt, laws or regulations affecting the use of the internet. Changes in these laws or regulations could require us to modify our platform in order to comply with these changes. In addition, government agencies or private organizations may impose additional laws, regulations, standards, or protocols involving taxation, tariffs, privacy, data protection, information security, content, copyrights, distribution, electronic contracts and other communications, consumer protection, and the characteristics and quality of services, any of which could decrease the demand for our Digital Analytics Platform or result in reductions in the demand for internet-based platforms such as ours. In addition, the use of the internet as a business tool could be harmed due to delays in the development or adoption of new standards and protocols to handle increased demands of internet activity, security, reliability, cost, ease-of-use, accessibility, and quality of service. The performance of the internet and its acceptance as a business tool has been harmed by “viruses,” “worms,” and similar malicious programs, and the internet has experienced a variety of outages and other delays as a result of damage to portions of its infrastructure. If the use of the internet is adversely affected by these issues, demand for our Digital Analytics Platform could decline.</w:t>
      </w:r>
    </w:p>
    <w:p>
      <w:pPr>
        <w:spacing w:after="0" w:line="7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71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61595</wp:posOffset>
            </wp:positionV>
            <wp:extent cx="7157720" cy="42545"/>
            <wp:wrapNone/>
            <wp:docPr id="303" name="Picture 3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3"/>
                    <pic:cNvPicPr>
                      <a:picLocks noChangeAspect="1" noChangeArrowheads="1"/>
                    </pic:cNvPicPr>
                  </pic:nvPicPr>
                  <pic:blipFill>
                    <a:blip r:embed="rId31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647" w:right="339" w:bottom="1440" w:gutter="0" w:footer="0" w:header="0"/>
        </w:sectPr>
      </w:pPr>
    </w:p>
    <w:bookmarkStart w:id="71" w:name="page72"/>
    <w:bookmarkEnd w:id="71"/>
    <w:p>
      <w:pPr>
        <w:ind w:right="140"/>
        <w:spacing w:after="0" w:line="277" w:lineRule="auto"/>
        <w:rPr>
          <w:sz w:val="20"/>
          <w:szCs w:val="20"/>
          <w:color w:val="auto"/>
        </w:rPr>
      </w:pPr>
      <w:r>
        <w:rPr>
          <w:rFonts w:ascii="Arial" w:cs="Arial" w:eastAsia="Arial" w:hAnsi="Arial"/>
          <w:sz w:val="18"/>
          <w:szCs w:val="18"/>
          <w:b w:val="1"/>
          <w:bCs w:val="1"/>
          <w:i w:val="1"/>
          <w:iCs w:val="1"/>
          <w:color w:val="auto"/>
        </w:rPr>
        <w:t>Our estimates of market opportunity and forecasts of market growth may prove to be inaccurate, and even if the market in which we compete achieves the forecasted growth, our business could fail to grow at similar rates, if at all.</w:t>
      </w:r>
    </w:p>
    <w:p>
      <w:pPr>
        <w:spacing w:after="0" w:line="48" w:lineRule="exact"/>
        <w:rPr>
          <w:sz w:val="20"/>
          <w:szCs w:val="20"/>
          <w:color w:val="auto"/>
        </w:rPr>
      </w:pPr>
    </w:p>
    <w:p>
      <w:pPr>
        <w:ind w:right="20" w:firstLine="509"/>
        <w:spacing w:after="0" w:line="263" w:lineRule="auto"/>
        <w:rPr>
          <w:sz w:val="20"/>
          <w:szCs w:val="20"/>
          <w:color w:val="auto"/>
        </w:rPr>
      </w:pPr>
      <w:r>
        <w:rPr>
          <w:rFonts w:ascii="Arial" w:cs="Arial" w:eastAsia="Arial" w:hAnsi="Arial"/>
          <w:sz w:val="17"/>
          <w:szCs w:val="17"/>
          <w:color w:val="auto"/>
        </w:rPr>
        <w:t>Market opportunity estimates and growth forecasts, including those we have generated ourselves, are subject to significant uncertainty and are based on assumptions and estimates that may not prove to be accurate. The variables that go into the calculation of our market opportunity are subject to change over time, and there is no guarantee that any particular number or percentage of companies covered by our market opportunity estimates will purchase our Digital Analytics Platform or generate any particular level of revenue for us. Any expansion in our markets depends on a number of factors, including the cost, performance, and perceived value associated with our Digital Analytics Platform and the products of our competitors. Even if the markets in which we compete achieve the forecasted growth, our business could fail to grow at similar rates, if at all.</w:t>
      </w:r>
    </w:p>
    <w:p>
      <w:pPr>
        <w:spacing w:after="0" w:line="279" w:lineRule="exact"/>
        <w:rPr>
          <w:sz w:val="20"/>
          <w:szCs w:val="20"/>
          <w:color w:val="auto"/>
        </w:rPr>
      </w:pPr>
    </w:p>
    <w:p>
      <w:pPr>
        <w:ind w:right="20"/>
        <w:spacing w:after="0" w:line="356" w:lineRule="auto"/>
        <w:rPr>
          <w:sz w:val="20"/>
          <w:szCs w:val="20"/>
          <w:color w:val="auto"/>
        </w:rPr>
      </w:pPr>
      <w:r>
        <w:rPr>
          <w:rFonts w:ascii="Arial" w:cs="Arial" w:eastAsia="Arial" w:hAnsi="Arial"/>
          <w:sz w:val="15"/>
          <w:szCs w:val="15"/>
          <w:b w:val="1"/>
          <w:bCs w:val="1"/>
          <w:i w:val="1"/>
          <w:iCs w:val="1"/>
          <w:color w:val="auto"/>
        </w:rPr>
        <w:t>Acquisitions, mergers, strategic investments, partnerships, or alliances could be difficult to identify, pose integration challenges, divert the attention of management, disrupt our business, dilute stockholder value, and materially adversely affect our business, financial condition, and results of operations.</w:t>
      </w:r>
    </w:p>
    <w:p>
      <w:pPr>
        <w:spacing w:after="0" w:line="1" w:lineRule="exact"/>
        <w:rPr>
          <w:sz w:val="20"/>
          <w:szCs w:val="20"/>
          <w:color w:val="auto"/>
        </w:rPr>
      </w:pPr>
    </w:p>
    <w:p>
      <w:pPr>
        <w:ind w:firstLine="509"/>
        <w:spacing w:after="0" w:line="258" w:lineRule="auto"/>
        <w:rPr>
          <w:sz w:val="20"/>
          <w:szCs w:val="20"/>
          <w:color w:val="auto"/>
        </w:rPr>
      </w:pPr>
      <w:r>
        <w:rPr>
          <w:rFonts w:ascii="Arial" w:cs="Arial" w:eastAsia="Arial" w:hAnsi="Arial"/>
          <w:sz w:val="17"/>
          <w:szCs w:val="17"/>
          <w:color w:val="auto"/>
        </w:rPr>
        <w:t>We have in the past sought, and intend in the future to seek, to acquire or invest in businesses, joint ventures, and platform technologies that we believe could complement or expand our Digital Analytics Platform, enhance our technology, or otherwise offer growth opportunities. Any such acquisitions or investments may divert the attention of management and cause us to incur various expenses in identifying, investigating, and pursuing suitable opportunities, whether or not the transactions are completed, and may result in unforeseen operating difficulties and expenditures. In particular, we may encounter difficulties assimilating or integrating the businesses, technologies, products, personnel, or operations of any acquired companies, particularly if the key personnel of an acquired company choose not to work for us, the acquired company’s software is not easily adapted to work with our platform, or we have difficulty retaining the customers of any acquired business due to changes in ownership, management, or otherwise. Any such transactions that we are able to complete may not result in the synergies or other benefits we expect to achieve, which could result in substantial impairment charges. These transactions could also result in dilutive issuances of equity securities, the incurrence of debt, or adverse tax consequences, which could materially adversely affect our business, financial condition, and results of operations.</w:t>
      </w:r>
    </w:p>
    <w:p>
      <w:pPr>
        <w:spacing w:after="0" w:line="29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Our business could be disrupted by catastrophic occurrences and similar events.</w:t>
      </w:r>
    </w:p>
    <w:p>
      <w:pPr>
        <w:spacing w:after="0" w:line="103" w:lineRule="exact"/>
        <w:rPr>
          <w:sz w:val="20"/>
          <w:szCs w:val="20"/>
          <w:color w:val="auto"/>
        </w:rPr>
      </w:pPr>
    </w:p>
    <w:p>
      <w:pPr>
        <w:ind w:right="120" w:firstLine="509"/>
        <w:spacing w:after="0" w:line="279" w:lineRule="auto"/>
        <w:rPr>
          <w:sz w:val="20"/>
          <w:szCs w:val="20"/>
          <w:color w:val="auto"/>
        </w:rPr>
      </w:pPr>
      <w:r>
        <w:rPr>
          <w:rFonts w:ascii="Arial" w:cs="Arial" w:eastAsia="Arial" w:hAnsi="Arial"/>
          <w:sz w:val="16"/>
          <w:szCs w:val="16"/>
          <w:color w:val="auto"/>
        </w:rPr>
        <w:t>Natural disasters or other catastrophic events may cause damage or disruption to our operations, international commerce, and the global economy, and could harm our business. We have a large employee presence in San Francisco, California. In the event of a major earthquake, fire, power loss, telecommunications failure, cyberattack, war (including the recent and developing war in Ukraine), terrorist attack, sabotage, other intentional acts of vandalism or misconduct, geopolitical event, disease, or other catastrophic occurrence, we may be unable to continue our operations and may endure system interruptions, reputational harm, delays in our application development, lengthy interruptions in our products, breaches of data security, and loss of critical data, all of which could materially adversely affect our business, financial condition, and results of operations.</w:t>
      </w:r>
    </w:p>
    <w:p>
      <w:pPr>
        <w:spacing w:after="0" w:line="173" w:lineRule="exact"/>
        <w:rPr>
          <w:sz w:val="20"/>
          <w:szCs w:val="20"/>
          <w:color w:val="auto"/>
        </w:rPr>
      </w:pPr>
    </w:p>
    <w:p>
      <w:pPr>
        <w:ind w:right="300" w:firstLine="509"/>
        <w:spacing w:after="0" w:line="247" w:lineRule="auto"/>
        <w:rPr>
          <w:sz w:val="20"/>
          <w:szCs w:val="20"/>
          <w:color w:val="auto"/>
        </w:rPr>
      </w:pPr>
      <w:r>
        <w:rPr>
          <w:rFonts w:ascii="Arial" w:cs="Arial" w:eastAsia="Arial" w:hAnsi="Arial"/>
          <w:sz w:val="18"/>
          <w:szCs w:val="18"/>
          <w:color w:val="auto"/>
        </w:rPr>
        <w:t>Additionally, we rely on our network and third-party infrastructure and applications, internal technology systems, and our websites for our development, marketing, operational support, hosted services, and sales activities. If these systems were to fail or be negatively impacted as a result of a natural disaster or other catastrophic event, our ability to deliver products to our customers would be impaired.</w:t>
      </w:r>
    </w:p>
    <w:p>
      <w:pPr>
        <w:spacing w:after="0" w:line="197" w:lineRule="exact"/>
        <w:rPr>
          <w:sz w:val="20"/>
          <w:szCs w:val="20"/>
          <w:color w:val="auto"/>
        </w:rPr>
      </w:pPr>
    </w:p>
    <w:p>
      <w:pPr>
        <w:jc w:val="both"/>
        <w:ind w:right="860" w:firstLine="509"/>
        <w:spacing w:after="0" w:line="293" w:lineRule="auto"/>
        <w:rPr>
          <w:sz w:val="20"/>
          <w:szCs w:val="20"/>
          <w:color w:val="auto"/>
        </w:rPr>
      </w:pPr>
      <w:r>
        <w:rPr>
          <w:rFonts w:ascii="Arial" w:cs="Arial" w:eastAsia="Arial" w:hAnsi="Arial"/>
          <w:sz w:val="16"/>
          <w:szCs w:val="16"/>
          <w:color w:val="auto"/>
        </w:rPr>
        <w:t>As we grow our business, the need for business continuity planning, incident response planning, and disaster recovery plans will grow in significance. If we are unable to develop adequate plans to ensure that our business functions continue to operate during and after a disaster, and successfully execute on those plans in the event of a disaster or emergency, our business and reputation would be harmed.</w:t>
      </w:r>
    </w:p>
    <w:p>
      <w:pPr>
        <w:spacing w:after="0" w:line="270" w:lineRule="exact"/>
        <w:rPr>
          <w:sz w:val="20"/>
          <w:szCs w:val="20"/>
          <w:color w:val="auto"/>
        </w:rPr>
      </w:pPr>
    </w:p>
    <w:p>
      <w:pPr>
        <w:ind w:right="520"/>
        <w:spacing w:after="0" w:line="261" w:lineRule="auto"/>
        <w:rPr>
          <w:sz w:val="20"/>
          <w:szCs w:val="20"/>
          <w:color w:val="auto"/>
        </w:rPr>
      </w:pPr>
      <w:r>
        <w:rPr>
          <w:rFonts w:ascii="Arial" w:cs="Arial" w:eastAsia="Arial" w:hAnsi="Arial"/>
          <w:sz w:val="18"/>
          <w:szCs w:val="18"/>
          <w:b w:val="1"/>
          <w:bCs w:val="1"/>
          <w:i w:val="1"/>
          <w:iCs w:val="1"/>
          <w:color w:val="auto"/>
        </w:rPr>
        <w:t>If securities or industry analysts do not publish research or publish unfavorable or inaccurate research about our business, the trading price and trading volume of our Class A common stock could decline.</w:t>
      </w:r>
    </w:p>
    <w:p>
      <w:pPr>
        <w:spacing w:after="0" w:line="62" w:lineRule="exact"/>
        <w:rPr>
          <w:sz w:val="20"/>
          <w:szCs w:val="20"/>
          <w:color w:val="auto"/>
        </w:rPr>
      </w:pPr>
    </w:p>
    <w:p>
      <w:pPr>
        <w:ind w:right="80" w:firstLine="509"/>
        <w:spacing w:after="0" w:line="244" w:lineRule="auto"/>
        <w:rPr>
          <w:sz w:val="20"/>
          <w:szCs w:val="20"/>
          <w:color w:val="auto"/>
        </w:rPr>
      </w:pPr>
      <w:r>
        <w:rPr>
          <w:rFonts w:ascii="Arial" w:cs="Arial" w:eastAsia="Arial" w:hAnsi="Arial"/>
          <w:sz w:val="18"/>
          <w:szCs w:val="18"/>
          <w:color w:val="auto"/>
        </w:rPr>
        <w:t>The trading price and trading volume of our Class A common stock will be heavily influenced by the way analysts interpret our financial information and other disclosures. We do not have control over these analysts. If few securities analysts commence coverage of us, or if industry analysts cease coverage of us, the trading price of our Class A common stock would be negatively affected. If securities or industry analysts do not publish research or reports about our business, downgrade our Class A common stock, or publish negative reports about our business, the trading price of our Class A common stock would likely decline. If one or more of these analysts cease coverage of us or fail to publish reports on us regularly, demand for our Class A common stock could decrease, which could decrease the trading volume of our Class A common stock and might cause the trading price of our Class A common stock to decline.</w:t>
      </w:r>
    </w:p>
    <w:p>
      <w:pPr>
        <w:spacing w:after="0" w:line="7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72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304" name="Picture 3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4"/>
                    <pic:cNvPicPr>
                      <a:picLocks noChangeAspect="1" noChangeArrowheads="1"/>
                    </pic:cNvPicPr>
                  </pic:nvPicPr>
                  <pic:blipFill>
                    <a:blip r:embed="rId31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651" w:right="339" w:bottom="1440" w:gutter="0" w:footer="0" w:header="0"/>
        </w:sectPr>
      </w:pPr>
    </w:p>
    <w:bookmarkStart w:id="72" w:name="page73"/>
    <w:bookmarkEnd w:id="72"/>
    <w:p>
      <w:pPr>
        <w:ind w:right="800"/>
        <w:spacing w:after="0" w:line="277" w:lineRule="auto"/>
        <w:rPr>
          <w:sz w:val="20"/>
          <w:szCs w:val="20"/>
          <w:color w:val="auto"/>
        </w:rPr>
      </w:pPr>
      <w:r>
        <w:rPr>
          <w:rFonts w:ascii="Arial" w:cs="Arial" w:eastAsia="Arial" w:hAnsi="Arial"/>
          <w:sz w:val="18"/>
          <w:szCs w:val="18"/>
          <w:b w:val="1"/>
          <w:bCs w:val="1"/>
          <w:i w:val="1"/>
          <w:iCs w:val="1"/>
          <w:color w:val="auto"/>
        </w:rPr>
        <w:t>We will incur increased costs as a result of operating as a public company, and our management will be required to devote substantial time to compliance with our public company responsibilities and corporate governance practices.</w:t>
      </w:r>
    </w:p>
    <w:p>
      <w:pPr>
        <w:spacing w:after="0" w:line="48" w:lineRule="exact"/>
        <w:rPr>
          <w:sz w:val="20"/>
          <w:szCs w:val="20"/>
          <w:color w:val="auto"/>
        </w:rPr>
      </w:pPr>
    </w:p>
    <w:p>
      <w:pPr>
        <w:ind w:firstLine="509"/>
        <w:spacing w:after="0" w:line="279" w:lineRule="auto"/>
        <w:rPr>
          <w:sz w:val="20"/>
          <w:szCs w:val="20"/>
          <w:color w:val="auto"/>
        </w:rPr>
      </w:pPr>
      <w:r>
        <w:rPr>
          <w:rFonts w:ascii="Arial" w:cs="Arial" w:eastAsia="Arial" w:hAnsi="Arial"/>
          <w:sz w:val="16"/>
          <w:szCs w:val="16"/>
          <w:color w:val="auto"/>
        </w:rPr>
        <w:t>As a public company, we will incur significant legal, accounting, and other expenses that we did not incur as a private company, which we expect to further increase after we are no longer an “emerging growth company,” which, based on the market value of our Class A common stock held by non-affiliates as of the last business day of our second fiscal quarter ended June 30, 2022, will be December 31, 2022. The Sarbanes-Oxley Act, the Dodd-Frank Wall Street Reform and Consumer Protection Act, Nasdaq rules, and other applicable securities rules and regulations impose various requirements on public companies. Our management and other personnel will need to devote a substantial amount of time to compliance with these requirements. Moreover, these rules and regulations will increase our legal and financial compliance costs and will make some activities more time-consuming and costly. We cannot predict or estimate the amount of additional costs we will incur as a public company or the specific timing of such costs.</w:t>
      </w:r>
    </w:p>
    <w:p>
      <w:pPr>
        <w:spacing w:after="0" w:line="269" w:lineRule="exact"/>
        <w:rPr>
          <w:sz w:val="20"/>
          <w:szCs w:val="20"/>
          <w:color w:val="auto"/>
        </w:rPr>
      </w:pPr>
    </w:p>
    <w:p>
      <w:pPr>
        <w:ind w:right="100"/>
        <w:spacing w:after="0" w:line="255" w:lineRule="auto"/>
        <w:rPr>
          <w:sz w:val="20"/>
          <w:szCs w:val="20"/>
          <w:color w:val="auto"/>
        </w:rPr>
      </w:pPr>
      <w:r>
        <w:rPr>
          <w:rFonts w:ascii="Arial" w:cs="Arial" w:eastAsia="Arial" w:hAnsi="Arial"/>
          <w:sz w:val="18"/>
          <w:szCs w:val="18"/>
          <w:b w:val="1"/>
          <w:bCs w:val="1"/>
          <w:i w:val="1"/>
          <w:iCs w:val="1"/>
          <w:color w:val="auto"/>
        </w:rPr>
        <w:t>As a result of being a public company, we are obligated to develop and maintain proper and effective internal control over financial reporting, and any failure to maintain the adequacy of these internal controls may adversely affect investor confidence in our company and, as a result, the value of our Class A common stock.</w:t>
      </w:r>
    </w:p>
    <w:p>
      <w:pPr>
        <w:spacing w:after="0" w:line="68" w:lineRule="exact"/>
        <w:rPr>
          <w:sz w:val="20"/>
          <w:szCs w:val="20"/>
          <w:color w:val="auto"/>
        </w:rPr>
      </w:pPr>
    </w:p>
    <w:p>
      <w:pPr>
        <w:ind w:right="40" w:firstLine="509"/>
        <w:spacing w:after="0" w:line="257" w:lineRule="auto"/>
        <w:rPr>
          <w:sz w:val="20"/>
          <w:szCs w:val="20"/>
          <w:color w:val="auto"/>
        </w:rPr>
      </w:pPr>
      <w:r>
        <w:rPr>
          <w:rFonts w:ascii="Arial" w:cs="Arial" w:eastAsia="Arial" w:hAnsi="Arial"/>
          <w:sz w:val="17"/>
          <w:szCs w:val="17"/>
          <w:color w:val="auto"/>
        </w:rPr>
        <w:t>We will be required, pursuant to Section 404, to furnish a report by management on, among other things, the effectiveness of our internal control over financial reporting on an annual basis, beginning with our Annual Report on Form 10-K for the fiscal year ended December 31, 2022. This assessment will need to include disclosure of any material weaknesses identified by our management in our internal control over financial reporting. In addition, because we will no longer be an “emerging growth company” commencing December 31, 2022, our independent registered public accounting firm will be required to attest to the effectiveness of our internal control over financial reporting beginning with our Annual Report on Form 10-K for the fiscal year ended December 31, 2022. We have commenced the costly and challenging process of compiling the system and processing documentation necessary to perform the evaluation needed to comply with Section 404, but we may not be able to complete our evaluation, testing, and any required remediation in a timely fashion once initiated. Our compliance with Section 404 will require that we incur substantial expenses and expend significant management efforts. We have begun to establish a compliance and controls function and we will need to hire additional accounting and financial personnel with appropriate public company experience and technical accounting knowledge and compile the system and process documentation necessary to perform the evaluation needed to comply with Section 404.</w:t>
      </w:r>
    </w:p>
    <w:p>
      <w:pPr>
        <w:spacing w:after="0" w:line="192" w:lineRule="exact"/>
        <w:rPr>
          <w:sz w:val="20"/>
          <w:szCs w:val="20"/>
          <w:color w:val="auto"/>
        </w:rPr>
      </w:pPr>
    </w:p>
    <w:p>
      <w:pPr>
        <w:ind w:right="60" w:firstLine="509"/>
        <w:spacing w:after="0" w:line="257" w:lineRule="auto"/>
        <w:rPr>
          <w:sz w:val="20"/>
          <w:szCs w:val="20"/>
          <w:color w:val="auto"/>
        </w:rPr>
      </w:pPr>
      <w:r>
        <w:rPr>
          <w:rFonts w:ascii="Arial" w:cs="Arial" w:eastAsia="Arial" w:hAnsi="Arial"/>
          <w:sz w:val="17"/>
          <w:szCs w:val="17"/>
          <w:color w:val="auto"/>
        </w:rPr>
        <w:t>During the evaluation and testing process of our internal controls, if we identify one or more material weaknesses in our internal control over financial reporting, we will be unable to certify that our internal control over financial reporting is effective. We cannot assure you that there will not be material weaknesses or significant deficiencies in our internal control over financial reporting in the future. Any failure to maintain internal control over financial reporting could severely inhibit our ability to accurately report our financial condition or results of operations. If we are unable to conclude that our internal control over financial reporting is effective, or if our independent registered public accounting firm determines we have a material weakness or significant deficiency in our internal control over financial reporting, we could lose investor confidence in the accuracy and completeness of our financial reports, the trading price of our Class A common stock could decline, and we could be subject to sanctions or investigations by the SEC or other regulatory authorities. Failure to remedy any material weakness in our internal control over financial reporting, or to implement or maintain other effective control systems required of public companies, could also restrict our future access to the capital markets.</w:t>
      </w:r>
    </w:p>
    <w:p>
      <w:pPr>
        <w:spacing w:after="0" w:line="28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2. Unregistered Sales of Equity Securities and Use of Proceeds.</w:t>
      </w:r>
    </w:p>
    <w:p>
      <w:pPr>
        <w:spacing w:after="0" w:line="121" w:lineRule="exact"/>
        <w:rPr>
          <w:sz w:val="20"/>
          <w:szCs w:val="20"/>
          <w:color w:val="auto"/>
        </w:rPr>
      </w:pPr>
    </w:p>
    <w:p>
      <w:pPr>
        <w:ind w:left="520"/>
        <w:spacing w:after="0"/>
        <w:rPr>
          <w:sz w:val="20"/>
          <w:szCs w:val="20"/>
          <w:color w:val="auto"/>
        </w:rPr>
      </w:pPr>
      <w:r>
        <w:rPr>
          <w:rFonts w:ascii="Arial" w:cs="Arial" w:eastAsia="Arial" w:hAnsi="Arial"/>
          <w:sz w:val="18"/>
          <w:szCs w:val="18"/>
          <w:color w:val="auto"/>
        </w:rPr>
        <w:t>Not Applicable.</w:t>
      </w:r>
    </w:p>
    <w:p>
      <w:pPr>
        <w:spacing w:after="0" w:line="31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3. Defaults Upon Senior Securities.</w:t>
      </w:r>
    </w:p>
    <w:p>
      <w:pPr>
        <w:spacing w:after="0" w:line="107" w:lineRule="exact"/>
        <w:rPr>
          <w:sz w:val="20"/>
          <w:szCs w:val="20"/>
          <w:color w:val="auto"/>
        </w:rPr>
      </w:pPr>
    </w:p>
    <w:p>
      <w:pPr>
        <w:ind w:left="520"/>
        <w:spacing w:after="0"/>
        <w:rPr>
          <w:sz w:val="20"/>
          <w:szCs w:val="20"/>
          <w:color w:val="auto"/>
        </w:rPr>
      </w:pPr>
      <w:r>
        <w:rPr>
          <w:rFonts w:ascii="Arial" w:cs="Arial" w:eastAsia="Arial" w:hAnsi="Arial"/>
          <w:sz w:val="18"/>
          <w:szCs w:val="18"/>
          <w:color w:val="auto"/>
        </w:rPr>
        <w:t>None.</w:t>
      </w:r>
    </w:p>
    <w:p>
      <w:pPr>
        <w:spacing w:after="0" w:line="32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4. Mine Safety Disclosures.</w:t>
      </w:r>
    </w:p>
    <w:p>
      <w:pPr>
        <w:spacing w:after="0" w:line="107" w:lineRule="exact"/>
        <w:rPr>
          <w:sz w:val="20"/>
          <w:szCs w:val="20"/>
          <w:color w:val="auto"/>
        </w:rPr>
      </w:pPr>
    </w:p>
    <w:p>
      <w:pPr>
        <w:ind w:left="520"/>
        <w:spacing w:after="0"/>
        <w:rPr>
          <w:sz w:val="20"/>
          <w:szCs w:val="20"/>
          <w:color w:val="auto"/>
        </w:rPr>
      </w:pPr>
      <w:r>
        <w:rPr>
          <w:rFonts w:ascii="Arial" w:cs="Arial" w:eastAsia="Arial" w:hAnsi="Arial"/>
          <w:sz w:val="18"/>
          <w:szCs w:val="18"/>
          <w:color w:val="auto"/>
        </w:rPr>
        <w:t>Not Applicable.</w:t>
      </w:r>
    </w:p>
    <w:p>
      <w:pPr>
        <w:spacing w:after="0" w:line="31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5. Other Information.</w:t>
      </w:r>
    </w:p>
    <w:p>
      <w:pPr>
        <w:spacing w:after="0" w:line="121" w:lineRule="exact"/>
        <w:rPr>
          <w:sz w:val="20"/>
          <w:szCs w:val="20"/>
          <w:color w:val="auto"/>
        </w:rPr>
      </w:pPr>
    </w:p>
    <w:p>
      <w:pPr>
        <w:ind w:left="520"/>
        <w:spacing w:after="0"/>
        <w:rPr>
          <w:sz w:val="20"/>
          <w:szCs w:val="20"/>
          <w:color w:val="auto"/>
        </w:rPr>
      </w:pPr>
      <w:r>
        <w:rPr>
          <w:rFonts w:ascii="Arial" w:cs="Arial" w:eastAsia="Arial" w:hAnsi="Arial"/>
          <w:sz w:val="18"/>
          <w:szCs w:val="18"/>
          <w:color w:val="auto"/>
        </w:rPr>
        <w:t>None.</w:t>
      </w:r>
    </w:p>
    <w:p>
      <w:pPr>
        <w:spacing w:after="0" w:line="10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73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61595</wp:posOffset>
            </wp:positionV>
            <wp:extent cx="7157720" cy="42545"/>
            <wp:wrapNone/>
            <wp:docPr id="305" name="Picture 3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5"/>
                    <pic:cNvPicPr>
                      <a:picLocks noChangeAspect="1" noChangeArrowheads="1"/>
                    </pic:cNvPicPr>
                  </pic:nvPicPr>
                  <pic:blipFill>
                    <a:blip r:embed="rId31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651" w:right="339" w:bottom="1440" w:gutter="0" w:footer="0" w:header="0"/>
        </w:sectPr>
      </w:pPr>
    </w:p>
    <w:bookmarkStart w:id="73" w:name="page74"/>
    <w:bookmarkEnd w:id="73"/>
    <w:p>
      <w:pPr>
        <w:spacing w:after="0"/>
        <w:rPr>
          <w:sz w:val="20"/>
          <w:szCs w:val="20"/>
          <w:color w:val="auto"/>
        </w:rPr>
      </w:pPr>
      <w:r>
        <w:rPr>
          <w:rFonts w:ascii="Arial" w:cs="Arial" w:eastAsia="Arial" w:hAnsi="Arial"/>
          <w:sz w:val="18"/>
          <w:szCs w:val="18"/>
          <w:b w:val="1"/>
          <w:bCs w:val="1"/>
          <w:color w:val="auto"/>
        </w:rPr>
        <w:t>Item 6. Exhibits.</w:t>
      </w:r>
    </w:p>
    <w:p>
      <w:pPr>
        <w:spacing w:after="0" w:line="194" w:lineRule="exact"/>
        <w:rPr>
          <w:sz w:val="20"/>
          <w:szCs w:val="20"/>
          <w:color w:val="auto"/>
        </w:rPr>
      </w:pPr>
    </w:p>
    <w:tbl>
      <w:tblPr>
        <w:tblLayout w:type="fixed"/>
        <w:tblInd w:w="20" w:type="dxa"/>
        <w:tblCellMar>
          <w:top w:w="0" w:type="dxa"/>
          <w:left w:w="0" w:type="dxa"/>
          <w:bottom w:w="0" w:type="dxa"/>
          <w:right w:w="0" w:type="dxa"/>
        </w:tblCellMar>
      </w:tblPr>
      <w:tr>
        <w:trPr>
          <w:trHeight w:val="161"/>
        </w:trPr>
        <w:tc>
          <w:tcPr>
            <w:tcW w:w="1020" w:type="dxa"/>
            <w:vAlign w:val="bottom"/>
          </w:tcPr>
          <w:p>
            <w:pPr>
              <w:spacing w:after="0"/>
              <w:rPr>
                <w:sz w:val="20"/>
                <w:szCs w:val="20"/>
                <w:color w:val="auto"/>
              </w:rPr>
            </w:pPr>
            <w:r>
              <w:rPr>
                <w:rFonts w:ascii="Arial" w:cs="Arial" w:eastAsia="Arial" w:hAnsi="Arial"/>
                <w:sz w:val="14"/>
                <w:szCs w:val="14"/>
                <w:b w:val="1"/>
                <w:bCs w:val="1"/>
                <w:color w:val="auto"/>
              </w:rPr>
              <w:t>Exhibit</w:t>
            </w:r>
          </w:p>
        </w:tc>
        <w:tc>
          <w:tcPr>
            <w:tcW w:w="5260" w:type="dxa"/>
            <w:vAlign w:val="bottom"/>
            <w:gridSpan w:val="16"/>
          </w:tcPr>
          <w:p>
            <w:pPr>
              <w:spacing w:after="0"/>
              <w:rPr>
                <w:sz w:val="20"/>
                <w:szCs w:val="20"/>
                <w:color w:val="auto"/>
              </w:rPr>
            </w:pPr>
            <w:r>
              <w:rPr>
                <w:rFonts w:ascii="Arial" w:cs="Arial" w:eastAsia="Arial" w:hAnsi="Arial"/>
                <w:sz w:val="14"/>
                <w:szCs w:val="14"/>
                <w:b w:val="1"/>
                <w:bCs w:val="1"/>
                <w:color w:val="auto"/>
              </w:rPr>
              <w:t>Description</w:t>
            </w:r>
          </w:p>
        </w:tc>
        <w:tc>
          <w:tcPr>
            <w:tcW w:w="700" w:type="dxa"/>
            <w:vAlign w:val="bottom"/>
          </w:tcPr>
          <w:p>
            <w:pPr>
              <w:jc w:val="center"/>
              <w:spacing w:after="0"/>
              <w:rPr>
                <w:sz w:val="20"/>
                <w:szCs w:val="20"/>
                <w:color w:val="auto"/>
              </w:rPr>
            </w:pPr>
            <w:r>
              <w:rPr>
                <w:rFonts w:ascii="Arial" w:cs="Arial" w:eastAsia="Arial" w:hAnsi="Arial"/>
                <w:sz w:val="14"/>
                <w:szCs w:val="14"/>
                <w:b w:val="1"/>
                <w:bCs w:val="1"/>
                <w:color w:val="auto"/>
                <w:w w:val="97"/>
              </w:rPr>
              <w:t>Form</w:t>
            </w:r>
          </w:p>
        </w:tc>
        <w:tc>
          <w:tcPr>
            <w:tcW w:w="1280" w:type="dxa"/>
            <w:vAlign w:val="bottom"/>
          </w:tcPr>
          <w:p>
            <w:pPr>
              <w:ind w:left="380"/>
              <w:spacing w:after="0"/>
              <w:rPr>
                <w:sz w:val="20"/>
                <w:szCs w:val="20"/>
                <w:color w:val="auto"/>
              </w:rPr>
            </w:pPr>
            <w:r>
              <w:rPr>
                <w:rFonts w:ascii="Arial" w:cs="Arial" w:eastAsia="Arial" w:hAnsi="Arial"/>
                <w:sz w:val="14"/>
                <w:szCs w:val="14"/>
                <w:b w:val="1"/>
                <w:bCs w:val="1"/>
                <w:color w:val="auto"/>
              </w:rPr>
              <w:t>File No.</w:t>
            </w:r>
          </w:p>
        </w:tc>
        <w:tc>
          <w:tcPr>
            <w:tcW w:w="900" w:type="dxa"/>
            <w:vAlign w:val="bottom"/>
          </w:tcPr>
          <w:p>
            <w:pPr>
              <w:jc w:val="center"/>
              <w:spacing w:after="0"/>
              <w:rPr>
                <w:sz w:val="20"/>
                <w:szCs w:val="20"/>
                <w:color w:val="auto"/>
              </w:rPr>
            </w:pPr>
            <w:r>
              <w:rPr>
                <w:rFonts w:ascii="Arial" w:cs="Arial" w:eastAsia="Arial" w:hAnsi="Arial"/>
                <w:sz w:val="14"/>
                <w:szCs w:val="14"/>
                <w:b w:val="1"/>
                <w:bCs w:val="1"/>
                <w:color w:val="auto"/>
                <w:w w:val="98"/>
              </w:rPr>
              <w:t>Exhibit</w:t>
            </w:r>
          </w:p>
        </w:tc>
        <w:tc>
          <w:tcPr>
            <w:tcW w:w="2020" w:type="dxa"/>
            <w:vAlign w:val="bottom"/>
          </w:tcPr>
          <w:p>
            <w:pPr>
              <w:ind w:left="220"/>
              <w:spacing w:after="0"/>
              <w:rPr>
                <w:sz w:val="20"/>
                <w:szCs w:val="20"/>
                <w:color w:val="auto"/>
              </w:rPr>
            </w:pPr>
            <w:r>
              <w:rPr>
                <w:rFonts w:ascii="Arial" w:cs="Arial" w:eastAsia="Arial" w:hAnsi="Arial"/>
                <w:sz w:val="14"/>
                <w:szCs w:val="14"/>
                <w:b w:val="1"/>
                <w:bCs w:val="1"/>
                <w:color w:val="auto"/>
                <w:w w:val="99"/>
              </w:rPr>
              <w:t>Filing Date   Filed Herewith</w:t>
            </w:r>
          </w:p>
        </w:tc>
        <w:tc>
          <w:tcPr>
            <w:tcW w:w="0" w:type="dxa"/>
            <w:vAlign w:val="bottom"/>
          </w:tcPr>
          <w:p>
            <w:pPr>
              <w:spacing w:after="0"/>
              <w:rPr>
                <w:sz w:val="1"/>
                <w:szCs w:val="1"/>
                <w:color w:val="auto"/>
              </w:rPr>
            </w:pPr>
          </w:p>
        </w:tc>
      </w:tr>
      <w:tr>
        <w:trPr>
          <w:trHeight w:val="186"/>
        </w:trPr>
        <w:tc>
          <w:tcPr>
            <w:tcW w:w="1020" w:type="dxa"/>
            <w:vAlign w:val="bottom"/>
          </w:tcPr>
          <w:p>
            <w:pPr>
              <w:spacing w:after="0"/>
              <w:rPr>
                <w:sz w:val="20"/>
                <w:szCs w:val="20"/>
                <w:color w:val="auto"/>
              </w:rPr>
            </w:pPr>
            <w:r>
              <w:rPr>
                <w:rFonts w:ascii="Arial" w:cs="Arial" w:eastAsia="Arial" w:hAnsi="Arial"/>
                <w:sz w:val="14"/>
                <w:szCs w:val="14"/>
                <w:b w:val="1"/>
                <w:bCs w:val="1"/>
                <w:color w:val="auto"/>
              </w:rPr>
              <w:t>Number</w:t>
            </w:r>
          </w:p>
        </w:tc>
        <w:tc>
          <w:tcPr>
            <w:tcW w:w="20" w:type="dxa"/>
            <w:vAlign w:val="bottom"/>
          </w:tcPr>
          <w:p>
            <w:pPr>
              <w:spacing w:after="0"/>
              <w:rPr>
                <w:sz w:val="16"/>
                <w:szCs w:val="16"/>
                <w:color w:val="auto"/>
              </w:rPr>
            </w:pPr>
          </w:p>
        </w:tc>
        <w:tc>
          <w:tcPr>
            <w:tcW w:w="440" w:type="dxa"/>
            <w:vAlign w:val="bottom"/>
          </w:tcPr>
          <w:p>
            <w:pPr>
              <w:spacing w:after="0"/>
              <w:rPr>
                <w:sz w:val="16"/>
                <w:szCs w:val="16"/>
                <w:color w:val="auto"/>
              </w:rPr>
            </w:pPr>
          </w:p>
        </w:tc>
        <w:tc>
          <w:tcPr>
            <w:tcW w:w="44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262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400" w:type="dxa"/>
            <w:vAlign w:val="bottom"/>
          </w:tcPr>
          <w:p>
            <w:pPr>
              <w:spacing w:after="0"/>
              <w:rPr>
                <w:sz w:val="16"/>
                <w:szCs w:val="16"/>
                <w:color w:val="auto"/>
              </w:rPr>
            </w:pPr>
          </w:p>
        </w:tc>
        <w:tc>
          <w:tcPr>
            <w:tcW w:w="46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1280" w:type="dxa"/>
            <w:vAlign w:val="bottom"/>
          </w:tcPr>
          <w:p>
            <w:pPr>
              <w:spacing w:after="0"/>
              <w:rPr>
                <w:sz w:val="16"/>
                <w:szCs w:val="16"/>
                <w:color w:val="auto"/>
              </w:rPr>
            </w:pPr>
          </w:p>
        </w:tc>
        <w:tc>
          <w:tcPr>
            <w:tcW w:w="900" w:type="dxa"/>
            <w:vAlign w:val="bottom"/>
          </w:tcPr>
          <w:p>
            <w:pPr>
              <w:spacing w:after="0"/>
              <w:rPr>
                <w:sz w:val="16"/>
                <w:szCs w:val="16"/>
                <w:color w:val="auto"/>
              </w:rPr>
            </w:pPr>
          </w:p>
        </w:tc>
        <w:tc>
          <w:tcPr>
            <w:tcW w:w="20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95"/>
        </w:trPr>
        <w:tc>
          <w:tcPr>
            <w:tcW w:w="1020" w:type="dxa"/>
            <w:vAlign w:val="bottom"/>
          </w:tcPr>
          <w:p>
            <w:pPr>
              <w:spacing w:after="0"/>
              <w:rPr>
                <w:sz w:val="20"/>
                <w:szCs w:val="20"/>
                <w:color w:val="auto"/>
              </w:rPr>
            </w:pPr>
            <w:r>
              <w:rPr>
                <w:rFonts w:ascii="Arial" w:cs="Arial" w:eastAsia="Arial" w:hAnsi="Arial"/>
                <w:sz w:val="18"/>
                <w:szCs w:val="18"/>
                <w:color w:val="auto"/>
              </w:rPr>
              <w:t>3.1</w:t>
            </w:r>
          </w:p>
        </w:tc>
        <w:tc>
          <w:tcPr>
            <w:tcW w:w="5260" w:type="dxa"/>
            <w:vAlign w:val="bottom"/>
            <w:gridSpan w:val="16"/>
          </w:tcPr>
          <w:p>
            <w:pPr>
              <w:spacing w:after="0"/>
              <w:rPr>
                <w:rFonts w:ascii="Arial" w:cs="Arial" w:eastAsia="Arial" w:hAnsi="Arial"/>
                <w:sz w:val="18"/>
                <w:szCs w:val="18"/>
                <w:color w:val="0000FF"/>
              </w:rPr>
            </w:pPr>
            <w:hyperlink r:id="rId313">
              <w:r>
                <w:rPr>
                  <w:rFonts w:ascii="Arial" w:cs="Arial" w:eastAsia="Arial" w:hAnsi="Arial"/>
                  <w:sz w:val="18"/>
                  <w:szCs w:val="18"/>
                  <w:color w:val="0000FF"/>
                </w:rPr>
                <w:t>Restated Certificate of Incorporation of the Registrant.</w:t>
              </w:r>
            </w:hyperlink>
          </w:p>
        </w:tc>
        <w:tc>
          <w:tcPr>
            <w:tcW w:w="700" w:type="dxa"/>
            <w:vAlign w:val="bottom"/>
          </w:tcPr>
          <w:p>
            <w:pPr>
              <w:jc w:val="center"/>
              <w:spacing w:after="0"/>
              <w:rPr>
                <w:sz w:val="20"/>
                <w:szCs w:val="20"/>
                <w:color w:val="auto"/>
              </w:rPr>
            </w:pPr>
            <w:r>
              <w:rPr>
                <w:rFonts w:ascii="Arial" w:cs="Arial" w:eastAsia="Arial" w:hAnsi="Arial"/>
                <w:sz w:val="18"/>
                <w:szCs w:val="18"/>
                <w:color w:val="auto"/>
                <w:w w:val="99"/>
              </w:rPr>
              <w:t>8-K</w:t>
            </w:r>
          </w:p>
        </w:tc>
        <w:tc>
          <w:tcPr>
            <w:tcW w:w="1280" w:type="dxa"/>
            <w:vAlign w:val="bottom"/>
          </w:tcPr>
          <w:p>
            <w:pPr>
              <w:jc w:val="center"/>
              <w:spacing w:after="0"/>
              <w:rPr>
                <w:sz w:val="20"/>
                <w:szCs w:val="20"/>
                <w:color w:val="auto"/>
              </w:rPr>
            </w:pPr>
            <w:r>
              <w:rPr>
                <w:rFonts w:ascii="Arial" w:cs="Arial" w:eastAsia="Arial" w:hAnsi="Arial"/>
                <w:sz w:val="18"/>
                <w:szCs w:val="18"/>
                <w:color w:val="auto"/>
                <w:w w:val="90"/>
              </w:rPr>
              <w:t>001-40817</w:t>
            </w:r>
          </w:p>
        </w:tc>
        <w:tc>
          <w:tcPr>
            <w:tcW w:w="900" w:type="dxa"/>
            <w:vAlign w:val="bottom"/>
          </w:tcPr>
          <w:p>
            <w:pPr>
              <w:jc w:val="center"/>
              <w:spacing w:after="0"/>
              <w:rPr>
                <w:sz w:val="20"/>
                <w:szCs w:val="20"/>
                <w:color w:val="auto"/>
              </w:rPr>
            </w:pPr>
            <w:r>
              <w:rPr>
                <w:rFonts w:ascii="Arial" w:cs="Arial" w:eastAsia="Arial" w:hAnsi="Arial"/>
                <w:sz w:val="18"/>
                <w:szCs w:val="18"/>
                <w:color w:val="auto"/>
                <w:w w:val="87"/>
              </w:rPr>
              <w:t>3.1</w:t>
            </w:r>
          </w:p>
        </w:tc>
        <w:tc>
          <w:tcPr>
            <w:tcW w:w="2020" w:type="dxa"/>
            <w:vAlign w:val="bottom"/>
          </w:tcPr>
          <w:p>
            <w:pPr>
              <w:ind w:left="200"/>
              <w:spacing w:after="0"/>
              <w:rPr>
                <w:sz w:val="20"/>
                <w:szCs w:val="20"/>
                <w:color w:val="auto"/>
              </w:rPr>
            </w:pPr>
            <w:r>
              <w:rPr>
                <w:rFonts w:ascii="Arial" w:cs="Arial" w:eastAsia="Arial" w:hAnsi="Arial"/>
                <w:sz w:val="18"/>
                <w:szCs w:val="18"/>
                <w:color w:val="auto"/>
              </w:rPr>
              <w:t>9/21/2021</w:t>
            </w:r>
          </w:p>
        </w:tc>
        <w:tc>
          <w:tcPr>
            <w:tcW w:w="0" w:type="dxa"/>
            <w:vAlign w:val="bottom"/>
          </w:tcPr>
          <w:p>
            <w:pPr>
              <w:spacing w:after="0"/>
              <w:rPr>
                <w:sz w:val="1"/>
                <w:szCs w:val="1"/>
                <w:color w:val="auto"/>
              </w:rPr>
            </w:pPr>
          </w:p>
        </w:tc>
      </w:tr>
      <w:tr>
        <w:trPr>
          <w:trHeight w:val="20"/>
        </w:trPr>
        <w:tc>
          <w:tcPr>
            <w:tcW w:w="1020" w:type="dxa"/>
            <w:vAlign w:val="bottom"/>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440" w:type="dxa"/>
            <w:vAlign w:val="bottom"/>
            <w:tcBorders>
              <w:right w:val="single" w:sz="8" w:color="0000FF"/>
            </w:tcBorders>
            <w:shd w:val="clear" w:color="auto" w:fill="0000FF"/>
          </w:tcPr>
          <w:p>
            <w:pPr>
              <w:spacing w:after="0" w:line="20" w:lineRule="exact"/>
              <w:rPr>
                <w:sz w:val="1"/>
                <w:szCs w:val="1"/>
                <w:color w:val="auto"/>
              </w:rPr>
            </w:pPr>
          </w:p>
        </w:tc>
        <w:tc>
          <w:tcPr>
            <w:tcW w:w="440" w:type="dxa"/>
            <w:vAlign w:val="bottom"/>
            <w:shd w:val="clear" w:color="auto" w:fill="0000FF"/>
          </w:tcPr>
          <w:p>
            <w:pPr>
              <w:spacing w:after="0" w:line="20" w:lineRule="exact"/>
              <w:rPr>
                <w:sz w:val="1"/>
                <w:szCs w:val="1"/>
                <w:color w:val="auto"/>
              </w:rPr>
            </w:pPr>
          </w:p>
        </w:tc>
        <w:tc>
          <w:tcPr>
            <w:tcW w:w="40" w:type="dxa"/>
            <w:vAlign w:val="bottom"/>
            <w:tcBorders>
              <w:right w:val="single" w:sz="8" w:color="0000FF"/>
            </w:tcBorders>
            <w:shd w:val="clear" w:color="auto" w:fill="0000FF"/>
          </w:tcPr>
          <w:p>
            <w:pPr>
              <w:spacing w:after="0" w:line="20" w:lineRule="exact"/>
              <w:rPr>
                <w:sz w:val="1"/>
                <w:szCs w:val="1"/>
                <w:color w:val="auto"/>
              </w:rPr>
            </w:pPr>
          </w:p>
        </w:tc>
        <w:tc>
          <w:tcPr>
            <w:tcW w:w="2620" w:type="dxa"/>
            <w:vAlign w:val="bottom"/>
            <w:tcBorders>
              <w:right w:val="single" w:sz="8" w:color="0000FF"/>
            </w:tcBorders>
            <w:shd w:val="clear" w:color="auto" w:fill="0000FF"/>
          </w:tcPr>
          <w:p>
            <w:pPr>
              <w:spacing w:after="0" w:line="20" w:lineRule="exact"/>
              <w:rPr>
                <w:sz w:val="1"/>
                <w:szCs w:val="1"/>
                <w:color w:val="auto"/>
              </w:rPr>
            </w:pPr>
          </w:p>
        </w:tc>
        <w:tc>
          <w:tcPr>
            <w:tcW w:w="360" w:type="dxa"/>
            <w:vAlign w:val="bottom"/>
            <w:shd w:val="clear" w:color="auto" w:fill="0000FF"/>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128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20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9"/>
        </w:trPr>
        <w:tc>
          <w:tcPr>
            <w:tcW w:w="1020" w:type="dxa"/>
            <w:vAlign w:val="bottom"/>
          </w:tcPr>
          <w:p>
            <w:pPr>
              <w:spacing w:after="0"/>
              <w:rPr>
                <w:sz w:val="20"/>
                <w:szCs w:val="20"/>
                <w:color w:val="auto"/>
              </w:rPr>
            </w:pPr>
            <w:r>
              <w:rPr>
                <w:rFonts w:ascii="Arial" w:cs="Arial" w:eastAsia="Arial" w:hAnsi="Arial"/>
                <w:sz w:val="18"/>
                <w:szCs w:val="18"/>
                <w:color w:val="auto"/>
              </w:rPr>
              <w:t>3.2</w:t>
            </w:r>
          </w:p>
        </w:tc>
        <w:tc>
          <w:tcPr>
            <w:tcW w:w="5260" w:type="dxa"/>
            <w:vAlign w:val="bottom"/>
            <w:gridSpan w:val="16"/>
          </w:tcPr>
          <w:p>
            <w:pPr>
              <w:spacing w:after="0"/>
              <w:rPr>
                <w:rFonts w:ascii="Arial" w:cs="Arial" w:eastAsia="Arial" w:hAnsi="Arial"/>
                <w:sz w:val="18"/>
                <w:szCs w:val="18"/>
                <w:color w:val="0000FF"/>
              </w:rPr>
            </w:pPr>
            <w:hyperlink r:id="rId314">
              <w:r>
                <w:rPr>
                  <w:rFonts w:ascii="Arial" w:cs="Arial" w:eastAsia="Arial" w:hAnsi="Arial"/>
                  <w:sz w:val="18"/>
                  <w:szCs w:val="18"/>
                  <w:color w:val="0000FF"/>
                </w:rPr>
                <w:t>Amended and Restated Bylaws of the Registrant.</w:t>
              </w:r>
            </w:hyperlink>
          </w:p>
        </w:tc>
        <w:tc>
          <w:tcPr>
            <w:tcW w:w="700" w:type="dxa"/>
            <w:vAlign w:val="bottom"/>
          </w:tcPr>
          <w:p>
            <w:pPr>
              <w:jc w:val="center"/>
              <w:spacing w:after="0"/>
              <w:rPr>
                <w:sz w:val="20"/>
                <w:szCs w:val="20"/>
                <w:color w:val="auto"/>
              </w:rPr>
            </w:pPr>
            <w:r>
              <w:rPr>
                <w:rFonts w:ascii="Arial" w:cs="Arial" w:eastAsia="Arial" w:hAnsi="Arial"/>
                <w:sz w:val="18"/>
                <w:szCs w:val="18"/>
                <w:color w:val="auto"/>
                <w:w w:val="99"/>
              </w:rPr>
              <w:t>8-K</w:t>
            </w:r>
          </w:p>
        </w:tc>
        <w:tc>
          <w:tcPr>
            <w:tcW w:w="1280" w:type="dxa"/>
            <w:vAlign w:val="bottom"/>
          </w:tcPr>
          <w:p>
            <w:pPr>
              <w:jc w:val="center"/>
              <w:spacing w:after="0"/>
              <w:rPr>
                <w:sz w:val="20"/>
                <w:szCs w:val="20"/>
                <w:color w:val="auto"/>
              </w:rPr>
            </w:pPr>
            <w:r>
              <w:rPr>
                <w:rFonts w:ascii="Arial" w:cs="Arial" w:eastAsia="Arial" w:hAnsi="Arial"/>
                <w:sz w:val="18"/>
                <w:szCs w:val="18"/>
                <w:color w:val="auto"/>
                <w:w w:val="90"/>
              </w:rPr>
              <w:t>001-40817</w:t>
            </w:r>
          </w:p>
        </w:tc>
        <w:tc>
          <w:tcPr>
            <w:tcW w:w="900" w:type="dxa"/>
            <w:vAlign w:val="bottom"/>
          </w:tcPr>
          <w:p>
            <w:pPr>
              <w:jc w:val="center"/>
              <w:spacing w:after="0"/>
              <w:rPr>
                <w:sz w:val="20"/>
                <w:szCs w:val="20"/>
                <w:color w:val="auto"/>
              </w:rPr>
            </w:pPr>
            <w:r>
              <w:rPr>
                <w:rFonts w:ascii="Arial" w:cs="Arial" w:eastAsia="Arial" w:hAnsi="Arial"/>
                <w:sz w:val="18"/>
                <w:szCs w:val="18"/>
                <w:color w:val="auto"/>
                <w:w w:val="87"/>
              </w:rPr>
              <w:t>3.2</w:t>
            </w:r>
          </w:p>
        </w:tc>
        <w:tc>
          <w:tcPr>
            <w:tcW w:w="2020" w:type="dxa"/>
            <w:vAlign w:val="bottom"/>
          </w:tcPr>
          <w:p>
            <w:pPr>
              <w:ind w:left="200"/>
              <w:spacing w:after="0"/>
              <w:rPr>
                <w:sz w:val="20"/>
                <w:szCs w:val="20"/>
                <w:color w:val="auto"/>
              </w:rPr>
            </w:pPr>
            <w:r>
              <w:rPr>
                <w:rFonts w:ascii="Arial" w:cs="Arial" w:eastAsia="Arial" w:hAnsi="Arial"/>
                <w:sz w:val="18"/>
                <w:szCs w:val="18"/>
                <w:color w:val="auto"/>
              </w:rPr>
              <w:t>9/21/2021</w:t>
            </w:r>
          </w:p>
        </w:tc>
        <w:tc>
          <w:tcPr>
            <w:tcW w:w="0" w:type="dxa"/>
            <w:vAlign w:val="bottom"/>
          </w:tcPr>
          <w:p>
            <w:pPr>
              <w:spacing w:after="0"/>
              <w:rPr>
                <w:sz w:val="1"/>
                <w:szCs w:val="1"/>
                <w:color w:val="auto"/>
              </w:rPr>
            </w:pPr>
          </w:p>
        </w:tc>
      </w:tr>
      <w:tr>
        <w:trPr>
          <w:trHeight w:val="20"/>
        </w:trPr>
        <w:tc>
          <w:tcPr>
            <w:tcW w:w="1020" w:type="dxa"/>
            <w:vAlign w:val="bottom"/>
            <w:vMerge w:val="restart"/>
          </w:tcPr>
          <w:p>
            <w:pPr>
              <w:spacing w:after="0" w:line="202" w:lineRule="exact"/>
              <w:rPr>
                <w:sz w:val="20"/>
                <w:szCs w:val="20"/>
                <w:color w:val="auto"/>
              </w:rPr>
            </w:pPr>
            <w:r>
              <w:rPr>
                <w:rFonts w:ascii="Arial" w:cs="Arial" w:eastAsia="Arial" w:hAnsi="Arial"/>
                <w:sz w:val="18"/>
                <w:szCs w:val="18"/>
                <w:color w:val="auto"/>
              </w:rPr>
              <w:t>4.1</w:t>
            </w:r>
          </w:p>
        </w:tc>
        <w:tc>
          <w:tcPr>
            <w:tcW w:w="20" w:type="dxa"/>
            <w:vAlign w:val="bottom"/>
            <w:shd w:val="clear" w:color="auto" w:fill="0000EE"/>
          </w:tcPr>
          <w:p>
            <w:pPr>
              <w:spacing w:after="0" w:line="20" w:lineRule="exact"/>
              <w:rPr>
                <w:sz w:val="1"/>
                <w:szCs w:val="1"/>
                <w:color w:val="auto"/>
              </w:rPr>
            </w:pPr>
          </w:p>
        </w:tc>
        <w:tc>
          <w:tcPr>
            <w:tcW w:w="440" w:type="dxa"/>
            <w:vAlign w:val="bottom"/>
            <w:tcBorders>
              <w:right w:val="single" w:sz="8" w:color="0000FF"/>
            </w:tcBorders>
            <w:shd w:val="clear" w:color="auto" w:fill="0000FF"/>
          </w:tcPr>
          <w:p>
            <w:pPr>
              <w:spacing w:after="0" w:line="20" w:lineRule="exact"/>
              <w:rPr>
                <w:sz w:val="1"/>
                <w:szCs w:val="1"/>
                <w:color w:val="auto"/>
              </w:rPr>
            </w:pPr>
          </w:p>
        </w:tc>
        <w:tc>
          <w:tcPr>
            <w:tcW w:w="440" w:type="dxa"/>
            <w:vAlign w:val="bottom"/>
            <w:shd w:val="clear" w:color="auto" w:fill="0000FF"/>
          </w:tcPr>
          <w:p>
            <w:pPr>
              <w:spacing w:after="0" w:line="20" w:lineRule="exact"/>
              <w:rPr>
                <w:sz w:val="1"/>
                <w:szCs w:val="1"/>
                <w:color w:val="auto"/>
              </w:rPr>
            </w:pPr>
          </w:p>
        </w:tc>
        <w:tc>
          <w:tcPr>
            <w:tcW w:w="40" w:type="dxa"/>
            <w:vAlign w:val="bottom"/>
            <w:tcBorders>
              <w:right w:val="single" w:sz="8" w:color="0000FF"/>
            </w:tcBorders>
            <w:shd w:val="clear" w:color="auto" w:fill="0000FF"/>
          </w:tcPr>
          <w:p>
            <w:pPr>
              <w:spacing w:after="0" w:line="20" w:lineRule="exact"/>
              <w:rPr>
                <w:sz w:val="1"/>
                <w:szCs w:val="1"/>
                <w:color w:val="auto"/>
              </w:rPr>
            </w:pPr>
          </w:p>
        </w:tc>
        <w:tc>
          <w:tcPr>
            <w:tcW w:w="2620" w:type="dxa"/>
            <w:vAlign w:val="bottom"/>
            <w:tcBorders>
              <w:right w:val="single" w:sz="8" w:color="0000EE"/>
            </w:tcBorders>
            <w:shd w:val="clear" w:color="auto" w:fill="0000FF"/>
          </w:tcPr>
          <w:p>
            <w:pPr>
              <w:spacing w:after="0" w:line="20" w:lineRule="exact"/>
              <w:rPr>
                <w:sz w:val="1"/>
                <w:szCs w:val="1"/>
                <w:color w:val="auto"/>
              </w:rPr>
            </w:pPr>
          </w:p>
        </w:tc>
        <w:tc>
          <w:tcPr>
            <w:tcW w:w="1700" w:type="dxa"/>
            <w:vAlign w:val="bottom"/>
            <w:gridSpan w:val="11"/>
            <w:vMerge w:val="restart"/>
          </w:tcPr>
          <w:p>
            <w:pPr>
              <w:ind w:left="40"/>
              <w:spacing w:after="0" w:line="202" w:lineRule="exact"/>
              <w:rPr>
                <w:rFonts w:ascii="Arial" w:cs="Arial" w:eastAsia="Arial" w:hAnsi="Arial"/>
                <w:sz w:val="18"/>
                <w:szCs w:val="18"/>
                <w:color w:val="0000FF"/>
              </w:rPr>
            </w:pPr>
            <w:hyperlink r:id="rId315">
              <w:r>
                <w:rPr>
                  <w:rFonts w:ascii="Arial" w:cs="Arial" w:eastAsia="Arial" w:hAnsi="Arial"/>
                  <w:sz w:val="18"/>
                  <w:szCs w:val="18"/>
                  <w:color w:val="0000FF"/>
                </w:rPr>
                <w:t>of Class A Common</w:t>
              </w:r>
            </w:hyperlink>
          </w:p>
        </w:tc>
        <w:tc>
          <w:tcPr>
            <w:tcW w:w="700" w:type="dxa"/>
            <w:vAlign w:val="bottom"/>
            <w:vMerge w:val="restart"/>
          </w:tcPr>
          <w:p>
            <w:pPr>
              <w:jc w:val="center"/>
              <w:spacing w:after="0" w:line="202" w:lineRule="exact"/>
              <w:rPr>
                <w:sz w:val="20"/>
                <w:szCs w:val="20"/>
                <w:color w:val="auto"/>
              </w:rPr>
            </w:pPr>
            <w:r>
              <w:rPr>
                <w:rFonts w:ascii="Arial" w:cs="Arial" w:eastAsia="Arial" w:hAnsi="Arial"/>
                <w:sz w:val="18"/>
                <w:szCs w:val="18"/>
                <w:color w:val="auto"/>
                <w:w w:val="85"/>
              </w:rPr>
              <w:t>S-1</w:t>
            </w:r>
          </w:p>
        </w:tc>
        <w:tc>
          <w:tcPr>
            <w:tcW w:w="1280" w:type="dxa"/>
            <w:vAlign w:val="bottom"/>
            <w:vMerge w:val="restart"/>
          </w:tcPr>
          <w:p>
            <w:pPr>
              <w:jc w:val="center"/>
              <w:spacing w:after="0" w:line="202" w:lineRule="exact"/>
              <w:rPr>
                <w:sz w:val="20"/>
                <w:szCs w:val="20"/>
                <w:color w:val="auto"/>
              </w:rPr>
            </w:pPr>
            <w:r>
              <w:rPr>
                <w:rFonts w:ascii="Arial" w:cs="Arial" w:eastAsia="Arial" w:hAnsi="Arial"/>
                <w:sz w:val="18"/>
                <w:szCs w:val="18"/>
                <w:color w:val="auto"/>
                <w:w w:val="89"/>
              </w:rPr>
              <w:t>333-259168</w:t>
            </w:r>
          </w:p>
        </w:tc>
        <w:tc>
          <w:tcPr>
            <w:tcW w:w="900" w:type="dxa"/>
            <w:vAlign w:val="bottom"/>
            <w:vMerge w:val="restart"/>
          </w:tcPr>
          <w:p>
            <w:pPr>
              <w:jc w:val="center"/>
              <w:spacing w:after="0" w:line="202" w:lineRule="exact"/>
              <w:rPr>
                <w:sz w:val="20"/>
                <w:szCs w:val="20"/>
                <w:color w:val="auto"/>
              </w:rPr>
            </w:pPr>
            <w:r>
              <w:rPr>
                <w:rFonts w:ascii="Arial" w:cs="Arial" w:eastAsia="Arial" w:hAnsi="Arial"/>
                <w:sz w:val="18"/>
                <w:szCs w:val="18"/>
                <w:color w:val="auto"/>
                <w:w w:val="87"/>
              </w:rPr>
              <w:t>4.2</w:t>
            </w:r>
          </w:p>
        </w:tc>
        <w:tc>
          <w:tcPr>
            <w:tcW w:w="2020" w:type="dxa"/>
            <w:vAlign w:val="bottom"/>
            <w:vMerge w:val="restart"/>
          </w:tcPr>
          <w:p>
            <w:pPr>
              <w:ind w:left="200"/>
              <w:spacing w:after="0" w:line="202" w:lineRule="exact"/>
              <w:rPr>
                <w:sz w:val="20"/>
                <w:szCs w:val="20"/>
                <w:color w:val="auto"/>
              </w:rPr>
            </w:pPr>
            <w:r>
              <w:rPr>
                <w:rFonts w:ascii="Arial" w:cs="Arial" w:eastAsia="Arial" w:hAnsi="Arial"/>
                <w:sz w:val="18"/>
                <w:szCs w:val="18"/>
                <w:color w:val="auto"/>
              </w:rPr>
              <w:t>8/30/2021</w:t>
            </w:r>
          </w:p>
        </w:tc>
        <w:tc>
          <w:tcPr>
            <w:tcW w:w="0" w:type="dxa"/>
            <w:vAlign w:val="bottom"/>
          </w:tcPr>
          <w:p>
            <w:pPr>
              <w:spacing w:after="0" w:line="20" w:lineRule="exact"/>
              <w:rPr>
                <w:sz w:val="1"/>
                <w:szCs w:val="1"/>
                <w:color w:val="auto"/>
              </w:rPr>
            </w:pPr>
          </w:p>
        </w:tc>
      </w:tr>
      <w:tr>
        <w:trPr>
          <w:trHeight w:val="182"/>
        </w:trPr>
        <w:tc>
          <w:tcPr>
            <w:tcW w:w="1020" w:type="dxa"/>
            <w:vAlign w:val="bottom"/>
            <w:vMerge w:val="continue"/>
          </w:tcPr>
          <w:p>
            <w:pPr>
              <w:spacing w:after="0"/>
              <w:rPr>
                <w:sz w:val="15"/>
                <w:szCs w:val="15"/>
                <w:color w:val="auto"/>
              </w:rPr>
            </w:pPr>
          </w:p>
        </w:tc>
        <w:tc>
          <w:tcPr>
            <w:tcW w:w="3560" w:type="dxa"/>
            <w:vAlign w:val="bottom"/>
            <w:gridSpan w:val="5"/>
          </w:tcPr>
          <w:p>
            <w:pPr>
              <w:spacing w:after="0" w:line="182" w:lineRule="exact"/>
              <w:rPr>
                <w:rFonts w:ascii="Arial" w:cs="Arial" w:eastAsia="Arial" w:hAnsi="Arial"/>
                <w:sz w:val="18"/>
                <w:szCs w:val="18"/>
                <w:color w:val="0000FF"/>
                <w:w w:val="88"/>
              </w:rPr>
            </w:pPr>
            <w:hyperlink r:id="rId315">
              <w:r>
                <w:rPr>
                  <w:rFonts w:ascii="Arial" w:cs="Arial" w:eastAsia="Arial" w:hAnsi="Arial"/>
                  <w:sz w:val="18"/>
                  <w:szCs w:val="18"/>
                  <w:color w:val="0000FF"/>
                  <w:w w:val="88"/>
                </w:rPr>
                <w:t>Specimen Stock Certificate evidencing the shares</w:t>
              </w:r>
            </w:hyperlink>
          </w:p>
        </w:tc>
        <w:tc>
          <w:tcPr>
            <w:tcW w:w="1700" w:type="dxa"/>
            <w:vAlign w:val="bottom"/>
            <w:gridSpan w:val="11"/>
            <w:vMerge w:val="continue"/>
          </w:tcPr>
          <w:p>
            <w:pPr>
              <w:spacing w:after="0"/>
              <w:rPr>
                <w:sz w:val="15"/>
                <w:szCs w:val="15"/>
                <w:color w:val="auto"/>
              </w:rPr>
            </w:pPr>
          </w:p>
        </w:tc>
        <w:tc>
          <w:tcPr>
            <w:tcW w:w="700" w:type="dxa"/>
            <w:vAlign w:val="bottom"/>
            <w:vMerge w:val="continue"/>
          </w:tcPr>
          <w:p>
            <w:pPr>
              <w:spacing w:after="0"/>
              <w:rPr>
                <w:sz w:val="15"/>
                <w:szCs w:val="15"/>
                <w:color w:val="auto"/>
              </w:rPr>
            </w:pPr>
          </w:p>
        </w:tc>
        <w:tc>
          <w:tcPr>
            <w:tcW w:w="1280" w:type="dxa"/>
            <w:vAlign w:val="bottom"/>
            <w:vMerge w:val="continue"/>
          </w:tcPr>
          <w:p>
            <w:pPr>
              <w:spacing w:after="0"/>
              <w:rPr>
                <w:sz w:val="15"/>
                <w:szCs w:val="15"/>
                <w:color w:val="auto"/>
              </w:rPr>
            </w:pPr>
          </w:p>
        </w:tc>
        <w:tc>
          <w:tcPr>
            <w:tcW w:w="900" w:type="dxa"/>
            <w:vAlign w:val="bottom"/>
            <w:vMerge w:val="continue"/>
          </w:tcPr>
          <w:p>
            <w:pPr>
              <w:spacing w:after="0"/>
              <w:rPr>
                <w:sz w:val="15"/>
                <w:szCs w:val="15"/>
                <w:color w:val="auto"/>
              </w:rPr>
            </w:pPr>
          </w:p>
        </w:tc>
        <w:tc>
          <w:tcPr>
            <w:tcW w:w="202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169"/>
        </w:trPr>
        <w:tc>
          <w:tcPr>
            <w:tcW w:w="1020" w:type="dxa"/>
            <w:vAlign w:val="bottom"/>
            <w:vMerge w:val="restart"/>
          </w:tcPr>
          <w:p>
            <w:pPr>
              <w:spacing w:after="0"/>
              <w:rPr>
                <w:sz w:val="20"/>
                <w:szCs w:val="20"/>
                <w:color w:val="auto"/>
              </w:rPr>
            </w:pPr>
            <w:r>
              <w:rPr>
                <w:rFonts w:ascii="Arial" w:cs="Arial" w:eastAsia="Arial" w:hAnsi="Arial"/>
                <w:sz w:val="18"/>
                <w:szCs w:val="18"/>
                <w:color w:val="auto"/>
              </w:rPr>
              <w:t>4.2</w:t>
            </w:r>
          </w:p>
        </w:tc>
        <w:tc>
          <w:tcPr>
            <w:tcW w:w="20" w:type="dxa"/>
            <w:vAlign w:val="bottom"/>
          </w:tcPr>
          <w:p>
            <w:pPr>
              <w:spacing w:after="0"/>
              <w:rPr>
                <w:sz w:val="14"/>
                <w:szCs w:val="14"/>
                <w:color w:val="auto"/>
              </w:rPr>
            </w:pPr>
          </w:p>
        </w:tc>
        <w:tc>
          <w:tcPr>
            <w:tcW w:w="5100" w:type="dxa"/>
            <w:vAlign w:val="bottom"/>
            <w:tcBorders>
              <w:top w:val="single" w:sz="8" w:color="0000FF"/>
            </w:tcBorders>
            <w:gridSpan w:val="12"/>
          </w:tcPr>
          <w:p>
            <w:pPr>
              <w:spacing w:after="0" w:line="169" w:lineRule="exact"/>
              <w:rPr>
                <w:rFonts w:ascii="Arial" w:cs="Arial" w:eastAsia="Arial" w:hAnsi="Arial"/>
                <w:sz w:val="18"/>
                <w:szCs w:val="18"/>
                <w:color w:val="0000FF"/>
              </w:rPr>
            </w:pPr>
            <w:hyperlink r:id="rId315">
              <w:r>
                <w:rPr>
                  <w:rFonts w:ascii="Arial" w:cs="Arial" w:eastAsia="Arial" w:hAnsi="Arial"/>
                  <w:sz w:val="18"/>
                  <w:szCs w:val="18"/>
                  <w:color w:val="0000FF"/>
                </w:rPr>
                <w:t>Stock.</w:t>
              </w:r>
            </w:hyperlink>
          </w:p>
        </w:tc>
        <w:tc>
          <w:tcPr>
            <w:tcW w:w="4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700" w:type="dxa"/>
            <w:vAlign w:val="bottom"/>
            <w:vMerge w:val="restart"/>
          </w:tcPr>
          <w:p>
            <w:pPr>
              <w:jc w:val="center"/>
              <w:spacing w:after="0"/>
              <w:rPr>
                <w:sz w:val="20"/>
                <w:szCs w:val="20"/>
                <w:color w:val="auto"/>
              </w:rPr>
            </w:pPr>
            <w:r>
              <w:rPr>
                <w:rFonts w:ascii="Arial" w:cs="Arial" w:eastAsia="Arial" w:hAnsi="Arial"/>
                <w:sz w:val="18"/>
                <w:szCs w:val="18"/>
                <w:color w:val="auto"/>
                <w:w w:val="85"/>
              </w:rPr>
              <w:t>S-8</w:t>
            </w:r>
          </w:p>
        </w:tc>
        <w:tc>
          <w:tcPr>
            <w:tcW w:w="1280" w:type="dxa"/>
            <w:vAlign w:val="bottom"/>
            <w:vMerge w:val="restart"/>
          </w:tcPr>
          <w:p>
            <w:pPr>
              <w:jc w:val="center"/>
              <w:spacing w:after="0"/>
              <w:rPr>
                <w:sz w:val="20"/>
                <w:szCs w:val="20"/>
                <w:color w:val="auto"/>
              </w:rPr>
            </w:pPr>
            <w:r>
              <w:rPr>
                <w:rFonts w:ascii="Arial" w:cs="Arial" w:eastAsia="Arial" w:hAnsi="Arial"/>
                <w:sz w:val="18"/>
                <w:szCs w:val="18"/>
                <w:color w:val="auto"/>
                <w:w w:val="89"/>
              </w:rPr>
              <w:t>333-259698</w:t>
            </w:r>
          </w:p>
        </w:tc>
        <w:tc>
          <w:tcPr>
            <w:tcW w:w="900" w:type="dxa"/>
            <w:vAlign w:val="bottom"/>
            <w:vMerge w:val="restart"/>
          </w:tcPr>
          <w:p>
            <w:pPr>
              <w:jc w:val="center"/>
              <w:spacing w:after="0"/>
              <w:rPr>
                <w:sz w:val="20"/>
                <w:szCs w:val="20"/>
                <w:color w:val="auto"/>
              </w:rPr>
            </w:pPr>
            <w:r>
              <w:rPr>
                <w:rFonts w:ascii="Arial" w:cs="Arial" w:eastAsia="Arial" w:hAnsi="Arial"/>
                <w:sz w:val="18"/>
                <w:szCs w:val="18"/>
                <w:color w:val="auto"/>
                <w:w w:val="87"/>
              </w:rPr>
              <w:t>4.4</w:t>
            </w:r>
          </w:p>
        </w:tc>
        <w:tc>
          <w:tcPr>
            <w:tcW w:w="2020" w:type="dxa"/>
            <w:vAlign w:val="bottom"/>
            <w:vMerge w:val="restart"/>
          </w:tcPr>
          <w:p>
            <w:pPr>
              <w:ind w:left="200"/>
              <w:spacing w:after="0"/>
              <w:rPr>
                <w:sz w:val="20"/>
                <w:szCs w:val="20"/>
                <w:color w:val="auto"/>
              </w:rPr>
            </w:pPr>
            <w:r>
              <w:rPr>
                <w:rFonts w:ascii="Arial" w:cs="Arial" w:eastAsia="Arial" w:hAnsi="Arial"/>
                <w:sz w:val="18"/>
                <w:szCs w:val="18"/>
                <w:color w:val="auto"/>
              </w:rPr>
              <w:t>9/21/2021</w:t>
            </w:r>
          </w:p>
        </w:tc>
        <w:tc>
          <w:tcPr>
            <w:tcW w:w="0" w:type="dxa"/>
            <w:vAlign w:val="bottom"/>
          </w:tcPr>
          <w:p>
            <w:pPr>
              <w:spacing w:after="0"/>
              <w:rPr>
                <w:sz w:val="1"/>
                <w:szCs w:val="1"/>
                <w:color w:val="auto"/>
              </w:rPr>
            </w:pPr>
          </w:p>
        </w:tc>
      </w:tr>
      <w:tr>
        <w:trPr>
          <w:trHeight w:val="20"/>
        </w:trPr>
        <w:tc>
          <w:tcPr>
            <w:tcW w:w="1020" w:type="dxa"/>
            <w:vAlign w:val="bottom"/>
            <w:vMerge w:val="continu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440" w:type="dxa"/>
            <w:vAlign w:val="bottom"/>
            <w:tcBorders>
              <w:right w:val="single" w:sz="8" w:color="0000EE"/>
            </w:tcBorders>
            <w:shd w:val="clear" w:color="auto" w:fill="0000FF"/>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3380" w:type="dxa"/>
            <w:vAlign w:val="bottom"/>
            <w:gridSpan w:val="3"/>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gridSpan w:val="2"/>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700" w:type="dxa"/>
            <w:vAlign w:val="bottom"/>
            <w:vMerge w:val="continue"/>
          </w:tcPr>
          <w:p>
            <w:pPr>
              <w:spacing w:after="0" w:line="20" w:lineRule="exact"/>
              <w:rPr>
                <w:sz w:val="1"/>
                <w:szCs w:val="1"/>
                <w:color w:val="auto"/>
              </w:rPr>
            </w:pPr>
          </w:p>
        </w:tc>
        <w:tc>
          <w:tcPr>
            <w:tcW w:w="1280" w:type="dxa"/>
            <w:vAlign w:val="bottom"/>
            <w:vMerge w:val="continue"/>
          </w:tcPr>
          <w:p>
            <w:pPr>
              <w:spacing w:after="0" w:line="20" w:lineRule="exact"/>
              <w:rPr>
                <w:sz w:val="1"/>
                <w:szCs w:val="1"/>
                <w:color w:val="auto"/>
              </w:rPr>
            </w:pPr>
          </w:p>
        </w:tc>
        <w:tc>
          <w:tcPr>
            <w:tcW w:w="900" w:type="dxa"/>
            <w:vAlign w:val="bottom"/>
            <w:vMerge w:val="continue"/>
          </w:tcPr>
          <w:p>
            <w:pPr>
              <w:spacing w:after="0" w:line="20" w:lineRule="exact"/>
              <w:rPr>
                <w:sz w:val="1"/>
                <w:szCs w:val="1"/>
                <w:color w:val="auto"/>
              </w:rPr>
            </w:pPr>
          </w:p>
        </w:tc>
        <w:tc>
          <w:tcPr>
            <w:tcW w:w="2020" w:type="dxa"/>
            <w:vAlign w:val="bottom"/>
            <w:vMerge w:val="continue"/>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2"/>
        </w:trPr>
        <w:tc>
          <w:tcPr>
            <w:tcW w:w="1020" w:type="dxa"/>
            <w:vAlign w:val="bottom"/>
            <w:vMerge w:val="continue"/>
          </w:tcPr>
          <w:p>
            <w:pPr>
              <w:spacing w:after="0"/>
              <w:rPr>
                <w:sz w:val="15"/>
                <w:szCs w:val="15"/>
                <w:color w:val="auto"/>
              </w:rPr>
            </w:pPr>
          </w:p>
        </w:tc>
        <w:tc>
          <w:tcPr>
            <w:tcW w:w="5260" w:type="dxa"/>
            <w:vAlign w:val="bottom"/>
            <w:gridSpan w:val="16"/>
          </w:tcPr>
          <w:p>
            <w:pPr>
              <w:spacing w:after="0" w:line="182" w:lineRule="exact"/>
              <w:rPr>
                <w:rFonts w:ascii="Arial" w:cs="Arial" w:eastAsia="Arial" w:hAnsi="Arial"/>
                <w:sz w:val="18"/>
                <w:szCs w:val="18"/>
                <w:color w:val="0000FF"/>
                <w:w w:val="93"/>
              </w:rPr>
            </w:pPr>
            <w:hyperlink r:id="rId316">
              <w:r>
                <w:rPr>
                  <w:rFonts w:ascii="Arial" w:cs="Arial" w:eastAsia="Arial" w:hAnsi="Arial"/>
                  <w:sz w:val="18"/>
                  <w:szCs w:val="18"/>
                  <w:color w:val="0000FF"/>
                  <w:w w:val="93"/>
                </w:rPr>
                <w:t>Specimen Stock Certificate evidencing the shares of Class B Common</w:t>
              </w:r>
            </w:hyperlink>
          </w:p>
        </w:tc>
        <w:tc>
          <w:tcPr>
            <w:tcW w:w="700" w:type="dxa"/>
            <w:vAlign w:val="bottom"/>
            <w:vMerge w:val="continue"/>
          </w:tcPr>
          <w:p>
            <w:pPr>
              <w:spacing w:after="0"/>
              <w:rPr>
                <w:sz w:val="15"/>
                <w:szCs w:val="15"/>
                <w:color w:val="auto"/>
              </w:rPr>
            </w:pPr>
          </w:p>
        </w:tc>
        <w:tc>
          <w:tcPr>
            <w:tcW w:w="1280" w:type="dxa"/>
            <w:vAlign w:val="bottom"/>
            <w:vMerge w:val="continue"/>
          </w:tcPr>
          <w:p>
            <w:pPr>
              <w:spacing w:after="0"/>
              <w:rPr>
                <w:sz w:val="15"/>
                <w:szCs w:val="15"/>
                <w:color w:val="auto"/>
              </w:rPr>
            </w:pPr>
          </w:p>
        </w:tc>
        <w:tc>
          <w:tcPr>
            <w:tcW w:w="900" w:type="dxa"/>
            <w:vAlign w:val="bottom"/>
            <w:vMerge w:val="continue"/>
          </w:tcPr>
          <w:p>
            <w:pPr>
              <w:spacing w:after="0"/>
              <w:rPr>
                <w:sz w:val="15"/>
                <w:szCs w:val="15"/>
                <w:color w:val="auto"/>
              </w:rPr>
            </w:pPr>
          </w:p>
        </w:tc>
        <w:tc>
          <w:tcPr>
            <w:tcW w:w="202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169"/>
        </w:trPr>
        <w:tc>
          <w:tcPr>
            <w:tcW w:w="1020" w:type="dxa"/>
            <w:vAlign w:val="bottom"/>
            <w:vMerge w:val="restart"/>
          </w:tcPr>
          <w:p>
            <w:pPr>
              <w:spacing w:after="0"/>
              <w:rPr>
                <w:sz w:val="20"/>
                <w:szCs w:val="20"/>
                <w:color w:val="auto"/>
              </w:rPr>
            </w:pPr>
            <w:r>
              <w:rPr>
                <w:rFonts w:ascii="Arial" w:cs="Arial" w:eastAsia="Arial" w:hAnsi="Arial"/>
                <w:sz w:val="18"/>
                <w:szCs w:val="18"/>
                <w:color w:val="auto"/>
              </w:rPr>
              <w:t>4.3</w:t>
            </w:r>
          </w:p>
        </w:tc>
        <w:tc>
          <w:tcPr>
            <w:tcW w:w="20" w:type="dxa"/>
            <w:vAlign w:val="bottom"/>
          </w:tcPr>
          <w:p>
            <w:pPr>
              <w:spacing w:after="0"/>
              <w:rPr>
                <w:sz w:val="14"/>
                <w:szCs w:val="14"/>
                <w:color w:val="auto"/>
              </w:rPr>
            </w:pPr>
          </w:p>
        </w:tc>
        <w:tc>
          <w:tcPr>
            <w:tcW w:w="5080" w:type="dxa"/>
            <w:vAlign w:val="bottom"/>
            <w:tcBorders>
              <w:top w:val="single" w:sz="8" w:color="0000FF"/>
            </w:tcBorders>
            <w:gridSpan w:val="11"/>
          </w:tcPr>
          <w:p>
            <w:pPr>
              <w:spacing w:after="0" w:line="169" w:lineRule="exact"/>
              <w:rPr>
                <w:rFonts w:ascii="Arial" w:cs="Arial" w:eastAsia="Arial" w:hAnsi="Arial"/>
                <w:sz w:val="18"/>
                <w:szCs w:val="18"/>
                <w:color w:val="0000FF"/>
              </w:rPr>
            </w:pPr>
            <w:hyperlink r:id="rId316">
              <w:r>
                <w:rPr>
                  <w:rFonts w:ascii="Arial" w:cs="Arial" w:eastAsia="Arial" w:hAnsi="Arial"/>
                  <w:sz w:val="18"/>
                  <w:szCs w:val="18"/>
                  <w:color w:val="0000FF"/>
                </w:rPr>
                <w:t>Stock.</w:t>
              </w:r>
            </w:hyperlink>
          </w:p>
        </w:tc>
        <w:tc>
          <w:tcPr>
            <w:tcW w:w="60" w:type="dxa"/>
            <w:vAlign w:val="bottom"/>
            <w:gridSpan w:val="2"/>
          </w:tcPr>
          <w:p>
            <w:pPr>
              <w:spacing w:after="0"/>
              <w:rPr>
                <w:sz w:val="14"/>
                <w:szCs w:val="14"/>
                <w:color w:val="auto"/>
              </w:rPr>
            </w:pPr>
          </w:p>
        </w:tc>
        <w:tc>
          <w:tcPr>
            <w:tcW w:w="6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700" w:type="dxa"/>
            <w:vAlign w:val="bottom"/>
            <w:vMerge w:val="restart"/>
          </w:tcPr>
          <w:p>
            <w:pPr>
              <w:jc w:val="center"/>
              <w:spacing w:after="0"/>
              <w:rPr>
                <w:sz w:val="20"/>
                <w:szCs w:val="20"/>
                <w:color w:val="auto"/>
              </w:rPr>
            </w:pPr>
            <w:r>
              <w:rPr>
                <w:rFonts w:ascii="Arial" w:cs="Arial" w:eastAsia="Arial" w:hAnsi="Arial"/>
                <w:sz w:val="18"/>
                <w:szCs w:val="18"/>
                <w:color w:val="auto"/>
                <w:w w:val="85"/>
              </w:rPr>
              <w:t>S-1</w:t>
            </w:r>
          </w:p>
        </w:tc>
        <w:tc>
          <w:tcPr>
            <w:tcW w:w="1280" w:type="dxa"/>
            <w:vAlign w:val="bottom"/>
            <w:vMerge w:val="restart"/>
          </w:tcPr>
          <w:p>
            <w:pPr>
              <w:jc w:val="center"/>
              <w:spacing w:after="0"/>
              <w:rPr>
                <w:sz w:val="20"/>
                <w:szCs w:val="20"/>
                <w:color w:val="auto"/>
              </w:rPr>
            </w:pPr>
            <w:r>
              <w:rPr>
                <w:rFonts w:ascii="Arial" w:cs="Arial" w:eastAsia="Arial" w:hAnsi="Arial"/>
                <w:sz w:val="18"/>
                <w:szCs w:val="18"/>
                <w:color w:val="auto"/>
                <w:w w:val="89"/>
              </w:rPr>
              <w:t>333-259168</w:t>
            </w:r>
          </w:p>
        </w:tc>
        <w:tc>
          <w:tcPr>
            <w:tcW w:w="900" w:type="dxa"/>
            <w:vAlign w:val="bottom"/>
            <w:vMerge w:val="restart"/>
          </w:tcPr>
          <w:p>
            <w:pPr>
              <w:jc w:val="center"/>
              <w:spacing w:after="0"/>
              <w:rPr>
                <w:sz w:val="20"/>
                <w:szCs w:val="20"/>
                <w:color w:val="auto"/>
              </w:rPr>
            </w:pPr>
            <w:r>
              <w:rPr>
                <w:rFonts w:ascii="Arial" w:cs="Arial" w:eastAsia="Arial" w:hAnsi="Arial"/>
                <w:sz w:val="18"/>
                <w:szCs w:val="18"/>
                <w:color w:val="auto"/>
                <w:w w:val="87"/>
              </w:rPr>
              <w:t>4.3</w:t>
            </w:r>
          </w:p>
        </w:tc>
        <w:tc>
          <w:tcPr>
            <w:tcW w:w="2020" w:type="dxa"/>
            <w:vAlign w:val="bottom"/>
            <w:vMerge w:val="restart"/>
          </w:tcPr>
          <w:p>
            <w:pPr>
              <w:ind w:left="200"/>
              <w:spacing w:after="0"/>
              <w:rPr>
                <w:sz w:val="20"/>
                <w:szCs w:val="20"/>
                <w:color w:val="auto"/>
              </w:rPr>
            </w:pPr>
            <w:r>
              <w:rPr>
                <w:rFonts w:ascii="Arial" w:cs="Arial" w:eastAsia="Arial" w:hAnsi="Arial"/>
                <w:sz w:val="18"/>
                <w:szCs w:val="18"/>
                <w:color w:val="auto"/>
              </w:rPr>
              <w:t>8/30/2021</w:t>
            </w:r>
          </w:p>
        </w:tc>
        <w:tc>
          <w:tcPr>
            <w:tcW w:w="0" w:type="dxa"/>
            <w:vAlign w:val="bottom"/>
          </w:tcPr>
          <w:p>
            <w:pPr>
              <w:spacing w:after="0"/>
              <w:rPr>
                <w:sz w:val="1"/>
                <w:szCs w:val="1"/>
                <w:color w:val="auto"/>
              </w:rPr>
            </w:pPr>
          </w:p>
        </w:tc>
      </w:tr>
      <w:tr>
        <w:trPr>
          <w:trHeight w:val="20"/>
        </w:trPr>
        <w:tc>
          <w:tcPr>
            <w:tcW w:w="1020" w:type="dxa"/>
            <w:vAlign w:val="bottom"/>
            <w:vMerge w:val="continu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440" w:type="dxa"/>
            <w:vAlign w:val="bottom"/>
            <w:tcBorders>
              <w:right w:val="single" w:sz="8" w:color="0000EE"/>
            </w:tcBorders>
            <w:shd w:val="clear" w:color="auto" w:fill="0000FF"/>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3380" w:type="dxa"/>
            <w:vAlign w:val="bottom"/>
            <w:gridSpan w:val="3"/>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gridSpan w:val="3"/>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700" w:type="dxa"/>
            <w:vAlign w:val="bottom"/>
            <w:vMerge w:val="continue"/>
          </w:tcPr>
          <w:p>
            <w:pPr>
              <w:spacing w:after="0" w:line="20" w:lineRule="exact"/>
              <w:rPr>
                <w:sz w:val="1"/>
                <w:szCs w:val="1"/>
                <w:color w:val="auto"/>
              </w:rPr>
            </w:pPr>
          </w:p>
        </w:tc>
        <w:tc>
          <w:tcPr>
            <w:tcW w:w="1280" w:type="dxa"/>
            <w:vAlign w:val="bottom"/>
            <w:vMerge w:val="continue"/>
          </w:tcPr>
          <w:p>
            <w:pPr>
              <w:spacing w:after="0" w:line="20" w:lineRule="exact"/>
              <w:rPr>
                <w:sz w:val="1"/>
                <w:szCs w:val="1"/>
                <w:color w:val="auto"/>
              </w:rPr>
            </w:pPr>
          </w:p>
        </w:tc>
        <w:tc>
          <w:tcPr>
            <w:tcW w:w="900" w:type="dxa"/>
            <w:vAlign w:val="bottom"/>
            <w:vMerge w:val="continue"/>
          </w:tcPr>
          <w:p>
            <w:pPr>
              <w:spacing w:after="0" w:line="20" w:lineRule="exact"/>
              <w:rPr>
                <w:sz w:val="1"/>
                <w:szCs w:val="1"/>
                <w:color w:val="auto"/>
              </w:rPr>
            </w:pPr>
          </w:p>
        </w:tc>
        <w:tc>
          <w:tcPr>
            <w:tcW w:w="2020" w:type="dxa"/>
            <w:vAlign w:val="bottom"/>
            <w:vMerge w:val="continue"/>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2"/>
        </w:trPr>
        <w:tc>
          <w:tcPr>
            <w:tcW w:w="1020" w:type="dxa"/>
            <w:vAlign w:val="bottom"/>
            <w:vMerge w:val="continue"/>
          </w:tcPr>
          <w:p>
            <w:pPr>
              <w:spacing w:after="0"/>
              <w:rPr>
                <w:sz w:val="15"/>
                <w:szCs w:val="15"/>
                <w:color w:val="auto"/>
              </w:rPr>
            </w:pPr>
          </w:p>
        </w:tc>
        <w:tc>
          <w:tcPr>
            <w:tcW w:w="5260" w:type="dxa"/>
            <w:vAlign w:val="bottom"/>
            <w:gridSpan w:val="16"/>
          </w:tcPr>
          <w:p>
            <w:pPr>
              <w:spacing w:after="0" w:line="182" w:lineRule="exact"/>
              <w:rPr>
                <w:rFonts w:ascii="Arial" w:cs="Arial" w:eastAsia="Arial" w:hAnsi="Arial"/>
                <w:sz w:val="18"/>
                <w:szCs w:val="18"/>
                <w:color w:val="0000FF"/>
                <w:w w:val="93"/>
              </w:rPr>
            </w:pPr>
            <w:hyperlink r:id="rId317">
              <w:r>
                <w:rPr>
                  <w:rFonts w:ascii="Arial" w:cs="Arial" w:eastAsia="Arial" w:hAnsi="Arial"/>
                  <w:sz w:val="18"/>
                  <w:szCs w:val="18"/>
                  <w:color w:val="0000FF"/>
                  <w:w w:val="93"/>
                </w:rPr>
                <w:t>Amended and Restated Investors’ Rights Agreement, dated as of May</w:t>
              </w:r>
            </w:hyperlink>
          </w:p>
        </w:tc>
        <w:tc>
          <w:tcPr>
            <w:tcW w:w="700" w:type="dxa"/>
            <w:vAlign w:val="bottom"/>
            <w:vMerge w:val="continue"/>
          </w:tcPr>
          <w:p>
            <w:pPr>
              <w:spacing w:after="0"/>
              <w:rPr>
                <w:sz w:val="15"/>
                <w:szCs w:val="15"/>
                <w:color w:val="auto"/>
              </w:rPr>
            </w:pPr>
          </w:p>
        </w:tc>
        <w:tc>
          <w:tcPr>
            <w:tcW w:w="1280" w:type="dxa"/>
            <w:vAlign w:val="bottom"/>
            <w:vMerge w:val="continue"/>
          </w:tcPr>
          <w:p>
            <w:pPr>
              <w:spacing w:after="0"/>
              <w:rPr>
                <w:sz w:val="15"/>
                <w:szCs w:val="15"/>
                <w:color w:val="auto"/>
              </w:rPr>
            </w:pPr>
          </w:p>
        </w:tc>
        <w:tc>
          <w:tcPr>
            <w:tcW w:w="900" w:type="dxa"/>
            <w:vAlign w:val="bottom"/>
            <w:vMerge w:val="continue"/>
          </w:tcPr>
          <w:p>
            <w:pPr>
              <w:spacing w:after="0"/>
              <w:rPr>
                <w:sz w:val="15"/>
                <w:szCs w:val="15"/>
                <w:color w:val="auto"/>
              </w:rPr>
            </w:pPr>
          </w:p>
        </w:tc>
        <w:tc>
          <w:tcPr>
            <w:tcW w:w="202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169"/>
        </w:trPr>
        <w:tc>
          <w:tcPr>
            <w:tcW w:w="10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5040" w:type="dxa"/>
            <w:vAlign w:val="bottom"/>
            <w:tcBorders>
              <w:top w:val="single" w:sz="8" w:color="0000FF"/>
            </w:tcBorders>
            <w:gridSpan w:val="9"/>
          </w:tcPr>
          <w:p>
            <w:pPr>
              <w:spacing w:after="0" w:line="169" w:lineRule="exact"/>
              <w:rPr>
                <w:rFonts w:ascii="Arial" w:cs="Arial" w:eastAsia="Arial" w:hAnsi="Arial"/>
                <w:sz w:val="18"/>
                <w:szCs w:val="18"/>
                <w:color w:val="0000FF"/>
                <w:w w:val="90"/>
              </w:rPr>
            </w:pPr>
            <w:hyperlink r:id="rId317">
              <w:r>
                <w:rPr>
                  <w:rFonts w:ascii="Arial" w:cs="Arial" w:eastAsia="Arial" w:hAnsi="Arial"/>
                  <w:sz w:val="18"/>
                  <w:szCs w:val="18"/>
                  <w:color w:val="0000FF"/>
                  <w:w w:val="90"/>
                </w:rPr>
                <w:t>28, 2021, as amended, by and among the Registrant and certain of its</w:t>
              </w:r>
            </w:hyperlink>
          </w:p>
        </w:tc>
        <w:tc>
          <w:tcPr>
            <w:tcW w:w="20" w:type="dxa"/>
            <w:vAlign w:val="bottom"/>
          </w:tcPr>
          <w:p>
            <w:pPr>
              <w:spacing w:after="0"/>
              <w:rPr>
                <w:sz w:val="14"/>
                <w:szCs w:val="14"/>
                <w:color w:val="auto"/>
              </w:rPr>
            </w:pPr>
          </w:p>
        </w:tc>
        <w:tc>
          <w:tcPr>
            <w:tcW w:w="80" w:type="dxa"/>
            <w:vAlign w:val="bottom"/>
            <w:gridSpan w:val="3"/>
          </w:tcPr>
          <w:p>
            <w:pPr>
              <w:spacing w:after="0"/>
              <w:rPr>
                <w:sz w:val="14"/>
                <w:szCs w:val="14"/>
                <w:color w:val="auto"/>
              </w:rPr>
            </w:pPr>
          </w:p>
        </w:tc>
        <w:tc>
          <w:tcPr>
            <w:tcW w:w="6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128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20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9"/>
        </w:trPr>
        <w:tc>
          <w:tcPr>
            <w:tcW w:w="10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4980" w:type="dxa"/>
            <w:vAlign w:val="bottom"/>
            <w:tcBorders>
              <w:top w:val="single" w:sz="8" w:color="0000FF"/>
            </w:tcBorders>
            <w:gridSpan w:val="8"/>
          </w:tcPr>
          <w:p>
            <w:pPr>
              <w:spacing w:after="0" w:line="169" w:lineRule="exact"/>
              <w:rPr>
                <w:rFonts w:ascii="Arial" w:cs="Arial" w:eastAsia="Arial" w:hAnsi="Arial"/>
                <w:sz w:val="18"/>
                <w:szCs w:val="18"/>
                <w:color w:val="0000FF"/>
              </w:rPr>
            </w:pPr>
            <w:hyperlink r:id="rId317">
              <w:r>
                <w:rPr>
                  <w:rFonts w:ascii="Arial" w:cs="Arial" w:eastAsia="Arial" w:hAnsi="Arial"/>
                  <w:sz w:val="18"/>
                  <w:szCs w:val="18"/>
                  <w:color w:val="0000FF"/>
                </w:rPr>
                <w:t>stockholders.</w:t>
              </w:r>
            </w:hyperlink>
          </w:p>
        </w:tc>
        <w:tc>
          <w:tcPr>
            <w:tcW w:w="80" w:type="dxa"/>
            <w:vAlign w:val="bottom"/>
            <w:gridSpan w:val="2"/>
          </w:tcPr>
          <w:p>
            <w:pPr>
              <w:spacing w:after="0"/>
              <w:rPr>
                <w:sz w:val="14"/>
                <w:szCs w:val="14"/>
                <w:color w:val="auto"/>
              </w:rPr>
            </w:pPr>
          </w:p>
        </w:tc>
        <w:tc>
          <w:tcPr>
            <w:tcW w:w="80" w:type="dxa"/>
            <w:vAlign w:val="bottom"/>
            <w:gridSpan w:val="3"/>
          </w:tcPr>
          <w:p>
            <w:pPr>
              <w:spacing w:after="0"/>
              <w:rPr>
                <w:sz w:val="14"/>
                <w:szCs w:val="14"/>
                <w:color w:val="auto"/>
              </w:rPr>
            </w:pPr>
          </w:p>
        </w:tc>
        <w:tc>
          <w:tcPr>
            <w:tcW w:w="6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128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20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0"/>
        </w:trPr>
        <w:tc>
          <w:tcPr>
            <w:tcW w:w="1020" w:type="dxa"/>
            <w:vAlign w:val="bottom"/>
            <w:vMerge w:val="restart"/>
          </w:tcPr>
          <w:p>
            <w:pPr>
              <w:spacing w:after="0" w:line="202" w:lineRule="exact"/>
              <w:rPr>
                <w:sz w:val="20"/>
                <w:szCs w:val="20"/>
                <w:color w:val="auto"/>
              </w:rPr>
            </w:pPr>
            <w:r>
              <w:rPr>
                <w:rFonts w:ascii="Arial" w:cs="Arial" w:eastAsia="Arial" w:hAnsi="Arial"/>
                <w:sz w:val="18"/>
                <w:szCs w:val="18"/>
                <w:color w:val="auto"/>
              </w:rPr>
              <w:t>31.1</w:t>
            </w:r>
          </w:p>
        </w:tc>
        <w:tc>
          <w:tcPr>
            <w:tcW w:w="20" w:type="dxa"/>
            <w:vAlign w:val="bottom"/>
            <w:shd w:val="clear" w:color="auto" w:fill="0000EE"/>
          </w:tcPr>
          <w:p>
            <w:pPr>
              <w:spacing w:after="0" w:line="20" w:lineRule="exact"/>
              <w:rPr>
                <w:sz w:val="1"/>
                <w:szCs w:val="1"/>
                <w:color w:val="auto"/>
              </w:rPr>
            </w:pPr>
          </w:p>
        </w:tc>
        <w:tc>
          <w:tcPr>
            <w:tcW w:w="880" w:type="dxa"/>
            <w:vAlign w:val="bottom"/>
            <w:gridSpan w:val="2"/>
            <w:shd w:val="clear" w:color="auto" w:fill="0000FF"/>
          </w:tcPr>
          <w:p>
            <w:pPr>
              <w:spacing w:after="0" w:line="20" w:lineRule="exact"/>
              <w:rPr>
                <w:sz w:val="1"/>
                <w:szCs w:val="1"/>
                <w:color w:val="auto"/>
              </w:rPr>
            </w:pPr>
          </w:p>
        </w:tc>
        <w:tc>
          <w:tcPr>
            <w:tcW w:w="40" w:type="dxa"/>
            <w:vAlign w:val="bottom"/>
            <w:tcBorders>
              <w:right w:val="single" w:sz="8" w:color="0000FF"/>
            </w:tcBorders>
            <w:shd w:val="clear" w:color="auto" w:fill="0000FF"/>
          </w:tcPr>
          <w:p>
            <w:pPr>
              <w:spacing w:after="0" w:line="20" w:lineRule="exact"/>
              <w:rPr>
                <w:sz w:val="1"/>
                <w:szCs w:val="1"/>
                <w:color w:val="auto"/>
              </w:rPr>
            </w:pPr>
          </w:p>
        </w:tc>
        <w:tc>
          <w:tcPr>
            <w:tcW w:w="4320" w:type="dxa"/>
            <w:vAlign w:val="bottom"/>
            <w:gridSpan w:val="12"/>
            <w:vMerge w:val="restart"/>
          </w:tcPr>
          <w:p>
            <w:pPr>
              <w:spacing w:after="0" w:line="202" w:lineRule="exact"/>
              <w:rPr>
                <w:sz w:val="20"/>
                <w:szCs w:val="20"/>
                <w:color w:val="auto"/>
              </w:rPr>
            </w:pPr>
            <w:r>
              <w:rPr>
                <w:rFonts w:ascii="Arial" w:cs="Arial" w:eastAsia="Arial" w:hAnsi="Arial"/>
                <w:sz w:val="18"/>
                <w:szCs w:val="18"/>
                <w:color w:val="0000FF"/>
                <w:w w:val="93"/>
              </w:rPr>
              <w:t>of Principal Executive Officer Pursuant to Rules 13a-14(a)</w:t>
            </w:r>
          </w:p>
        </w:tc>
        <w:tc>
          <w:tcPr>
            <w:tcW w:w="700" w:type="dxa"/>
            <w:vAlign w:val="bottom"/>
          </w:tcPr>
          <w:p>
            <w:pPr>
              <w:spacing w:after="0" w:line="20" w:lineRule="exact"/>
              <w:rPr>
                <w:sz w:val="1"/>
                <w:szCs w:val="1"/>
                <w:color w:val="auto"/>
              </w:rPr>
            </w:pPr>
          </w:p>
        </w:tc>
        <w:tc>
          <w:tcPr>
            <w:tcW w:w="128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2020" w:type="dxa"/>
            <w:vAlign w:val="bottom"/>
            <w:vMerge w:val="restart"/>
          </w:tcPr>
          <w:p>
            <w:pPr>
              <w:ind w:left="1500"/>
              <w:spacing w:after="0" w:line="202" w:lineRule="exact"/>
              <w:rPr>
                <w:sz w:val="20"/>
                <w:szCs w:val="20"/>
                <w:color w:val="auto"/>
              </w:rPr>
            </w:pPr>
            <w:r>
              <w:rPr>
                <w:rFonts w:ascii="Arial" w:cs="Arial" w:eastAsia="Arial" w:hAnsi="Arial"/>
                <w:sz w:val="18"/>
                <w:szCs w:val="18"/>
                <w:color w:val="auto"/>
              </w:rPr>
              <w:t>X</w:t>
            </w:r>
          </w:p>
        </w:tc>
        <w:tc>
          <w:tcPr>
            <w:tcW w:w="0" w:type="dxa"/>
            <w:vAlign w:val="bottom"/>
          </w:tcPr>
          <w:p>
            <w:pPr>
              <w:spacing w:after="0" w:line="20" w:lineRule="exact"/>
              <w:rPr>
                <w:sz w:val="1"/>
                <w:szCs w:val="1"/>
                <w:color w:val="auto"/>
              </w:rPr>
            </w:pPr>
          </w:p>
        </w:tc>
      </w:tr>
      <w:tr>
        <w:trPr>
          <w:trHeight w:val="182"/>
        </w:trPr>
        <w:tc>
          <w:tcPr>
            <w:tcW w:w="1020" w:type="dxa"/>
            <w:vAlign w:val="bottom"/>
            <w:vMerge w:val="continue"/>
          </w:tcPr>
          <w:p>
            <w:pPr>
              <w:spacing w:after="0"/>
              <w:rPr>
                <w:sz w:val="15"/>
                <w:szCs w:val="15"/>
                <w:color w:val="auto"/>
              </w:rPr>
            </w:pPr>
          </w:p>
        </w:tc>
        <w:tc>
          <w:tcPr>
            <w:tcW w:w="940" w:type="dxa"/>
            <w:vAlign w:val="bottom"/>
            <w:gridSpan w:val="4"/>
          </w:tcPr>
          <w:p>
            <w:pPr>
              <w:spacing w:after="0" w:line="182" w:lineRule="exact"/>
              <w:rPr>
                <w:sz w:val="20"/>
                <w:szCs w:val="20"/>
                <w:color w:val="auto"/>
              </w:rPr>
            </w:pPr>
            <w:r>
              <w:rPr>
                <w:rFonts w:ascii="Arial" w:cs="Arial" w:eastAsia="Arial" w:hAnsi="Arial"/>
                <w:sz w:val="18"/>
                <w:szCs w:val="18"/>
                <w:color w:val="0000FF"/>
                <w:w w:val="94"/>
              </w:rPr>
              <w:t>Certification</w:t>
            </w:r>
          </w:p>
        </w:tc>
        <w:tc>
          <w:tcPr>
            <w:tcW w:w="4320" w:type="dxa"/>
            <w:vAlign w:val="bottom"/>
            <w:gridSpan w:val="12"/>
            <w:vMerge w:val="continue"/>
          </w:tcPr>
          <w:p>
            <w:pPr>
              <w:spacing w:after="0"/>
              <w:rPr>
                <w:sz w:val="15"/>
                <w:szCs w:val="15"/>
                <w:color w:val="auto"/>
              </w:rPr>
            </w:pPr>
          </w:p>
        </w:tc>
        <w:tc>
          <w:tcPr>
            <w:tcW w:w="700" w:type="dxa"/>
            <w:vAlign w:val="bottom"/>
          </w:tcPr>
          <w:p>
            <w:pPr>
              <w:spacing w:after="0"/>
              <w:rPr>
                <w:sz w:val="15"/>
                <w:szCs w:val="15"/>
                <w:color w:val="auto"/>
              </w:rPr>
            </w:pPr>
          </w:p>
        </w:tc>
        <w:tc>
          <w:tcPr>
            <w:tcW w:w="1280" w:type="dxa"/>
            <w:vAlign w:val="bottom"/>
          </w:tcPr>
          <w:p>
            <w:pPr>
              <w:spacing w:after="0"/>
              <w:rPr>
                <w:sz w:val="15"/>
                <w:szCs w:val="15"/>
                <w:color w:val="auto"/>
              </w:rPr>
            </w:pPr>
          </w:p>
        </w:tc>
        <w:tc>
          <w:tcPr>
            <w:tcW w:w="900" w:type="dxa"/>
            <w:vAlign w:val="bottom"/>
          </w:tcPr>
          <w:p>
            <w:pPr>
              <w:spacing w:after="0"/>
              <w:rPr>
                <w:sz w:val="15"/>
                <w:szCs w:val="15"/>
                <w:color w:val="auto"/>
              </w:rPr>
            </w:pPr>
          </w:p>
        </w:tc>
        <w:tc>
          <w:tcPr>
            <w:tcW w:w="202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169"/>
        </w:trPr>
        <w:tc>
          <w:tcPr>
            <w:tcW w:w="10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5200" w:type="dxa"/>
            <w:vAlign w:val="bottom"/>
            <w:tcBorders>
              <w:top w:val="single" w:sz="8" w:color="0000FF"/>
            </w:tcBorders>
            <w:gridSpan w:val="14"/>
          </w:tcPr>
          <w:p>
            <w:pPr>
              <w:spacing w:after="0" w:line="169" w:lineRule="exact"/>
              <w:rPr>
                <w:sz w:val="20"/>
                <w:szCs w:val="20"/>
                <w:color w:val="auto"/>
              </w:rPr>
            </w:pPr>
            <w:r>
              <w:rPr>
                <w:rFonts w:ascii="Arial" w:cs="Arial" w:eastAsia="Arial" w:hAnsi="Arial"/>
                <w:sz w:val="18"/>
                <w:szCs w:val="18"/>
                <w:color w:val="0000FF"/>
                <w:w w:val="92"/>
              </w:rPr>
              <w:t>and 15d-14(a) under the Securities Exchange Act of 1934, as Adopted</w:t>
            </w:r>
          </w:p>
        </w:tc>
        <w:tc>
          <w:tcPr>
            <w:tcW w:w="4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128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20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9"/>
        </w:trPr>
        <w:tc>
          <w:tcPr>
            <w:tcW w:w="1020" w:type="dxa"/>
            <w:vAlign w:val="bottom"/>
            <w:vMerge w:val="restart"/>
          </w:tcPr>
          <w:p>
            <w:pPr>
              <w:spacing w:after="0"/>
              <w:rPr>
                <w:sz w:val="20"/>
                <w:szCs w:val="20"/>
                <w:color w:val="auto"/>
              </w:rPr>
            </w:pPr>
            <w:r>
              <w:rPr>
                <w:rFonts w:ascii="Arial" w:cs="Arial" w:eastAsia="Arial" w:hAnsi="Arial"/>
                <w:sz w:val="18"/>
                <w:szCs w:val="18"/>
                <w:color w:val="auto"/>
              </w:rPr>
              <w:t>31.2</w:t>
            </w:r>
          </w:p>
        </w:tc>
        <w:tc>
          <w:tcPr>
            <w:tcW w:w="20" w:type="dxa"/>
            <w:vAlign w:val="bottom"/>
          </w:tcPr>
          <w:p>
            <w:pPr>
              <w:spacing w:after="0"/>
              <w:rPr>
                <w:sz w:val="14"/>
                <w:szCs w:val="14"/>
                <w:color w:val="auto"/>
              </w:rPr>
            </w:pPr>
          </w:p>
        </w:tc>
        <w:tc>
          <w:tcPr>
            <w:tcW w:w="5060" w:type="dxa"/>
            <w:vAlign w:val="bottom"/>
            <w:tcBorders>
              <w:top w:val="single" w:sz="8" w:color="0000FF"/>
            </w:tcBorders>
            <w:gridSpan w:val="10"/>
          </w:tcPr>
          <w:p>
            <w:pPr>
              <w:spacing w:after="0" w:line="169" w:lineRule="exact"/>
              <w:rPr>
                <w:sz w:val="20"/>
                <w:szCs w:val="20"/>
                <w:color w:val="auto"/>
              </w:rPr>
            </w:pPr>
            <w:r>
              <w:rPr>
                <w:rFonts w:ascii="Arial" w:cs="Arial" w:eastAsia="Arial" w:hAnsi="Arial"/>
                <w:sz w:val="18"/>
                <w:szCs w:val="18"/>
                <w:color w:val="0000FF"/>
              </w:rPr>
              <w:t>Pursuant to Section 302 of the Sarbanes-Oxley Act of 2002.</w:t>
            </w:r>
          </w:p>
        </w:tc>
        <w:tc>
          <w:tcPr>
            <w:tcW w:w="80" w:type="dxa"/>
            <w:vAlign w:val="bottom"/>
            <w:gridSpan w:val="3"/>
          </w:tcPr>
          <w:p>
            <w:pPr>
              <w:spacing w:after="0"/>
              <w:rPr>
                <w:sz w:val="14"/>
                <w:szCs w:val="14"/>
                <w:color w:val="auto"/>
              </w:rPr>
            </w:pPr>
          </w:p>
        </w:tc>
        <w:tc>
          <w:tcPr>
            <w:tcW w:w="100" w:type="dxa"/>
            <w:vAlign w:val="bottom"/>
            <w:gridSpan w:val="2"/>
          </w:tcPr>
          <w:p>
            <w:pPr>
              <w:spacing w:after="0"/>
              <w:rPr>
                <w:sz w:val="14"/>
                <w:szCs w:val="14"/>
                <w:color w:val="auto"/>
              </w:rPr>
            </w:pPr>
          </w:p>
        </w:tc>
        <w:tc>
          <w:tcPr>
            <w:tcW w:w="700" w:type="dxa"/>
            <w:vAlign w:val="bottom"/>
          </w:tcPr>
          <w:p>
            <w:pPr>
              <w:spacing w:after="0"/>
              <w:rPr>
                <w:sz w:val="14"/>
                <w:szCs w:val="14"/>
                <w:color w:val="auto"/>
              </w:rPr>
            </w:pPr>
          </w:p>
        </w:tc>
        <w:tc>
          <w:tcPr>
            <w:tcW w:w="128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2020" w:type="dxa"/>
            <w:vAlign w:val="bottom"/>
            <w:vMerge w:val="restart"/>
          </w:tcPr>
          <w:p>
            <w:pPr>
              <w:ind w:left="1500"/>
              <w:spacing w:after="0"/>
              <w:rPr>
                <w:sz w:val="20"/>
                <w:szCs w:val="20"/>
                <w:color w:val="auto"/>
              </w:rPr>
            </w:pPr>
            <w:r>
              <w:rPr>
                <w:rFonts w:ascii="Arial" w:cs="Arial" w:eastAsia="Arial" w:hAnsi="Arial"/>
                <w:sz w:val="18"/>
                <w:szCs w:val="18"/>
                <w:color w:val="auto"/>
              </w:rPr>
              <w:t>X</w:t>
            </w:r>
          </w:p>
        </w:tc>
        <w:tc>
          <w:tcPr>
            <w:tcW w:w="0" w:type="dxa"/>
            <w:vAlign w:val="bottom"/>
          </w:tcPr>
          <w:p>
            <w:pPr>
              <w:spacing w:after="0"/>
              <w:rPr>
                <w:sz w:val="1"/>
                <w:szCs w:val="1"/>
                <w:color w:val="auto"/>
              </w:rPr>
            </w:pPr>
          </w:p>
        </w:tc>
      </w:tr>
      <w:tr>
        <w:trPr>
          <w:trHeight w:val="20"/>
        </w:trPr>
        <w:tc>
          <w:tcPr>
            <w:tcW w:w="1020" w:type="dxa"/>
            <w:vAlign w:val="bottom"/>
            <w:vMerge w:val="continu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880" w:type="dxa"/>
            <w:vAlign w:val="bottom"/>
            <w:gridSpan w:val="2"/>
            <w:shd w:val="clear" w:color="auto" w:fill="0000FF"/>
          </w:tcPr>
          <w:p>
            <w:pPr>
              <w:spacing w:after="0" w:line="20" w:lineRule="exact"/>
              <w:rPr>
                <w:sz w:val="1"/>
                <w:szCs w:val="1"/>
                <w:color w:val="auto"/>
              </w:rPr>
            </w:pPr>
          </w:p>
        </w:tc>
        <w:tc>
          <w:tcPr>
            <w:tcW w:w="40" w:type="dxa"/>
            <w:vAlign w:val="bottom"/>
            <w:tcBorders>
              <w:right w:val="single" w:sz="8" w:color="0000FF"/>
            </w:tcBorders>
            <w:shd w:val="clear" w:color="auto" w:fill="0000FF"/>
          </w:tcPr>
          <w:p>
            <w:pPr>
              <w:spacing w:after="0" w:line="20" w:lineRule="exact"/>
              <w:rPr>
                <w:sz w:val="1"/>
                <w:szCs w:val="1"/>
                <w:color w:val="auto"/>
              </w:rPr>
            </w:pPr>
          </w:p>
        </w:tc>
        <w:tc>
          <w:tcPr>
            <w:tcW w:w="3380" w:type="dxa"/>
            <w:vAlign w:val="bottom"/>
            <w:tcBorders>
              <w:right w:val="single" w:sz="8" w:color="0000EE"/>
            </w:tcBorders>
            <w:gridSpan w:val="3"/>
            <w:shd w:val="clear" w:color="auto" w:fill="0000FF"/>
          </w:tcPr>
          <w:p>
            <w:pPr>
              <w:spacing w:after="0" w:line="20" w:lineRule="exact"/>
              <w:rPr>
                <w:sz w:val="1"/>
                <w:szCs w:val="1"/>
                <w:color w:val="auto"/>
              </w:rPr>
            </w:pPr>
          </w:p>
        </w:tc>
        <w:tc>
          <w:tcPr>
            <w:tcW w:w="940" w:type="dxa"/>
            <w:vAlign w:val="bottom"/>
            <w:gridSpan w:val="9"/>
            <w:vMerge w:val="restart"/>
          </w:tcPr>
          <w:p>
            <w:pPr>
              <w:ind w:left="100"/>
              <w:spacing w:after="0" w:line="202" w:lineRule="exact"/>
              <w:rPr>
                <w:sz w:val="20"/>
                <w:szCs w:val="20"/>
                <w:color w:val="auto"/>
              </w:rPr>
            </w:pPr>
            <w:r>
              <w:rPr>
                <w:rFonts w:ascii="Arial" w:cs="Arial" w:eastAsia="Arial" w:hAnsi="Arial"/>
                <w:sz w:val="18"/>
                <w:szCs w:val="18"/>
                <w:color w:val="0000FF"/>
              </w:rPr>
              <w:t>13a-14(a)</w:t>
            </w:r>
          </w:p>
        </w:tc>
        <w:tc>
          <w:tcPr>
            <w:tcW w:w="700" w:type="dxa"/>
            <w:vAlign w:val="bottom"/>
          </w:tcPr>
          <w:p>
            <w:pPr>
              <w:spacing w:after="0" w:line="20" w:lineRule="exact"/>
              <w:rPr>
                <w:sz w:val="1"/>
                <w:szCs w:val="1"/>
                <w:color w:val="auto"/>
              </w:rPr>
            </w:pPr>
          </w:p>
        </w:tc>
        <w:tc>
          <w:tcPr>
            <w:tcW w:w="128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2020" w:type="dxa"/>
            <w:vAlign w:val="bottom"/>
            <w:vMerge w:val="continue"/>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2"/>
        </w:trPr>
        <w:tc>
          <w:tcPr>
            <w:tcW w:w="1020" w:type="dxa"/>
            <w:vAlign w:val="bottom"/>
            <w:vMerge w:val="continue"/>
          </w:tcPr>
          <w:p>
            <w:pPr>
              <w:spacing w:after="0"/>
              <w:rPr>
                <w:sz w:val="15"/>
                <w:szCs w:val="15"/>
                <w:color w:val="auto"/>
              </w:rPr>
            </w:pPr>
          </w:p>
        </w:tc>
        <w:tc>
          <w:tcPr>
            <w:tcW w:w="4320" w:type="dxa"/>
            <w:vAlign w:val="bottom"/>
            <w:gridSpan w:val="7"/>
          </w:tcPr>
          <w:p>
            <w:pPr>
              <w:spacing w:after="0" w:line="182" w:lineRule="exact"/>
              <w:rPr>
                <w:sz w:val="20"/>
                <w:szCs w:val="20"/>
                <w:color w:val="auto"/>
              </w:rPr>
            </w:pPr>
            <w:r>
              <w:rPr>
                <w:rFonts w:ascii="Arial" w:cs="Arial" w:eastAsia="Arial" w:hAnsi="Arial"/>
                <w:sz w:val="18"/>
                <w:szCs w:val="18"/>
                <w:color w:val="0000FF"/>
                <w:w w:val="90"/>
              </w:rPr>
              <w:t>Certification of Principal Financial Officer Pursuant to Rules</w:t>
            </w:r>
          </w:p>
        </w:tc>
        <w:tc>
          <w:tcPr>
            <w:tcW w:w="940" w:type="dxa"/>
            <w:vAlign w:val="bottom"/>
            <w:gridSpan w:val="9"/>
            <w:vMerge w:val="continue"/>
          </w:tcPr>
          <w:p>
            <w:pPr>
              <w:spacing w:after="0"/>
              <w:rPr>
                <w:sz w:val="15"/>
                <w:szCs w:val="15"/>
                <w:color w:val="auto"/>
              </w:rPr>
            </w:pPr>
          </w:p>
        </w:tc>
        <w:tc>
          <w:tcPr>
            <w:tcW w:w="700" w:type="dxa"/>
            <w:vAlign w:val="bottom"/>
          </w:tcPr>
          <w:p>
            <w:pPr>
              <w:spacing w:after="0"/>
              <w:rPr>
                <w:sz w:val="15"/>
                <w:szCs w:val="15"/>
                <w:color w:val="auto"/>
              </w:rPr>
            </w:pPr>
          </w:p>
        </w:tc>
        <w:tc>
          <w:tcPr>
            <w:tcW w:w="1280" w:type="dxa"/>
            <w:vAlign w:val="bottom"/>
          </w:tcPr>
          <w:p>
            <w:pPr>
              <w:spacing w:after="0"/>
              <w:rPr>
                <w:sz w:val="15"/>
                <w:szCs w:val="15"/>
                <w:color w:val="auto"/>
              </w:rPr>
            </w:pPr>
          </w:p>
        </w:tc>
        <w:tc>
          <w:tcPr>
            <w:tcW w:w="900" w:type="dxa"/>
            <w:vAlign w:val="bottom"/>
          </w:tcPr>
          <w:p>
            <w:pPr>
              <w:spacing w:after="0"/>
              <w:rPr>
                <w:sz w:val="15"/>
                <w:szCs w:val="15"/>
                <w:color w:val="auto"/>
              </w:rPr>
            </w:pPr>
          </w:p>
        </w:tc>
        <w:tc>
          <w:tcPr>
            <w:tcW w:w="202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169"/>
        </w:trPr>
        <w:tc>
          <w:tcPr>
            <w:tcW w:w="10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5140" w:type="dxa"/>
            <w:vAlign w:val="bottom"/>
            <w:tcBorders>
              <w:top w:val="single" w:sz="8" w:color="0000FF"/>
            </w:tcBorders>
            <w:gridSpan w:val="13"/>
          </w:tcPr>
          <w:p>
            <w:pPr>
              <w:spacing w:after="0" w:line="169" w:lineRule="exact"/>
              <w:rPr>
                <w:sz w:val="20"/>
                <w:szCs w:val="20"/>
                <w:color w:val="auto"/>
              </w:rPr>
            </w:pPr>
            <w:r>
              <w:rPr>
                <w:rFonts w:ascii="Arial" w:cs="Arial" w:eastAsia="Arial" w:hAnsi="Arial"/>
                <w:sz w:val="18"/>
                <w:szCs w:val="18"/>
                <w:color w:val="0000FF"/>
                <w:w w:val="91"/>
              </w:rPr>
              <w:t>and 15d-14(a) under the Securities Exchange Act of 1934, as Adopted</w:t>
            </w:r>
          </w:p>
        </w:tc>
        <w:tc>
          <w:tcPr>
            <w:tcW w:w="100" w:type="dxa"/>
            <w:vAlign w:val="bottom"/>
            <w:gridSpan w:val="2"/>
          </w:tcPr>
          <w:p>
            <w:pPr>
              <w:spacing w:after="0"/>
              <w:rPr>
                <w:sz w:val="14"/>
                <w:szCs w:val="14"/>
                <w:color w:val="auto"/>
              </w:rPr>
            </w:pPr>
          </w:p>
        </w:tc>
        <w:tc>
          <w:tcPr>
            <w:tcW w:w="700" w:type="dxa"/>
            <w:vAlign w:val="bottom"/>
          </w:tcPr>
          <w:p>
            <w:pPr>
              <w:spacing w:after="0"/>
              <w:rPr>
                <w:sz w:val="14"/>
                <w:szCs w:val="14"/>
                <w:color w:val="auto"/>
              </w:rPr>
            </w:pPr>
          </w:p>
        </w:tc>
        <w:tc>
          <w:tcPr>
            <w:tcW w:w="128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20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9"/>
        </w:trPr>
        <w:tc>
          <w:tcPr>
            <w:tcW w:w="1020" w:type="dxa"/>
            <w:vAlign w:val="bottom"/>
            <w:vMerge w:val="restart"/>
          </w:tcPr>
          <w:p>
            <w:pPr>
              <w:spacing w:after="0"/>
              <w:rPr>
                <w:sz w:val="20"/>
                <w:szCs w:val="20"/>
                <w:color w:val="auto"/>
              </w:rPr>
            </w:pPr>
            <w:r>
              <w:rPr>
                <w:rFonts w:ascii="Arial" w:cs="Arial" w:eastAsia="Arial" w:hAnsi="Arial"/>
                <w:sz w:val="18"/>
                <w:szCs w:val="18"/>
                <w:color w:val="auto"/>
              </w:rPr>
              <w:t>32.1*</w:t>
            </w:r>
          </w:p>
        </w:tc>
        <w:tc>
          <w:tcPr>
            <w:tcW w:w="20" w:type="dxa"/>
            <w:vAlign w:val="bottom"/>
          </w:tcPr>
          <w:p>
            <w:pPr>
              <w:spacing w:after="0"/>
              <w:rPr>
                <w:sz w:val="14"/>
                <w:szCs w:val="14"/>
                <w:color w:val="auto"/>
              </w:rPr>
            </w:pPr>
          </w:p>
        </w:tc>
        <w:tc>
          <w:tcPr>
            <w:tcW w:w="5060" w:type="dxa"/>
            <w:vAlign w:val="bottom"/>
            <w:tcBorders>
              <w:top w:val="single" w:sz="8" w:color="0000FF"/>
            </w:tcBorders>
            <w:gridSpan w:val="10"/>
          </w:tcPr>
          <w:p>
            <w:pPr>
              <w:spacing w:after="0" w:line="169" w:lineRule="exact"/>
              <w:rPr>
                <w:sz w:val="20"/>
                <w:szCs w:val="20"/>
                <w:color w:val="auto"/>
              </w:rPr>
            </w:pPr>
            <w:r>
              <w:rPr>
                <w:rFonts w:ascii="Arial" w:cs="Arial" w:eastAsia="Arial" w:hAnsi="Arial"/>
                <w:sz w:val="18"/>
                <w:szCs w:val="18"/>
                <w:color w:val="0000FF"/>
              </w:rPr>
              <w:t>Pursuant to Section 302 of the Sarbanes-Oxley Act of 2002.</w:t>
            </w:r>
          </w:p>
        </w:tc>
        <w:tc>
          <w:tcPr>
            <w:tcW w:w="180" w:type="dxa"/>
            <w:vAlign w:val="bottom"/>
            <w:gridSpan w:val="5"/>
          </w:tcPr>
          <w:p>
            <w:pPr>
              <w:spacing w:after="0"/>
              <w:rPr>
                <w:sz w:val="14"/>
                <w:szCs w:val="14"/>
                <w:color w:val="auto"/>
              </w:rPr>
            </w:pPr>
          </w:p>
        </w:tc>
        <w:tc>
          <w:tcPr>
            <w:tcW w:w="700" w:type="dxa"/>
            <w:vAlign w:val="bottom"/>
          </w:tcPr>
          <w:p>
            <w:pPr>
              <w:spacing w:after="0"/>
              <w:rPr>
                <w:sz w:val="14"/>
                <w:szCs w:val="14"/>
                <w:color w:val="auto"/>
              </w:rPr>
            </w:pPr>
          </w:p>
        </w:tc>
        <w:tc>
          <w:tcPr>
            <w:tcW w:w="128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2020" w:type="dxa"/>
            <w:vAlign w:val="bottom"/>
            <w:vMerge w:val="restart"/>
          </w:tcPr>
          <w:p>
            <w:pPr>
              <w:ind w:left="1500"/>
              <w:spacing w:after="0"/>
              <w:rPr>
                <w:sz w:val="20"/>
                <w:szCs w:val="20"/>
                <w:color w:val="auto"/>
              </w:rPr>
            </w:pPr>
            <w:r>
              <w:rPr>
                <w:rFonts w:ascii="Arial" w:cs="Arial" w:eastAsia="Arial" w:hAnsi="Arial"/>
                <w:sz w:val="18"/>
                <w:szCs w:val="18"/>
                <w:color w:val="auto"/>
              </w:rPr>
              <w:t>X</w:t>
            </w:r>
          </w:p>
        </w:tc>
        <w:tc>
          <w:tcPr>
            <w:tcW w:w="0" w:type="dxa"/>
            <w:vAlign w:val="bottom"/>
          </w:tcPr>
          <w:p>
            <w:pPr>
              <w:spacing w:after="0"/>
              <w:rPr>
                <w:sz w:val="1"/>
                <w:szCs w:val="1"/>
                <w:color w:val="auto"/>
              </w:rPr>
            </w:pPr>
          </w:p>
        </w:tc>
      </w:tr>
      <w:tr>
        <w:trPr>
          <w:trHeight w:val="20"/>
        </w:trPr>
        <w:tc>
          <w:tcPr>
            <w:tcW w:w="1020" w:type="dxa"/>
            <w:vAlign w:val="bottom"/>
            <w:vMerge w:val="continu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880" w:type="dxa"/>
            <w:vAlign w:val="bottom"/>
            <w:gridSpan w:val="2"/>
            <w:shd w:val="clear" w:color="auto" w:fill="0000FF"/>
          </w:tcPr>
          <w:p>
            <w:pPr>
              <w:spacing w:after="0" w:line="20" w:lineRule="exact"/>
              <w:rPr>
                <w:sz w:val="1"/>
                <w:szCs w:val="1"/>
                <w:color w:val="auto"/>
              </w:rPr>
            </w:pPr>
          </w:p>
        </w:tc>
        <w:tc>
          <w:tcPr>
            <w:tcW w:w="40" w:type="dxa"/>
            <w:vAlign w:val="bottom"/>
            <w:tcBorders>
              <w:right w:val="single" w:sz="8" w:color="0000FF"/>
            </w:tcBorders>
            <w:shd w:val="clear" w:color="auto" w:fill="0000FF"/>
          </w:tcPr>
          <w:p>
            <w:pPr>
              <w:spacing w:after="0" w:line="20" w:lineRule="exact"/>
              <w:rPr>
                <w:sz w:val="1"/>
                <w:szCs w:val="1"/>
                <w:color w:val="auto"/>
              </w:rPr>
            </w:pPr>
          </w:p>
        </w:tc>
        <w:tc>
          <w:tcPr>
            <w:tcW w:w="3380" w:type="dxa"/>
            <w:vAlign w:val="bottom"/>
            <w:tcBorders>
              <w:right w:val="single" w:sz="8" w:color="0000EE"/>
            </w:tcBorders>
            <w:gridSpan w:val="3"/>
            <w:shd w:val="clear" w:color="auto" w:fill="0000FF"/>
          </w:tcPr>
          <w:p>
            <w:pPr>
              <w:spacing w:after="0" w:line="20" w:lineRule="exact"/>
              <w:rPr>
                <w:sz w:val="1"/>
                <w:szCs w:val="1"/>
                <w:color w:val="auto"/>
              </w:rPr>
            </w:pPr>
          </w:p>
        </w:tc>
        <w:tc>
          <w:tcPr>
            <w:tcW w:w="940" w:type="dxa"/>
            <w:vAlign w:val="bottom"/>
            <w:gridSpan w:val="9"/>
            <w:vMerge w:val="restart"/>
          </w:tcPr>
          <w:p>
            <w:pPr>
              <w:spacing w:after="0" w:line="202" w:lineRule="exact"/>
              <w:rPr>
                <w:sz w:val="20"/>
                <w:szCs w:val="20"/>
                <w:color w:val="auto"/>
              </w:rPr>
            </w:pPr>
            <w:r>
              <w:rPr>
                <w:rFonts w:ascii="Arial" w:cs="Arial" w:eastAsia="Arial" w:hAnsi="Arial"/>
                <w:sz w:val="18"/>
                <w:szCs w:val="18"/>
                <w:color w:val="0000FF"/>
              </w:rPr>
              <w:t>U.S.C.</w:t>
            </w:r>
          </w:p>
        </w:tc>
        <w:tc>
          <w:tcPr>
            <w:tcW w:w="700" w:type="dxa"/>
            <w:vAlign w:val="bottom"/>
          </w:tcPr>
          <w:p>
            <w:pPr>
              <w:spacing w:after="0" w:line="20" w:lineRule="exact"/>
              <w:rPr>
                <w:sz w:val="1"/>
                <w:szCs w:val="1"/>
                <w:color w:val="auto"/>
              </w:rPr>
            </w:pPr>
          </w:p>
        </w:tc>
        <w:tc>
          <w:tcPr>
            <w:tcW w:w="128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2020" w:type="dxa"/>
            <w:vAlign w:val="bottom"/>
            <w:vMerge w:val="continue"/>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2"/>
        </w:trPr>
        <w:tc>
          <w:tcPr>
            <w:tcW w:w="1020" w:type="dxa"/>
            <w:vAlign w:val="bottom"/>
            <w:vMerge w:val="continue"/>
          </w:tcPr>
          <w:p>
            <w:pPr>
              <w:spacing w:after="0"/>
              <w:rPr>
                <w:sz w:val="15"/>
                <w:szCs w:val="15"/>
                <w:color w:val="auto"/>
              </w:rPr>
            </w:pPr>
          </w:p>
        </w:tc>
        <w:tc>
          <w:tcPr>
            <w:tcW w:w="4320" w:type="dxa"/>
            <w:vAlign w:val="bottom"/>
            <w:gridSpan w:val="7"/>
          </w:tcPr>
          <w:p>
            <w:pPr>
              <w:spacing w:after="0" w:line="182" w:lineRule="exact"/>
              <w:rPr>
                <w:sz w:val="20"/>
                <w:szCs w:val="20"/>
                <w:color w:val="auto"/>
              </w:rPr>
            </w:pPr>
            <w:r>
              <w:rPr>
                <w:rFonts w:ascii="Arial" w:cs="Arial" w:eastAsia="Arial" w:hAnsi="Arial"/>
                <w:sz w:val="18"/>
                <w:szCs w:val="18"/>
                <w:color w:val="0000FF"/>
                <w:w w:val="94"/>
              </w:rPr>
              <w:t>Certification of Principal Executive Officer Pursuant to 18</w:t>
            </w:r>
          </w:p>
        </w:tc>
        <w:tc>
          <w:tcPr>
            <w:tcW w:w="940" w:type="dxa"/>
            <w:vAlign w:val="bottom"/>
            <w:gridSpan w:val="9"/>
            <w:vMerge w:val="continue"/>
          </w:tcPr>
          <w:p>
            <w:pPr>
              <w:spacing w:after="0"/>
              <w:rPr>
                <w:sz w:val="15"/>
                <w:szCs w:val="15"/>
                <w:color w:val="auto"/>
              </w:rPr>
            </w:pPr>
          </w:p>
        </w:tc>
        <w:tc>
          <w:tcPr>
            <w:tcW w:w="700" w:type="dxa"/>
            <w:vAlign w:val="bottom"/>
          </w:tcPr>
          <w:p>
            <w:pPr>
              <w:spacing w:after="0"/>
              <w:rPr>
                <w:sz w:val="15"/>
                <w:szCs w:val="15"/>
                <w:color w:val="auto"/>
              </w:rPr>
            </w:pPr>
          </w:p>
        </w:tc>
        <w:tc>
          <w:tcPr>
            <w:tcW w:w="1280" w:type="dxa"/>
            <w:vAlign w:val="bottom"/>
          </w:tcPr>
          <w:p>
            <w:pPr>
              <w:spacing w:after="0"/>
              <w:rPr>
                <w:sz w:val="15"/>
                <w:szCs w:val="15"/>
                <w:color w:val="auto"/>
              </w:rPr>
            </w:pPr>
          </w:p>
        </w:tc>
        <w:tc>
          <w:tcPr>
            <w:tcW w:w="900" w:type="dxa"/>
            <w:vAlign w:val="bottom"/>
          </w:tcPr>
          <w:p>
            <w:pPr>
              <w:spacing w:after="0"/>
              <w:rPr>
                <w:sz w:val="15"/>
                <w:szCs w:val="15"/>
                <w:color w:val="auto"/>
              </w:rPr>
            </w:pPr>
          </w:p>
        </w:tc>
        <w:tc>
          <w:tcPr>
            <w:tcW w:w="202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20"/>
        </w:trPr>
        <w:tc>
          <w:tcPr>
            <w:tcW w:w="1020" w:type="dxa"/>
            <w:vAlign w:val="bottom"/>
          </w:tcPr>
          <w:p>
            <w:pPr>
              <w:spacing w:after="0" w:line="20" w:lineRule="exact"/>
              <w:rPr>
                <w:sz w:val="1"/>
                <w:szCs w:val="1"/>
                <w:color w:val="auto"/>
              </w:rPr>
            </w:pPr>
          </w:p>
        </w:tc>
        <w:tc>
          <w:tcPr>
            <w:tcW w:w="20" w:type="dxa"/>
            <w:vAlign w:val="bottom"/>
            <w:vMerge w:val="restart"/>
          </w:tcPr>
          <w:p>
            <w:pPr>
              <w:spacing w:after="0" w:line="20" w:lineRule="exact"/>
              <w:rPr>
                <w:sz w:val="1"/>
                <w:szCs w:val="1"/>
                <w:color w:val="auto"/>
              </w:rPr>
            </w:pPr>
          </w:p>
        </w:tc>
        <w:tc>
          <w:tcPr>
            <w:tcW w:w="880" w:type="dxa"/>
            <w:vAlign w:val="bottom"/>
            <w:gridSpan w:val="2"/>
            <w:shd w:val="clear" w:color="auto" w:fill="0000FF"/>
          </w:tcPr>
          <w:p>
            <w:pPr>
              <w:spacing w:after="0" w:line="20" w:lineRule="exact"/>
              <w:rPr>
                <w:sz w:val="1"/>
                <w:szCs w:val="1"/>
                <w:color w:val="auto"/>
              </w:rPr>
            </w:pPr>
          </w:p>
        </w:tc>
        <w:tc>
          <w:tcPr>
            <w:tcW w:w="40" w:type="dxa"/>
            <w:vAlign w:val="bottom"/>
            <w:tcBorders>
              <w:right w:val="single" w:sz="8" w:color="0000FF"/>
            </w:tcBorders>
            <w:shd w:val="clear" w:color="auto" w:fill="0000FF"/>
          </w:tcPr>
          <w:p>
            <w:pPr>
              <w:spacing w:after="0" w:line="20" w:lineRule="exact"/>
              <w:rPr>
                <w:sz w:val="1"/>
                <w:szCs w:val="1"/>
                <w:color w:val="auto"/>
              </w:rPr>
            </w:pPr>
          </w:p>
        </w:tc>
        <w:tc>
          <w:tcPr>
            <w:tcW w:w="3840" w:type="dxa"/>
            <w:vAlign w:val="bottom"/>
            <w:tcBorders>
              <w:right w:val="single" w:sz="8" w:color="0000FF"/>
            </w:tcBorders>
            <w:gridSpan w:val="4"/>
            <w:shd w:val="clear" w:color="auto" w:fill="0000FF"/>
          </w:tcPr>
          <w:p>
            <w:pPr>
              <w:spacing w:after="0" w:line="20" w:lineRule="exact"/>
              <w:rPr>
                <w:sz w:val="1"/>
                <w:szCs w:val="1"/>
                <w:color w:val="auto"/>
              </w:rPr>
            </w:pPr>
          </w:p>
        </w:tc>
        <w:tc>
          <w:tcPr>
            <w:tcW w:w="480" w:type="dxa"/>
            <w:vAlign w:val="bottom"/>
            <w:gridSpan w:val="8"/>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128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20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69"/>
        </w:trPr>
        <w:tc>
          <w:tcPr>
            <w:tcW w:w="1020" w:type="dxa"/>
            <w:vAlign w:val="bottom"/>
          </w:tcPr>
          <w:p>
            <w:pPr>
              <w:spacing w:after="0"/>
              <w:rPr>
                <w:sz w:val="14"/>
                <w:szCs w:val="14"/>
                <w:color w:val="auto"/>
              </w:rPr>
            </w:pPr>
          </w:p>
        </w:tc>
        <w:tc>
          <w:tcPr>
            <w:tcW w:w="20" w:type="dxa"/>
            <w:vAlign w:val="bottom"/>
            <w:vMerge w:val="continue"/>
          </w:tcPr>
          <w:p>
            <w:pPr>
              <w:spacing w:after="0"/>
              <w:rPr>
                <w:sz w:val="14"/>
                <w:szCs w:val="14"/>
                <w:color w:val="auto"/>
              </w:rPr>
            </w:pPr>
          </w:p>
        </w:tc>
        <w:tc>
          <w:tcPr>
            <w:tcW w:w="5240" w:type="dxa"/>
            <w:vAlign w:val="bottom"/>
            <w:tcBorders>
              <w:bottom w:val="single" w:sz="8" w:color="0000FF"/>
            </w:tcBorders>
            <w:gridSpan w:val="15"/>
          </w:tcPr>
          <w:p>
            <w:pPr>
              <w:spacing w:after="0" w:line="169" w:lineRule="exact"/>
              <w:rPr>
                <w:sz w:val="20"/>
                <w:szCs w:val="20"/>
                <w:color w:val="auto"/>
              </w:rPr>
            </w:pPr>
            <w:r>
              <w:rPr>
                <w:rFonts w:ascii="Arial" w:cs="Arial" w:eastAsia="Arial" w:hAnsi="Arial"/>
                <w:sz w:val="18"/>
                <w:szCs w:val="18"/>
                <w:color w:val="0000FF"/>
                <w:w w:val="88"/>
              </w:rPr>
              <w:t>Section 1350, as Adopted Pursuant to Section 906 of the Sarbanes-Oxley</w:t>
            </w:r>
          </w:p>
        </w:tc>
        <w:tc>
          <w:tcPr>
            <w:tcW w:w="700" w:type="dxa"/>
            <w:vAlign w:val="bottom"/>
          </w:tcPr>
          <w:p>
            <w:pPr>
              <w:spacing w:after="0"/>
              <w:rPr>
                <w:sz w:val="14"/>
                <w:szCs w:val="14"/>
                <w:color w:val="auto"/>
              </w:rPr>
            </w:pPr>
          </w:p>
        </w:tc>
        <w:tc>
          <w:tcPr>
            <w:tcW w:w="128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20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9"/>
        </w:trPr>
        <w:tc>
          <w:tcPr>
            <w:tcW w:w="1020" w:type="dxa"/>
            <w:vAlign w:val="bottom"/>
            <w:vMerge w:val="restart"/>
          </w:tcPr>
          <w:p>
            <w:pPr>
              <w:spacing w:after="0"/>
              <w:rPr>
                <w:sz w:val="20"/>
                <w:szCs w:val="20"/>
                <w:color w:val="auto"/>
              </w:rPr>
            </w:pPr>
            <w:r>
              <w:rPr>
                <w:rFonts w:ascii="Arial" w:cs="Arial" w:eastAsia="Arial" w:hAnsi="Arial"/>
                <w:sz w:val="18"/>
                <w:szCs w:val="18"/>
                <w:color w:val="auto"/>
              </w:rPr>
              <w:t>32.2*</w:t>
            </w:r>
          </w:p>
        </w:tc>
        <w:tc>
          <w:tcPr>
            <w:tcW w:w="20" w:type="dxa"/>
            <w:vAlign w:val="bottom"/>
            <w:tcBorders>
              <w:bottom w:val="single" w:sz="8" w:color="0000EE"/>
            </w:tcBorders>
          </w:tcPr>
          <w:p>
            <w:pPr>
              <w:spacing w:after="0"/>
              <w:rPr>
                <w:sz w:val="14"/>
                <w:szCs w:val="14"/>
                <w:color w:val="auto"/>
              </w:rPr>
            </w:pPr>
          </w:p>
        </w:tc>
        <w:tc>
          <w:tcPr>
            <w:tcW w:w="880" w:type="dxa"/>
            <w:vAlign w:val="bottom"/>
            <w:tcBorders>
              <w:bottom w:val="single" w:sz="8" w:color="0000FF"/>
            </w:tcBorders>
            <w:gridSpan w:val="2"/>
          </w:tcPr>
          <w:p>
            <w:pPr>
              <w:spacing w:after="0" w:line="169" w:lineRule="exact"/>
              <w:rPr>
                <w:sz w:val="20"/>
                <w:szCs w:val="20"/>
                <w:color w:val="auto"/>
              </w:rPr>
            </w:pPr>
            <w:r>
              <w:rPr>
                <w:rFonts w:ascii="Arial" w:cs="Arial" w:eastAsia="Arial" w:hAnsi="Arial"/>
                <w:sz w:val="18"/>
                <w:szCs w:val="18"/>
                <w:color w:val="0000FF"/>
                <w:w w:val="89"/>
              </w:rPr>
              <w:t>Act of 2002.</w:t>
            </w:r>
          </w:p>
        </w:tc>
        <w:tc>
          <w:tcPr>
            <w:tcW w:w="40" w:type="dxa"/>
            <w:vAlign w:val="bottom"/>
            <w:tcBorders>
              <w:bottom w:val="single" w:sz="8" w:color="0000EE"/>
            </w:tcBorders>
          </w:tcPr>
          <w:p>
            <w:pPr>
              <w:spacing w:after="0"/>
              <w:rPr>
                <w:sz w:val="14"/>
                <w:szCs w:val="14"/>
                <w:color w:val="auto"/>
              </w:rPr>
            </w:pPr>
          </w:p>
        </w:tc>
        <w:tc>
          <w:tcPr>
            <w:tcW w:w="4320" w:type="dxa"/>
            <w:vAlign w:val="bottom"/>
            <w:gridSpan w:val="12"/>
          </w:tcPr>
          <w:p>
            <w:pPr>
              <w:spacing w:after="0"/>
              <w:rPr>
                <w:sz w:val="14"/>
                <w:szCs w:val="14"/>
                <w:color w:val="auto"/>
              </w:rPr>
            </w:pPr>
          </w:p>
        </w:tc>
        <w:tc>
          <w:tcPr>
            <w:tcW w:w="700" w:type="dxa"/>
            <w:vAlign w:val="bottom"/>
          </w:tcPr>
          <w:p>
            <w:pPr>
              <w:spacing w:after="0"/>
              <w:rPr>
                <w:sz w:val="14"/>
                <w:szCs w:val="14"/>
                <w:color w:val="auto"/>
              </w:rPr>
            </w:pPr>
          </w:p>
        </w:tc>
        <w:tc>
          <w:tcPr>
            <w:tcW w:w="128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2020" w:type="dxa"/>
            <w:vAlign w:val="bottom"/>
            <w:vMerge w:val="restart"/>
          </w:tcPr>
          <w:p>
            <w:pPr>
              <w:ind w:left="1500"/>
              <w:spacing w:after="0"/>
              <w:rPr>
                <w:sz w:val="20"/>
                <w:szCs w:val="20"/>
                <w:color w:val="auto"/>
              </w:rPr>
            </w:pPr>
            <w:r>
              <w:rPr>
                <w:rFonts w:ascii="Arial" w:cs="Arial" w:eastAsia="Arial" w:hAnsi="Arial"/>
                <w:sz w:val="18"/>
                <w:szCs w:val="18"/>
                <w:color w:val="auto"/>
              </w:rPr>
              <w:t>X</w:t>
            </w:r>
          </w:p>
        </w:tc>
        <w:tc>
          <w:tcPr>
            <w:tcW w:w="0" w:type="dxa"/>
            <w:vAlign w:val="bottom"/>
          </w:tcPr>
          <w:p>
            <w:pPr>
              <w:spacing w:after="0"/>
              <w:rPr>
                <w:sz w:val="1"/>
                <w:szCs w:val="1"/>
                <w:color w:val="auto"/>
              </w:rPr>
            </w:pPr>
          </w:p>
        </w:tc>
      </w:tr>
      <w:tr>
        <w:trPr>
          <w:trHeight w:val="182"/>
        </w:trPr>
        <w:tc>
          <w:tcPr>
            <w:tcW w:w="1020" w:type="dxa"/>
            <w:vAlign w:val="bottom"/>
            <w:vMerge w:val="continue"/>
          </w:tcPr>
          <w:p>
            <w:pPr>
              <w:spacing w:after="0"/>
              <w:rPr>
                <w:sz w:val="15"/>
                <w:szCs w:val="15"/>
                <w:color w:val="auto"/>
              </w:rPr>
            </w:pPr>
          </w:p>
        </w:tc>
        <w:tc>
          <w:tcPr>
            <w:tcW w:w="940" w:type="dxa"/>
            <w:vAlign w:val="bottom"/>
            <w:gridSpan w:val="4"/>
          </w:tcPr>
          <w:p>
            <w:pPr>
              <w:spacing w:after="0" w:line="182" w:lineRule="exact"/>
              <w:rPr>
                <w:sz w:val="20"/>
                <w:szCs w:val="20"/>
                <w:color w:val="auto"/>
              </w:rPr>
            </w:pPr>
            <w:r>
              <w:rPr>
                <w:rFonts w:ascii="Arial" w:cs="Arial" w:eastAsia="Arial" w:hAnsi="Arial"/>
                <w:sz w:val="18"/>
                <w:szCs w:val="18"/>
                <w:color w:val="0000FF"/>
                <w:w w:val="94"/>
              </w:rPr>
              <w:t>Certification</w:t>
            </w:r>
          </w:p>
        </w:tc>
        <w:tc>
          <w:tcPr>
            <w:tcW w:w="4320" w:type="dxa"/>
            <w:vAlign w:val="bottom"/>
            <w:gridSpan w:val="12"/>
          </w:tcPr>
          <w:p>
            <w:pPr>
              <w:spacing w:after="0" w:line="182" w:lineRule="exact"/>
              <w:rPr>
                <w:sz w:val="20"/>
                <w:szCs w:val="20"/>
                <w:color w:val="auto"/>
              </w:rPr>
            </w:pPr>
            <w:r>
              <w:rPr>
                <w:rFonts w:ascii="Arial" w:cs="Arial" w:eastAsia="Arial" w:hAnsi="Arial"/>
                <w:sz w:val="18"/>
                <w:szCs w:val="18"/>
                <w:color w:val="0000FF"/>
              </w:rPr>
              <w:t>of Principal Financial Officer Pursuant to 18 U.S.C.</w:t>
            </w:r>
          </w:p>
        </w:tc>
        <w:tc>
          <w:tcPr>
            <w:tcW w:w="700" w:type="dxa"/>
            <w:vAlign w:val="bottom"/>
          </w:tcPr>
          <w:p>
            <w:pPr>
              <w:spacing w:after="0"/>
              <w:rPr>
                <w:sz w:val="15"/>
                <w:szCs w:val="15"/>
                <w:color w:val="auto"/>
              </w:rPr>
            </w:pPr>
          </w:p>
        </w:tc>
        <w:tc>
          <w:tcPr>
            <w:tcW w:w="1280" w:type="dxa"/>
            <w:vAlign w:val="bottom"/>
          </w:tcPr>
          <w:p>
            <w:pPr>
              <w:spacing w:after="0"/>
              <w:rPr>
                <w:sz w:val="15"/>
                <w:szCs w:val="15"/>
                <w:color w:val="auto"/>
              </w:rPr>
            </w:pPr>
          </w:p>
        </w:tc>
        <w:tc>
          <w:tcPr>
            <w:tcW w:w="900" w:type="dxa"/>
            <w:vAlign w:val="bottom"/>
          </w:tcPr>
          <w:p>
            <w:pPr>
              <w:spacing w:after="0"/>
              <w:rPr>
                <w:sz w:val="15"/>
                <w:szCs w:val="15"/>
                <w:color w:val="auto"/>
              </w:rPr>
            </w:pPr>
          </w:p>
        </w:tc>
        <w:tc>
          <w:tcPr>
            <w:tcW w:w="202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169"/>
        </w:trPr>
        <w:tc>
          <w:tcPr>
            <w:tcW w:w="10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4760" w:type="dxa"/>
            <w:vAlign w:val="bottom"/>
            <w:tcBorders>
              <w:top w:val="single" w:sz="8" w:color="0000FF"/>
              <w:bottom w:val="single" w:sz="8" w:color="0000FF"/>
            </w:tcBorders>
            <w:gridSpan w:val="7"/>
          </w:tcPr>
          <w:p>
            <w:pPr>
              <w:spacing w:after="0" w:line="169" w:lineRule="exact"/>
              <w:rPr>
                <w:sz w:val="20"/>
                <w:szCs w:val="20"/>
                <w:color w:val="auto"/>
              </w:rPr>
            </w:pPr>
            <w:r>
              <w:rPr>
                <w:rFonts w:ascii="Arial" w:cs="Arial" w:eastAsia="Arial" w:hAnsi="Arial"/>
                <w:sz w:val="18"/>
                <w:szCs w:val="18"/>
                <w:color w:val="0000FF"/>
                <w:w w:val="88"/>
              </w:rPr>
              <w:t>Section 1350, as Adopted Pursuant to Section 906 of the Sarbanes</w:t>
            </w:r>
          </w:p>
        </w:tc>
        <w:tc>
          <w:tcPr>
            <w:tcW w:w="480" w:type="dxa"/>
            <w:vAlign w:val="bottom"/>
            <w:tcBorders>
              <w:bottom w:val="single" w:sz="8" w:color="0000FF"/>
            </w:tcBorders>
            <w:gridSpan w:val="8"/>
          </w:tcPr>
          <w:p>
            <w:pPr>
              <w:spacing w:after="0" w:line="169" w:lineRule="exact"/>
              <w:rPr>
                <w:sz w:val="20"/>
                <w:szCs w:val="20"/>
                <w:color w:val="auto"/>
              </w:rPr>
            </w:pPr>
            <w:r>
              <w:rPr>
                <w:rFonts w:ascii="Arial" w:cs="Arial" w:eastAsia="Arial" w:hAnsi="Arial"/>
                <w:sz w:val="18"/>
                <w:szCs w:val="18"/>
                <w:color w:val="0000FF"/>
                <w:w w:val="88"/>
              </w:rPr>
              <w:t>-Oxley</w:t>
            </w:r>
          </w:p>
        </w:tc>
        <w:tc>
          <w:tcPr>
            <w:tcW w:w="700" w:type="dxa"/>
            <w:vAlign w:val="bottom"/>
          </w:tcPr>
          <w:p>
            <w:pPr>
              <w:spacing w:after="0"/>
              <w:rPr>
                <w:sz w:val="14"/>
                <w:szCs w:val="14"/>
                <w:color w:val="auto"/>
              </w:rPr>
            </w:pPr>
          </w:p>
        </w:tc>
        <w:tc>
          <w:tcPr>
            <w:tcW w:w="128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20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9"/>
        </w:trPr>
        <w:tc>
          <w:tcPr>
            <w:tcW w:w="1020" w:type="dxa"/>
            <w:vAlign w:val="bottom"/>
            <w:vMerge w:val="restart"/>
          </w:tcPr>
          <w:p>
            <w:pPr>
              <w:spacing w:after="0"/>
              <w:rPr>
                <w:sz w:val="20"/>
                <w:szCs w:val="20"/>
                <w:color w:val="auto"/>
              </w:rPr>
            </w:pPr>
            <w:r>
              <w:rPr>
                <w:rFonts w:ascii="Arial" w:cs="Arial" w:eastAsia="Arial" w:hAnsi="Arial"/>
                <w:sz w:val="18"/>
                <w:szCs w:val="18"/>
                <w:color w:val="auto"/>
              </w:rPr>
              <w:t>101.INS</w:t>
            </w:r>
          </w:p>
        </w:tc>
        <w:tc>
          <w:tcPr>
            <w:tcW w:w="20" w:type="dxa"/>
            <w:vAlign w:val="bottom"/>
            <w:tcBorders>
              <w:bottom w:val="single" w:sz="8" w:color="0000EE"/>
            </w:tcBorders>
          </w:tcPr>
          <w:p>
            <w:pPr>
              <w:spacing w:after="0"/>
              <w:rPr>
                <w:sz w:val="14"/>
                <w:szCs w:val="14"/>
                <w:color w:val="auto"/>
              </w:rPr>
            </w:pPr>
          </w:p>
        </w:tc>
        <w:tc>
          <w:tcPr>
            <w:tcW w:w="880" w:type="dxa"/>
            <w:vAlign w:val="bottom"/>
            <w:tcBorders>
              <w:bottom w:val="single" w:sz="8" w:color="0000FF"/>
            </w:tcBorders>
            <w:gridSpan w:val="2"/>
          </w:tcPr>
          <w:p>
            <w:pPr>
              <w:spacing w:after="0" w:line="169" w:lineRule="exact"/>
              <w:rPr>
                <w:sz w:val="20"/>
                <w:szCs w:val="20"/>
                <w:color w:val="auto"/>
              </w:rPr>
            </w:pPr>
            <w:r>
              <w:rPr>
                <w:rFonts w:ascii="Arial" w:cs="Arial" w:eastAsia="Arial" w:hAnsi="Arial"/>
                <w:sz w:val="18"/>
                <w:szCs w:val="18"/>
                <w:color w:val="0000FF"/>
                <w:w w:val="89"/>
              </w:rPr>
              <w:t>Act of 2002.</w:t>
            </w:r>
          </w:p>
        </w:tc>
        <w:tc>
          <w:tcPr>
            <w:tcW w:w="40" w:type="dxa"/>
            <w:vAlign w:val="bottom"/>
            <w:tcBorders>
              <w:bottom w:val="single" w:sz="8" w:color="0000EE"/>
            </w:tcBorders>
          </w:tcPr>
          <w:p>
            <w:pPr>
              <w:spacing w:after="0"/>
              <w:rPr>
                <w:sz w:val="14"/>
                <w:szCs w:val="14"/>
                <w:color w:val="auto"/>
              </w:rPr>
            </w:pPr>
          </w:p>
        </w:tc>
        <w:tc>
          <w:tcPr>
            <w:tcW w:w="4320" w:type="dxa"/>
            <w:vAlign w:val="bottom"/>
            <w:gridSpan w:val="12"/>
          </w:tcPr>
          <w:p>
            <w:pPr>
              <w:spacing w:after="0"/>
              <w:rPr>
                <w:sz w:val="14"/>
                <w:szCs w:val="14"/>
                <w:color w:val="auto"/>
              </w:rPr>
            </w:pPr>
          </w:p>
        </w:tc>
        <w:tc>
          <w:tcPr>
            <w:tcW w:w="700" w:type="dxa"/>
            <w:vAlign w:val="bottom"/>
          </w:tcPr>
          <w:p>
            <w:pPr>
              <w:spacing w:after="0"/>
              <w:rPr>
                <w:sz w:val="14"/>
                <w:szCs w:val="14"/>
                <w:color w:val="auto"/>
              </w:rPr>
            </w:pPr>
          </w:p>
        </w:tc>
        <w:tc>
          <w:tcPr>
            <w:tcW w:w="128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2020" w:type="dxa"/>
            <w:vAlign w:val="bottom"/>
            <w:vMerge w:val="restart"/>
          </w:tcPr>
          <w:p>
            <w:pPr>
              <w:ind w:left="1500"/>
              <w:spacing w:after="0"/>
              <w:rPr>
                <w:sz w:val="20"/>
                <w:szCs w:val="20"/>
                <w:color w:val="auto"/>
              </w:rPr>
            </w:pPr>
            <w:r>
              <w:rPr>
                <w:rFonts w:ascii="Arial" w:cs="Arial" w:eastAsia="Arial" w:hAnsi="Arial"/>
                <w:sz w:val="18"/>
                <w:szCs w:val="18"/>
                <w:color w:val="auto"/>
              </w:rPr>
              <w:t>X</w:t>
            </w:r>
          </w:p>
        </w:tc>
        <w:tc>
          <w:tcPr>
            <w:tcW w:w="0" w:type="dxa"/>
            <w:vAlign w:val="bottom"/>
          </w:tcPr>
          <w:p>
            <w:pPr>
              <w:spacing w:after="0"/>
              <w:rPr>
                <w:sz w:val="1"/>
                <w:szCs w:val="1"/>
                <w:color w:val="auto"/>
              </w:rPr>
            </w:pPr>
          </w:p>
        </w:tc>
      </w:tr>
      <w:tr>
        <w:trPr>
          <w:trHeight w:val="181"/>
        </w:trPr>
        <w:tc>
          <w:tcPr>
            <w:tcW w:w="1020" w:type="dxa"/>
            <w:vAlign w:val="bottom"/>
            <w:vMerge w:val="continue"/>
          </w:tcPr>
          <w:p>
            <w:pPr>
              <w:spacing w:after="0"/>
              <w:rPr>
                <w:sz w:val="15"/>
                <w:szCs w:val="15"/>
                <w:color w:val="auto"/>
              </w:rPr>
            </w:pPr>
          </w:p>
        </w:tc>
        <w:tc>
          <w:tcPr>
            <w:tcW w:w="940" w:type="dxa"/>
            <w:vAlign w:val="bottom"/>
            <w:gridSpan w:val="4"/>
          </w:tcPr>
          <w:p>
            <w:pPr>
              <w:spacing w:after="0" w:line="182" w:lineRule="exact"/>
              <w:rPr>
                <w:sz w:val="20"/>
                <w:szCs w:val="20"/>
                <w:color w:val="auto"/>
              </w:rPr>
            </w:pPr>
            <w:r>
              <w:rPr>
                <w:rFonts w:ascii="Arial" w:cs="Arial" w:eastAsia="Arial" w:hAnsi="Arial"/>
                <w:sz w:val="18"/>
                <w:szCs w:val="18"/>
                <w:color w:val="auto"/>
                <w:w w:val="94"/>
              </w:rPr>
              <w:t>Inline XBRL</w:t>
            </w:r>
          </w:p>
        </w:tc>
        <w:tc>
          <w:tcPr>
            <w:tcW w:w="4320" w:type="dxa"/>
            <w:vAlign w:val="bottom"/>
            <w:gridSpan w:val="12"/>
          </w:tcPr>
          <w:p>
            <w:pPr>
              <w:ind w:left="40"/>
              <w:spacing w:after="0" w:line="182" w:lineRule="exact"/>
              <w:rPr>
                <w:sz w:val="20"/>
                <w:szCs w:val="20"/>
                <w:color w:val="auto"/>
              </w:rPr>
            </w:pPr>
            <w:r>
              <w:rPr>
                <w:rFonts w:ascii="Arial" w:cs="Arial" w:eastAsia="Arial" w:hAnsi="Arial"/>
                <w:sz w:val="18"/>
                <w:szCs w:val="18"/>
                <w:color w:val="auto"/>
                <w:w w:val="99"/>
              </w:rPr>
              <w:t>Instance Document – the instance document does not</w:t>
            </w:r>
          </w:p>
        </w:tc>
        <w:tc>
          <w:tcPr>
            <w:tcW w:w="700" w:type="dxa"/>
            <w:vAlign w:val="bottom"/>
          </w:tcPr>
          <w:p>
            <w:pPr>
              <w:spacing w:after="0"/>
              <w:rPr>
                <w:sz w:val="15"/>
                <w:szCs w:val="15"/>
                <w:color w:val="auto"/>
              </w:rPr>
            </w:pPr>
          </w:p>
        </w:tc>
        <w:tc>
          <w:tcPr>
            <w:tcW w:w="1280" w:type="dxa"/>
            <w:vAlign w:val="bottom"/>
          </w:tcPr>
          <w:p>
            <w:pPr>
              <w:spacing w:after="0"/>
              <w:rPr>
                <w:sz w:val="15"/>
                <w:szCs w:val="15"/>
                <w:color w:val="auto"/>
              </w:rPr>
            </w:pPr>
          </w:p>
        </w:tc>
        <w:tc>
          <w:tcPr>
            <w:tcW w:w="900" w:type="dxa"/>
            <w:vAlign w:val="bottom"/>
          </w:tcPr>
          <w:p>
            <w:pPr>
              <w:spacing w:after="0"/>
              <w:rPr>
                <w:sz w:val="15"/>
                <w:szCs w:val="15"/>
                <w:color w:val="auto"/>
              </w:rPr>
            </w:pPr>
          </w:p>
        </w:tc>
        <w:tc>
          <w:tcPr>
            <w:tcW w:w="202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189"/>
        </w:trPr>
        <w:tc>
          <w:tcPr>
            <w:tcW w:w="1020" w:type="dxa"/>
            <w:vAlign w:val="bottom"/>
          </w:tcPr>
          <w:p>
            <w:pPr>
              <w:spacing w:after="0"/>
              <w:rPr>
                <w:sz w:val="16"/>
                <w:szCs w:val="16"/>
                <w:color w:val="auto"/>
              </w:rPr>
            </w:pPr>
          </w:p>
        </w:tc>
        <w:tc>
          <w:tcPr>
            <w:tcW w:w="5260" w:type="dxa"/>
            <w:vAlign w:val="bottom"/>
            <w:gridSpan w:val="16"/>
          </w:tcPr>
          <w:p>
            <w:pPr>
              <w:spacing w:after="0" w:line="189" w:lineRule="exact"/>
              <w:rPr>
                <w:sz w:val="20"/>
                <w:szCs w:val="20"/>
                <w:color w:val="auto"/>
              </w:rPr>
            </w:pPr>
            <w:r>
              <w:rPr>
                <w:rFonts w:ascii="Arial" w:cs="Arial" w:eastAsia="Arial" w:hAnsi="Arial"/>
                <w:sz w:val="18"/>
                <w:szCs w:val="18"/>
                <w:color w:val="auto"/>
                <w:w w:val="94"/>
              </w:rPr>
              <w:t>appear in the Interactive Data File because XBRL tags are embedded</w:t>
            </w:r>
          </w:p>
        </w:tc>
        <w:tc>
          <w:tcPr>
            <w:tcW w:w="700" w:type="dxa"/>
            <w:vAlign w:val="bottom"/>
          </w:tcPr>
          <w:p>
            <w:pPr>
              <w:spacing w:after="0"/>
              <w:rPr>
                <w:sz w:val="16"/>
                <w:szCs w:val="16"/>
                <w:color w:val="auto"/>
              </w:rPr>
            </w:pPr>
          </w:p>
        </w:tc>
        <w:tc>
          <w:tcPr>
            <w:tcW w:w="1280" w:type="dxa"/>
            <w:vAlign w:val="bottom"/>
          </w:tcPr>
          <w:p>
            <w:pPr>
              <w:spacing w:after="0"/>
              <w:rPr>
                <w:sz w:val="16"/>
                <w:szCs w:val="16"/>
                <w:color w:val="auto"/>
              </w:rPr>
            </w:pPr>
          </w:p>
        </w:tc>
        <w:tc>
          <w:tcPr>
            <w:tcW w:w="900" w:type="dxa"/>
            <w:vAlign w:val="bottom"/>
          </w:tcPr>
          <w:p>
            <w:pPr>
              <w:spacing w:after="0"/>
              <w:rPr>
                <w:sz w:val="16"/>
                <w:szCs w:val="16"/>
                <w:color w:val="auto"/>
              </w:rPr>
            </w:pPr>
          </w:p>
        </w:tc>
        <w:tc>
          <w:tcPr>
            <w:tcW w:w="20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2"/>
        </w:trPr>
        <w:tc>
          <w:tcPr>
            <w:tcW w:w="1020" w:type="dxa"/>
            <w:vAlign w:val="bottom"/>
          </w:tcPr>
          <w:p>
            <w:pPr>
              <w:spacing w:after="0"/>
              <w:rPr>
                <w:sz w:val="17"/>
                <w:szCs w:val="17"/>
                <w:color w:val="auto"/>
              </w:rPr>
            </w:pPr>
          </w:p>
        </w:tc>
        <w:tc>
          <w:tcPr>
            <w:tcW w:w="5260" w:type="dxa"/>
            <w:vAlign w:val="bottom"/>
            <w:gridSpan w:val="16"/>
          </w:tcPr>
          <w:p>
            <w:pPr>
              <w:spacing w:after="0" w:line="202" w:lineRule="exact"/>
              <w:rPr>
                <w:sz w:val="20"/>
                <w:szCs w:val="20"/>
                <w:color w:val="auto"/>
              </w:rPr>
            </w:pPr>
            <w:r>
              <w:rPr>
                <w:rFonts w:ascii="Arial" w:cs="Arial" w:eastAsia="Arial" w:hAnsi="Arial"/>
                <w:sz w:val="18"/>
                <w:szCs w:val="18"/>
                <w:color w:val="auto"/>
              </w:rPr>
              <w:t>within the Inline XBRL document.</w:t>
            </w:r>
          </w:p>
        </w:tc>
        <w:tc>
          <w:tcPr>
            <w:tcW w:w="700" w:type="dxa"/>
            <w:vAlign w:val="bottom"/>
          </w:tcPr>
          <w:p>
            <w:pPr>
              <w:spacing w:after="0"/>
              <w:rPr>
                <w:sz w:val="17"/>
                <w:szCs w:val="17"/>
                <w:color w:val="auto"/>
              </w:rPr>
            </w:pPr>
          </w:p>
        </w:tc>
        <w:tc>
          <w:tcPr>
            <w:tcW w:w="128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20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2"/>
        </w:trPr>
        <w:tc>
          <w:tcPr>
            <w:tcW w:w="1020" w:type="dxa"/>
            <w:vAlign w:val="bottom"/>
          </w:tcPr>
          <w:p>
            <w:pPr>
              <w:spacing w:after="0" w:line="202" w:lineRule="exact"/>
              <w:rPr>
                <w:sz w:val="20"/>
                <w:szCs w:val="20"/>
                <w:color w:val="auto"/>
              </w:rPr>
            </w:pPr>
            <w:r>
              <w:rPr>
                <w:rFonts w:ascii="Arial" w:cs="Arial" w:eastAsia="Arial" w:hAnsi="Arial"/>
                <w:sz w:val="18"/>
                <w:szCs w:val="18"/>
                <w:color w:val="auto"/>
              </w:rPr>
              <w:t>101.SCH</w:t>
            </w:r>
          </w:p>
        </w:tc>
        <w:tc>
          <w:tcPr>
            <w:tcW w:w="5260" w:type="dxa"/>
            <w:vAlign w:val="bottom"/>
            <w:gridSpan w:val="16"/>
          </w:tcPr>
          <w:p>
            <w:pPr>
              <w:spacing w:after="0" w:line="202" w:lineRule="exact"/>
              <w:rPr>
                <w:sz w:val="20"/>
                <w:szCs w:val="20"/>
                <w:color w:val="auto"/>
              </w:rPr>
            </w:pPr>
            <w:r>
              <w:rPr>
                <w:rFonts w:ascii="Arial" w:cs="Arial" w:eastAsia="Arial" w:hAnsi="Arial"/>
                <w:sz w:val="18"/>
                <w:szCs w:val="18"/>
                <w:color w:val="auto"/>
              </w:rPr>
              <w:t>Inline XBRL Taxonomy Extension Schema Document</w:t>
            </w:r>
          </w:p>
        </w:tc>
        <w:tc>
          <w:tcPr>
            <w:tcW w:w="700" w:type="dxa"/>
            <w:vAlign w:val="bottom"/>
          </w:tcPr>
          <w:p>
            <w:pPr>
              <w:spacing w:after="0"/>
              <w:rPr>
                <w:sz w:val="17"/>
                <w:szCs w:val="17"/>
                <w:color w:val="auto"/>
              </w:rPr>
            </w:pPr>
          </w:p>
        </w:tc>
        <w:tc>
          <w:tcPr>
            <w:tcW w:w="128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2020" w:type="dxa"/>
            <w:vAlign w:val="bottom"/>
          </w:tcPr>
          <w:p>
            <w:pPr>
              <w:ind w:left="1500"/>
              <w:spacing w:after="0" w:line="202" w:lineRule="exact"/>
              <w:rPr>
                <w:sz w:val="20"/>
                <w:szCs w:val="20"/>
                <w:color w:val="auto"/>
              </w:rPr>
            </w:pPr>
            <w:r>
              <w:rPr>
                <w:rFonts w:ascii="Arial" w:cs="Arial" w:eastAsia="Arial" w:hAnsi="Arial"/>
                <w:sz w:val="18"/>
                <w:szCs w:val="18"/>
                <w:color w:val="auto"/>
              </w:rPr>
              <w:t>X</w:t>
            </w:r>
          </w:p>
        </w:tc>
        <w:tc>
          <w:tcPr>
            <w:tcW w:w="0" w:type="dxa"/>
            <w:vAlign w:val="bottom"/>
          </w:tcPr>
          <w:p>
            <w:pPr>
              <w:spacing w:after="0"/>
              <w:rPr>
                <w:sz w:val="1"/>
                <w:szCs w:val="1"/>
                <w:color w:val="auto"/>
              </w:rPr>
            </w:pPr>
          </w:p>
        </w:tc>
      </w:tr>
      <w:tr>
        <w:trPr>
          <w:trHeight w:val="202"/>
        </w:trPr>
        <w:tc>
          <w:tcPr>
            <w:tcW w:w="1020" w:type="dxa"/>
            <w:vAlign w:val="bottom"/>
          </w:tcPr>
          <w:p>
            <w:pPr>
              <w:spacing w:after="0" w:line="202" w:lineRule="exact"/>
              <w:rPr>
                <w:sz w:val="20"/>
                <w:szCs w:val="20"/>
                <w:color w:val="auto"/>
              </w:rPr>
            </w:pPr>
            <w:r>
              <w:rPr>
                <w:rFonts w:ascii="Arial" w:cs="Arial" w:eastAsia="Arial" w:hAnsi="Arial"/>
                <w:sz w:val="18"/>
                <w:szCs w:val="18"/>
                <w:color w:val="auto"/>
              </w:rPr>
              <w:t>101.CAL</w:t>
            </w:r>
          </w:p>
        </w:tc>
        <w:tc>
          <w:tcPr>
            <w:tcW w:w="5260" w:type="dxa"/>
            <w:vAlign w:val="bottom"/>
            <w:gridSpan w:val="16"/>
          </w:tcPr>
          <w:p>
            <w:pPr>
              <w:spacing w:after="0" w:line="202" w:lineRule="exact"/>
              <w:rPr>
                <w:sz w:val="20"/>
                <w:szCs w:val="20"/>
                <w:color w:val="auto"/>
              </w:rPr>
            </w:pPr>
            <w:r>
              <w:rPr>
                <w:rFonts w:ascii="Arial" w:cs="Arial" w:eastAsia="Arial" w:hAnsi="Arial"/>
                <w:sz w:val="18"/>
                <w:szCs w:val="18"/>
                <w:color w:val="auto"/>
                <w:w w:val="99"/>
              </w:rPr>
              <w:t>Inline XBRL Taxonomy Extension Calculation Linkbase Document</w:t>
            </w:r>
          </w:p>
        </w:tc>
        <w:tc>
          <w:tcPr>
            <w:tcW w:w="700" w:type="dxa"/>
            <w:vAlign w:val="bottom"/>
          </w:tcPr>
          <w:p>
            <w:pPr>
              <w:spacing w:after="0"/>
              <w:rPr>
                <w:sz w:val="17"/>
                <w:szCs w:val="17"/>
                <w:color w:val="auto"/>
              </w:rPr>
            </w:pPr>
          </w:p>
        </w:tc>
        <w:tc>
          <w:tcPr>
            <w:tcW w:w="128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2020" w:type="dxa"/>
            <w:vAlign w:val="bottom"/>
          </w:tcPr>
          <w:p>
            <w:pPr>
              <w:ind w:left="1500"/>
              <w:spacing w:after="0" w:line="202" w:lineRule="exact"/>
              <w:rPr>
                <w:sz w:val="20"/>
                <w:szCs w:val="20"/>
                <w:color w:val="auto"/>
              </w:rPr>
            </w:pPr>
            <w:r>
              <w:rPr>
                <w:rFonts w:ascii="Arial" w:cs="Arial" w:eastAsia="Arial" w:hAnsi="Arial"/>
                <w:sz w:val="18"/>
                <w:szCs w:val="18"/>
                <w:color w:val="auto"/>
              </w:rPr>
              <w:t>X</w:t>
            </w:r>
          </w:p>
        </w:tc>
        <w:tc>
          <w:tcPr>
            <w:tcW w:w="0" w:type="dxa"/>
            <w:vAlign w:val="bottom"/>
          </w:tcPr>
          <w:p>
            <w:pPr>
              <w:spacing w:after="0"/>
              <w:rPr>
                <w:sz w:val="1"/>
                <w:szCs w:val="1"/>
                <w:color w:val="auto"/>
              </w:rPr>
            </w:pPr>
          </w:p>
        </w:tc>
      </w:tr>
      <w:tr>
        <w:trPr>
          <w:trHeight w:val="202"/>
        </w:trPr>
        <w:tc>
          <w:tcPr>
            <w:tcW w:w="1020" w:type="dxa"/>
            <w:vAlign w:val="bottom"/>
          </w:tcPr>
          <w:p>
            <w:pPr>
              <w:spacing w:after="0" w:line="202" w:lineRule="exact"/>
              <w:rPr>
                <w:sz w:val="20"/>
                <w:szCs w:val="20"/>
                <w:color w:val="auto"/>
              </w:rPr>
            </w:pPr>
            <w:r>
              <w:rPr>
                <w:rFonts w:ascii="Arial" w:cs="Arial" w:eastAsia="Arial" w:hAnsi="Arial"/>
                <w:sz w:val="18"/>
                <w:szCs w:val="18"/>
                <w:color w:val="auto"/>
              </w:rPr>
              <w:t>101.DEF</w:t>
            </w:r>
          </w:p>
        </w:tc>
        <w:tc>
          <w:tcPr>
            <w:tcW w:w="5260" w:type="dxa"/>
            <w:vAlign w:val="bottom"/>
            <w:gridSpan w:val="16"/>
          </w:tcPr>
          <w:p>
            <w:pPr>
              <w:spacing w:after="0" w:line="202" w:lineRule="exact"/>
              <w:rPr>
                <w:sz w:val="20"/>
                <w:szCs w:val="20"/>
                <w:color w:val="auto"/>
              </w:rPr>
            </w:pPr>
            <w:r>
              <w:rPr>
                <w:rFonts w:ascii="Arial" w:cs="Arial" w:eastAsia="Arial" w:hAnsi="Arial"/>
                <w:sz w:val="18"/>
                <w:szCs w:val="18"/>
                <w:color w:val="auto"/>
              </w:rPr>
              <w:t>Inline XBRL Taxonomy Extension Definition Linkbase Document</w:t>
            </w:r>
          </w:p>
        </w:tc>
        <w:tc>
          <w:tcPr>
            <w:tcW w:w="700" w:type="dxa"/>
            <w:vAlign w:val="bottom"/>
          </w:tcPr>
          <w:p>
            <w:pPr>
              <w:spacing w:after="0"/>
              <w:rPr>
                <w:sz w:val="17"/>
                <w:szCs w:val="17"/>
                <w:color w:val="auto"/>
              </w:rPr>
            </w:pPr>
          </w:p>
        </w:tc>
        <w:tc>
          <w:tcPr>
            <w:tcW w:w="128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2020" w:type="dxa"/>
            <w:vAlign w:val="bottom"/>
          </w:tcPr>
          <w:p>
            <w:pPr>
              <w:ind w:left="1500"/>
              <w:spacing w:after="0" w:line="202" w:lineRule="exact"/>
              <w:rPr>
                <w:sz w:val="20"/>
                <w:szCs w:val="20"/>
                <w:color w:val="auto"/>
              </w:rPr>
            </w:pPr>
            <w:r>
              <w:rPr>
                <w:rFonts w:ascii="Arial" w:cs="Arial" w:eastAsia="Arial" w:hAnsi="Arial"/>
                <w:sz w:val="18"/>
                <w:szCs w:val="18"/>
                <w:color w:val="auto"/>
              </w:rPr>
              <w:t>X</w:t>
            </w:r>
          </w:p>
        </w:tc>
        <w:tc>
          <w:tcPr>
            <w:tcW w:w="0" w:type="dxa"/>
            <w:vAlign w:val="bottom"/>
          </w:tcPr>
          <w:p>
            <w:pPr>
              <w:spacing w:after="0"/>
              <w:rPr>
                <w:sz w:val="1"/>
                <w:szCs w:val="1"/>
                <w:color w:val="auto"/>
              </w:rPr>
            </w:pPr>
          </w:p>
        </w:tc>
      </w:tr>
      <w:tr>
        <w:trPr>
          <w:trHeight w:val="202"/>
        </w:trPr>
        <w:tc>
          <w:tcPr>
            <w:tcW w:w="1020" w:type="dxa"/>
            <w:vAlign w:val="bottom"/>
          </w:tcPr>
          <w:p>
            <w:pPr>
              <w:spacing w:after="0" w:line="202" w:lineRule="exact"/>
              <w:rPr>
                <w:sz w:val="20"/>
                <w:szCs w:val="20"/>
                <w:color w:val="auto"/>
              </w:rPr>
            </w:pPr>
            <w:r>
              <w:rPr>
                <w:rFonts w:ascii="Arial" w:cs="Arial" w:eastAsia="Arial" w:hAnsi="Arial"/>
                <w:sz w:val="18"/>
                <w:szCs w:val="18"/>
                <w:color w:val="auto"/>
              </w:rPr>
              <w:t>101.LAB</w:t>
            </w:r>
          </w:p>
        </w:tc>
        <w:tc>
          <w:tcPr>
            <w:tcW w:w="5260" w:type="dxa"/>
            <w:vAlign w:val="bottom"/>
            <w:gridSpan w:val="16"/>
          </w:tcPr>
          <w:p>
            <w:pPr>
              <w:spacing w:after="0" w:line="202" w:lineRule="exact"/>
              <w:rPr>
                <w:sz w:val="20"/>
                <w:szCs w:val="20"/>
                <w:color w:val="auto"/>
              </w:rPr>
            </w:pPr>
            <w:r>
              <w:rPr>
                <w:rFonts w:ascii="Arial" w:cs="Arial" w:eastAsia="Arial" w:hAnsi="Arial"/>
                <w:sz w:val="18"/>
                <w:szCs w:val="18"/>
                <w:color w:val="auto"/>
              </w:rPr>
              <w:t>Inline XBRL Taxonomy Extension Label Linkbase Document</w:t>
            </w:r>
          </w:p>
        </w:tc>
        <w:tc>
          <w:tcPr>
            <w:tcW w:w="700" w:type="dxa"/>
            <w:vAlign w:val="bottom"/>
          </w:tcPr>
          <w:p>
            <w:pPr>
              <w:spacing w:after="0"/>
              <w:rPr>
                <w:sz w:val="17"/>
                <w:szCs w:val="17"/>
                <w:color w:val="auto"/>
              </w:rPr>
            </w:pPr>
          </w:p>
        </w:tc>
        <w:tc>
          <w:tcPr>
            <w:tcW w:w="128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2020" w:type="dxa"/>
            <w:vAlign w:val="bottom"/>
          </w:tcPr>
          <w:p>
            <w:pPr>
              <w:ind w:left="1500"/>
              <w:spacing w:after="0" w:line="202" w:lineRule="exact"/>
              <w:rPr>
                <w:sz w:val="20"/>
                <w:szCs w:val="20"/>
                <w:color w:val="auto"/>
              </w:rPr>
            </w:pPr>
            <w:r>
              <w:rPr>
                <w:rFonts w:ascii="Arial" w:cs="Arial" w:eastAsia="Arial" w:hAnsi="Arial"/>
                <w:sz w:val="18"/>
                <w:szCs w:val="18"/>
                <w:color w:val="auto"/>
              </w:rPr>
              <w:t>X</w:t>
            </w:r>
          </w:p>
        </w:tc>
        <w:tc>
          <w:tcPr>
            <w:tcW w:w="0" w:type="dxa"/>
            <w:vAlign w:val="bottom"/>
          </w:tcPr>
          <w:p>
            <w:pPr>
              <w:spacing w:after="0"/>
              <w:rPr>
                <w:sz w:val="1"/>
                <w:szCs w:val="1"/>
                <w:color w:val="auto"/>
              </w:rPr>
            </w:pPr>
          </w:p>
        </w:tc>
      </w:tr>
      <w:tr>
        <w:trPr>
          <w:trHeight w:val="202"/>
        </w:trPr>
        <w:tc>
          <w:tcPr>
            <w:tcW w:w="1020" w:type="dxa"/>
            <w:vAlign w:val="bottom"/>
          </w:tcPr>
          <w:p>
            <w:pPr>
              <w:spacing w:after="0" w:line="202" w:lineRule="exact"/>
              <w:rPr>
                <w:sz w:val="20"/>
                <w:szCs w:val="20"/>
                <w:color w:val="auto"/>
              </w:rPr>
            </w:pPr>
            <w:r>
              <w:rPr>
                <w:rFonts w:ascii="Arial" w:cs="Arial" w:eastAsia="Arial" w:hAnsi="Arial"/>
                <w:sz w:val="18"/>
                <w:szCs w:val="18"/>
                <w:color w:val="auto"/>
              </w:rPr>
              <w:t>101.PRE</w:t>
            </w:r>
          </w:p>
        </w:tc>
        <w:tc>
          <w:tcPr>
            <w:tcW w:w="5260" w:type="dxa"/>
            <w:vAlign w:val="bottom"/>
            <w:gridSpan w:val="16"/>
          </w:tcPr>
          <w:p>
            <w:pPr>
              <w:spacing w:after="0" w:line="202" w:lineRule="exact"/>
              <w:rPr>
                <w:sz w:val="20"/>
                <w:szCs w:val="20"/>
                <w:color w:val="auto"/>
              </w:rPr>
            </w:pPr>
            <w:r>
              <w:rPr>
                <w:rFonts w:ascii="Arial" w:cs="Arial" w:eastAsia="Arial" w:hAnsi="Arial"/>
                <w:sz w:val="18"/>
                <w:szCs w:val="18"/>
                <w:color w:val="auto"/>
                <w:w w:val="97"/>
              </w:rPr>
              <w:t>Inline XBRL Taxonomy Extension Presentation Linkbase Document</w:t>
            </w:r>
          </w:p>
        </w:tc>
        <w:tc>
          <w:tcPr>
            <w:tcW w:w="700" w:type="dxa"/>
            <w:vAlign w:val="bottom"/>
          </w:tcPr>
          <w:p>
            <w:pPr>
              <w:spacing w:after="0"/>
              <w:rPr>
                <w:sz w:val="17"/>
                <w:szCs w:val="17"/>
                <w:color w:val="auto"/>
              </w:rPr>
            </w:pPr>
          </w:p>
        </w:tc>
        <w:tc>
          <w:tcPr>
            <w:tcW w:w="128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2020" w:type="dxa"/>
            <w:vAlign w:val="bottom"/>
          </w:tcPr>
          <w:p>
            <w:pPr>
              <w:ind w:left="1500"/>
              <w:spacing w:after="0" w:line="202" w:lineRule="exact"/>
              <w:rPr>
                <w:sz w:val="20"/>
                <w:szCs w:val="20"/>
                <w:color w:val="auto"/>
              </w:rPr>
            </w:pPr>
            <w:r>
              <w:rPr>
                <w:rFonts w:ascii="Arial" w:cs="Arial" w:eastAsia="Arial" w:hAnsi="Arial"/>
                <w:sz w:val="18"/>
                <w:szCs w:val="18"/>
                <w:color w:val="auto"/>
              </w:rPr>
              <w:t>X</w:t>
            </w:r>
          </w:p>
        </w:tc>
        <w:tc>
          <w:tcPr>
            <w:tcW w:w="0" w:type="dxa"/>
            <w:vAlign w:val="bottom"/>
          </w:tcPr>
          <w:p>
            <w:pPr>
              <w:spacing w:after="0"/>
              <w:rPr>
                <w:sz w:val="1"/>
                <w:szCs w:val="1"/>
                <w:color w:val="auto"/>
              </w:rPr>
            </w:pPr>
          </w:p>
        </w:tc>
      </w:tr>
      <w:tr>
        <w:trPr>
          <w:trHeight w:val="189"/>
        </w:trPr>
        <w:tc>
          <w:tcPr>
            <w:tcW w:w="1020" w:type="dxa"/>
            <w:vAlign w:val="bottom"/>
          </w:tcPr>
          <w:p>
            <w:pPr>
              <w:spacing w:after="0" w:line="189" w:lineRule="exact"/>
              <w:rPr>
                <w:sz w:val="20"/>
                <w:szCs w:val="20"/>
                <w:color w:val="auto"/>
              </w:rPr>
            </w:pPr>
            <w:r>
              <w:rPr>
                <w:rFonts w:ascii="Arial" w:cs="Arial" w:eastAsia="Arial" w:hAnsi="Arial"/>
                <w:sz w:val="18"/>
                <w:szCs w:val="18"/>
                <w:color w:val="auto"/>
              </w:rPr>
              <w:t>104</w:t>
            </w:r>
          </w:p>
        </w:tc>
        <w:tc>
          <w:tcPr>
            <w:tcW w:w="5260" w:type="dxa"/>
            <w:vAlign w:val="bottom"/>
            <w:gridSpan w:val="16"/>
          </w:tcPr>
          <w:p>
            <w:pPr>
              <w:spacing w:after="0" w:line="189" w:lineRule="exact"/>
              <w:rPr>
                <w:sz w:val="20"/>
                <w:szCs w:val="20"/>
                <w:color w:val="auto"/>
              </w:rPr>
            </w:pPr>
            <w:r>
              <w:rPr>
                <w:rFonts w:ascii="Arial" w:cs="Arial" w:eastAsia="Arial" w:hAnsi="Arial"/>
                <w:sz w:val="18"/>
                <w:szCs w:val="18"/>
                <w:color w:val="auto"/>
                <w:w w:val="97"/>
              </w:rPr>
              <w:t>Cover Page Interactive Data File (embedded within the Inline XBRL</w:t>
            </w:r>
          </w:p>
        </w:tc>
        <w:tc>
          <w:tcPr>
            <w:tcW w:w="700" w:type="dxa"/>
            <w:vAlign w:val="bottom"/>
          </w:tcPr>
          <w:p>
            <w:pPr>
              <w:spacing w:after="0"/>
              <w:rPr>
                <w:sz w:val="16"/>
                <w:szCs w:val="16"/>
                <w:color w:val="auto"/>
              </w:rPr>
            </w:pPr>
          </w:p>
        </w:tc>
        <w:tc>
          <w:tcPr>
            <w:tcW w:w="1280" w:type="dxa"/>
            <w:vAlign w:val="bottom"/>
          </w:tcPr>
          <w:p>
            <w:pPr>
              <w:spacing w:after="0"/>
              <w:rPr>
                <w:sz w:val="16"/>
                <w:szCs w:val="16"/>
                <w:color w:val="auto"/>
              </w:rPr>
            </w:pPr>
          </w:p>
        </w:tc>
        <w:tc>
          <w:tcPr>
            <w:tcW w:w="900" w:type="dxa"/>
            <w:vAlign w:val="bottom"/>
          </w:tcPr>
          <w:p>
            <w:pPr>
              <w:spacing w:after="0"/>
              <w:rPr>
                <w:sz w:val="16"/>
                <w:szCs w:val="16"/>
                <w:color w:val="auto"/>
              </w:rPr>
            </w:pPr>
          </w:p>
        </w:tc>
        <w:tc>
          <w:tcPr>
            <w:tcW w:w="2020" w:type="dxa"/>
            <w:vAlign w:val="bottom"/>
          </w:tcPr>
          <w:p>
            <w:pPr>
              <w:ind w:left="1500"/>
              <w:spacing w:after="0" w:line="189" w:lineRule="exact"/>
              <w:rPr>
                <w:sz w:val="20"/>
                <w:szCs w:val="20"/>
                <w:color w:val="auto"/>
              </w:rPr>
            </w:pPr>
            <w:r>
              <w:rPr>
                <w:rFonts w:ascii="Arial" w:cs="Arial" w:eastAsia="Arial" w:hAnsi="Arial"/>
                <w:sz w:val="18"/>
                <w:szCs w:val="18"/>
                <w:color w:val="auto"/>
              </w:rPr>
              <w:t>X</w:t>
            </w:r>
          </w:p>
        </w:tc>
        <w:tc>
          <w:tcPr>
            <w:tcW w:w="0" w:type="dxa"/>
            <w:vAlign w:val="bottom"/>
          </w:tcPr>
          <w:p>
            <w:pPr>
              <w:spacing w:after="0"/>
              <w:rPr>
                <w:sz w:val="1"/>
                <w:szCs w:val="1"/>
                <w:color w:val="auto"/>
              </w:rPr>
            </w:pPr>
          </w:p>
        </w:tc>
      </w:tr>
      <w:tr>
        <w:trPr>
          <w:trHeight w:val="230"/>
        </w:trPr>
        <w:tc>
          <w:tcPr>
            <w:tcW w:w="1020" w:type="dxa"/>
            <w:vAlign w:val="bottom"/>
          </w:tcPr>
          <w:p>
            <w:pPr>
              <w:spacing w:after="0"/>
              <w:rPr>
                <w:sz w:val="20"/>
                <w:szCs w:val="20"/>
                <w:color w:val="auto"/>
              </w:rPr>
            </w:pPr>
          </w:p>
        </w:tc>
        <w:tc>
          <w:tcPr>
            <w:tcW w:w="5260" w:type="dxa"/>
            <w:vAlign w:val="bottom"/>
            <w:gridSpan w:val="16"/>
          </w:tcPr>
          <w:p>
            <w:pPr>
              <w:spacing w:after="0"/>
              <w:rPr>
                <w:sz w:val="20"/>
                <w:szCs w:val="20"/>
                <w:color w:val="auto"/>
              </w:rPr>
            </w:pPr>
            <w:r>
              <w:rPr>
                <w:rFonts w:ascii="Arial" w:cs="Arial" w:eastAsia="Arial" w:hAnsi="Arial"/>
                <w:sz w:val="18"/>
                <w:szCs w:val="18"/>
                <w:color w:val="auto"/>
              </w:rPr>
              <w:t>document)</w:t>
            </w:r>
          </w:p>
        </w:tc>
        <w:tc>
          <w:tcPr>
            <w:tcW w:w="700" w:type="dxa"/>
            <w:vAlign w:val="bottom"/>
          </w:tcPr>
          <w:p>
            <w:pPr>
              <w:spacing w:after="0"/>
              <w:rPr>
                <w:sz w:val="20"/>
                <w:szCs w:val="20"/>
                <w:color w:val="auto"/>
              </w:rPr>
            </w:pPr>
          </w:p>
        </w:tc>
        <w:tc>
          <w:tcPr>
            <w:tcW w:w="1280" w:type="dxa"/>
            <w:vAlign w:val="bottom"/>
          </w:tcPr>
          <w:p>
            <w:pPr>
              <w:spacing w:after="0"/>
              <w:rPr>
                <w:sz w:val="20"/>
                <w:szCs w:val="20"/>
                <w:color w:val="auto"/>
              </w:rPr>
            </w:pPr>
          </w:p>
        </w:tc>
        <w:tc>
          <w:tcPr>
            <w:tcW w:w="900" w:type="dxa"/>
            <w:vAlign w:val="bottom"/>
          </w:tcPr>
          <w:p>
            <w:pPr>
              <w:spacing w:after="0"/>
              <w:rPr>
                <w:sz w:val="20"/>
                <w:szCs w:val="20"/>
                <w:color w:val="auto"/>
              </w:rPr>
            </w:pPr>
          </w:p>
        </w:tc>
        <w:tc>
          <w:tcPr>
            <w:tcW w:w="2020" w:type="dxa"/>
            <w:vAlign w:val="bottom"/>
          </w:tcPr>
          <w:p>
            <w:pPr>
              <w:spacing w:after="0"/>
              <w:rPr>
                <w:sz w:val="20"/>
                <w:szCs w:val="20"/>
                <w:color w:val="auto"/>
              </w:rPr>
            </w:pPr>
          </w:p>
        </w:tc>
        <w:tc>
          <w:tcPr>
            <w:tcW w:w="0" w:type="dxa"/>
            <w:vAlign w:val="bottom"/>
          </w:tcPr>
          <w:p>
            <w:pPr>
              <w:spacing w:after="0"/>
              <w:rPr>
                <w:sz w:val="1"/>
                <w:szCs w:val="1"/>
                <w:color w:val="auto"/>
              </w:rPr>
            </w:pPr>
          </w:p>
        </w:tc>
      </w:tr>
    </w:tbl>
    <w:p>
      <w:pPr>
        <w:spacing w:after="0" w:line="188" w:lineRule="exact"/>
        <w:rPr>
          <w:sz w:val="20"/>
          <w:szCs w:val="20"/>
          <w:color w:val="auto"/>
        </w:rPr>
      </w:pPr>
    </w:p>
    <w:p>
      <w:pPr>
        <w:jc w:val="both"/>
        <w:ind w:right="20" w:firstLine="8"/>
        <w:spacing w:after="0" w:line="248" w:lineRule="auto"/>
        <w:tabs>
          <w:tab w:leader="none" w:pos="135" w:val="left"/>
        </w:tabs>
        <w:numPr>
          <w:ilvl w:val="0"/>
          <w:numId w:val="48"/>
        </w:numPr>
        <w:rPr>
          <w:rFonts w:ascii="Arial" w:cs="Arial" w:eastAsia="Arial" w:hAnsi="Arial"/>
          <w:sz w:val="18"/>
          <w:szCs w:val="18"/>
          <w:color w:val="auto"/>
        </w:rPr>
      </w:pPr>
      <w:r>
        <w:rPr>
          <w:rFonts w:ascii="Arial" w:cs="Arial" w:eastAsia="Arial" w:hAnsi="Arial"/>
          <w:sz w:val="18"/>
          <w:szCs w:val="18"/>
          <w:color w:val="auto"/>
        </w:rPr>
        <w:t>The certifications attached as Exhibit 32.1 and Exhibit 32.2 that accompany this Quarterly Report on Form 10-Q are deemed furnished and not filed with the Securities and Exchange Commission and are not to be incorporated by reference into any filing of Amplitude, Inc. under the Securities Act of 1933, as amended, or the Securities Exchange Act of 1934, as amended, whether made before or after the date of this Quarterly Report on Form 10-Q, irrespective of any general incorporation language contained in such filing.</w:t>
      </w:r>
    </w:p>
    <w:p>
      <w:pPr>
        <w:spacing w:after="0" w:line="88"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74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61595</wp:posOffset>
            </wp:positionV>
            <wp:extent cx="7157720" cy="42545"/>
            <wp:wrapNone/>
            <wp:docPr id="306" name="Picture 3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6"/>
                    <pic:cNvPicPr>
                      <a:picLocks noChangeAspect="1" noChangeArrowheads="1"/>
                    </pic:cNvPicPr>
                  </pic:nvPicPr>
                  <pic:blipFill>
                    <a:blip r:embed="rId31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647" w:right="379" w:bottom="1440" w:gutter="0" w:footer="0" w:header="0"/>
        </w:sectPr>
      </w:pPr>
    </w:p>
    <w:bookmarkStart w:id="74" w:name="page75"/>
    <w:bookmarkEnd w:id="74"/>
    <w:p>
      <w:pPr>
        <w:jc w:val="center"/>
        <w:ind w:right="-479"/>
        <w:spacing w:after="0"/>
        <w:rPr>
          <w:sz w:val="20"/>
          <w:szCs w:val="20"/>
          <w:color w:val="auto"/>
        </w:rPr>
      </w:pPr>
      <w:r>
        <w:rPr>
          <w:rFonts w:ascii="Arial" w:cs="Arial" w:eastAsia="Arial" w:hAnsi="Arial"/>
          <w:sz w:val="18"/>
          <w:szCs w:val="18"/>
          <w:b w:val="1"/>
          <w:bCs w:val="1"/>
          <w:color w:val="auto"/>
        </w:rPr>
        <w:t>SIGNATURES</w:t>
      </w:r>
    </w:p>
    <w:p>
      <w:pPr>
        <w:spacing w:after="0" w:line="229" w:lineRule="exact"/>
        <w:rPr>
          <w:sz w:val="20"/>
          <w:szCs w:val="20"/>
          <w:color w:val="auto"/>
        </w:rPr>
      </w:pPr>
    </w:p>
    <w:p>
      <w:pPr>
        <w:ind w:firstLine="509"/>
        <w:spacing w:after="0" w:line="261" w:lineRule="auto"/>
        <w:rPr>
          <w:sz w:val="20"/>
          <w:szCs w:val="20"/>
          <w:color w:val="auto"/>
        </w:rPr>
      </w:pPr>
      <w:r>
        <w:rPr>
          <w:rFonts w:ascii="Arial" w:cs="Arial" w:eastAsia="Arial" w:hAnsi="Arial"/>
          <w:sz w:val="18"/>
          <w:szCs w:val="18"/>
          <w:color w:val="auto"/>
        </w:rPr>
        <w:t>Pursuant to the requirements of the Securities Exchange Act of 1934, the registrant has duly caused this report to be signed on its behalf by the undersigned thereunto duly authorized.</w:t>
      </w:r>
    </w:p>
    <w:p>
      <w:pPr>
        <w:sectPr>
          <w:pgSz w:w="11900" w:h="16838" w:orient="portrait"/>
          <w:cols w:equalWidth="0" w:num="1">
            <w:col w:w="10780"/>
          </w:cols>
          <w:pgMar w:left="320" w:top="324" w:right="799" w:bottom="1440" w:gutter="0" w:footer="0" w:header="0"/>
        </w:sectPr>
      </w:pPr>
    </w:p>
    <w:p>
      <w:pPr>
        <w:spacing w:after="0" w:line="200" w:lineRule="exact"/>
        <w:rPr>
          <w:sz w:val="20"/>
          <w:szCs w:val="20"/>
          <w:color w:val="auto"/>
        </w:rPr>
      </w:pPr>
    </w:p>
    <w:p>
      <w:pPr>
        <w:spacing w:after="0" w:line="375" w:lineRule="exact"/>
        <w:rPr>
          <w:sz w:val="20"/>
          <w:szCs w:val="20"/>
          <w:color w:val="auto"/>
        </w:rPr>
      </w:pPr>
    </w:p>
    <w:p>
      <w:pPr>
        <w:ind w:left="20"/>
        <w:spacing w:after="0"/>
        <w:rPr>
          <w:sz w:val="20"/>
          <w:szCs w:val="20"/>
          <w:color w:val="auto"/>
        </w:rPr>
      </w:pPr>
      <w:r>
        <w:rPr>
          <w:rFonts w:ascii="Arial" w:cs="Arial" w:eastAsia="Arial" w:hAnsi="Arial"/>
          <w:sz w:val="16"/>
          <w:szCs w:val="16"/>
          <w:color w:val="auto"/>
        </w:rPr>
        <w:t>Date: November 3, 2022</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7" w:lineRule="exact"/>
        <w:rPr>
          <w:sz w:val="20"/>
          <w:szCs w:val="20"/>
          <w:color w:val="auto"/>
        </w:rPr>
      </w:pPr>
    </w:p>
    <w:p>
      <w:pPr>
        <w:ind w:left="20"/>
        <w:spacing w:after="0"/>
        <w:rPr>
          <w:sz w:val="20"/>
          <w:szCs w:val="20"/>
          <w:color w:val="auto"/>
        </w:rPr>
      </w:pPr>
      <w:r>
        <w:rPr>
          <w:rFonts w:ascii="Arial" w:cs="Arial" w:eastAsia="Arial" w:hAnsi="Arial"/>
          <w:sz w:val="16"/>
          <w:szCs w:val="16"/>
          <w:color w:val="auto"/>
        </w:rPr>
        <w:t>Date: November 3, 2022</w:t>
      </w:r>
    </w:p>
    <w:p>
      <w:pPr>
        <w:spacing w:after="0" w:line="20" w:lineRule="exact"/>
        <w:rPr>
          <w:sz w:val="20"/>
          <w:szCs w:val="20"/>
          <w:color w:val="auto"/>
        </w:rPr>
      </w:pPr>
      <w:r>
        <w:rPr>
          <w:sz w:val="20"/>
          <w:szCs w:val="20"/>
          <w:color w:val="auto"/>
        </w:rPr>
        <w:br w:type="column"/>
      </w:r>
    </w:p>
    <w:p>
      <w:pPr>
        <w:spacing w:after="0" w:line="13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Amplitude, Inc.</w:t>
      </w:r>
    </w:p>
    <w:p>
      <w:pPr>
        <w:spacing w:after="0" w:line="202" w:lineRule="exact"/>
        <w:rPr>
          <w:sz w:val="20"/>
          <w:szCs w:val="20"/>
          <w:color w:val="auto"/>
        </w:rPr>
      </w:pPr>
    </w:p>
    <w:p>
      <w:pPr>
        <w:spacing w:after="0"/>
        <w:rPr>
          <w:sz w:val="20"/>
          <w:szCs w:val="20"/>
          <w:color w:val="auto"/>
        </w:rPr>
      </w:pPr>
      <w:r>
        <w:rPr>
          <w:rFonts w:ascii="Arial" w:cs="Arial" w:eastAsia="Arial" w:hAnsi="Arial"/>
          <w:sz w:val="18"/>
          <w:szCs w:val="18"/>
          <w:color w:val="auto"/>
        </w:rPr>
        <w:t>By: /s/ Spenser Skates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212725</wp:posOffset>
            </wp:positionH>
            <wp:positionV relativeFrom="paragraph">
              <wp:posOffset>14605</wp:posOffset>
            </wp:positionV>
            <wp:extent cx="3305175" cy="8255"/>
            <wp:wrapNone/>
            <wp:docPr id="307" name="Picture 3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7"/>
                    <pic:cNvPicPr>
                      <a:picLocks noChangeAspect="1" noChangeArrowheads="1"/>
                    </pic:cNvPicPr>
                  </pic:nvPicPr>
                  <pic:blipFill>
                    <a:blip r:embed="rId319">
                      <a:extLst>
                        <a:ext uri="{28A0092B-C50C-407E-A947-70E740481C1C}"/>
                      </a:extLst>
                    </a:blip>
                    <a:srcRect/>
                    <a:stretch>
                      <a:fillRect/>
                    </a:stretch>
                  </pic:blipFill>
                  <pic:spPr bwMode="auto">
                    <a:xfrm>
                      <a:off x="0" y="0"/>
                      <a:ext cx="3305175" cy="8255"/>
                    </a:xfrm>
                    <a:prstGeom prst="rect">
                      <a:avLst/>
                    </a:prstGeom>
                    <a:noFill/>
                  </pic:spPr>
                </pic:pic>
              </a:graphicData>
            </a:graphic>
          </wp:anchor>
        </w:drawing>
      </w:r>
    </w:p>
    <w:p>
      <w:pPr>
        <w:ind w:left="340"/>
        <w:spacing w:after="0"/>
        <w:rPr>
          <w:sz w:val="20"/>
          <w:szCs w:val="20"/>
          <w:color w:val="auto"/>
        </w:rPr>
      </w:pPr>
      <w:r>
        <w:rPr>
          <w:rFonts w:ascii="Arial" w:cs="Arial" w:eastAsia="Arial" w:hAnsi="Arial"/>
          <w:sz w:val="18"/>
          <w:szCs w:val="18"/>
          <w:color w:val="auto"/>
        </w:rPr>
        <w:t>Spenser Skates</w:t>
      </w:r>
    </w:p>
    <w:p>
      <w:pPr>
        <w:ind w:left="340"/>
        <w:spacing w:after="0" w:line="218" w:lineRule="auto"/>
        <w:rPr>
          <w:sz w:val="20"/>
          <w:szCs w:val="20"/>
          <w:color w:val="auto"/>
        </w:rPr>
      </w:pPr>
      <w:r>
        <w:rPr>
          <w:rFonts w:ascii="Arial" w:cs="Arial" w:eastAsia="Arial" w:hAnsi="Arial"/>
          <w:sz w:val="18"/>
          <w:szCs w:val="18"/>
          <w:color w:val="auto"/>
        </w:rPr>
        <w:t>Chief Executive Officer</w:t>
      </w:r>
    </w:p>
    <w:p>
      <w:pPr>
        <w:spacing w:after="0" w:line="1" w:lineRule="exact"/>
        <w:rPr>
          <w:sz w:val="20"/>
          <w:szCs w:val="20"/>
          <w:color w:val="auto"/>
        </w:rPr>
      </w:pPr>
    </w:p>
    <w:p>
      <w:pPr>
        <w:ind w:left="340"/>
        <w:spacing w:after="0"/>
        <w:rPr>
          <w:sz w:val="20"/>
          <w:szCs w:val="20"/>
          <w:color w:val="auto"/>
        </w:rPr>
      </w:pPr>
      <w:r>
        <w:rPr>
          <w:rFonts w:ascii="Arial" w:cs="Arial" w:eastAsia="Arial" w:hAnsi="Arial"/>
          <w:sz w:val="17"/>
          <w:szCs w:val="17"/>
          <w:i w:val="1"/>
          <w:iCs w:val="1"/>
          <w:color w:val="auto"/>
        </w:rPr>
        <w:t>(Principal Executive Officer)</w:t>
      </w:r>
    </w:p>
    <w:p>
      <w:pPr>
        <w:spacing w:after="0" w:line="193" w:lineRule="exact"/>
        <w:rPr>
          <w:sz w:val="20"/>
          <w:szCs w:val="20"/>
          <w:color w:val="auto"/>
        </w:rPr>
      </w:pPr>
    </w:p>
    <w:p>
      <w:pPr>
        <w:spacing w:after="0"/>
        <w:rPr>
          <w:sz w:val="20"/>
          <w:szCs w:val="20"/>
          <w:color w:val="auto"/>
        </w:rPr>
      </w:pPr>
      <w:r>
        <w:rPr>
          <w:rFonts w:ascii="Arial" w:cs="Arial" w:eastAsia="Arial" w:hAnsi="Arial"/>
          <w:sz w:val="18"/>
          <w:szCs w:val="18"/>
          <w:color w:val="auto"/>
        </w:rPr>
        <w:t>By: /s/ Hoang Vuong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212725</wp:posOffset>
            </wp:positionH>
            <wp:positionV relativeFrom="paragraph">
              <wp:posOffset>14605</wp:posOffset>
            </wp:positionV>
            <wp:extent cx="3305175" cy="8255"/>
            <wp:wrapNone/>
            <wp:docPr id="308" name="Picture 3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8"/>
                    <pic:cNvPicPr>
                      <a:picLocks noChangeAspect="1" noChangeArrowheads="1"/>
                    </pic:cNvPicPr>
                  </pic:nvPicPr>
                  <pic:blipFill>
                    <a:blip r:embed="rId320">
                      <a:extLst>
                        <a:ext uri="{28A0092B-C50C-407E-A947-70E740481C1C}"/>
                      </a:extLst>
                    </a:blip>
                    <a:srcRect/>
                    <a:stretch>
                      <a:fillRect/>
                    </a:stretch>
                  </pic:blipFill>
                  <pic:spPr bwMode="auto">
                    <a:xfrm>
                      <a:off x="0" y="0"/>
                      <a:ext cx="3305175" cy="8255"/>
                    </a:xfrm>
                    <a:prstGeom prst="rect">
                      <a:avLst/>
                    </a:prstGeom>
                    <a:noFill/>
                  </pic:spPr>
                </pic:pic>
              </a:graphicData>
            </a:graphic>
          </wp:anchor>
        </w:drawing>
      </w:r>
    </w:p>
    <w:p>
      <w:pPr>
        <w:ind w:left="340"/>
        <w:spacing w:after="0"/>
        <w:rPr>
          <w:sz w:val="20"/>
          <w:szCs w:val="20"/>
          <w:color w:val="auto"/>
        </w:rPr>
      </w:pPr>
      <w:r>
        <w:rPr>
          <w:rFonts w:ascii="Arial" w:cs="Arial" w:eastAsia="Arial" w:hAnsi="Arial"/>
          <w:sz w:val="18"/>
          <w:szCs w:val="18"/>
          <w:color w:val="auto"/>
        </w:rPr>
        <w:t>Hoang Vuong</w:t>
      </w:r>
    </w:p>
    <w:p>
      <w:pPr>
        <w:ind w:left="340"/>
        <w:spacing w:after="0" w:line="218" w:lineRule="auto"/>
        <w:rPr>
          <w:sz w:val="20"/>
          <w:szCs w:val="20"/>
          <w:color w:val="auto"/>
        </w:rPr>
      </w:pPr>
      <w:r>
        <w:rPr>
          <w:rFonts w:ascii="Arial" w:cs="Arial" w:eastAsia="Arial" w:hAnsi="Arial"/>
          <w:sz w:val="18"/>
          <w:szCs w:val="18"/>
          <w:color w:val="auto"/>
        </w:rPr>
        <w:t>Chief Financial Officer</w:t>
      </w:r>
    </w:p>
    <w:p>
      <w:pPr>
        <w:spacing w:after="0" w:line="1" w:lineRule="exact"/>
        <w:rPr>
          <w:sz w:val="20"/>
          <w:szCs w:val="20"/>
          <w:color w:val="auto"/>
        </w:rPr>
      </w:pPr>
    </w:p>
    <w:p>
      <w:pPr>
        <w:ind w:left="340"/>
        <w:spacing w:after="0"/>
        <w:rPr>
          <w:sz w:val="20"/>
          <w:szCs w:val="20"/>
          <w:color w:val="auto"/>
        </w:rPr>
      </w:pPr>
      <w:r>
        <w:rPr>
          <w:rFonts w:ascii="Arial" w:cs="Arial" w:eastAsia="Arial" w:hAnsi="Arial"/>
          <w:sz w:val="17"/>
          <w:szCs w:val="17"/>
          <w:i w:val="1"/>
          <w:iCs w:val="1"/>
          <w:color w:val="auto"/>
        </w:rPr>
        <w:t>(Principal Financial Officer)</w:t>
      </w:r>
    </w:p>
    <w:p>
      <w:pPr>
        <w:spacing w:after="0" w:line="200" w:lineRule="exact"/>
        <w:rPr>
          <w:sz w:val="20"/>
          <w:szCs w:val="20"/>
          <w:color w:val="auto"/>
        </w:rPr>
      </w:pPr>
    </w:p>
    <w:p>
      <w:pPr>
        <w:sectPr>
          <w:pgSz w:w="11900" w:h="16838" w:orient="portrait"/>
          <w:cols w:equalWidth="0" w:num="2">
            <w:col w:w="4980" w:space="720"/>
            <w:col w:w="5080"/>
          </w:cols>
          <w:pgMar w:left="320" w:top="324" w:right="799" w:bottom="1440" w:gutter="0" w:footer="0" w:header="0"/>
          <w:type w:val="continuous"/>
        </w:sectPr>
      </w:pPr>
    </w:p>
    <w:p>
      <w:pPr>
        <w:spacing w:after="0" w:line="114" w:lineRule="exact"/>
        <w:rPr>
          <w:sz w:val="20"/>
          <w:szCs w:val="20"/>
          <w:color w:val="auto"/>
        </w:rPr>
      </w:pPr>
    </w:p>
    <w:p>
      <w:pPr>
        <w:jc w:val="center"/>
        <w:ind w:right="-479"/>
        <w:spacing w:after="0"/>
        <w:rPr>
          <w:sz w:val="20"/>
          <w:szCs w:val="20"/>
          <w:color w:val="auto"/>
        </w:rPr>
      </w:pPr>
      <w:r>
        <w:rPr>
          <w:rFonts w:ascii="Arial" w:cs="Arial" w:eastAsia="Arial" w:hAnsi="Arial"/>
          <w:sz w:val="16"/>
          <w:szCs w:val="16"/>
          <w:color w:val="auto"/>
        </w:rPr>
        <w:t>75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76200</wp:posOffset>
            </wp:positionV>
            <wp:extent cx="7157720" cy="42545"/>
            <wp:wrapNone/>
            <wp:docPr id="309" name="Picture 3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9"/>
                    <pic:cNvPicPr>
                      <a:picLocks noChangeAspect="1" noChangeArrowheads="1"/>
                    </pic:cNvPicPr>
                  </pic:nvPicPr>
                  <pic:blipFill>
                    <a:blip r:embed="rId32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0780"/>
          </w:cols>
          <w:pgMar w:left="320" w:top="324" w:right="799" w:bottom="1440" w:gutter="0" w:footer="0" w:header="0"/>
          <w:type w:val="continuous"/>
        </w:sectPr>
      </w:pPr>
    </w:p>
    <w:bookmarkStart w:id="75" w:name="page76"/>
    <w:bookmarkEnd w:id="75"/>
    <w:p>
      <w:pPr>
        <w:jc w:val="right"/>
        <w:spacing w:after="0"/>
        <w:rPr>
          <w:sz w:val="20"/>
          <w:szCs w:val="20"/>
          <w:color w:val="auto"/>
        </w:rPr>
      </w:pPr>
      <w:r>
        <w:rPr>
          <w:rFonts w:ascii="Arial" w:cs="Arial" w:eastAsia="Arial" w:hAnsi="Arial"/>
          <w:sz w:val="18"/>
          <w:szCs w:val="18"/>
          <w:b w:val="1"/>
          <w:bCs w:val="1"/>
          <w:color w:val="auto"/>
        </w:rPr>
        <w:t>Exhibit 31.1</w:t>
      </w:r>
    </w:p>
    <w:p>
      <w:pPr>
        <w:spacing w:after="0" w:line="332" w:lineRule="exact"/>
        <w:rPr>
          <w:sz w:val="20"/>
          <w:szCs w:val="20"/>
          <w:color w:val="auto"/>
        </w:rPr>
      </w:pPr>
    </w:p>
    <w:p>
      <w:pPr>
        <w:jc w:val="center"/>
        <w:spacing w:after="0" w:line="250" w:lineRule="auto"/>
        <w:rPr>
          <w:sz w:val="20"/>
          <w:szCs w:val="20"/>
          <w:color w:val="auto"/>
        </w:rPr>
      </w:pPr>
      <w:r>
        <w:rPr>
          <w:rFonts w:ascii="Arial" w:cs="Arial" w:eastAsia="Arial" w:hAnsi="Arial"/>
          <w:sz w:val="18"/>
          <w:szCs w:val="18"/>
          <w:b w:val="1"/>
          <w:bCs w:val="1"/>
          <w:color w:val="auto"/>
        </w:rPr>
        <w:t>CERTIFICATION OF PRINCIPAL EXECUTIVE OFFICER PURSUANT TO RULES 13a-14(a) AND 15d-14(a) UNDER THE SECURITIES EXCHANGE ACT OF 1934, AS ADOPTED PURSUANT TO SECTION 302 OF THE SARBANES-OXLEY ACT OF 2002</w:t>
      </w:r>
    </w:p>
    <w:p>
      <w:pPr>
        <w:spacing w:after="0" w:line="193" w:lineRule="exact"/>
        <w:rPr>
          <w:sz w:val="20"/>
          <w:szCs w:val="20"/>
          <w:color w:val="auto"/>
        </w:rPr>
      </w:pPr>
    </w:p>
    <w:p>
      <w:pPr>
        <w:spacing w:after="0"/>
        <w:rPr>
          <w:sz w:val="20"/>
          <w:szCs w:val="20"/>
          <w:color w:val="auto"/>
        </w:rPr>
      </w:pPr>
      <w:r>
        <w:rPr>
          <w:rFonts w:ascii="Arial" w:cs="Arial" w:eastAsia="Arial" w:hAnsi="Arial"/>
          <w:sz w:val="18"/>
          <w:szCs w:val="18"/>
          <w:color w:val="auto"/>
        </w:rPr>
        <w:t>I, Spenser Skates, certify that:</w:t>
      </w:r>
    </w:p>
    <w:p>
      <w:pPr>
        <w:spacing w:after="0" w:line="211" w:lineRule="exact"/>
        <w:rPr>
          <w:sz w:val="20"/>
          <w:szCs w:val="20"/>
          <w:color w:val="auto"/>
        </w:rPr>
      </w:pPr>
    </w:p>
    <w:p>
      <w:pPr>
        <w:ind w:left="520" w:hanging="512"/>
        <w:spacing w:after="0"/>
        <w:tabs>
          <w:tab w:leader="none" w:pos="520" w:val="left"/>
        </w:tabs>
        <w:numPr>
          <w:ilvl w:val="0"/>
          <w:numId w:val="49"/>
        </w:numPr>
        <w:rPr>
          <w:rFonts w:ascii="Arial" w:cs="Arial" w:eastAsia="Arial" w:hAnsi="Arial"/>
          <w:sz w:val="18"/>
          <w:szCs w:val="18"/>
          <w:color w:val="auto"/>
        </w:rPr>
      </w:pPr>
      <w:r>
        <w:rPr>
          <w:rFonts w:ascii="Arial" w:cs="Arial" w:eastAsia="Arial" w:hAnsi="Arial"/>
          <w:sz w:val="18"/>
          <w:szCs w:val="18"/>
          <w:color w:val="auto"/>
        </w:rPr>
        <w:t>I have reviewed this Quarterly Report on Form 10-Q of Amplitude, Inc.;</w:t>
      </w:r>
    </w:p>
    <w:p>
      <w:pPr>
        <w:spacing w:after="0" w:line="211" w:lineRule="exact"/>
        <w:rPr>
          <w:rFonts w:ascii="Arial" w:cs="Arial" w:eastAsia="Arial" w:hAnsi="Arial"/>
          <w:sz w:val="18"/>
          <w:szCs w:val="18"/>
          <w:color w:val="auto"/>
        </w:rPr>
      </w:pPr>
    </w:p>
    <w:p>
      <w:pPr>
        <w:jc w:val="both"/>
        <w:ind w:left="520" w:right="260" w:hanging="512"/>
        <w:spacing w:after="0" w:line="255" w:lineRule="auto"/>
        <w:tabs>
          <w:tab w:leader="none" w:pos="520" w:val="left"/>
        </w:tabs>
        <w:numPr>
          <w:ilvl w:val="0"/>
          <w:numId w:val="49"/>
        </w:numPr>
        <w:rPr>
          <w:rFonts w:ascii="Arial" w:cs="Arial" w:eastAsia="Arial" w:hAnsi="Arial"/>
          <w:sz w:val="18"/>
          <w:szCs w:val="18"/>
          <w:color w:val="auto"/>
        </w:rPr>
      </w:pPr>
      <w:r>
        <w:rPr>
          <w:rFonts w:ascii="Arial" w:cs="Arial" w:eastAsia="Arial" w:hAnsi="Arial"/>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76" w:lineRule="exact"/>
        <w:rPr>
          <w:rFonts w:ascii="Arial" w:cs="Arial" w:eastAsia="Arial" w:hAnsi="Arial"/>
          <w:sz w:val="18"/>
          <w:szCs w:val="18"/>
          <w:color w:val="auto"/>
        </w:rPr>
      </w:pPr>
    </w:p>
    <w:p>
      <w:pPr>
        <w:ind w:left="520" w:right="240" w:hanging="512"/>
        <w:spacing w:after="0" w:line="290" w:lineRule="auto"/>
        <w:tabs>
          <w:tab w:leader="none" w:pos="520" w:val="left"/>
        </w:tabs>
        <w:numPr>
          <w:ilvl w:val="0"/>
          <w:numId w:val="49"/>
        </w:numPr>
        <w:rPr>
          <w:rFonts w:ascii="Arial" w:cs="Arial" w:eastAsia="Arial" w:hAnsi="Arial"/>
          <w:sz w:val="17"/>
          <w:szCs w:val="17"/>
          <w:color w:val="auto"/>
        </w:rPr>
      </w:pPr>
      <w:r>
        <w:rPr>
          <w:rFonts w:ascii="Arial" w:cs="Arial" w:eastAsia="Arial" w:hAnsi="Arial"/>
          <w:sz w:val="17"/>
          <w:szCs w:val="17"/>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61" w:lineRule="exact"/>
        <w:rPr>
          <w:rFonts w:ascii="Arial" w:cs="Arial" w:eastAsia="Arial" w:hAnsi="Arial"/>
          <w:sz w:val="17"/>
          <w:szCs w:val="17"/>
          <w:color w:val="auto"/>
        </w:rPr>
      </w:pPr>
    </w:p>
    <w:p>
      <w:pPr>
        <w:ind w:left="520" w:right="480" w:hanging="512"/>
        <w:spacing w:after="0" w:line="261" w:lineRule="auto"/>
        <w:tabs>
          <w:tab w:leader="none" w:pos="520" w:val="left"/>
        </w:tabs>
        <w:numPr>
          <w:ilvl w:val="0"/>
          <w:numId w:val="49"/>
        </w:numPr>
        <w:rPr>
          <w:rFonts w:ascii="Arial" w:cs="Arial" w:eastAsia="Arial" w:hAnsi="Arial"/>
          <w:sz w:val="18"/>
          <w:szCs w:val="18"/>
          <w:color w:val="auto"/>
        </w:rPr>
      </w:pPr>
      <w:r>
        <w:rPr>
          <w:rFonts w:ascii="Arial" w:cs="Arial" w:eastAsia="Arial" w:hAnsi="Arial"/>
          <w:sz w:val="18"/>
          <w:szCs w:val="18"/>
          <w:color w:val="auto"/>
        </w:rPr>
        <w:t>The registrant's other certifying officer and I are responsible for establishing and maintaining disclosure controls and procedures (as defined in Exchange Act Rules 13a-15(e) and 15d-15(e)) for the registrant and have:</w:t>
      </w:r>
    </w:p>
    <w:p>
      <w:pPr>
        <w:spacing w:after="0" w:line="170" w:lineRule="exact"/>
        <w:rPr>
          <w:rFonts w:ascii="Arial" w:cs="Arial" w:eastAsia="Arial" w:hAnsi="Arial"/>
          <w:sz w:val="18"/>
          <w:szCs w:val="18"/>
          <w:color w:val="auto"/>
        </w:rPr>
      </w:pPr>
    </w:p>
    <w:p>
      <w:pPr>
        <w:ind w:left="1020" w:right="20" w:hanging="504"/>
        <w:spacing w:after="0" w:line="255" w:lineRule="auto"/>
        <w:tabs>
          <w:tab w:leader="none" w:pos="1020" w:val="left"/>
        </w:tabs>
        <w:numPr>
          <w:ilvl w:val="1"/>
          <w:numId w:val="49"/>
        </w:numPr>
        <w:rPr>
          <w:rFonts w:ascii="Arial" w:cs="Arial" w:eastAsia="Arial" w:hAnsi="Arial"/>
          <w:sz w:val="18"/>
          <w:szCs w:val="18"/>
          <w:color w:val="auto"/>
        </w:rPr>
      </w:pPr>
      <w:r>
        <w:rPr>
          <w:rFonts w:ascii="Arial" w:cs="Arial" w:eastAsia="Arial" w:hAnsi="Arial"/>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176" w:lineRule="exact"/>
        <w:rPr>
          <w:rFonts w:ascii="Arial" w:cs="Arial" w:eastAsia="Arial" w:hAnsi="Arial"/>
          <w:sz w:val="18"/>
          <w:szCs w:val="18"/>
          <w:color w:val="auto"/>
        </w:rPr>
      </w:pPr>
    </w:p>
    <w:p>
      <w:pPr>
        <w:ind w:left="1020" w:hanging="504"/>
        <w:spacing w:after="0"/>
        <w:tabs>
          <w:tab w:leader="none" w:pos="1020" w:val="left"/>
        </w:tabs>
        <w:numPr>
          <w:ilvl w:val="1"/>
          <w:numId w:val="49"/>
        </w:numPr>
        <w:rPr>
          <w:rFonts w:ascii="Arial" w:cs="Arial" w:eastAsia="Arial" w:hAnsi="Arial"/>
          <w:sz w:val="18"/>
          <w:szCs w:val="18"/>
          <w:color w:val="auto"/>
        </w:rPr>
      </w:pPr>
      <w:r>
        <w:rPr>
          <w:rFonts w:ascii="Arial" w:cs="Arial" w:eastAsia="Arial" w:hAnsi="Arial"/>
          <w:sz w:val="18"/>
          <w:szCs w:val="18"/>
          <w:color w:val="auto"/>
        </w:rPr>
        <w:t>[Reserved];</w:t>
      </w:r>
    </w:p>
    <w:p>
      <w:pPr>
        <w:spacing w:after="0" w:line="224" w:lineRule="exact"/>
        <w:rPr>
          <w:rFonts w:ascii="Arial" w:cs="Arial" w:eastAsia="Arial" w:hAnsi="Arial"/>
          <w:sz w:val="18"/>
          <w:szCs w:val="18"/>
          <w:color w:val="auto"/>
        </w:rPr>
      </w:pPr>
    </w:p>
    <w:p>
      <w:pPr>
        <w:jc w:val="both"/>
        <w:ind w:left="1020" w:right="500" w:hanging="504"/>
        <w:spacing w:after="0" w:line="324" w:lineRule="auto"/>
        <w:tabs>
          <w:tab w:leader="none" w:pos="1020" w:val="left"/>
        </w:tabs>
        <w:numPr>
          <w:ilvl w:val="1"/>
          <w:numId w:val="49"/>
        </w:numPr>
        <w:rPr>
          <w:rFonts w:ascii="Arial" w:cs="Arial" w:eastAsia="Arial" w:hAnsi="Arial"/>
          <w:sz w:val="16"/>
          <w:szCs w:val="16"/>
          <w:color w:val="auto"/>
        </w:rPr>
      </w:pPr>
      <w:r>
        <w:rPr>
          <w:rFonts w:ascii="Arial" w:cs="Arial" w:eastAsia="Arial" w:hAnsi="Arial"/>
          <w:sz w:val="16"/>
          <w:szCs w:val="16"/>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23" w:lineRule="exact"/>
        <w:rPr>
          <w:rFonts w:ascii="Arial" w:cs="Arial" w:eastAsia="Arial" w:hAnsi="Arial"/>
          <w:sz w:val="16"/>
          <w:szCs w:val="16"/>
          <w:color w:val="auto"/>
        </w:rPr>
      </w:pPr>
    </w:p>
    <w:p>
      <w:pPr>
        <w:ind w:left="1020" w:right="40" w:hanging="504"/>
        <w:spacing w:after="0" w:line="255" w:lineRule="auto"/>
        <w:tabs>
          <w:tab w:leader="none" w:pos="1020" w:val="left"/>
        </w:tabs>
        <w:numPr>
          <w:ilvl w:val="1"/>
          <w:numId w:val="49"/>
        </w:numPr>
        <w:rPr>
          <w:rFonts w:ascii="Arial" w:cs="Arial" w:eastAsia="Arial" w:hAnsi="Arial"/>
          <w:sz w:val="18"/>
          <w:szCs w:val="18"/>
          <w:color w:val="auto"/>
        </w:rPr>
      </w:pPr>
      <w:r>
        <w:rPr>
          <w:rFonts w:ascii="Arial" w:cs="Arial" w:eastAsia="Arial" w:hAnsi="Arial"/>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176" w:lineRule="exact"/>
        <w:rPr>
          <w:rFonts w:ascii="Arial" w:cs="Arial" w:eastAsia="Arial" w:hAnsi="Arial"/>
          <w:sz w:val="18"/>
          <w:szCs w:val="18"/>
          <w:color w:val="auto"/>
        </w:rPr>
      </w:pPr>
    </w:p>
    <w:p>
      <w:pPr>
        <w:ind w:left="520" w:right="180" w:hanging="512"/>
        <w:spacing w:after="0" w:line="307" w:lineRule="auto"/>
        <w:tabs>
          <w:tab w:leader="none" w:pos="520" w:val="left"/>
        </w:tabs>
        <w:numPr>
          <w:ilvl w:val="0"/>
          <w:numId w:val="49"/>
        </w:numPr>
        <w:rPr>
          <w:rFonts w:ascii="Arial" w:cs="Arial" w:eastAsia="Arial" w:hAnsi="Arial"/>
          <w:sz w:val="17"/>
          <w:szCs w:val="17"/>
          <w:color w:val="auto"/>
        </w:rPr>
      </w:pPr>
      <w:r>
        <w:rPr>
          <w:rFonts w:ascii="Arial" w:cs="Arial" w:eastAsia="Arial" w:hAnsi="Arial"/>
          <w:sz w:val="17"/>
          <w:szCs w:val="17"/>
          <w:color w:val="auto"/>
        </w:rPr>
        <w:t>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spacing w:after="0" w:line="133" w:lineRule="exact"/>
        <w:rPr>
          <w:rFonts w:ascii="Arial" w:cs="Arial" w:eastAsia="Arial" w:hAnsi="Arial"/>
          <w:sz w:val="17"/>
          <w:szCs w:val="17"/>
          <w:color w:val="auto"/>
        </w:rPr>
      </w:pPr>
    </w:p>
    <w:p>
      <w:pPr>
        <w:ind w:left="1020" w:right="740" w:hanging="504"/>
        <w:spacing w:after="0" w:line="324" w:lineRule="auto"/>
        <w:tabs>
          <w:tab w:leader="none" w:pos="1020" w:val="left"/>
        </w:tabs>
        <w:numPr>
          <w:ilvl w:val="1"/>
          <w:numId w:val="49"/>
        </w:numPr>
        <w:rPr>
          <w:rFonts w:ascii="Arial" w:cs="Arial" w:eastAsia="Arial" w:hAnsi="Arial"/>
          <w:sz w:val="16"/>
          <w:szCs w:val="16"/>
          <w:color w:val="auto"/>
        </w:rPr>
      </w:pPr>
      <w:r>
        <w:rPr>
          <w:rFonts w:ascii="Arial" w:cs="Arial" w:eastAsia="Arial" w:hAnsi="Arial"/>
          <w:sz w:val="16"/>
          <w:szCs w:val="16"/>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23" w:lineRule="exact"/>
        <w:rPr>
          <w:rFonts w:ascii="Arial" w:cs="Arial" w:eastAsia="Arial" w:hAnsi="Arial"/>
          <w:sz w:val="16"/>
          <w:szCs w:val="16"/>
          <w:color w:val="auto"/>
        </w:rPr>
      </w:pPr>
    </w:p>
    <w:p>
      <w:pPr>
        <w:ind w:left="1020" w:right="460" w:hanging="504"/>
        <w:spacing w:after="0" w:line="277" w:lineRule="auto"/>
        <w:tabs>
          <w:tab w:leader="none" w:pos="1020" w:val="left"/>
        </w:tabs>
        <w:numPr>
          <w:ilvl w:val="1"/>
          <w:numId w:val="49"/>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129" w:lineRule="exact"/>
        <w:rPr>
          <w:sz w:val="20"/>
          <w:szCs w:val="20"/>
          <w:color w:val="auto"/>
        </w:rPr>
      </w:pPr>
    </w:p>
    <w:p>
      <w:pPr>
        <w:ind w:left="20"/>
        <w:spacing w:after="0"/>
        <w:tabs>
          <w:tab w:leader="none" w:pos="5680" w:val="left"/>
          <w:tab w:leader="none" w:pos="7960" w:val="left"/>
        </w:tabs>
        <w:rPr>
          <w:sz w:val="20"/>
          <w:szCs w:val="20"/>
          <w:color w:val="auto"/>
        </w:rPr>
      </w:pPr>
      <w:r>
        <w:rPr>
          <w:rFonts w:ascii="Arial" w:cs="Arial" w:eastAsia="Arial" w:hAnsi="Arial"/>
          <w:sz w:val="18"/>
          <w:szCs w:val="18"/>
          <w:color w:val="auto"/>
        </w:rPr>
        <w:t>Date: November 3, 2022</w:t>
      </w:r>
      <w:r>
        <w:rPr>
          <w:sz w:val="20"/>
          <w:szCs w:val="20"/>
          <w:color w:val="auto"/>
        </w:rPr>
        <w:tab/>
      </w:r>
      <w:r>
        <w:rPr>
          <w:rFonts w:ascii="Arial" w:cs="Arial" w:eastAsia="Arial" w:hAnsi="Arial"/>
          <w:sz w:val="18"/>
          <w:szCs w:val="18"/>
          <w:color w:val="auto"/>
        </w:rPr>
        <w:t>By:</w:t>
      </w:r>
      <w:r>
        <w:rPr>
          <w:sz w:val="20"/>
          <w:szCs w:val="20"/>
          <w:color w:val="auto"/>
        </w:rPr>
        <w:tab/>
      </w:r>
      <w:r>
        <w:rPr>
          <w:rFonts w:ascii="Arial" w:cs="Arial" w:eastAsia="Arial" w:hAnsi="Arial"/>
          <w:sz w:val="15"/>
          <w:szCs w:val="15"/>
          <w:color w:val="auto"/>
        </w:rPr>
        <w:t>/s/ Spenser Skates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3823970</wp:posOffset>
            </wp:positionH>
            <wp:positionV relativeFrom="paragraph">
              <wp:posOffset>14605</wp:posOffset>
            </wp:positionV>
            <wp:extent cx="3313430" cy="8255"/>
            <wp:wrapNone/>
            <wp:docPr id="310" name="Picture 3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0"/>
                    <pic:cNvPicPr>
                      <a:picLocks noChangeAspect="1" noChangeArrowheads="1"/>
                    </pic:cNvPicPr>
                  </pic:nvPicPr>
                  <pic:blipFill>
                    <a:blip r:embed="rId322">
                      <a:extLst>
                        <a:ext uri="{28A0092B-C50C-407E-A947-70E740481C1C}"/>
                      </a:extLst>
                    </a:blip>
                    <a:srcRect/>
                    <a:stretch>
                      <a:fillRect/>
                    </a:stretch>
                  </pic:blipFill>
                  <pic:spPr bwMode="auto">
                    <a:xfrm>
                      <a:off x="0" y="0"/>
                      <a:ext cx="3313430" cy="8255"/>
                    </a:xfrm>
                    <a:prstGeom prst="rect">
                      <a:avLst/>
                    </a:prstGeom>
                    <a:noFill/>
                  </pic:spPr>
                </pic:pic>
              </a:graphicData>
            </a:graphic>
          </wp:anchor>
        </w:drawing>
      </w:r>
    </w:p>
    <w:p>
      <w:pPr>
        <w:ind w:left="8060"/>
        <w:spacing w:after="0"/>
        <w:rPr>
          <w:sz w:val="20"/>
          <w:szCs w:val="20"/>
          <w:color w:val="auto"/>
        </w:rPr>
      </w:pPr>
      <w:r>
        <w:rPr>
          <w:rFonts w:ascii="Arial" w:cs="Arial" w:eastAsia="Arial" w:hAnsi="Arial"/>
          <w:sz w:val="18"/>
          <w:szCs w:val="18"/>
          <w:b w:val="1"/>
          <w:bCs w:val="1"/>
          <w:color w:val="auto"/>
        </w:rPr>
        <w:t>Spenser Skates</w:t>
      </w:r>
    </w:p>
    <w:p>
      <w:pPr>
        <w:ind w:left="7720"/>
        <w:spacing w:after="0" w:line="218" w:lineRule="auto"/>
        <w:rPr>
          <w:sz w:val="20"/>
          <w:szCs w:val="20"/>
          <w:color w:val="auto"/>
        </w:rPr>
      </w:pPr>
      <w:r>
        <w:rPr>
          <w:rFonts w:ascii="Arial" w:cs="Arial" w:eastAsia="Arial" w:hAnsi="Arial"/>
          <w:sz w:val="18"/>
          <w:szCs w:val="18"/>
          <w:b w:val="1"/>
          <w:bCs w:val="1"/>
          <w:color w:val="auto"/>
        </w:rPr>
        <w:t>Chief Executive Officer</w:t>
      </w:r>
    </w:p>
    <w:p>
      <w:pPr>
        <w:spacing w:after="0" w:line="1" w:lineRule="exact"/>
        <w:rPr>
          <w:sz w:val="20"/>
          <w:szCs w:val="20"/>
          <w:color w:val="auto"/>
        </w:rPr>
      </w:pPr>
    </w:p>
    <w:p>
      <w:pPr>
        <w:ind w:left="7580"/>
        <w:spacing w:after="0"/>
        <w:rPr>
          <w:sz w:val="20"/>
          <w:szCs w:val="20"/>
          <w:color w:val="auto"/>
        </w:rPr>
      </w:pPr>
      <w:r>
        <w:rPr>
          <w:rFonts w:ascii="Arial" w:cs="Arial" w:eastAsia="Arial" w:hAnsi="Arial"/>
          <w:sz w:val="18"/>
          <w:szCs w:val="18"/>
          <w:i w:val="1"/>
          <w:iCs w:val="1"/>
          <w:color w:val="auto"/>
        </w:rPr>
        <w:t>(Principal Executive Officer)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325755</wp:posOffset>
            </wp:positionV>
            <wp:extent cx="7157720" cy="42545"/>
            <wp:wrapNone/>
            <wp:docPr id="311" name="Picture 3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1"/>
                    <pic:cNvPicPr>
                      <a:picLocks noChangeAspect="1" noChangeArrowheads="1"/>
                    </pic:cNvPicPr>
                  </pic:nvPicPr>
                  <pic:blipFill>
                    <a:blip r:embed="rId32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24" w:right="339" w:bottom="1440" w:gutter="0" w:footer="0" w:header="0"/>
        </w:sectPr>
      </w:pPr>
    </w:p>
    <w:bookmarkStart w:id="76" w:name="page77"/>
    <w:bookmarkEnd w:id="76"/>
    <w:p>
      <w:pPr>
        <w:jc w:val="right"/>
        <w:spacing w:after="0"/>
        <w:rPr>
          <w:sz w:val="20"/>
          <w:szCs w:val="20"/>
          <w:color w:val="auto"/>
        </w:rPr>
      </w:pPr>
      <w:r>
        <w:rPr>
          <w:rFonts w:ascii="Arial" w:cs="Arial" w:eastAsia="Arial" w:hAnsi="Arial"/>
          <w:sz w:val="18"/>
          <w:szCs w:val="18"/>
          <w:b w:val="1"/>
          <w:bCs w:val="1"/>
          <w:color w:val="auto"/>
        </w:rPr>
        <w:t>Exhibit 31.2</w:t>
      </w:r>
    </w:p>
    <w:p>
      <w:pPr>
        <w:spacing w:after="0" w:line="332" w:lineRule="exact"/>
        <w:rPr>
          <w:sz w:val="20"/>
          <w:szCs w:val="20"/>
          <w:color w:val="auto"/>
        </w:rPr>
      </w:pPr>
    </w:p>
    <w:p>
      <w:pPr>
        <w:jc w:val="center"/>
        <w:spacing w:after="0" w:line="250" w:lineRule="auto"/>
        <w:rPr>
          <w:sz w:val="20"/>
          <w:szCs w:val="20"/>
          <w:color w:val="auto"/>
        </w:rPr>
      </w:pPr>
      <w:r>
        <w:rPr>
          <w:rFonts w:ascii="Arial" w:cs="Arial" w:eastAsia="Arial" w:hAnsi="Arial"/>
          <w:sz w:val="18"/>
          <w:szCs w:val="18"/>
          <w:b w:val="1"/>
          <w:bCs w:val="1"/>
          <w:color w:val="auto"/>
        </w:rPr>
        <w:t>CERTIFICATION OF PRINCIPAL FINANCIAL OFFICER PURSUANT TO RULES 13a-14(a) AND 15d-14(a) UNDER THE SECURITIES EXCHANGE ACT OF 1934, AS ADOPTED PURSUANT TO SECTION 302 OF THE SARBANES-OXLEY ACT OF 2002</w:t>
      </w:r>
    </w:p>
    <w:p>
      <w:pPr>
        <w:spacing w:after="0" w:line="193" w:lineRule="exact"/>
        <w:rPr>
          <w:sz w:val="20"/>
          <w:szCs w:val="20"/>
          <w:color w:val="auto"/>
        </w:rPr>
      </w:pPr>
    </w:p>
    <w:p>
      <w:pPr>
        <w:spacing w:after="0"/>
        <w:rPr>
          <w:sz w:val="20"/>
          <w:szCs w:val="20"/>
          <w:color w:val="auto"/>
        </w:rPr>
      </w:pPr>
      <w:r>
        <w:rPr>
          <w:rFonts w:ascii="Arial" w:cs="Arial" w:eastAsia="Arial" w:hAnsi="Arial"/>
          <w:sz w:val="18"/>
          <w:szCs w:val="18"/>
          <w:color w:val="auto"/>
        </w:rPr>
        <w:t>I, Hoang Vuong, certify that:</w:t>
      </w:r>
    </w:p>
    <w:p>
      <w:pPr>
        <w:spacing w:after="0" w:line="211" w:lineRule="exact"/>
        <w:rPr>
          <w:sz w:val="20"/>
          <w:szCs w:val="20"/>
          <w:color w:val="auto"/>
        </w:rPr>
      </w:pPr>
    </w:p>
    <w:p>
      <w:pPr>
        <w:ind w:left="520" w:hanging="512"/>
        <w:spacing w:after="0"/>
        <w:tabs>
          <w:tab w:leader="none" w:pos="520" w:val="left"/>
        </w:tabs>
        <w:numPr>
          <w:ilvl w:val="0"/>
          <w:numId w:val="50"/>
        </w:numPr>
        <w:rPr>
          <w:rFonts w:ascii="Arial" w:cs="Arial" w:eastAsia="Arial" w:hAnsi="Arial"/>
          <w:sz w:val="18"/>
          <w:szCs w:val="18"/>
          <w:color w:val="auto"/>
        </w:rPr>
      </w:pPr>
      <w:r>
        <w:rPr>
          <w:rFonts w:ascii="Arial" w:cs="Arial" w:eastAsia="Arial" w:hAnsi="Arial"/>
          <w:sz w:val="18"/>
          <w:szCs w:val="18"/>
          <w:color w:val="auto"/>
        </w:rPr>
        <w:t>I have reviewed this Quarterly Report on Form 10-Q of Amplitude, Inc.;</w:t>
      </w:r>
    </w:p>
    <w:p>
      <w:pPr>
        <w:spacing w:after="0" w:line="211" w:lineRule="exact"/>
        <w:rPr>
          <w:rFonts w:ascii="Arial" w:cs="Arial" w:eastAsia="Arial" w:hAnsi="Arial"/>
          <w:sz w:val="18"/>
          <w:szCs w:val="18"/>
          <w:color w:val="auto"/>
        </w:rPr>
      </w:pPr>
    </w:p>
    <w:p>
      <w:pPr>
        <w:jc w:val="both"/>
        <w:ind w:left="520" w:right="260" w:hanging="512"/>
        <w:spacing w:after="0" w:line="255" w:lineRule="auto"/>
        <w:tabs>
          <w:tab w:leader="none" w:pos="520" w:val="left"/>
        </w:tabs>
        <w:numPr>
          <w:ilvl w:val="0"/>
          <w:numId w:val="50"/>
        </w:numPr>
        <w:rPr>
          <w:rFonts w:ascii="Arial" w:cs="Arial" w:eastAsia="Arial" w:hAnsi="Arial"/>
          <w:sz w:val="18"/>
          <w:szCs w:val="18"/>
          <w:color w:val="auto"/>
        </w:rPr>
      </w:pPr>
      <w:r>
        <w:rPr>
          <w:rFonts w:ascii="Arial" w:cs="Arial" w:eastAsia="Arial" w:hAnsi="Arial"/>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76" w:lineRule="exact"/>
        <w:rPr>
          <w:rFonts w:ascii="Arial" w:cs="Arial" w:eastAsia="Arial" w:hAnsi="Arial"/>
          <w:sz w:val="18"/>
          <w:szCs w:val="18"/>
          <w:color w:val="auto"/>
        </w:rPr>
      </w:pPr>
    </w:p>
    <w:p>
      <w:pPr>
        <w:ind w:left="520" w:right="240" w:hanging="512"/>
        <w:spacing w:after="0" w:line="290" w:lineRule="auto"/>
        <w:tabs>
          <w:tab w:leader="none" w:pos="520" w:val="left"/>
        </w:tabs>
        <w:numPr>
          <w:ilvl w:val="0"/>
          <w:numId w:val="50"/>
        </w:numPr>
        <w:rPr>
          <w:rFonts w:ascii="Arial" w:cs="Arial" w:eastAsia="Arial" w:hAnsi="Arial"/>
          <w:sz w:val="17"/>
          <w:szCs w:val="17"/>
          <w:color w:val="auto"/>
        </w:rPr>
      </w:pPr>
      <w:r>
        <w:rPr>
          <w:rFonts w:ascii="Arial" w:cs="Arial" w:eastAsia="Arial" w:hAnsi="Arial"/>
          <w:sz w:val="17"/>
          <w:szCs w:val="17"/>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61" w:lineRule="exact"/>
        <w:rPr>
          <w:rFonts w:ascii="Arial" w:cs="Arial" w:eastAsia="Arial" w:hAnsi="Arial"/>
          <w:sz w:val="17"/>
          <w:szCs w:val="17"/>
          <w:color w:val="auto"/>
        </w:rPr>
      </w:pPr>
    </w:p>
    <w:p>
      <w:pPr>
        <w:ind w:left="520" w:right="480" w:hanging="512"/>
        <w:spacing w:after="0" w:line="261" w:lineRule="auto"/>
        <w:tabs>
          <w:tab w:leader="none" w:pos="520" w:val="left"/>
        </w:tabs>
        <w:numPr>
          <w:ilvl w:val="0"/>
          <w:numId w:val="50"/>
        </w:numPr>
        <w:rPr>
          <w:rFonts w:ascii="Arial" w:cs="Arial" w:eastAsia="Arial" w:hAnsi="Arial"/>
          <w:sz w:val="18"/>
          <w:szCs w:val="18"/>
          <w:color w:val="auto"/>
        </w:rPr>
      </w:pPr>
      <w:r>
        <w:rPr>
          <w:rFonts w:ascii="Arial" w:cs="Arial" w:eastAsia="Arial" w:hAnsi="Arial"/>
          <w:sz w:val="18"/>
          <w:szCs w:val="18"/>
          <w:color w:val="auto"/>
        </w:rPr>
        <w:t>The registrant's other certifying officer and I are responsible for establishing and maintaining disclosure controls and procedures (as defined in Exchange Act Rules 13a-15(e) and 15d-15(e)) for the registrant and have:</w:t>
      </w:r>
    </w:p>
    <w:p>
      <w:pPr>
        <w:spacing w:after="0" w:line="170" w:lineRule="exact"/>
        <w:rPr>
          <w:rFonts w:ascii="Arial" w:cs="Arial" w:eastAsia="Arial" w:hAnsi="Arial"/>
          <w:sz w:val="18"/>
          <w:szCs w:val="18"/>
          <w:color w:val="auto"/>
        </w:rPr>
      </w:pPr>
    </w:p>
    <w:p>
      <w:pPr>
        <w:ind w:left="1020" w:right="20" w:hanging="504"/>
        <w:spacing w:after="0" w:line="255" w:lineRule="auto"/>
        <w:tabs>
          <w:tab w:leader="none" w:pos="1020" w:val="left"/>
        </w:tabs>
        <w:numPr>
          <w:ilvl w:val="1"/>
          <w:numId w:val="50"/>
        </w:numPr>
        <w:rPr>
          <w:rFonts w:ascii="Arial" w:cs="Arial" w:eastAsia="Arial" w:hAnsi="Arial"/>
          <w:sz w:val="18"/>
          <w:szCs w:val="18"/>
          <w:color w:val="auto"/>
        </w:rPr>
      </w:pPr>
      <w:r>
        <w:rPr>
          <w:rFonts w:ascii="Arial" w:cs="Arial" w:eastAsia="Arial" w:hAnsi="Arial"/>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176" w:lineRule="exact"/>
        <w:rPr>
          <w:rFonts w:ascii="Arial" w:cs="Arial" w:eastAsia="Arial" w:hAnsi="Arial"/>
          <w:sz w:val="18"/>
          <w:szCs w:val="18"/>
          <w:color w:val="auto"/>
        </w:rPr>
      </w:pPr>
    </w:p>
    <w:p>
      <w:pPr>
        <w:ind w:left="1020" w:hanging="504"/>
        <w:spacing w:after="0"/>
        <w:tabs>
          <w:tab w:leader="none" w:pos="1020" w:val="left"/>
        </w:tabs>
        <w:numPr>
          <w:ilvl w:val="1"/>
          <w:numId w:val="50"/>
        </w:numPr>
        <w:rPr>
          <w:rFonts w:ascii="Arial" w:cs="Arial" w:eastAsia="Arial" w:hAnsi="Arial"/>
          <w:sz w:val="18"/>
          <w:szCs w:val="18"/>
          <w:color w:val="auto"/>
        </w:rPr>
      </w:pPr>
      <w:r>
        <w:rPr>
          <w:rFonts w:ascii="Arial" w:cs="Arial" w:eastAsia="Arial" w:hAnsi="Arial"/>
          <w:sz w:val="18"/>
          <w:szCs w:val="18"/>
          <w:color w:val="auto"/>
        </w:rPr>
        <w:t>[Reserved];</w:t>
      </w:r>
    </w:p>
    <w:p>
      <w:pPr>
        <w:spacing w:after="0" w:line="224" w:lineRule="exact"/>
        <w:rPr>
          <w:rFonts w:ascii="Arial" w:cs="Arial" w:eastAsia="Arial" w:hAnsi="Arial"/>
          <w:sz w:val="18"/>
          <w:szCs w:val="18"/>
          <w:color w:val="auto"/>
        </w:rPr>
      </w:pPr>
    </w:p>
    <w:p>
      <w:pPr>
        <w:jc w:val="both"/>
        <w:ind w:left="1020" w:right="500" w:hanging="504"/>
        <w:spacing w:after="0" w:line="324" w:lineRule="auto"/>
        <w:tabs>
          <w:tab w:leader="none" w:pos="1020" w:val="left"/>
        </w:tabs>
        <w:numPr>
          <w:ilvl w:val="1"/>
          <w:numId w:val="50"/>
        </w:numPr>
        <w:rPr>
          <w:rFonts w:ascii="Arial" w:cs="Arial" w:eastAsia="Arial" w:hAnsi="Arial"/>
          <w:sz w:val="16"/>
          <w:szCs w:val="16"/>
          <w:color w:val="auto"/>
        </w:rPr>
      </w:pPr>
      <w:r>
        <w:rPr>
          <w:rFonts w:ascii="Arial" w:cs="Arial" w:eastAsia="Arial" w:hAnsi="Arial"/>
          <w:sz w:val="16"/>
          <w:szCs w:val="16"/>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23" w:lineRule="exact"/>
        <w:rPr>
          <w:rFonts w:ascii="Arial" w:cs="Arial" w:eastAsia="Arial" w:hAnsi="Arial"/>
          <w:sz w:val="16"/>
          <w:szCs w:val="16"/>
          <w:color w:val="auto"/>
        </w:rPr>
      </w:pPr>
    </w:p>
    <w:p>
      <w:pPr>
        <w:ind w:left="1020" w:right="40" w:hanging="504"/>
        <w:spacing w:after="0" w:line="255" w:lineRule="auto"/>
        <w:tabs>
          <w:tab w:leader="none" w:pos="1020" w:val="left"/>
        </w:tabs>
        <w:numPr>
          <w:ilvl w:val="1"/>
          <w:numId w:val="50"/>
        </w:numPr>
        <w:rPr>
          <w:rFonts w:ascii="Arial" w:cs="Arial" w:eastAsia="Arial" w:hAnsi="Arial"/>
          <w:sz w:val="18"/>
          <w:szCs w:val="18"/>
          <w:color w:val="auto"/>
        </w:rPr>
      </w:pPr>
      <w:r>
        <w:rPr>
          <w:rFonts w:ascii="Arial" w:cs="Arial" w:eastAsia="Arial" w:hAnsi="Arial"/>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176" w:lineRule="exact"/>
        <w:rPr>
          <w:rFonts w:ascii="Arial" w:cs="Arial" w:eastAsia="Arial" w:hAnsi="Arial"/>
          <w:sz w:val="18"/>
          <w:szCs w:val="18"/>
          <w:color w:val="auto"/>
        </w:rPr>
      </w:pPr>
    </w:p>
    <w:p>
      <w:pPr>
        <w:ind w:left="520" w:right="180" w:hanging="512"/>
        <w:spacing w:after="0" w:line="307" w:lineRule="auto"/>
        <w:tabs>
          <w:tab w:leader="none" w:pos="520" w:val="left"/>
        </w:tabs>
        <w:numPr>
          <w:ilvl w:val="0"/>
          <w:numId w:val="50"/>
        </w:numPr>
        <w:rPr>
          <w:rFonts w:ascii="Arial" w:cs="Arial" w:eastAsia="Arial" w:hAnsi="Arial"/>
          <w:sz w:val="17"/>
          <w:szCs w:val="17"/>
          <w:color w:val="auto"/>
        </w:rPr>
      </w:pPr>
      <w:r>
        <w:rPr>
          <w:rFonts w:ascii="Arial" w:cs="Arial" w:eastAsia="Arial" w:hAnsi="Arial"/>
          <w:sz w:val="17"/>
          <w:szCs w:val="17"/>
          <w:color w:val="auto"/>
        </w:rPr>
        <w:t>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spacing w:after="0" w:line="133" w:lineRule="exact"/>
        <w:rPr>
          <w:rFonts w:ascii="Arial" w:cs="Arial" w:eastAsia="Arial" w:hAnsi="Arial"/>
          <w:sz w:val="17"/>
          <w:szCs w:val="17"/>
          <w:color w:val="auto"/>
        </w:rPr>
      </w:pPr>
    </w:p>
    <w:p>
      <w:pPr>
        <w:ind w:left="1020" w:right="740" w:hanging="504"/>
        <w:spacing w:after="0" w:line="324" w:lineRule="auto"/>
        <w:tabs>
          <w:tab w:leader="none" w:pos="1020" w:val="left"/>
        </w:tabs>
        <w:numPr>
          <w:ilvl w:val="1"/>
          <w:numId w:val="50"/>
        </w:numPr>
        <w:rPr>
          <w:rFonts w:ascii="Arial" w:cs="Arial" w:eastAsia="Arial" w:hAnsi="Arial"/>
          <w:sz w:val="16"/>
          <w:szCs w:val="16"/>
          <w:color w:val="auto"/>
        </w:rPr>
      </w:pPr>
      <w:r>
        <w:rPr>
          <w:rFonts w:ascii="Arial" w:cs="Arial" w:eastAsia="Arial" w:hAnsi="Arial"/>
          <w:sz w:val="16"/>
          <w:szCs w:val="16"/>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23" w:lineRule="exact"/>
        <w:rPr>
          <w:rFonts w:ascii="Arial" w:cs="Arial" w:eastAsia="Arial" w:hAnsi="Arial"/>
          <w:sz w:val="16"/>
          <w:szCs w:val="16"/>
          <w:color w:val="auto"/>
        </w:rPr>
      </w:pPr>
    </w:p>
    <w:p>
      <w:pPr>
        <w:ind w:left="1020" w:right="460" w:hanging="504"/>
        <w:spacing w:after="0" w:line="277" w:lineRule="auto"/>
        <w:tabs>
          <w:tab w:leader="none" w:pos="1020" w:val="left"/>
        </w:tabs>
        <w:numPr>
          <w:ilvl w:val="1"/>
          <w:numId w:val="50"/>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129" w:lineRule="exact"/>
        <w:rPr>
          <w:sz w:val="20"/>
          <w:szCs w:val="20"/>
          <w:color w:val="auto"/>
        </w:rPr>
      </w:pPr>
    </w:p>
    <w:p>
      <w:pPr>
        <w:ind w:left="20"/>
        <w:spacing w:after="0"/>
        <w:tabs>
          <w:tab w:leader="none" w:pos="5680" w:val="left"/>
          <w:tab w:leader="none" w:pos="8000" w:val="left"/>
        </w:tabs>
        <w:rPr>
          <w:sz w:val="20"/>
          <w:szCs w:val="20"/>
          <w:color w:val="auto"/>
        </w:rPr>
      </w:pPr>
      <w:r>
        <w:rPr>
          <w:rFonts w:ascii="Arial" w:cs="Arial" w:eastAsia="Arial" w:hAnsi="Arial"/>
          <w:sz w:val="18"/>
          <w:szCs w:val="18"/>
          <w:color w:val="auto"/>
        </w:rPr>
        <w:t>Date: November 3, 2022</w:t>
      </w:r>
      <w:r>
        <w:rPr>
          <w:sz w:val="20"/>
          <w:szCs w:val="20"/>
          <w:color w:val="auto"/>
        </w:rPr>
        <w:tab/>
      </w:r>
      <w:r>
        <w:rPr>
          <w:rFonts w:ascii="Arial" w:cs="Arial" w:eastAsia="Arial" w:hAnsi="Arial"/>
          <w:sz w:val="18"/>
          <w:szCs w:val="18"/>
          <w:color w:val="auto"/>
        </w:rPr>
        <w:t>By:</w:t>
      </w:r>
      <w:r>
        <w:rPr>
          <w:sz w:val="20"/>
          <w:szCs w:val="20"/>
          <w:color w:val="auto"/>
        </w:rPr>
        <w:tab/>
      </w:r>
      <w:r>
        <w:rPr>
          <w:rFonts w:ascii="Arial" w:cs="Arial" w:eastAsia="Arial" w:hAnsi="Arial"/>
          <w:sz w:val="16"/>
          <w:szCs w:val="16"/>
          <w:color w:val="auto"/>
        </w:rPr>
        <w:t>/s/ Hoang Vuong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3823970</wp:posOffset>
            </wp:positionH>
            <wp:positionV relativeFrom="paragraph">
              <wp:posOffset>14605</wp:posOffset>
            </wp:positionV>
            <wp:extent cx="3313430" cy="8255"/>
            <wp:wrapNone/>
            <wp:docPr id="312" name="Picture 3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2"/>
                    <pic:cNvPicPr>
                      <a:picLocks noChangeAspect="1" noChangeArrowheads="1"/>
                    </pic:cNvPicPr>
                  </pic:nvPicPr>
                  <pic:blipFill>
                    <a:blip r:embed="rId324">
                      <a:extLst>
                        <a:ext uri="{28A0092B-C50C-407E-A947-70E740481C1C}"/>
                      </a:extLst>
                    </a:blip>
                    <a:srcRect/>
                    <a:stretch>
                      <a:fillRect/>
                    </a:stretch>
                  </pic:blipFill>
                  <pic:spPr bwMode="auto">
                    <a:xfrm>
                      <a:off x="0" y="0"/>
                      <a:ext cx="3313430" cy="8255"/>
                    </a:xfrm>
                    <a:prstGeom prst="rect">
                      <a:avLst/>
                    </a:prstGeom>
                    <a:noFill/>
                  </pic:spPr>
                </pic:pic>
              </a:graphicData>
            </a:graphic>
          </wp:anchor>
        </w:drawing>
      </w:r>
    </w:p>
    <w:p>
      <w:pPr>
        <w:ind w:left="8100"/>
        <w:spacing w:after="0"/>
        <w:rPr>
          <w:sz w:val="20"/>
          <w:szCs w:val="20"/>
          <w:color w:val="auto"/>
        </w:rPr>
      </w:pPr>
      <w:r>
        <w:rPr>
          <w:rFonts w:ascii="Arial" w:cs="Arial" w:eastAsia="Arial" w:hAnsi="Arial"/>
          <w:sz w:val="18"/>
          <w:szCs w:val="18"/>
          <w:b w:val="1"/>
          <w:bCs w:val="1"/>
          <w:color w:val="auto"/>
        </w:rPr>
        <w:t>Hoang Vuong</w:t>
      </w:r>
    </w:p>
    <w:p>
      <w:pPr>
        <w:ind w:left="7740"/>
        <w:spacing w:after="0" w:line="218" w:lineRule="auto"/>
        <w:rPr>
          <w:sz w:val="20"/>
          <w:szCs w:val="20"/>
          <w:color w:val="auto"/>
        </w:rPr>
      </w:pPr>
      <w:r>
        <w:rPr>
          <w:rFonts w:ascii="Arial" w:cs="Arial" w:eastAsia="Arial" w:hAnsi="Arial"/>
          <w:sz w:val="18"/>
          <w:szCs w:val="18"/>
          <w:b w:val="1"/>
          <w:bCs w:val="1"/>
          <w:color w:val="auto"/>
        </w:rPr>
        <w:t>Chief Financial Officer</w:t>
      </w:r>
    </w:p>
    <w:p>
      <w:pPr>
        <w:spacing w:after="0" w:line="1" w:lineRule="exact"/>
        <w:rPr>
          <w:sz w:val="20"/>
          <w:szCs w:val="20"/>
          <w:color w:val="auto"/>
        </w:rPr>
      </w:pPr>
    </w:p>
    <w:p>
      <w:pPr>
        <w:ind w:left="7580"/>
        <w:spacing w:after="0"/>
        <w:rPr>
          <w:sz w:val="20"/>
          <w:szCs w:val="20"/>
          <w:color w:val="auto"/>
        </w:rPr>
      </w:pPr>
      <w:r>
        <w:rPr>
          <w:rFonts w:ascii="Arial" w:cs="Arial" w:eastAsia="Arial" w:hAnsi="Arial"/>
          <w:sz w:val="18"/>
          <w:szCs w:val="18"/>
          <w:i w:val="1"/>
          <w:iCs w:val="1"/>
          <w:color w:val="auto"/>
        </w:rPr>
        <w:t>(Principal Financial Officer)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325755</wp:posOffset>
            </wp:positionV>
            <wp:extent cx="7157720" cy="42545"/>
            <wp:wrapNone/>
            <wp:docPr id="313" name="Picture 3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3"/>
                    <pic:cNvPicPr>
                      <a:picLocks noChangeAspect="1" noChangeArrowheads="1"/>
                    </pic:cNvPicPr>
                  </pic:nvPicPr>
                  <pic:blipFill>
                    <a:blip r:embed="rId32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23" w:right="339" w:bottom="1440" w:gutter="0" w:footer="0" w:header="0"/>
        </w:sectPr>
      </w:pPr>
    </w:p>
    <w:bookmarkStart w:id="77" w:name="page78"/>
    <w:bookmarkEnd w:id="77"/>
    <w:p>
      <w:pPr>
        <w:jc w:val="right"/>
        <w:spacing w:after="0"/>
        <w:rPr>
          <w:sz w:val="20"/>
          <w:szCs w:val="20"/>
          <w:color w:val="auto"/>
        </w:rPr>
      </w:pPr>
      <w:r>
        <w:rPr>
          <w:rFonts w:ascii="Arial" w:cs="Arial" w:eastAsia="Arial" w:hAnsi="Arial"/>
          <w:sz w:val="18"/>
          <w:szCs w:val="18"/>
          <w:b w:val="1"/>
          <w:bCs w:val="1"/>
          <w:color w:val="auto"/>
        </w:rPr>
        <w:t>Exhibit 32.1</w:t>
      </w:r>
    </w:p>
    <w:p>
      <w:pPr>
        <w:spacing w:after="0" w:line="332" w:lineRule="exact"/>
        <w:rPr>
          <w:sz w:val="20"/>
          <w:szCs w:val="20"/>
          <w:color w:val="auto"/>
        </w:rPr>
      </w:pPr>
    </w:p>
    <w:p>
      <w:pPr>
        <w:jc w:val="center"/>
        <w:ind w:left="340" w:right="2580"/>
        <w:spacing w:after="0" w:line="250" w:lineRule="auto"/>
        <w:rPr>
          <w:sz w:val="20"/>
          <w:szCs w:val="20"/>
          <w:color w:val="auto"/>
        </w:rPr>
      </w:pPr>
      <w:r>
        <w:rPr>
          <w:rFonts w:ascii="Arial" w:cs="Arial" w:eastAsia="Arial" w:hAnsi="Arial"/>
          <w:sz w:val="18"/>
          <w:szCs w:val="18"/>
          <w:b w:val="1"/>
          <w:bCs w:val="1"/>
          <w:color w:val="auto"/>
        </w:rPr>
        <w:t>CERTIFICATION OF PRINCIPAL EXECUTIVE OFFICER PURSUANT TO 18 U.S.C. SECTION 1350, AS ADOPTED PURSUANT TO SECTION 906 OF THE SARBANES-OXLEY ACT OF 2002</w:t>
      </w:r>
    </w:p>
    <w:p>
      <w:pPr>
        <w:spacing w:after="0" w:line="193" w:lineRule="exact"/>
        <w:rPr>
          <w:sz w:val="20"/>
          <w:szCs w:val="20"/>
          <w:color w:val="auto"/>
        </w:rPr>
      </w:pPr>
    </w:p>
    <w:p>
      <w:pPr>
        <w:ind w:right="140" w:firstLine="509"/>
        <w:spacing w:after="0" w:line="247" w:lineRule="auto"/>
        <w:rPr>
          <w:sz w:val="20"/>
          <w:szCs w:val="20"/>
          <w:color w:val="auto"/>
        </w:rPr>
      </w:pPr>
      <w:r>
        <w:rPr>
          <w:rFonts w:ascii="Arial" w:cs="Arial" w:eastAsia="Arial" w:hAnsi="Arial"/>
          <w:sz w:val="18"/>
          <w:szCs w:val="18"/>
          <w:color w:val="auto"/>
        </w:rPr>
        <w:t>In connection with the Quarterly Report of Amplitude, Inc. (the “Company”) on Form 10-Q for the quarter ended September 30, 2022 as filed with the Securities and Exchange Commission on the date hereof (the “Report”), I certify, pursuant to 18 U.S.C. § 1350, as adopted pursuant to § 906 of the Sarbanes-Oxley Act of 2002, as amended, that:</w:t>
      </w:r>
    </w:p>
    <w:p>
      <w:pPr>
        <w:spacing w:after="0" w:line="197" w:lineRule="exact"/>
        <w:rPr>
          <w:sz w:val="20"/>
          <w:szCs w:val="20"/>
          <w:color w:val="auto"/>
        </w:rPr>
      </w:pPr>
    </w:p>
    <w:p>
      <w:pPr>
        <w:ind w:left="1020" w:hanging="504"/>
        <w:spacing w:after="0"/>
        <w:tabs>
          <w:tab w:leader="none" w:pos="1020" w:val="left"/>
        </w:tabs>
        <w:numPr>
          <w:ilvl w:val="0"/>
          <w:numId w:val="51"/>
        </w:numPr>
        <w:rPr>
          <w:rFonts w:ascii="Arial" w:cs="Arial" w:eastAsia="Arial" w:hAnsi="Arial"/>
          <w:sz w:val="17"/>
          <w:szCs w:val="17"/>
          <w:color w:val="auto"/>
        </w:rPr>
      </w:pPr>
      <w:r>
        <w:rPr>
          <w:rFonts w:ascii="Arial" w:cs="Arial" w:eastAsia="Arial" w:hAnsi="Arial"/>
          <w:sz w:val="17"/>
          <w:szCs w:val="17"/>
          <w:color w:val="auto"/>
        </w:rPr>
        <w:t>The Report fully complies with the requirements of Section 13(a) or 15(d) of the Securities Exchange Act of 1934, as amended; and</w:t>
      </w:r>
    </w:p>
    <w:p>
      <w:pPr>
        <w:spacing w:after="0" w:line="222" w:lineRule="exact"/>
        <w:rPr>
          <w:rFonts w:ascii="Arial" w:cs="Arial" w:eastAsia="Arial" w:hAnsi="Arial"/>
          <w:sz w:val="17"/>
          <w:szCs w:val="17"/>
          <w:color w:val="auto"/>
        </w:rPr>
      </w:pPr>
    </w:p>
    <w:p>
      <w:pPr>
        <w:ind w:left="1020" w:right="560" w:hanging="504"/>
        <w:spacing w:after="0" w:line="261" w:lineRule="auto"/>
        <w:tabs>
          <w:tab w:leader="none" w:pos="1020" w:val="left"/>
        </w:tabs>
        <w:numPr>
          <w:ilvl w:val="0"/>
          <w:numId w:val="51"/>
        </w:numPr>
        <w:rPr>
          <w:rFonts w:ascii="Arial" w:cs="Arial" w:eastAsia="Arial" w:hAnsi="Arial"/>
          <w:sz w:val="18"/>
          <w:szCs w:val="18"/>
          <w:color w:val="auto"/>
        </w:rPr>
      </w:pPr>
      <w:r>
        <w:rPr>
          <w:rFonts w:ascii="Arial" w:cs="Arial" w:eastAsia="Arial" w:hAnsi="Arial"/>
          <w:sz w:val="18"/>
          <w:szCs w:val="18"/>
          <w:color w:val="auto"/>
        </w:rPr>
        <w:t>The information contained in the Report fairly presents, in all material respects, the financial condition and results of operations of the Company.</w:t>
      </w:r>
    </w:p>
    <w:p>
      <w:pPr>
        <w:spacing w:after="0" w:line="157" w:lineRule="exact"/>
        <w:rPr>
          <w:sz w:val="20"/>
          <w:szCs w:val="20"/>
          <w:color w:val="auto"/>
        </w:rPr>
      </w:pPr>
    </w:p>
    <w:p>
      <w:pPr>
        <w:ind w:left="20"/>
        <w:spacing w:after="0"/>
        <w:tabs>
          <w:tab w:leader="none" w:pos="5680" w:val="left"/>
          <w:tab w:leader="none" w:pos="7960" w:val="left"/>
        </w:tabs>
        <w:rPr>
          <w:sz w:val="20"/>
          <w:szCs w:val="20"/>
          <w:color w:val="auto"/>
        </w:rPr>
      </w:pPr>
      <w:r>
        <w:rPr>
          <w:rFonts w:ascii="Arial" w:cs="Arial" w:eastAsia="Arial" w:hAnsi="Arial"/>
          <w:sz w:val="18"/>
          <w:szCs w:val="18"/>
          <w:color w:val="auto"/>
        </w:rPr>
        <w:t>Date: November 3, 2022</w:t>
      </w:r>
      <w:r>
        <w:rPr>
          <w:sz w:val="20"/>
          <w:szCs w:val="20"/>
          <w:color w:val="auto"/>
        </w:rPr>
        <w:tab/>
      </w:r>
      <w:r>
        <w:rPr>
          <w:rFonts w:ascii="Arial" w:cs="Arial" w:eastAsia="Arial" w:hAnsi="Arial"/>
          <w:sz w:val="18"/>
          <w:szCs w:val="18"/>
          <w:color w:val="auto"/>
        </w:rPr>
        <w:t>By:</w:t>
      </w:r>
      <w:r>
        <w:rPr>
          <w:sz w:val="20"/>
          <w:szCs w:val="20"/>
          <w:color w:val="auto"/>
        </w:rPr>
        <w:tab/>
      </w:r>
      <w:r>
        <w:rPr>
          <w:rFonts w:ascii="Arial" w:cs="Arial" w:eastAsia="Arial" w:hAnsi="Arial"/>
          <w:sz w:val="15"/>
          <w:szCs w:val="15"/>
          <w:color w:val="auto"/>
        </w:rPr>
        <w:t>/s/ Spenser Skates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3823970</wp:posOffset>
            </wp:positionH>
            <wp:positionV relativeFrom="paragraph">
              <wp:posOffset>14605</wp:posOffset>
            </wp:positionV>
            <wp:extent cx="3313430" cy="8255"/>
            <wp:wrapNone/>
            <wp:docPr id="314" name="Picture 3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4"/>
                    <pic:cNvPicPr>
                      <a:picLocks noChangeAspect="1" noChangeArrowheads="1"/>
                    </pic:cNvPicPr>
                  </pic:nvPicPr>
                  <pic:blipFill>
                    <a:blip r:embed="rId326">
                      <a:extLst>
                        <a:ext uri="{28A0092B-C50C-407E-A947-70E740481C1C}"/>
                      </a:extLst>
                    </a:blip>
                    <a:srcRect/>
                    <a:stretch>
                      <a:fillRect/>
                    </a:stretch>
                  </pic:blipFill>
                  <pic:spPr bwMode="auto">
                    <a:xfrm>
                      <a:off x="0" y="0"/>
                      <a:ext cx="3313430" cy="8255"/>
                    </a:xfrm>
                    <a:prstGeom prst="rect">
                      <a:avLst/>
                    </a:prstGeom>
                    <a:noFill/>
                  </pic:spPr>
                </pic:pic>
              </a:graphicData>
            </a:graphic>
          </wp:anchor>
        </w:drawing>
      </w:r>
    </w:p>
    <w:p>
      <w:pPr>
        <w:ind w:left="8060"/>
        <w:spacing w:after="0"/>
        <w:rPr>
          <w:sz w:val="20"/>
          <w:szCs w:val="20"/>
          <w:color w:val="auto"/>
        </w:rPr>
      </w:pPr>
      <w:r>
        <w:rPr>
          <w:rFonts w:ascii="Arial" w:cs="Arial" w:eastAsia="Arial" w:hAnsi="Arial"/>
          <w:sz w:val="18"/>
          <w:szCs w:val="18"/>
          <w:b w:val="1"/>
          <w:bCs w:val="1"/>
          <w:color w:val="auto"/>
        </w:rPr>
        <w:t>Spenser Skates</w:t>
      </w:r>
    </w:p>
    <w:p>
      <w:pPr>
        <w:ind w:left="7720"/>
        <w:spacing w:after="0" w:line="218" w:lineRule="auto"/>
        <w:rPr>
          <w:sz w:val="20"/>
          <w:szCs w:val="20"/>
          <w:color w:val="auto"/>
        </w:rPr>
      </w:pPr>
      <w:r>
        <w:rPr>
          <w:rFonts w:ascii="Arial" w:cs="Arial" w:eastAsia="Arial" w:hAnsi="Arial"/>
          <w:sz w:val="18"/>
          <w:szCs w:val="18"/>
          <w:b w:val="1"/>
          <w:bCs w:val="1"/>
          <w:color w:val="auto"/>
        </w:rPr>
        <w:t>Chief Executive Officer</w:t>
      </w:r>
    </w:p>
    <w:p>
      <w:pPr>
        <w:spacing w:after="0" w:line="1" w:lineRule="exact"/>
        <w:rPr>
          <w:sz w:val="20"/>
          <w:szCs w:val="20"/>
          <w:color w:val="auto"/>
        </w:rPr>
      </w:pPr>
    </w:p>
    <w:p>
      <w:pPr>
        <w:ind w:left="7580"/>
        <w:spacing w:after="0"/>
        <w:rPr>
          <w:sz w:val="20"/>
          <w:szCs w:val="20"/>
          <w:color w:val="auto"/>
        </w:rPr>
      </w:pPr>
      <w:r>
        <w:rPr>
          <w:rFonts w:ascii="Arial" w:cs="Arial" w:eastAsia="Arial" w:hAnsi="Arial"/>
          <w:sz w:val="18"/>
          <w:szCs w:val="18"/>
          <w:i w:val="1"/>
          <w:iCs w:val="1"/>
          <w:color w:val="auto"/>
        </w:rPr>
        <w:t>(Principal Executive Officer)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316865</wp:posOffset>
            </wp:positionV>
            <wp:extent cx="7157720" cy="42545"/>
            <wp:wrapNone/>
            <wp:docPr id="315" name="Picture 3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5"/>
                    <pic:cNvPicPr>
                      <a:picLocks noChangeAspect="1" noChangeArrowheads="1"/>
                    </pic:cNvPicPr>
                  </pic:nvPicPr>
                  <pic:blipFill>
                    <a:blip r:embed="rId32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23" w:right="339" w:bottom="1440" w:gutter="0" w:footer="0" w:header="0"/>
        </w:sectPr>
      </w:pPr>
    </w:p>
    <w:bookmarkStart w:id="78" w:name="page79"/>
    <w:bookmarkEnd w:id="78"/>
    <w:p>
      <w:pPr>
        <w:jc w:val="right"/>
        <w:spacing w:after="0"/>
        <w:rPr>
          <w:sz w:val="20"/>
          <w:szCs w:val="20"/>
          <w:color w:val="auto"/>
        </w:rPr>
      </w:pPr>
      <w:r>
        <w:rPr>
          <w:rFonts w:ascii="Arial" w:cs="Arial" w:eastAsia="Arial" w:hAnsi="Arial"/>
          <w:sz w:val="18"/>
          <w:szCs w:val="18"/>
          <w:b w:val="1"/>
          <w:bCs w:val="1"/>
          <w:color w:val="auto"/>
        </w:rPr>
        <w:t>Exhibit 32.2</w:t>
      </w:r>
    </w:p>
    <w:p>
      <w:pPr>
        <w:spacing w:after="0" w:line="332"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 OF PRINCIPAL FINANCIAL OFFICER PURSUANT TO</w:t>
      </w:r>
    </w:p>
    <w:p>
      <w:pPr>
        <w:spacing w:after="0" w:line="11" w:lineRule="exact"/>
        <w:rPr>
          <w:sz w:val="20"/>
          <w:szCs w:val="20"/>
          <w:color w:val="auto"/>
        </w:rPr>
      </w:pPr>
    </w:p>
    <w:p>
      <w:pPr>
        <w:ind w:left="3360"/>
        <w:spacing w:after="0"/>
        <w:rPr>
          <w:sz w:val="20"/>
          <w:szCs w:val="20"/>
          <w:color w:val="auto"/>
        </w:rPr>
      </w:pPr>
      <w:r>
        <w:rPr>
          <w:rFonts w:ascii="Arial" w:cs="Arial" w:eastAsia="Arial" w:hAnsi="Arial"/>
          <w:sz w:val="18"/>
          <w:szCs w:val="18"/>
          <w:b w:val="1"/>
          <w:bCs w:val="1"/>
          <w:color w:val="auto"/>
        </w:rPr>
        <w:t>18 U.S.C. SECTION 1350, AS ADOPTED PURSUANT TO</w:t>
      </w:r>
    </w:p>
    <w:p>
      <w:pPr>
        <w:ind w:left="3280"/>
        <w:spacing w:after="0"/>
        <w:rPr>
          <w:sz w:val="20"/>
          <w:szCs w:val="20"/>
          <w:color w:val="auto"/>
        </w:rPr>
      </w:pPr>
      <w:r>
        <w:rPr>
          <w:rFonts w:ascii="Arial" w:cs="Arial" w:eastAsia="Arial" w:hAnsi="Arial"/>
          <w:sz w:val="18"/>
          <w:szCs w:val="18"/>
          <w:b w:val="1"/>
          <w:bCs w:val="1"/>
          <w:color w:val="auto"/>
        </w:rPr>
        <w:t>SECTION 906 OF THE SARBANES-OXLEY ACT OF 2002</w:t>
      </w:r>
    </w:p>
    <w:p>
      <w:pPr>
        <w:spacing w:after="0" w:line="209" w:lineRule="exact"/>
        <w:rPr>
          <w:sz w:val="20"/>
          <w:szCs w:val="20"/>
          <w:color w:val="auto"/>
        </w:rPr>
      </w:pPr>
    </w:p>
    <w:p>
      <w:pPr>
        <w:ind w:right="140" w:firstLine="509"/>
        <w:spacing w:after="0" w:line="247" w:lineRule="auto"/>
        <w:rPr>
          <w:sz w:val="20"/>
          <w:szCs w:val="20"/>
          <w:color w:val="auto"/>
        </w:rPr>
      </w:pPr>
      <w:r>
        <w:rPr>
          <w:rFonts w:ascii="Arial" w:cs="Arial" w:eastAsia="Arial" w:hAnsi="Arial"/>
          <w:sz w:val="18"/>
          <w:szCs w:val="18"/>
          <w:color w:val="auto"/>
        </w:rPr>
        <w:t>In connection with the Quarterly Report of Amplitude, Inc. (the “Company”) on Form 10-Q for the quarter ended September 30, 2022 as filed with the Securities and Exchange Commission on the date hereof (the “Report”), I certify, pursuant to 18 U.S.C. § 1350, as adopted pursuant to § 906 of the Sarbanes-Oxley Act of 2002, as amended, that:</w:t>
      </w:r>
    </w:p>
    <w:p>
      <w:pPr>
        <w:spacing w:after="0" w:line="197" w:lineRule="exact"/>
        <w:rPr>
          <w:sz w:val="20"/>
          <w:szCs w:val="20"/>
          <w:color w:val="auto"/>
        </w:rPr>
      </w:pPr>
    </w:p>
    <w:p>
      <w:pPr>
        <w:ind w:left="1020" w:hanging="504"/>
        <w:spacing w:after="0"/>
        <w:tabs>
          <w:tab w:leader="none" w:pos="1020" w:val="left"/>
        </w:tabs>
        <w:numPr>
          <w:ilvl w:val="0"/>
          <w:numId w:val="52"/>
        </w:numPr>
        <w:rPr>
          <w:rFonts w:ascii="Arial" w:cs="Arial" w:eastAsia="Arial" w:hAnsi="Arial"/>
          <w:sz w:val="17"/>
          <w:szCs w:val="17"/>
          <w:color w:val="auto"/>
        </w:rPr>
      </w:pPr>
      <w:r>
        <w:rPr>
          <w:rFonts w:ascii="Arial" w:cs="Arial" w:eastAsia="Arial" w:hAnsi="Arial"/>
          <w:sz w:val="17"/>
          <w:szCs w:val="17"/>
          <w:color w:val="auto"/>
        </w:rPr>
        <w:t>The Report fully complies with the requirements of Section 13(a) or 15(d) of the Securities Exchange Act of 1934, as amended; and</w:t>
      </w:r>
    </w:p>
    <w:p>
      <w:pPr>
        <w:spacing w:after="0" w:line="222" w:lineRule="exact"/>
        <w:rPr>
          <w:rFonts w:ascii="Arial" w:cs="Arial" w:eastAsia="Arial" w:hAnsi="Arial"/>
          <w:sz w:val="17"/>
          <w:szCs w:val="17"/>
          <w:color w:val="auto"/>
        </w:rPr>
      </w:pPr>
    </w:p>
    <w:p>
      <w:pPr>
        <w:ind w:left="1020" w:right="560" w:hanging="504"/>
        <w:spacing w:after="0" w:line="261" w:lineRule="auto"/>
        <w:tabs>
          <w:tab w:leader="none" w:pos="1020" w:val="left"/>
        </w:tabs>
        <w:numPr>
          <w:ilvl w:val="0"/>
          <w:numId w:val="52"/>
        </w:numPr>
        <w:rPr>
          <w:rFonts w:ascii="Arial" w:cs="Arial" w:eastAsia="Arial" w:hAnsi="Arial"/>
          <w:sz w:val="18"/>
          <w:szCs w:val="18"/>
          <w:color w:val="auto"/>
        </w:rPr>
      </w:pPr>
      <w:r>
        <w:rPr>
          <w:rFonts w:ascii="Arial" w:cs="Arial" w:eastAsia="Arial" w:hAnsi="Arial"/>
          <w:sz w:val="18"/>
          <w:szCs w:val="18"/>
          <w:color w:val="auto"/>
        </w:rPr>
        <w:t>The information contained in the Report fairly presents, in all material respects, the financial condition and results of operations of the Company.</w:t>
      </w:r>
    </w:p>
    <w:p>
      <w:pPr>
        <w:spacing w:after="0" w:line="157" w:lineRule="exact"/>
        <w:rPr>
          <w:sz w:val="20"/>
          <w:szCs w:val="20"/>
          <w:color w:val="auto"/>
        </w:rPr>
      </w:pPr>
    </w:p>
    <w:p>
      <w:pPr>
        <w:ind w:left="20"/>
        <w:spacing w:after="0"/>
        <w:tabs>
          <w:tab w:leader="none" w:pos="5680" w:val="left"/>
          <w:tab w:leader="none" w:pos="8000" w:val="left"/>
        </w:tabs>
        <w:rPr>
          <w:sz w:val="20"/>
          <w:szCs w:val="20"/>
          <w:color w:val="auto"/>
        </w:rPr>
      </w:pPr>
      <w:r>
        <w:rPr>
          <w:rFonts w:ascii="Arial" w:cs="Arial" w:eastAsia="Arial" w:hAnsi="Arial"/>
          <w:sz w:val="18"/>
          <w:szCs w:val="18"/>
          <w:color w:val="auto"/>
        </w:rPr>
        <w:t>Date: November 3, 2022</w:t>
      </w:r>
      <w:r>
        <w:rPr>
          <w:sz w:val="20"/>
          <w:szCs w:val="20"/>
          <w:color w:val="auto"/>
        </w:rPr>
        <w:tab/>
      </w:r>
      <w:r>
        <w:rPr>
          <w:rFonts w:ascii="Arial" w:cs="Arial" w:eastAsia="Arial" w:hAnsi="Arial"/>
          <w:sz w:val="18"/>
          <w:szCs w:val="18"/>
          <w:color w:val="auto"/>
        </w:rPr>
        <w:t>By:</w:t>
      </w:r>
      <w:r>
        <w:rPr>
          <w:sz w:val="20"/>
          <w:szCs w:val="20"/>
          <w:color w:val="auto"/>
        </w:rPr>
        <w:tab/>
      </w:r>
      <w:r>
        <w:rPr>
          <w:rFonts w:ascii="Arial" w:cs="Arial" w:eastAsia="Arial" w:hAnsi="Arial"/>
          <w:sz w:val="16"/>
          <w:szCs w:val="16"/>
          <w:color w:val="auto"/>
        </w:rPr>
        <w:t>/s/ Hoang Vuong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3823970</wp:posOffset>
            </wp:positionH>
            <wp:positionV relativeFrom="paragraph">
              <wp:posOffset>14605</wp:posOffset>
            </wp:positionV>
            <wp:extent cx="3313430" cy="8255"/>
            <wp:wrapNone/>
            <wp:docPr id="316" name="Picture 3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6"/>
                    <pic:cNvPicPr>
                      <a:picLocks noChangeAspect="1" noChangeArrowheads="1"/>
                    </pic:cNvPicPr>
                  </pic:nvPicPr>
                  <pic:blipFill>
                    <a:blip r:embed="rId328">
                      <a:extLst>
                        <a:ext uri="{28A0092B-C50C-407E-A947-70E740481C1C}"/>
                      </a:extLst>
                    </a:blip>
                    <a:srcRect/>
                    <a:stretch>
                      <a:fillRect/>
                    </a:stretch>
                  </pic:blipFill>
                  <pic:spPr bwMode="auto">
                    <a:xfrm>
                      <a:off x="0" y="0"/>
                      <a:ext cx="3313430" cy="8255"/>
                    </a:xfrm>
                    <a:prstGeom prst="rect">
                      <a:avLst/>
                    </a:prstGeom>
                    <a:noFill/>
                  </pic:spPr>
                </pic:pic>
              </a:graphicData>
            </a:graphic>
          </wp:anchor>
        </w:drawing>
      </w:r>
    </w:p>
    <w:p>
      <w:pPr>
        <w:ind w:left="8100"/>
        <w:spacing w:after="0"/>
        <w:rPr>
          <w:sz w:val="20"/>
          <w:szCs w:val="20"/>
          <w:color w:val="auto"/>
        </w:rPr>
      </w:pPr>
      <w:r>
        <w:rPr>
          <w:rFonts w:ascii="Arial" w:cs="Arial" w:eastAsia="Arial" w:hAnsi="Arial"/>
          <w:sz w:val="18"/>
          <w:szCs w:val="18"/>
          <w:b w:val="1"/>
          <w:bCs w:val="1"/>
          <w:color w:val="auto"/>
        </w:rPr>
        <w:t>Hoang Vuong</w:t>
      </w:r>
    </w:p>
    <w:p>
      <w:pPr>
        <w:ind w:left="7740"/>
        <w:spacing w:after="0" w:line="218" w:lineRule="auto"/>
        <w:rPr>
          <w:sz w:val="20"/>
          <w:szCs w:val="20"/>
          <w:color w:val="auto"/>
        </w:rPr>
      </w:pPr>
      <w:r>
        <w:rPr>
          <w:rFonts w:ascii="Arial" w:cs="Arial" w:eastAsia="Arial" w:hAnsi="Arial"/>
          <w:sz w:val="18"/>
          <w:szCs w:val="18"/>
          <w:b w:val="1"/>
          <w:bCs w:val="1"/>
          <w:color w:val="auto"/>
        </w:rPr>
        <w:t>Chief Financial Officer</w:t>
      </w:r>
    </w:p>
    <w:p>
      <w:pPr>
        <w:spacing w:after="0" w:line="1" w:lineRule="exact"/>
        <w:rPr>
          <w:sz w:val="20"/>
          <w:szCs w:val="20"/>
          <w:color w:val="auto"/>
        </w:rPr>
      </w:pPr>
    </w:p>
    <w:p>
      <w:pPr>
        <w:ind w:left="7580"/>
        <w:spacing w:after="0"/>
        <w:rPr>
          <w:sz w:val="20"/>
          <w:szCs w:val="20"/>
          <w:color w:val="auto"/>
        </w:rPr>
      </w:pPr>
      <w:r>
        <w:rPr>
          <w:rFonts w:ascii="Arial" w:cs="Arial" w:eastAsia="Arial" w:hAnsi="Arial"/>
          <w:sz w:val="18"/>
          <w:szCs w:val="18"/>
          <w:i w:val="1"/>
          <w:iCs w:val="1"/>
          <w:color w:val="auto"/>
        </w:rPr>
        <w:t>(Principal Financial Officer)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316865</wp:posOffset>
            </wp:positionV>
            <wp:extent cx="7157720" cy="42545"/>
            <wp:wrapNone/>
            <wp:docPr id="317" name="Picture 3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7"/>
                    <pic:cNvPicPr>
                      <a:picLocks noChangeAspect="1" noChangeArrowheads="1"/>
                    </pic:cNvPicPr>
                  </pic:nvPicPr>
                  <pic:blipFill>
                    <a:blip r:embed="rId32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23" w:right="339" w:bottom="1440" w:gutter="0" w:footer="0" w:header="0"/>
        </w:sectPr>
      </w:pPr>
    </w:p>
    <w:bookmarkStart w:id="79" w:name="page80"/>
    <w:bookmarkEnd w:id="79"/>
    <w:sectPr>
      <w:pgSz w:w="11900" w:h="16838" w:orient="portrait"/>
      <w:cols w:equalWidth="1" w:num="1" w:space="0"/>
      <w:pgMar w:left="1440" w:top="1440" w:right="1440" w:bottom="875"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189A769B"/>
    <w:multiLevelType w:val="hybridMultilevel"/>
    <w:lvl w:ilvl="0">
      <w:lvlJc w:val="left"/>
      <w:lvlText w:val="☒"/>
      <w:numFmt w:val="bullet"/>
      <w:start w:val="1"/>
    </w:lvl>
  </w:abstractNum>
  <w:abstractNum w:abstractNumId="1">
    <w:nsid w:val="54E49EB4"/>
    <w:multiLevelType w:val="hybridMultilevel"/>
    <w:lvl w:ilvl="0">
      <w:lvlJc w:val="left"/>
      <w:lvlText w:val="☐"/>
      <w:numFmt w:val="bullet"/>
      <w:start w:val="1"/>
    </w:lvl>
  </w:abstractNum>
  <w:abstractNum w:abstractNumId="2">
    <w:nsid w:val="71F32454"/>
    <w:multiLevelType w:val="hybridMultilevel"/>
    <w:lvl w:ilvl="0">
      <w:lvlJc w:val="left"/>
      <w:lvlText w:val="•"/>
      <w:numFmt w:val="bullet"/>
      <w:start w:val="1"/>
    </w:lvl>
  </w:abstractNum>
  <w:abstractNum w:abstractNumId="3">
    <w:nsid w:val="2CA88611"/>
    <w:multiLevelType w:val="hybridMultilevel"/>
    <w:lvl w:ilvl="0">
      <w:lvlJc w:val="left"/>
      <w:lvlText w:val="•"/>
      <w:numFmt w:val="bullet"/>
      <w:start w:val="1"/>
    </w:lvl>
  </w:abstractNum>
  <w:abstractNum w:abstractNumId="4">
    <w:nsid w:val="836C40E"/>
    <w:multiLevelType w:val="hybridMultilevel"/>
    <w:lvl w:ilvl="0">
      <w:lvlJc w:val="left"/>
      <w:lvlText w:val="(%1)"/>
      <w:numFmt w:val="decimal"/>
      <w:start w:val="1"/>
    </w:lvl>
  </w:abstractNum>
  <w:abstractNum w:abstractNumId="5">
    <w:nsid w:val="2901D82"/>
    <w:multiLevelType w:val="hybridMultilevel"/>
    <w:lvl w:ilvl="0">
      <w:lvlJc w:val="left"/>
      <w:lvlText w:val="•"/>
      <w:numFmt w:val="bullet"/>
      <w:start w:val="1"/>
    </w:lvl>
  </w:abstractNum>
  <w:abstractNum w:abstractNumId="6">
    <w:nsid w:val="3A95F874"/>
    <w:multiLevelType w:val="hybridMultilevel"/>
    <w:lvl w:ilvl="0">
      <w:lvlJc w:val="left"/>
      <w:lvlText w:val="•"/>
      <w:numFmt w:val="bullet"/>
      <w:start w:val="1"/>
    </w:lvl>
  </w:abstractNum>
  <w:abstractNum w:abstractNumId="7">
    <w:nsid w:val="8138641"/>
    <w:multiLevelType w:val="hybridMultilevel"/>
    <w:lvl w:ilvl="0">
      <w:lvlJc w:val="left"/>
      <w:lvlText w:val="(%1)"/>
      <w:numFmt w:val="decimal"/>
      <w:start w:val="2"/>
    </w:lvl>
  </w:abstractNum>
  <w:abstractNum w:abstractNumId="8">
    <w:nsid w:val="1E7FF521"/>
    <w:multiLevelType w:val="hybridMultilevel"/>
    <w:lvl w:ilvl="0">
      <w:lvlJc w:val="left"/>
      <w:lvlText w:val="(%1)"/>
      <w:numFmt w:val="decimal"/>
      <w:start w:val="3"/>
    </w:lvl>
  </w:abstractNum>
  <w:abstractNum w:abstractNumId="9">
    <w:nsid w:val="7C3DBD3D"/>
    <w:multiLevelType w:val="hybridMultilevel"/>
    <w:lvl w:ilvl="0">
      <w:lvlJc w:val="left"/>
      <w:lvlText w:val="$"/>
      <w:numFmt w:val="bullet"/>
      <w:start w:val="1"/>
    </w:lvl>
  </w:abstractNum>
  <w:abstractNum w:abstractNumId="10">
    <w:nsid w:val="737B8DDC"/>
    <w:multiLevelType w:val="hybridMultilevel"/>
    <w:lvl w:ilvl="0">
      <w:lvlJc w:val="left"/>
      <w:lvlText w:val="$"/>
      <w:numFmt w:val="bullet"/>
      <w:start w:val="1"/>
    </w:lvl>
  </w:abstractNum>
  <w:abstractNum w:abstractNumId="11">
    <w:nsid w:val="6CEAF087"/>
    <w:multiLevelType w:val="hybridMultilevel"/>
    <w:lvl w:ilvl="0">
      <w:lvlJc w:val="left"/>
      <w:lvlText w:val="$"/>
      <w:numFmt w:val="bullet"/>
      <w:start w:val="1"/>
    </w:lvl>
  </w:abstractNum>
  <w:abstractNum w:abstractNumId="12">
    <w:nsid w:val="22221A70"/>
    <w:multiLevelType w:val="hybridMultilevel"/>
    <w:lvl w:ilvl="0">
      <w:lvlJc w:val="left"/>
      <w:lvlText w:val="$"/>
      <w:numFmt w:val="bullet"/>
      <w:start w:val="1"/>
    </w:lvl>
  </w:abstractNum>
  <w:abstractNum w:abstractNumId="13">
    <w:nsid w:val="4516DDE9"/>
    <w:multiLevelType w:val="hybridMultilevel"/>
    <w:lvl w:ilvl="0">
      <w:lvlJc w:val="left"/>
      <w:lvlText w:val="(%1)"/>
      <w:numFmt w:val="decimal"/>
      <w:start w:val="4"/>
    </w:lvl>
  </w:abstractNum>
  <w:abstractNum w:abstractNumId="14">
    <w:nsid w:val="3006C83E"/>
    <w:multiLevelType w:val="hybridMultilevel"/>
    <w:lvl w:ilvl="0">
      <w:lvlJc w:val="left"/>
      <w:lvlText w:val="(%1)"/>
      <w:numFmt w:val="decimal"/>
      <w:start w:val="1"/>
    </w:lvl>
  </w:abstractNum>
  <w:abstractNum w:abstractNumId="15">
    <w:nsid w:val="614FD4A1"/>
    <w:multiLevelType w:val="hybridMultilevel"/>
    <w:lvl w:ilvl="0">
      <w:lvlJc w:val="left"/>
      <w:lvlText w:val="(%1)"/>
      <w:numFmt w:val="decimal"/>
      <w:start w:val="5"/>
    </w:lvl>
  </w:abstractNum>
  <w:abstractNum w:abstractNumId="16">
    <w:nsid w:val="419AC241"/>
    <w:multiLevelType w:val="hybridMultilevel"/>
    <w:lvl w:ilvl="0">
      <w:lvlJc w:val="left"/>
      <w:lvlText w:val="(%1)"/>
      <w:numFmt w:val="decimal"/>
      <w:start w:val="6"/>
    </w:lvl>
  </w:abstractNum>
  <w:abstractNum w:abstractNumId="17">
    <w:nsid w:val="5577F8E1"/>
    <w:multiLevelType w:val="hybridMultilevel"/>
    <w:lvl w:ilvl="0">
      <w:lvlJc w:val="left"/>
      <w:lvlText w:val="(%1)"/>
      <w:numFmt w:val="decimal"/>
      <w:start w:val="1"/>
    </w:lvl>
  </w:abstractNum>
  <w:abstractNum w:abstractNumId="18">
    <w:nsid w:val="440BADFC"/>
    <w:multiLevelType w:val="hybridMultilevel"/>
    <w:lvl w:ilvl="0">
      <w:lvlJc w:val="left"/>
      <w:lvlText w:val="$"/>
      <w:numFmt w:val="bullet"/>
      <w:start w:val="1"/>
    </w:lvl>
  </w:abstractNum>
  <w:abstractNum w:abstractNumId="19">
    <w:nsid w:val="5072367"/>
    <w:multiLevelType w:val="hybridMultilevel"/>
    <w:lvl w:ilvl="0">
      <w:lvlJc w:val="left"/>
      <w:lvlText w:val="$"/>
      <w:numFmt w:val="bullet"/>
      <w:start w:val="1"/>
    </w:lvl>
  </w:abstractNum>
  <w:abstractNum w:abstractNumId="20">
    <w:nsid w:val="3804823E"/>
    <w:multiLevelType w:val="hybridMultilevel"/>
    <w:lvl w:ilvl="0">
      <w:lvlJc w:val="left"/>
      <w:lvlText w:val="(%1)"/>
      <w:numFmt w:val="decimal"/>
      <w:start w:val="7"/>
    </w:lvl>
  </w:abstractNum>
  <w:abstractNum w:abstractNumId="21">
    <w:nsid w:val="77465F01"/>
    <w:multiLevelType w:val="hybridMultilevel"/>
    <w:lvl w:ilvl="0">
      <w:lvlJc w:val="left"/>
      <w:lvlText w:val="(%1)"/>
      <w:numFmt w:val="decimal"/>
      <w:start w:val="9"/>
    </w:lvl>
  </w:abstractNum>
  <w:abstractNum w:abstractNumId="22">
    <w:nsid w:val="7724C67E"/>
    <w:multiLevelType w:val="hybridMultilevel"/>
    <w:lvl w:ilvl="0">
      <w:lvlJc w:val="left"/>
      <w:lvlText w:val="(%1)"/>
      <w:numFmt w:val="decimal"/>
      <w:start w:val="10"/>
    </w:lvl>
  </w:abstractNum>
  <w:abstractNum w:abstractNumId="23">
    <w:nsid w:val="5C482A97"/>
    <w:multiLevelType w:val="hybridMultilevel"/>
    <w:lvl w:ilvl="0">
      <w:lvlJc w:val="left"/>
      <w:lvlText w:val="(%1)"/>
      <w:numFmt w:val="decimal"/>
      <w:start w:val="11"/>
    </w:lvl>
  </w:abstractNum>
  <w:abstractNum w:abstractNumId="24">
    <w:nsid w:val="2463B9EA"/>
    <w:multiLevelType w:val="hybridMultilevel"/>
    <w:lvl w:ilvl="0">
      <w:lvlJc w:val="left"/>
      <w:lvlText w:val="(%1)"/>
      <w:numFmt w:val="decimal"/>
      <w:start w:val="1"/>
    </w:lvl>
  </w:abstractNum>
  <w:abstractNum w:abstractNumId="25">
    <w:nsid w:val="5E884ADC"/>
    <w:multiLevelType w:val="hybridMultilevel"/>
    <w:lvl w:ilvl="0">
      <w:lvlJc w:val="left"/>
      <w:lvlText w:val="(%1)"/>
      <w:numFmt w:val="decimal"/>
      <w:start w:val="1"/>
    </w:lvl>
  </w:abstractNum>
  <w:abstractNum w:abstractNumId="26">
    <w:nsid w:val="51EAD36B"/>
    <w:multiLevelType w:val="hybridMultilevel"/>
    <w:lvl w:ilvl="0">
      <w:lvlJc w:val="left"/>
      <w:lvlText w:val="(%1)"/>
      <w:numFmt w:val="decimal"/>
      <w:start w:val="1"/>
    </w:lvl>
  </w:abstractNum>
  <w:abstractNum w:abstractNumId="27">
    <w:nsid w:val="2D517796"/>
    <w:multiLevelType w:val="hybridMultilevel"/>
    <w:lvl w:ilvl="0">
      <w:lvlJc w:val="left"/>
      <w:lvlText w:val="*"/>
      <w:numFmt w:val="bullet"/>
      <w:start w:val="1"/>
    </w:lvl>
  </w:abstractNum>
  <w:abstractNum w:abstractNumId="28">
    <w:nsid w:val="580BD78F"/>
    <w:multiLevelType w:val="hybridMultilevel"/>
    <w:lvl w:ilvl="0">
      <w:lvlJc w:val="left"/>
      <w:lvlText w:val="*"/>
      <w:numFmt w:val="bullet"/>
      <w:start w:val="1"/>
    </w:lvl>
  </w:abstractNum>
  <w:abstractNum w:abstractNumId="29">
    <w:nsid w:val="153EA438"/>
    <w:multiLevelType w:val="hybridMultilevel"/>
    <w:lvl w:ilvl="0">
      <w:lvlJc w:val="left"/>
      <w:lvlText w:val="*"/>
      <w:numFmt w:val="bullet"/>
      <w:start w:val="1"/>
    </w:lvl>
  </w:abstractNum>
  <w:abstractNum w:abstractNumId="30">
    <w:nsid w:val="3855585C"/>
    <w:multiLevelType w:val="hybridMultilevel"/>
    <w:lvl w:ilvl="0">
      <w:lvlJc w:val="left"/>
      <w:lvlText w:val="•"/>
      <w:numFmt w:val="bullet"/>
      <w:start w:val="1"/>
    </w:lvl>
  </w:abstractNum>
  <w:abstractNum w:abstractNumId="31">
    <w:nsid w:val="70A64E2A"/>
    <w:multiLevelType w:val="hybridMultilevel"/>
    <w:lvl w:ilvl="0">
      <w:lvlJc w:val="left"/>
      <w:lvlText w:val="•"/>
      <w:numFmt w:val="bullet"/>
      <w:start w:val="1"/>
    </w:lvl>
  </w:abstractNum>
  <w:abstractNum w:abstractNumId="32">
    <w:nsid w:val="6A2342EC"/>
    <w:multiLevelType w:val="hybridMultilevel"/>
    <w:lvl w:ilvl="0">
      <w:lvlJc w:val="left"/>
      <w:lvlText w:val="•"/>
      <w:numFmt w:val="bullet"/>
      <w:start w:val="1"/>
    </w:lvl>
  </w:abstractNum>
  <w:abstractNum w:abstractNumId="33">
    <w:nsid w:val="2A487CB0"/>
    <w:multiLevelType w:val="hybridMultilevel"/>
    <w:lvl w:ilvl="0">
      <w:lvlJc w:val="left"/>
      <w:lvlText w:val="•"/>
      <w:numFmt w:val="bullet"/>
      <w:start w:val="1"/>
    </w:lvl>
  </w:abstractNum>
  <w:abstractNum w:abstractNumId="34">
    <w:nsid w:val="1D4ED43B"/>
    <w:multiLevelType w:val="hybridMultilevel"/>
    <w:lvl w:ilvl="0">
      <w:lvlJc w:val="left"/>
      <w:lvlText w:val="•"/>
      <w:numFmt w:val="bullet"/>
      <w:start w:val="1"/>
    </w:lvl>
  </w:abstractNum>
  <w:abstractNum w:abstractNumId="35">
    <w:nsid w:val="725A06FB"/>
    <w:multiLevelType w:val="hybridMultilevel"/>
    <w:lvl w:ilvl="0">
      <w:lvlJc w:val="left"/>
      <w:lvlText w:val="•"/>
      <w:numFmt w:val="bullet"/>
      <w:start w:val="1"/>
    </w:lvl>
  </w:abstractNum>
  <w:abstractNum w:abstractNumId="36">
    <w:nsid w:val="2CD89A32"/>
    <w:multiLevelType w:val="hybridMultilevel"/>
    <w:lvl w:ilvl="0">
      <w:lvlJc w:val="left"/>
      <w:lvlText w:val="•"/>
      <w:numFmt w:val="bullet"/>
      <w:start w:val="1"/>
    </w:lvl>
  </w:abstractNum>
  <w:abstractNum w:abstractNumId="37">
    <w:nsid w:val="57E4CCAF"/>
    <w:multiLevelType w:val="hybridMultilevel"/>
    <w:lvl w:ilvl="0">
      <w:lvlJc w:val="left"/>
      <w:lvlText w:val="•"/>
      <w:numFmt w:val="bullet"/>
      <w:start w:val="1"/>
    </w:lvl>
  </w:abstractNum>
  <w:abstractNum w:abstractNumId="38">
    <w:nsid w:val="7A6D8D3C"/>
    <w:multiLevelType w:val="hybridMultilevel"/>
    <w:lvl w:ilvl="0">
      <w:lvlJc w:val="left"/>
      <w:lvlText w:val="•"/>
      <w:numFmt w:val="bullet"/>
      <w:start w:val="1"/>
    </w:lvl>
  </w:abstractNum>
  <w:abstractNum w:abstractNumId="39">
    <w:nsid w:val="4B588F54"/>
    <w:multiLevelType w:val="hybridMultilevel"/>
    <w:lvl w:ilvl="0">
      <w:lvlJc w:val="left"/>
      <w:lvlText w:val="•"/>
      <w:numFmt w:val="bullet"/>
      <w:start w:val="1"/>
    </w:lvl>
  </w:abstractNum>
  <w:abstractNum w:abstractNumId="40">
    <w:nsid w:val="542289EC"/>
    <w:multiLevelType w:val="hybridMultilevel"/>
    <w:lvl w:ilvl="0">
      <w:lvlJc w:val="left"/>
      <w:lvlText w:val="•"/>
      <w:numFmt w:val="bullet"/>
      <w:start w:val="1"/>
    </w:lvl>
  </w:abstractNum>
  <w:abstractNum w:abstractNumId="41">
    <w:nsid w:val="6DE91B18"/>
    <w:multiLevelType w:val="hybridMultilevel"/>
    <w:lvl w:ilvl="0">
      <w:lvlJc w:val="left"/>
      <w:lvlText w:val="•"/>
      <w:numFmt w:val="bullet"/>
      <w:start w:val="1"/>
    </w:lvl>
  </w:abstractNum>
  <w:abstractNum w:abstractNumId="42">
    <w:nsid w:val="38437FDB"/>
    <w:multiLevelType w:val="hybridMultilevel"/>
    <w:lvl w:ilvl="0">
      <w:lvlJc w:val="left"/>
      <w:lvlText w:val="•"/>
      <w:numFmt w:val="bullet"/>
      <w:start w:val="1"/>
    </w:lvl>
  </w:abstractNum>
  <w:abstractNum w:abstractNumId="43">
    <w:nsid w:val="7644A45C"/>
    <w:multiLevelType w:val="hybridMultilevel"/>
    <w:lvl w:ilvl="0">
      <w:lvlJc w:val="left"/>
      <w:lvlText w:val="•"/>
      <w:numFmt w:val="bullet"/>
      <w:start w:val="1"/>
    </w:lvl>
  </w:abstractNum>
  <w:abstractNum w:abstractNumId="44">
    <w:nsid w:val="32FFF902"/>
    <w:multiLevelType w:val="hybridMultilevel"/>
    <w:lvl w:ilvl="0">
      <w:lvlJc w:val="left"/>
      <w:lvlText w:val="•"/>
      <w:numFmt w:val="bullet"/>
      <w:start w:val="1"/>
    </w:lvl>
  </w:abstractNum>
  <w:abstractNum w:abstractNumId="45">
    <w:nsid w:val="684A481A"/>
    <w:multiLevelType w:val="hybridMultilevel"/>
    <w:lvl w:ilvl="0">
      <w:lvlJc w:val="left"/>
      <w:lvlText w:val="•"/>
      <w:numFmt w:val="bullet"/>
      <w:start w:val="1"/>
    </w:lvl>
  </w:abstractNum>
  <w:abstractNum w:abstractNumId="46">
    <w:nsid w:val="579478FE"/>
    <w:multiLevelType w:val="hybridMultilevel"/>
    <w:lvl w:ilvl="0">
      <w:lvlJc w:val="left"/>
      <w:lvlText w:val="•"/>
      <w:numFmt w:val="bullet"/>
      <w:start w:val="1"/>
    </w:lvl>
  </w:abstractNum>
  <w:abstractNum w:abstractNumId="47">
    <w:nsid w:val="749ABB43"/>
    <w:multiLevelType w:val="hybridMultilevel"/>
    <w:lvl w:ilvl="0">
      <w:lvlJc w:val="left"/>
      <w:lvlText w:val="*"/>
      <w:numFmt w:val="bullet"/>
      <w:start w:val="1"/>
    </w:lvl>
  </w:abstractNum>
  <w:abstractNum w:abstractNumId="48">
    <w:nsid w:val="3DC240FB"/>
    <w:multiLevelType w:val="hybridMultilevel"/>
    <w:lvl w:ilvl="0">
      <w:lvlJc w:val="left"/>
      <w:lvlText w:val="%1."/>
      <w:numFmt w:val="decimal"/>
      <w:start w:val="1"/>
    </w:lvl>
    <w:lvl w:ilvl="1">
      <w:lvlJc w:val="left"/>
      <w:lvlText w:val="(%2)"/>
      <w:numFmt w:val="lowerLetter"/>
      <w:start w:val="1"/>
    </w:lvl>
  </w:abstractNum>
  <w:abstractNum w:abstractNumId="49">
    <w:nsid w:val="1BA026FA"/>
    <w:multiLevelType w:val="hybridMultilevel"/>
    <w:lvl w:ilvl="0">
      <w:lvlJc w:val="left"/>
      <w:lvlText w:val="%1."/>
      <w:numFmt w:val="decimal"/>
      <w:start w:val="1"/>
    </w:lvl>
    <w:lvl w:ilvl="1">
      <w:lvlJc w:val="left"/>
      <w:lvlText w:val="(%2)"/>
      <w:numFmt w:val="lowerLetter"/>
      <w:start w:val="1"/>
    </w:lvl>
  </w:abstractNum>
  <w:abstractNum w:abstractNumId="50">
    <w:nsid w:val="79A1DEAA"/>
    <w:multiLevelType w:val="hybridMultilevel"/>
    <w:lvl w:ilvl="0">
      <w:lvlJc w:val="left"/>
      <w:lvlText w:val="(%1)"/>
      <w:numFmt w:val="decimal"/>
      <w:start w:val="1"/>
    </w:lvl>
  </w:abstractNum>
  <w:abstractNum w:abstractNumId="51">
    <w:nsid w:val="75C6C33A"/>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 w:numId="39">
    <w:abstractNumId w:val="38"/>
  </w:num>
  <w:num w:numId="40">
    <w:abstractNumId w:val="39"/>
  </w:num>
  <w:num w:numId="41">
    <w:abstractNumId w:val="40"/>
  </w:num>
  <w:num w:numId="42">
    <w:abstractNumId w:val="41"/>
  </w:num>
  <w:num w:numId="43">
    <w:abstractNumId w:val="42"/>
  </w:num>
  <w:num w:numId="44">
    <w:abstractNumId w:val="43"/>
  </w:num>
  <w:num w:numId="45">
    <w:abstractNumId w:val="44"/>
  </w:num>
  <w:num w:numId="46">
    <w:abstractNumId w:val="45"/>
  </w:num>
  <w:num w:numId="47">
    <w:abstractNumId w:val="46"/>
  </w:num>
  <w:num w:numId="48">
    <w:abstractNumId w:val="47"/>
  </w:num>
  <w:num w:numId="49">
    <w:abstractNumId w:val="48"/>
  </w:num>
  <w:num w:numId="50">
    <w:abstractNumId w:val="49"/>
  </w:num>
  <w:num w:numId="51">
    <w:abstractNumId w:val="50"/>
  </w:num>
  <w:num w:numId="52">
    <w:abstractNumId w:val="5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png"/><Relationship Id="rId62" Type="http://schemas.openxmlformats.org/officeDocument/2006/relationships/image" Target="media/image55.png"/><Relationship Id="rId63" Type="http://schemas.openxmlformats.org/officeDocument/2006/relationships/image" Target="media/image56.png"/><Relationship Id="rId64" Type="http://schemas.openxmlformats.org/officeDocument/2006/relationships/image" Target="media/image57.png"/><Relationship Id="rId65" Type="http://schemas.openxmlformats.org/officeDocument/2006/relationships/image" Target="media/image58.png"/><Relationship Id="rId66" Type="http://schemas.openxmlformats.org/officeDocument/2006/relationships/image" Target="media/image59.png"/><Relationship Id="rId67" Type="http://schemas.openxmlformats.org/officeDocument/2006/relationships/image" Target="media/image60.png"/><Relationship Id="rId68" Type="http://schemas.openxmlformats.org/officeDocument/2006/relationships/image" Target="media/image61.png"/><Relationship Id="rId69" Type="http://schemas.openxmlformats.org/officeDocument/2006/relationships/image" Target="media/image62.png"/><Relationship Id="rId70" Type="http://schemas.openxmlformats.org/officeDocument/2006/relationships/image" Target="media/image63.png"/><Relationship Id="rId71" Type="http://schemas.openxmlformats.org/officeDocument/2006/relationships/image" Target="media/image64.png"/><Relationship Id="rId72" Type="http://schemas.openxmlformats.org/officeDocument/2006/relationships/image" Target="media/image65.png"/><Relationship Id="rId73" Type="http://schemas.openxmlformats.org/officeDocument/2006/relationships/image" Target="media/image66.png"/><Relationship Id="rId74" Type="http://schemas.openxmlformats.org/officeDocument/2006/relationships/image" Target="media/image67.png"/><Relationship Id="rId75" Type="http://schemas.openxmlformats.org/officeDocument/2006/relationships/image" Target="media/image68.png"/><Relationship Id="rId76" Type="http://schemas.openxmlformats.org/officeDocument/2006/relationships/image" Target="media/image69.png"/><Relationship Id="rId77" Type="http://schemas.openxmlformats.org/officeDocument/2006/relationships/image" Target="media/image70.png"/><Relationship Id="rId78" Type="http://schemas.openxmlformats.org/officeDocument/2006/relationships/image" Target="media/image71.png"/><Relationship Id="rId79" Type="http://schemas.openxmlformats.org/officeDocument/2006/relationships/image" Target="media/image72.png"/><Relationship Id="rId80" Type="http://schemas.openxmlformats.org/officeDocument/2006/relationships/image" Target="media/image73.png"/><Relationship Id="rId81" Type="http://schemas.openxmlformats.org/officeDocument/2006/relationships/image" Target="media/image74.png"/><Relationship Id="rId82" Type="http://schemas.openxmlformats.org/officeDocument/2006/relationships/image" Target="media/image75.png"/><Relationship Id="rId83" Type="http://schemas.openxmlformats.org/officeDocument/2006/relationships/image" Target="media/image76.png"/><Relationship Id="rId84" Type="http://schemas.openxmlformats.org/officeDocument/2006/relationships/image" Target="media/image77.png"/><Relationship Id="rId85" Type="http://schemas.openxmlformats.org/officeDocument/2006/relationships/image" Target="media/image78.png"/><Relationship Id="rId86" Type="http://schemas.openxmlformats.org/officeDocument/2006/relationships/image" Target="media/image79.png"/><Relationship Id="rId87" Type="http://schemas.openxmlformats.org/officeDocument/2006/relationships/image" Target="media/image80.png"/><Relationship Id="rId88" Type="http://schemas.openxmlformats.org/officeDocument/2006/relationships/image" Target="media/image81.png"/><Relationship Id="rId89" Type="http://schemas.openxmlformats.org/officeDocument/2006/relationships/image" Target="media/image82.png"/><Relationship Id="rId90" Type="http://schemas.openxmlformats.org/officeDocument/2006/relationships/image" Target="media/image83.png"/><Relationship Id="rId91" Type="http://schemas.openxmlformats.org/officeDocument/2006/relationships/image" Target="media/image84.png"/><Relationship Id="rId92" Type="http://schemas.openxmlformats.org/officeDocument/2006/relationships/image" Target="media/image85.png"/><Relationship Id="rId93" Type="http://schemas.openxmlformats.org/officeDocument/2006/relationships/image" Target="media/image86.png"/><Relationship Id="rId94" Type="http://schemas.openxmlformats.org/officeDocument/2006/relationships/image" Target="media/image87.png"/><Relationship Id="rId95" Type="http://schemas.openxmlformats.org/officeDocument/2006/relationships/image" Target="media/image88.png"/><Relationship Id="rId96" Type="http://schemas.openxmlformats.org/officeDocument/2006/relationships/image" Target="media/image89.png"/><Relationship Id="rId97" Type="http://schemas.openxmlformats.org/officeDocument/2006/relationships/image" Target="media/image90.png"/><Relationship Id="rId98" Type="http://schemas.openxmlformats.org/officeDocument/2006/relationships/image" Target="media/image91.png"/><Relationship Id="rId99" Type="http://schemas.openxmlformats.org/officeDocument/2006/relationships/image" Target="media/image92.png"/><Relationship Id="rId100" Type="http://schemas.openxmlformats.org/officeDocument/2006/relationships/image" Target="media/image93.png"/><Relationship Id="rId101" Type="http://schemas.openxmlformats.org/officeDocument/2006/relationships/image" Target="media/image94.png"/><Relationship Id="rId102" Type="http://schemas.openxmlformats.org/officeDocument/2006/relationships/image" Target="media/image95.png"/><Relationship Id="rId103" Type="http://schemas.openxmlformats.org/officeDocument/2006/relationships/image" Target="media/image96.png"/><Relationship Id="rId104" Type="http://schemas.openxmlformats.org/officeDocument/2006/relationships/image" Target="media/image97.png"/><Relationship Id="rId105" Type="http://schemas.openxmlformats.org/officeDocument/2006/relationships/image" Target="media/image98.png"/><Relationship Id="rId106" Type="http://schemas.openxmlformats.org/officeDocument/2006/relationships/image" Target="media/image99.png"/><Relationship Id="rId107" Type="http://schemas.openxmlformats.org/officeDocument/2006/relationships/image" Target="media/image100.png"/><Relationship Id="rId108" Type="http://schemas.openxmlformats.org/officeDocument/2006/relationships/image" Target="media/image101.png"/><Relationship Id="rId109" Type="http://schemas.openxmlformats.org/officeDocument/2006/relationships/image" Target="media/image102.png"/><Relationship Id="rId110" Type="http://schemas.openxmlformats.org/officeDocument/2006/relationships/image" Target="media/image103.png"/><Relationship Id="rId111" Type="http://schemas.openxmlformats.org/officeDocument/2006/relationships/image" Target="media/image104.png"/><Relationship Id="rId112" Type="http://schemas.openxmlformats.org/officeDocument/2006/relationships/image" Target="media/image105.png"/><Relationship Id="rId113" Type="http://schemas.openxmlformats.org/officeDocument/2006/relationships/image" Target="media/image106.png"/><Relationship Id="rId114" Type="http://schemas.openxmlformats.org/officeDocument/2006/relationships/image" Target="media/image107.png"/><Relationship Id="rId115" Type="http://schemas.openxmlformats.org/officeDocument/2006/relationships/image" Target="media/image108.png"/><Relationship Id="rId116" Type="http://schemas.openxmlformats.org/officeDocument/2006/relationships/image" Target="media/image109.png"/><Relationship Id="rId117" Type="http://schemas.openxmlformats.org/officeDocument/2006/relationships/image" Target="media/image110.png"/><Relationship Id="rId118" Type="http://schemas.openxmlformats.org/officeDocument/2006/relationships/image" Target="media/image111.png"/><Relationship Id="rId119" Type="http://schemas.openxmlformats.org/officeDocument/2006/relationships/image" Target="media/image112.png"/><Relationship Id="rId120" Type="http://schemas.openxmlformats.org/officeDocument/2006/relationships/image" Target="media/image113.png"/><Relationship Id="rId121" Type="http://schemas.openxmlformats.org/officeDocument/2006/relationships/image" Target="media/image114.png"/><Relationship Id="rId122" Type="http://schemas.openxmlformats.org/officeDocument/2006/relationships/image" Target="media/image115.png"/><Relationship Id="rId123" Type="http://schemas.openxmlformats.org/officeDocument/2006/relationships/image" Target="media/image116.png"/><Relationship Id="rId124" Type="http://schemas.openxmlformats.org/officeDocument/2006/relationships/image" Target="media/image117.png"/><Relationship Id="rId125" Type="http://schemas.openxmlformats.org/officeDocument/2006/relationships/image" Target="media/image118.png"/><Relationship Id="rId126" Type="http://schemas.openxmlformats.org/officeDocument/2006/relationships/image" Target="media/image119.png"/><Relationship Id="rId127" Type="http://schemas.openxmlformats.org/officeDocument/2006/relationships/image" Target="media/image120.png"/><Relationship Id="rId128" Type="http://schemas.openxmlformats.org/officeDocument/2006/relationships/image" Target="media/image121.png"/><Relationship Id="rId129" Type="http://schemas.openxmlformats.org/officeDocument/2006/relationships/image" Target="media/image122.png"/><Relationship Id="rId130" Type="http://schemas.openxmlformats.org/officeDocument/2006/relationships/image" Target="media/image123.png"/><Relationship Id="rId131" Type="http://schemas.openxmlformats.org/officeDocument/2006/relationships/image" Target="media/image124.png"/><Relationship Id="rId132" Type="http://schemas.openxmlformats.org/officeDocument/2006/relationships/image" Target="media/image125.png"/><Relationship Id="rId133" Type="http://schemas.openxmlformats.org/officeDocument/2006/relationships/image" Target="media/image126.png"/><Relationship Id="rId134" Type="http://schemas.openxmlformats.org/officeDocument/2006/relationships/image" Target="media/image127.png"/><Relationship Id="rId135" Type="http://schemas.openxmlformats.org/officeDocument/2006/relationships/image" Target="media/image128.png"/><Relationship Id="rId136" Type="http://schemas.openxmlformats.org/officeDocument/2006/relationships/image" Target="media/image129.png"/><Relationship Id="rId137" Type="http://schemas.openxmlformats.org/officeDocument/2006/relationships/image" Target="media/image130.png"/><Relationship Id="rId138" Type="http://schemas.openxmlformats.org/officeDocument/2006/relationships/image" Target="media/image131.png"/><Relationship Id="rId139" Type="http://schemas.openxmlformats.org/officeDocument/2006/relationships/image" Target="media/image132.png"/><Relationship Id="rId140" Type="http://schemas.openxmlformats.org/officeDocument/2006/relationships/image" Target="media/image133.png"/><Relationship Id="rId141" Type="http://schemas.openxmlformats.org/officeDocument/2006/relationships/image" Target="media/image134.png"/><Relationship Id="rId142" Type="http://schemas.openxmlformats.org/officeDocument/2006/relationships/image" Target="media/image135.png"/><Relationship Id="rId143" Type="http://schemas.openxmlformats.org/officeDocument/2006/relationships/image" Target="media/image136.png"/><Relationship Id="rId144" Type="http://schemas.openxmlformats.org/officeDocument/2006/relationships/image" Target="media/image137.png"/><Relationship Id="rId145" Type="http://schemas.openxmlformats.org/officeDocument/2006/relationships/image" Target="media/image138.png"/><Relationship Id="rId146" Type="http://schemas.openxmlformats.org/officeDocument/2006/relationships/image" Target="media/image139.png"/><Relationship Id="rId147" Type="http://schemas.openxmlformats.org/officeDocument/2006/relationships/image" Target="media/image140.png"/><Relationship Id="rId148" Type="http://schemas.openxmlformats.org/officeDocument/2006/relationships/image" Target="media/image141.png"/><Relationship Id="rId149" Type="http://schemas.openxmlformats.org/officeDocument/2006/relationships/image" Target="media/image142.png"/><Relationship Id="rId150" Type="http://schemas.openxmlformats.org/officeDocument/2006/relationships/image" Target="media/image143.png"/><Relationship Id="rId151" Type="http://schemas.openxmlformats.org/officeDocument/2006/relationships/image" Target="media/image144.png"/><Relationship Id="rId152" Type="http://schemas.openxmlformats.org/officeDocument/2006/relationships/image" Target="media/image145.png"/><Relationship Id="rId153" Type="http://schemas.openxmlformats.org/officeDocument/2006/relationships/image" Target="media/image146.png"/><Relationship Id="rId154" Type="http://schemas.openxmlformats.org/officeDocument/2006/relationships/image" Target="media/image147.png"/><Relationship Id="rId155" Type="http://schemas.openxmlformats.org/officeDocument/2006/relationships/image" Target="media/image148.png"/><Relationship Id="rId156" Type="http://schemas.openxmlformats.org/officeDocument/2006/relationships/image" Target="media/image149.png"/><Relationship Id="rId157" Type="http://schemas.openxmlformats.org/officeDocument/2006/relationships/image" Target="media/image150.png"/><Relationship Id="rId158" Type="http://schemas.openxmlformats.org/officeDocument/2006/relationships/image" Target="media/image151.png"/><Relationship Id="rId159" Type="http://schemas.openxmlformats.org/officeDocument/2006/relationships/image" Target="media/image152.png"/><Relationship Id="rId160" Type="http://schemas.openxmlformats.org/officeDocument/2006/relationships/image" Target="media/image153.png"/><Relationship Id="rId161" Type="http://schemas.openxmlformats.org/officeDocument/2006/relationships/image" Target="media/image154.png"/><Relationship Id="rId162" Type="http://schemas.openxmlformats.org/officeDocument/2006/relationships/image" Target="media/image155.png"/><Relationship Id="rId163" Type="http://schemas.openxmlformats.org/officeDocument/2006/relationships/image" Target="media/image156.png"/><Relationship Id="rId164" Type="http://schemas.openxmlformats.org/officeDocument/2006/relationships/image" Target="media/image157.png"/><Relationship Id="rId165" Type="http://schemas.openxmlformats.org/officeDocument/2006/relationships/image" Target="media/image158.png"/><Relationship Id="rId166" Type="http://schemas.openxmlformats.org/officeDocument/2006/relationships/image" Target="media/image159.png"/><Relationship Id="rId167" Type="http://schemas.openxmlformats.org/officeDocument/2006/relationships/image" Target="media/image160.png"/><Relationship Id="rId168" Type="http://schemas.openxmlformats.org/officeDocument/2006/relationships/image" Target="media/image161.png"/><Relationship Id="rId169" Type="http://schemas.openxmlformats.org/officeDocument/2006/relationships/image" Target="media/image162.png"/><Relationship Id="rId170" Type="http://schemas.openxmlformats.org/officeDocument/2006/relationships/image" Target="media/image163.png"/><Relationship Id="rId171" Type="http://schemas.openxmlformats.org/officeDocument/2006/relationships/image" Target="media/image164.png"/><Relationship Id="rId172" Type="http://schemas.openxmlformats.org/officeDocument/2006/relationships/image" Target="media/image165.png"/><Relationship Id="rId173" Type="http://schemas.openxmlformats.org/officeDocument/2006/relationships/image" Target="media/image166.png"/><Relationship Id="rId174" Type="http://schemas.openxmlformats.org/officeDocument/2006/relationships/image" Target="media/image167.png"/><Relationship Id="rId175" Type="http://schemas.openxmlformats.org/officeDocument/2006/relationships/image" Target="media/image168.png"/><Relationship Id="rId176" Type="http://schemas.openxmlformats.org/officeDocument/2006/relationships/image" Target="media/image169.png"/><Relationship Id="rId177" Type="http://schemas.openxmlformats.org/officeDocument/2006/relationships/image" Target="media/image170.png"/><Relationship Id="rId178" Type="http://schemas.openxmlformats.org/officeDocument/2006/relationships/image" Target="media/image171.png"/><Relationship Id="rId179" Type="http://schemas.openxmlformats.org/officeDocument/2006/relationships/image" Target="media/image172.png"/><Relationship Id="rId180" Type="http://schemas.openxmlformats.org/officeDocument/2006/relationships/image" Target="media/image173.png"/><Relationship Id="rId181" Type="http://schemas.openxmlformats.org/officeDocument/2006/relationships/image" Target="media/image174.png"/><Relationship Id="rId182" Type="http://schemas.openxmlformats.org/officeDocument/2006/relationships/image" Target="media/image175.png"/><Relationship Id="rId183" Type="http://schemas.openxmlformats.org/officeDocument/2006/relationships/image" Target="media/image176.png"/><Relationship Id="rId184" Type="http://schemas.openxmlformats.org/officeDocument/2006/relationships/image" Target="media/image177.png"/><Relationship Id="rId185" Type="http://schemas.openxmlformats.org/officeDocument/2006/relationships/image" Target="media/image178.png"/><Relationship Id="rId186" Type="http://schemas.openxmlformats.org/officeDocument/2006/relationships/image" Target="media/image179.png"/><Relationship Id="rId187" Type="http://schemas.openxmlformats.org/officeDocument/2006/relationships/image" Target="media/image180.png"/><Relationship Id="rId188" Type="http://schemas.openxmlformats.org/officeDocument/2006/relationships/image" Target="media/image181.png"/><Relationship Id="rId189" Type="http://schemas.openxmlformats.org/officeDocument/2006/relationships/image" Target="media/image182.png"/><Relationship Id="rId190" Type="http://schemas.openxmlformats.org/officeDocument/2006/relationships/image" Target="media/image183.png"/><Relationship Id="rId191" Type="http://schemas.openxmlformats.org/officeDocument/2006/relationships/image" Target="media/image184.png"/><Relationship Id="rId192" Type="http://schemas.openxmlformats.org/officeDocument/2006/relationships/image" Target="media/image185.png"/><Relationship Id="rId193" Type="http://schemas.openxmlformats.org/officeDocument/2006/relationships/image" Target="media/image186.png"/><Relationship Id="rId194" Type="http://schemas.openxmlformats.org/officeDocument/2006/relationships/image" Target="media/image187.png"/><Relationship Id="rId195" Type="http://schemas.openxmlformats.org/officeDocument/2006/relationships/image" Target="media/image188.png"/><Relationship Id="rId196" Type="http://schemas.openxmlformats.org/officeDocument/2006/relationships/image" Target="media/image189.png"/><Relationship Id="rId197" Type="http://schemas.openxmlformats.org/officeDocument/2006/relationships/image" Target="media/image190.png"/><Relationship Id="rId198" Type="http://schemas.openxmlformats.org/officeDocument/2006/relationships/image" Target="media/image191.png"/><Relationship Id="rId199" Type="http://schemas.openxmlformats.org/officeDocument/2006/relationships/image" Target="media/image192.png"/><Relationship Id="rId200" Type="http://schemas.openxmlformats.org/officeDocument/2006/relationships/image" Target="media/image193.png"/><Relationship Id="rId201" Type="http://schemas.openxmlformats.org/officeDocument/2006/relationships/image" Target="media/image194.png"/><Relationship Id="rId202" Type="http://schemas.openxmlformats.org/officeDocument/2006/relationships/image" Target="media/image195.png"/><Relationship Id="rId203" Type="http://schemas.openxmlformats.org/officeDocument/2006/relationships/image" Target="media/image196.png"/><Relationship Id="rId204" Type="http://schemas.openxmlformats.org/officeDocument/2006/relationships/image" Target="media/image197.png"/><Relationship Id="rId205" Type="http://schemas.openxmlformats.org/officeDocument/2006/relationships/image" Target="media/image198.png"/><Relationship Id="rId206" Type="http://schemas.openxmlformats.org/officeDocument/2006/relationships/image" Target="media/image199.png"/><Relationship Id="rId207" Type="http://schemas.openxmlformats.org/officeDocument/2006/relationships/image" Target="media/image200.png"/><Relationship Id="rId208" Type="http://schemas.openxmlformats.org/officeDocument/2006/relationships/image" Target="media/image201.png"/><Relationship Id="rId209" Type="http://schemas.openxmlformats.org/officeDocument/2006/relationships/image" Target="media/image202.png"/><Relationship Id="rId210" Type="http://schemas.openxmlformats.org/officeDocument/2006/relationships/image" Target="media/image203.png"/><Relationship Id="rId211" Type="http://schemas.openxmlformats.org/officeDocument/2006/relationships/image" Target="media/image204.png"/><Relationship Id="rId212" Type="http://schemas.openxmlformats.org/officeDocument/2006/relationships/image" Target="media/image205.png"/><Relationship Id="rId213" Type="http://schemas.openxmlformats.org/officeDocument/2006/relationships/image" Target="media/image206.png"/><Relationship Id="rId214" Type="http://schemas.openxmlformats.org/officeDocument/2006/relationships/image" Target="media/image207.png"/><Relationship Id="rId215" Type="http://schemas.openxmlformats.org/officeDocument/2006/relationships/image" Target="media/image208.png"/><Relationship Id="rId216" Type="http://schemas.openxmlformats.org/officeDocument/2006/relationships/image" Target="media/image209.png"/><Relationship Id="rId217" Type="http://schemas.openxmlformats.org/officeDocument/2006/relationships/image" Target="media/image210.png"/><Relationship Id="rId218" Type="http://schemas.openxmlformats.org/officeDocument/2006/relationships/image" Target="media/image211.png"/><Relationship Id="rId219" Type="http://schemas.openxmlformats.org/officeDocument/2006/relationships/image" Target="media/image212.png"/><Relationship Id="rId220" Type="http://schemas.openxmlformats.org/officeDocument/2006/relationships/image" Target="media/image213.png"/><Relationship Id="rId221" Type="http://schemas.openxmlformats.org/officeDocument/2006/relationships/image" Target="media/image214.png"/><Relationship Id="rId222" Type="http://schemas.openxmlformats.org/officeDocument/2006/relationships/image" Target="media/image215.png"/><Relationship Id="rId223" Type="http://schemas.openxmlformats.org/officeDocument/2006/relationships/image" Target="media/image216.png"/><Relationship Id="rId224" Type="http://schemas.openxmlformats.org/officeDocument/2006/relationships/image" Target="media/image217.png"/><Relationship Id="rId225" Type="http://schemas.openxmlformats.org/officeDocument/2006/relationships/image" Target="media/image218.png"/><Relationship Id="rId226" Type="http://schemas.openxmlformats.org/officeDocument/2006/relationships/image" Target="media/image219.png"/><Relationship Id="rId227" Type="http://schemas.openxmlformats.org/officeDocument/2006/relationships/image" Target="media/image220.png"/><Relationship Id="rId228" Type="http://schemas.openxmlformats.org/officeDocument/2006/relationships/image" Target="media/image221.png"/><Relationship Id="rId229" Type="http://schemas.openxmlformats.org/officeDocument/2006/relationships/image" Target="media/image222.png"/><Relationship Id="rId230" Type="http://schemas.openxmlformats.org/officeDocument/2006/relationships/image" Target="media/image223.png"/><Relationship Id="rId231" Type="http://schemas.openxmlformats.org/officeDocument/2006/relationships/image" Target="media/image224.png"/><Relationship Id="rId232" Type="http://schemas.openxmlformats.org/officeDocument/2006/relationships/image" Target="media/image225.png"/><Relationship Id="rId233" Type="http://schemas.openxmlformats.org/officeDocument/2006/relationships/image" Target="media/image226.png"/><Relationship Id="rId234" Type="http://schemas.openxmlformats.org/officeDocument/2006/relationships/image" Target="media/image227.png"/><Relationship Id="rId235" Type="http://schemas.openxmlformats.org/officeDocument/2006/relationships/image" Target="media/image228.png"/><Relationship Id="rId236" Type="http://schemas.openxmlformats.org/officeDocument/2006/relationships/image" Target="media/image229.png"/><Relationship Id="rId237" Type="http://schemas.openxmlformats.org/officeDocument/2006/relationships/image" Target="media/image230.png"/><Relationship Id="rId238" Type="http://schemas.openxmlformats.org/officeDocument/2006/relationships/image" Target="media/image231.png"/><Relationship Id="rId239" Type="http://schemas.openxmlformats.org/officeDocument/2006/relationships/image" Target="media/image232.png"/><Relationship Id="rId240" Type="http://schemas.openxmlformats.org/officeDocument/2006/relationships/image" Target="media/image233.png"/><Relationship Id="rId241" Type="http://schemas.openxmlformats.org/officeDocument/2006/relationships/image" Target="media/image234.png"/><Relationship Id="rId242" Type="http://schemas.openxmlformats.org/officeDocument/2006/relationships/image" Target="media/image235.png"/><Relationship Id="rId243" Type="http://schemas.openxmlformats.org/officeDocument/2006/relationships/image" Target="media/image236.png"/><Relationship Id="rId244" Type="http://schemas.openxmlformats.org/officeDocument/2006/relationships/image" Target="media/image237.png"/><Relationship Id="rId245" Type="http://schemas.openxmlformats.org/officeDocument/2006/relationships/image" Target="media/image238.png"/><Relationship Id="rId246" Type="http://schemas.openxmlformats.org/officeDocument/2006/relationships/image" Target="media/image239.png"/><Relationship Id="rId247" Type="http://schemas.openxmlformats.org/officeDocument/2006/relationships/image" Target="media/image240.png"/><Relationship Id="rId248" Type="http://schemas.openxmlformats.org/officeDocument/2006/relationships/image" Target="media/image241.png"/><Relationship Id="rId249" Type="http://schemas.openxmlformats.org/officeDocument/2006/relationships/image" Target="media/image242.png"/><Relationship Id="rId250" Type="http://schemas.openxmlformats.org/officeDocument/2006/relationships/image" Target="media/image243.png"/><Relationship Id="rId251" Type="http://schemas.openxmlformats.org/officeDocument/2006/relationships/image" Target="media/image244.png"/><Relationship Id="rId252" Type="http://schemas.openxmlformats.org/officeDocument/2006/relationships/image" Target="media/image245.png"/><Relationship Id="rId253" Type="http://schemas.openxmlformats.org/officeDocument/2006/relationships/image" Target="media/image246.png"/><Relationship Id="rId254" Type="http://schemas.openxmlformats.org/officeDocument/2006/relationships/image" Target="media/image247.png"/><Relationship Id="rId255" Type="http://schemas.openxmlformats.org/officeDocument/2006/relationships/image" Target="media/image248.png"/><Relationship Id="rId256" Type="http://schemas.openxmlformats.org/officeDocument/2006/relationships/image" Target="media/image249.png"/><Relationship Id="rId257" Type="http://schemas.openxmlformats.org/officeDocument/2006/relationships/image" Target="media/image250.png"/><Relationship Id="rId258" Type="http://schemas.openxmlformats.org/officeDocument/2006/relationships/image" Target="media/image251.png"/><Relationship Id="rId259" Type="http://schemas.openxmlformats.org/officeDocument/2006/relationships/image" Target="media/image252.png"/><Relationship Id="rId260" Type="http://schemas.openxmlformats.org/officeDocument/2006/relationships/image" Target="media/image253.png"/><Relationship Id="rId261" Type="http://schemas.openxmlformats.org/officeDocument/2006/relationships/image" Target="media/image254.png"/><Relationship Id="rId262" Type="http://schemas.openxmlformats.org/officeDocument/2006/relationships/image" Target="media/image255.png"/><Relationship Id="rId263" Type="http://schemas.openxmlformats.org/officeDocument/2006/relationships/image" Target="media/image256.png"/><Relationship Id="rId264" Type="http://schemas.openxmlformats.org/officeDocument/2006/relationships/image" Target="media/image257.png"/><Relationship Id="rId265" Type="http://schemas.openxmlformats.org/officeDocument/2006/relationships/image" Target="media/image258.png"/><Relationship Id="rId266" Type="http://schemas.openxmlformats.org/officeDocument/2006/relationships/image" Target="media/image259.png"/><Relationship Id="rId267" Type="http://schemas.openxmlformats.org/officeDocument/2006/relationships/image" Target="media/image260.png"/><Relationship Id="rId268" Type="http://schemas.openxmlformats.org/officeDocument/2006/relationships/image" Target="media/image261.png"/><Relationship Id="rId269" Type="http://schemas.openxmlformats.org/officeDocument/2006/relationships/image" Target="media/image262.png"/><Relationship Id="rId270" Type="http://schemas.openxmlformats.org/officeDocument/2006/relationships/image" Target="media/image263.png"/><Relationship Id="rId271" Type="http://schemas.openxmlformats.org/officeDocument/2006/relationships/image" Target="media/image264.png"/><Relationship Id="rId272" Type="http://schemas.openxmlformats.org/officeDocument/2006/relationships/image" Target="media/image265.png"/><Relationship Id="rId273" Type="http://schemas.openxmlformats.org/officeDocument/2006/relationships/image" Target="media/image266.png"/><Relationship Id="rId274" Type="http://schemas.openxmlformats.org/officeDocument/2006/relationships/image" Target="media/image267.png"/><Relationship Id="rId275" Type="http://schemas.openxmlformats.org/officeDocument/2006/relationships/image" Target="media/image268.png"/><Relationship Id="rId276" Type="http://schemas.openxmlformats.org/officeDocument/2006/relationships/image" Target="media/image269.png"/><Relationship Id="rId277" Type="http://schemas.openxmlformats.org/officeDocument/2006/relationships/image" Target="media/image270.png"/><Relationship Id="rId278" Type="http://schemas.openxmlformats.org/officeDocument/2006/relationships/image" Target="media/image271.png"/><Relationship Id="rId279" Type="http://schemas.openxmlformats.org/officeDocument/2006/relationships/image" Target="media/image272.png"/><Relationship Id="rId280" Type="http://schemas.openxmlformats.org/officeDocument/2006/relationships/image" Target="media/image273.png"/><Relationship Id="rId281" Type="http://schemas.openxmlformats.org/officeDocument/2006/relationships/image" Target="media/image274.png"/><Relationship Id="rId282" Type="http://schemas.openxmlformats.org/officeDocument/2006/relationships/image" Target="media/image275.png"/><Relationship Id="rId283" Type="http://schemas.openxmlformats.org/officeDocument/2006/relationships/image" Target="media/image276.png"/><Relationship Id="rId284" Type="http://schemas.openxmlformats.org/officeDocument/2006/relationships/image" Target="media/image277.png"/><Relationship Id="rId285" Type="http://schemas.openxmlformats.org/officeDocument/2006/relationships/image" Target="media/image278.png"/><Relationship Id="rId286" Type="http://schemas.openxmlformats.org/officeDocument/2006/relationships/image" Target="media/image279.png"/><Relationship Id="rId287" Type="http://schemas.openxmlformats.org/officeDocument/2006/relationships/image" Target="media/image280.png"/><Relationship Id="rId288" Type="http://schemas.openxmlformats.org/officeDocument/2006/relationships/image" Target="media/image281.png"/><Relationship Id="rId289" Type="http://schemas.openxmlformats.org/officeDocument/2006/relationships/image" Target="media/image282.png"/><Relationship Id="rId290" Type="http://schemas.openxmlformats.org/officeDocument/2006/relationships/image" Target="media/image283.png"/><Relationship Id="rId291" Type="http://schemas.openxmlformats.org/officeDocument/2006/relationships/image" Target="media/image284.png"/><Relationship Id="rId292" Type="http://schemas.openxmlformats.org/officeDocument/2006/relationships/image" Target="media/image285.png"/><Relationship Id="rId293" Type="http://schemas.openxmlformats.org/officeDocument/2006/relationships/image" Target="media/image286.png"/><Relationship Id="rId294" Type="http://schemas.openxmlformats.org/officeDocument/2006/relationships/image" Target="media/image287.png"/><Relationship Id="rId295" Type="http://schemas.openxmlformats.org/officeDocument/2006/relationships/image" Target="media/image288.png"/><Relationship Id="rId296" Type="http://schemas.openxmlformats.org/officeDocument/2006/relationships/image" Target="media/image289.png"/><Relationship Id="rId297" Type="http://schemas.openxmlformats.org/officeDocument/2006/relationships/image" Target="media/image290.png"/><Relationship Id="rId298" Type="http://schemas.openxmlformats.org/officeDocument/2006/relationships/image" Target="media/image291.png"/><Relationship Id="rId299" Type="http://schemas.openxmlformats.org/officeDocument/2006/relationships/image" Target="media/image292.png"/><Relationship Id="rId300" Type="http://schemas.openxmlformats.org/officeDocument/2006/relationships/image" Target="media/image293.png"/><Relationship Id="rId301" Type="http://schemas.openxmlformats.org/officeDocument/2006/relationships/image" Target="media/image294.png"/><Relationship Id="rId302" Type="http://schemas.openxmlformats.org/officeDocument/2006/relationships/image" Target="media/image295.png"/><Relationship Id="rId303" Type="http://schemas.openxmlformats.org/officeDocument/2006/relationships/image" Target="media/image296.png"/><Relationship Id="rId304" Type="http://schemas.openxmlformats.org/officeDocument/2006/relationships/image" Target="media/image297.png"/><Relationship Id="rId305" Type="http://schemas.openxmlformats.org/officeDocument/2006/relationships/image" Target="media/image298.png"/><Relationship Id="rId306" Type="http://schemas.openxmlformats.org/officeDocument/2006/relationships/image" Target="media/image299.png"/><Relationship Id="rId307" Type="http://schemas.openxmlformats.org/officeDocument/2006/relationships/image" Target="media/image300.png"/><Relationship Id="rId308" Type="http://schemas.openxmlformats.org/officeDocument/2006/relationships/image" Target="media/image301.png"/><Relationship Id="rId309" Type="http://schemas.openxmlformats.org/officeDocument/2006/relationships/image" Target="media/image302.png"/><Relationship Id="rId310" Type="http://schemas.openxmlformats.org/officeDocument/2006/relationships/image" Target="media/image303.png"/><Relationship Id="rId311" Type="http://schemas.openxmlformats.org/officeDocument/2006/relationships/image" Target="media/image304.png"/><Relationship Id="rId312" Type="http://schemas.openxmlformats.org/officeDocument/2006/relationships/image" Target="media/image305.png"/><Relationship Id="rId318" Type="http://schemas.openxmlformats.org/officeDocument/2006/relationships/image" Target="media/image306.png"/><Relationship Id="rId319" Type="http://schemas.openxmlformats.org/officeDocument/2006/relationships/image" Target="media/image307.png"/><Relationship Id="rId320" Type="http://schemas.openxmlformats.org/officeDocument/2006/relationships/image" Target="media/image308.png"/><Relationship Id="rId321" Type="http://schemas.openxmlformats.org/officeDocument/2006/relationships/image" Target="media/image309.png"/><Relationship Id="rId322" Type="http://schemas.openxmlformats.org/officeDocument/2006/relationships/image" Target="media/image310.png"/><Relationship Id="rId323" Type="http://schemas.openxmlformats.org/officeDocument/2006/relationships/image" Target="media/image311.png"/><Relationship Id="rId324" Type="http://schemas.openxmlformats.org/officeDocument/2006/relationships/image" Target="media/image312.png"/><Relationship Id="rId325" Type="http://schemas.openxmlformats.org/officeDocument/2006/relationships/image" Target="media/image313.png"/><Relationship Id="rId326" Type="http://schemas.openxmlformats.org/officeDocument/2006/relationships/image" Target="media/image314.png"/><Relationship Id="rId327" Type="http://schemas.openxmlformats.org/officeDocument/2006/relationships/image" Target="media/image315.png"/><Relationship Id="rId328" Type="http://schemas.openxmlformats.org/officeDocument/2006/relationships/image" Target="media/image316.png"/><Relationship Id="rId329" Type="http://schemas.openxmlformats.org/officeDocument/2006/relationships/image" Target="media/image317.png"/><Relationship Id="rId313" Type="http://schemas.openxmlformats.org/officeDocument/2006/relationships/hyperlink" Target="https://www.sec.gov/Archives/edgar/data/1866692/000119312521278308/d93786dex31.htm" TargetMode="External"/><Relationship Id="rId314" Type="http://schemas.openxmlformats.org/officeDocument/2006/relationships/hyperlink" Target="https://www.sec.gov/Archives/edgar/data/1866692/000119312521278308/d93786dex32.htm" TargetMode="External"/><Relationship Id="rId315" Type="http://schemas.openxmlformats.org/officeDocument/2006/relationships/hyperlink" Target="https://www.sec.gov/Archives/edgar/data/1866692/000119312521260696/d143868dex42.htm" TargetMode="External"/><Relationship Id="rId316" Type="http://schemas.openxmlformats.org/officeDocument/2006/relationships/hyperlink" Target="https://www.sec.gov/Archives/edgar/data/1866692/000119312521278407/d114916dex44.htm" TargetMode="External"/><Relationship Id="rId317" Type="http://schemas.openxmlformats.org/officeDocument/2006/relationships/hyperlink" Target="https://www.sec.gov/Archives/edgar/data/1866692/000119312521260696/d143868dex43.htm"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2022-11-03T15:51:26Z</dcterms:created>
  <dcterms:modified xsi:type="dcterms:W3CDTF">2022-11-03T15:51:26Z</dcterms:modified>
</cp:coreProperties>
</file>