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w:t>
      </w: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Amplitude,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03213A104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66" w:lineRule="exact"/>
        <w:rPr>
          <w:sz w:val="24"/>
          <w:szCs w:val="24"/>
          <w:color w:val="auto"/>
        </w:rPr>
      </w:pPr>
    </w:p>
    <w:p>
      <w:pPr>
        <w:ind w:left="660" w:right="9340" w:hanging="4"/>
        <w:spacing w:after="0" w:line="287"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13d-1(b) </w:t>
      </w:r>
      <w:r>
        <w:rPr>
          <w:rFonts w:ascii="Arial" w:cs="Arial" w:eastAsia="Arial" w:hAnsi="Arial"/>
          <w:sz w:val="19"/>
          <w:szCs w:val="19"/>
          <w:color w:val="auto"/>
        </w:rPr>
        <w:t xml:space="preserve">o </w:t>
      </w:r>
      <w:r>
        <w:rPr>
          <w:rFonts w:ascii="Arial" w:cs="Arial" w:eastAsia="Arial" w:hAnsi="Arial"/>
          <w:sz w:val="15"/>
          <w:szCs w:val="15"/>
          <w:color w:val="auto"/>
        </w:rPr>
        <w:t>Rule 13d-1(c)</w:t>
      </w:r>
      <w:r>
        <w:rPr>
          <w:rFonts w:ascii="Arial" w:cs="Arial" w:eastAsia="Arial" w:hAnsi="Arial"/>
          <w:sz w:val="19"/>
          <w:szCs w:val="19"/>
          <w:color w:val="auto"/>
        </w:rPr>
        <w:t xml:space="preserve"> o </w:t>
      </w:r>
      <w:r>
        <w:rPr>
          <w:rFonts w:ascii="Arial" w:cs="Arial" w:eastAsia="Arial" w:hAnsi="Arial"/>
          <w:sz w:val="15"/>
          <w:szCs w:val="15"/>
          <w:color w:val="auto"/>
        </w:rPr>
        <w:t>Rule 13d-1(d)</w:t>
      </w:r>
    </w:p>
    <w:p>
      <w:pPr>
        <w:spacing w:after="0" w:line="39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363855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03213A104</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2 of 6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Arial" w:cs="Arial" w:eastAsia="Arial" w:hAnsi="Arial"/>
                <w:sz w:val="18"/>
                <w:szCs w:val="18"/>
                <w:color w:val="auto"/>
              </w:rPr>
              <w:t>SoMa Equity Partners,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3,500,000</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3,500,000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3,500,000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5.09%</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2" w:name="page3"/>
    <w:bookmarkEnd w:id="2"/>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3340" w:type="dxa"/>
            <w:vAlign w:val="bottom"/>
            <w:tcBorders>
              <w:top w:val="single" w:sz="8" w:color="auto"/>
              <w:right w:val="single" w:sz="8" w:color="auto"/>
            </w:tcBorders>
          </w:tcPr>
          <w:p>
            <w:pPr>
              <w:jc w:val="center"/>
              <w:ind w:right="1310"/>
              <w:spacing w:after="0"/>
              <w:rPr>
                <w:sz w:val="20"/>
                <w:szCs w:val="20"/>
                <w:color w:val="auto"/>
              </w:rPr>
            </w:pPr>
            <w:r>
              <w:rPr>
                <w:rFonts w:ascii="Arial" w:cs="Arial" w:eastAsia="Arial" w:hAnsi="Arial"/>
                <w:sz w:val="18"/>
                <w:szCs w:val="18"/>
                <w:b w:val="1"/>
                <w:bCs w:val="1"/>
                <w:color w:val="auto"/>
                <w:w w:val="92"/>
              </w:rPr>
              <w:t>CUSIP No. 03213A104</w:t>
            </w:r>
          </w:p>
        </w:tc>
        <w:tc>
          <w:tcPr>
            <w:tcW w:w="2960" w:type="dxa"/>
            <w:vAlign w:val="bottom"/>
          </w:tcPr>
          <w:p>
            <w:pPr>
              <w:ind w:left="1600"/>
              <w:spacing w:after="0"/>
              <w:rPr>
                <w:sz w:val="20"/>
                <w:szCs w:val="20"/>
                <w:color w:val="auto"/>
              </w:rPr>
            </w:pPr>
            <w:r>
              <w:rPr>
                <w:rFonts w:ascii="Arial" w:cs="Arial" w:eastAsia="Arial" w:hAnsi="Arial"/>
                <w:sz w:val="18"/>
                <w:szCs w:val="18"/>
                <w:b w:val="1"/>
                <w:bCs w:val="1"/>
                <w:color w:val="auto"/>
                <w:w w:val="97"/>
              </w:rPr>
              <w:t>SCHEDULE 13G</w:t>
            </w:r>
          </w:p>
        </w:tc>
      </w:tr>
      <w:tr>
        <w:trPr>
          <w:trHeight w:val="111"/>
        </w:trPr>
        <w:tc>
          <w:tcPr>
            <w:tcW w:w="4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c>
          <w:tcPr>
            <w:tcW w:w="2960" w:type="dxa"/>
            <w:vAlign w:val="bottom"/>
          </w:tcPr>
          <w:p>
            <w:pPr>
              <w:spacing w:after="0"/>
              <w:rPr>
                <w:sz w:val="9"/>
                <w:szCs w:val="9"/>
                <w:color w:val="auto"/>
              </w:rPr>
            </w:pPr>
          </w:p>
        </w:tc>
      </w:tr>
      <w:tr>
        <w:trPr>
          <w:trHeight w:val="436"/>
        </w:trPr>
        <w:tc>
          <w:tcPr>
            <w:tcW w:w="3380" w:type="dxa"/>
            <w:vAlign w:val="bottom"/>
            <w:gridSpan w:val="2"/>
          </w:tcPr>
          <w:p>
            <w:pPr>
              <w:jc w:val="center"/>
              <w:ind w:right="1230"/>
              <w:spacing w:after="0"/>
              <w:rPr>
                <w:sz w:val="20"/>
                <w:szCs w:val="20"/>
                <w:color w:val="auto"/>
              </w:rPr>
            </w:pPr>
            <w:r>
              <w:rPr>
                <w:rFonts w:ascii="Arial" w:cs="Arial" w:eastAsia="Arial" w:hAnsi="Arial"/>
                <w:sz w:val="18"/>
                <w:szCs w:val="18"/>
                <w:b w:val="1"/>
                <w:bCs w:val="1"/>
                <w:color w:val="auto"/>
                <w:w w:val="92"/>
              </w:rPr>
              <w:t>Item 1.  (a) Name of Issuer</w:t>
            </w:r>
          </w:p>
        </w:tc>
        <w:tc>
          <w:tcPr>
            <w:tcW w:w="2960" w:type="dxa"/>
            <w:vAlign w:val="bottom"/>
          </w:tcPr>
          <w:p>
            <w:pPr>
              <w:spacing w:after="0"/>
              <w:rPr>
                <w:sz w:val="24"/>
                <w:szCs w:val="24"/>
                <w:color w:val="auto"/>
              </w:rPr>
            </w:pPr>
          </w:p>
        </w:tc>
      </w:tr>
    </w:tbl>
    <w:p>
      <w:pPr>
        <w:spacing w:after="0" w:line="9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Amplitude, Inc.</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201 Third Street, Suite 200, San Francisco, CA 94103</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SoMa Equity Partners, LP (the “Reporting Person”).</w:t>
      </w:r>
    </w:p>
    <w:p>
      <w:pPr>
        <w:spacing w:after="0" w:line="22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(b) Address of Principal Business Office: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44 Montgomery Street, Ste. 3710, San Francisco, CA 94104.</w:t>
      </w:r>
    </w:p>
    <w:p>
      <w:pPr>
        <w:spacing w:after="0" w:line="22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(c) Citizenship:</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Reporting Person is a Delaware limited partnership.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(d) Title of Class of Securities</w:t>
      </w:r>
    </w:p>
    <w:p>
      <w:pPr>
        <w:spacing w:after="0" w:line="121" w:lineRule="exact"/>
        <w:rPr>
          <w:sz w:val="20"/>
          <w:szCs w:val="20"/>
          <w:color w:val="auto"/>
        </w:rPr>
      </w:pPr>
    </w:p>
    <w:p>
      <w:pPr>
        <w:jc w:val="right"/>
        <w:ind w:right="2800"/>
        <w:spacing w:after="0"/>
        <w:rPr>
          <w:sz w:val="20"/>
          <w:szCs w:val="20"/>
          <w:color w:val="auto"/>
        </w:rPr>
      </w:pPr>
      <w:r>
        <w:rPr>
          <w:rFonts w:ascii="Arial" w:cs="Arial" w:eastAsia="Arial" w:hAnsi="Arial"/>
          <w:sz w:val="18"/>
          <w:szCs w:val="18"/>
          <w:color w:val="auto"/>
        </w:rPr>
        <w:t>Class A Common Stock, $0.00001 par value per share (the “Title of Class”)</w:t>
      </w:r>
    </w:p>
    <w:p>
      <w:pPr>
        <w:spacing w:after="0" w:line="22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03213A104</w:t>
      </w:r>
    </w:p>
    <w:p>
      <w:pPr>
        <w:spacing w:after="0" w:line="33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03213A104</w:t>
            </w:r>
          </w:p>
        </w:tc>
        <w:tc>
          <w:tcPr>
            <w:tcW w:w="2960" w:type="dxa"/>
            <w:vAlign w:val="bottom"/>
          </w:tcPr>
          <w:p>
            <w:pPr>
              <w:ind w:left="1600"/>
              <w:spacing w:after="0"/>
              <w:rPr>
                <w:sz w:val="20"/>
                <w:szCs w:val="20"/>
                <w:color w:val="auto"/>
              </w:rPr>
            </w:pPr>
            <w:r>
              <w:rPr>
                <w:rFonts w:ascii="Arial" w:cs="Arial" w:eastAsia="Arial" w:hAnsi="Arial"/>
                <w:sz w:val="18"/>
                <w:szCs w:val="18"/>
                <w:b w:val="1"/>
                <w:bCs w:val="1"/>
                <w:color w:val="auto"/>
                <w:w w:val="97"/>
              </w:rPr>
              <w:t>SCHEDULE 13G</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29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3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-180975</wp:posOffset>
            </wp:positionV>
            <wp:extent cx="2130425" cy="304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0425" cy="30416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3556000</wp:posOffset>
            </wp:positionV>
            <wp:extent cx="2130425" cy="304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4 of 6 Pages</w:t>
      </w:r>
    </w:p>
    <w:p>
      <w:pPr>
        <w:spacing w:after="0" w:line="393" w:lineRule="exact"/>
        <w:rPr>
          <w:sz w:val="20"/>
          <w:szCs w:val="20"/>
          <w:color w:val="auto"/>
        </w:rPr>
      </w:pPr>
    </w:p>
    <w:p>
      <w:pPr>
        <w:sectPr>
          <w:pgSz w:w="11900" w:h="16841" w:orient="portrait"/>
          <w:cols w:equalWidth="0" w:num="2">
            <w:col w:w="9060" w:space="720"/>
            <w:col w:w="1460"/>
          </w:cols>
          <w:pgMar w:left="320" w:top="663" w:right="339" w:bottom="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8" w:lineRule="exact"/>
        <w:rPr>
          <w:sz w:val="20"/>
          <w:szCs w:val="20"/>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57" w:lineRule="exact"/>
        <w:rPr>
          <w:rFonts w:ascii="Arial" w:cs="Arial" w:eastAsia="Arial" w:hAnsi="Arial"/>
          <w:sz w:val="18"/>
          <w:szCs w:val="18"/>
          <w:color w:val="auto"/>
        </w:rPr>
      </w:pPr>
    </w:p>
    <w:p>
      <w:pPr>
        <w:ind w:left="600" w:hanging="295"/>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x   </w:t>
      </w:r>
      <w:r>
        <w:rPr>
          <w:rFonts w:ascii="Arial" w:cs="Arial" w:eastAsia="Arial" w:hAnsi="Arial"/>
          <w:sz w:val="17"/>
          <w:szCs w:val="17"/>
          <w:color w:val="auto"/>
        </w:rPr>
        <w:t>An investment adviser in accordance with §240.13d-1(b)(1)(ii)(E);</w:t>
      </w:r>
    </w:p>
    <w:p>
      <w:pPr>
        <w:spacing w:after="0" w:line="103"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An employee benefit plan or endowment fund in accordance with §240.13d-1(b)(1)(ii)(F);</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parent holding company or control person in accordance with §240.13d-1(b)(1)(ii)(G);</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900" w:right="200" w:hanging="595"/>
        <w:spacing w:after="0" w:line="237" w:lineRule="exact"/>
        <w:tabs>
          <w:tab w:leader="none" w:pos="603"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8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non-U.S. institution in accordance with §240.13d-1(b)(1)(ii)(J);</w:t>
      </w:r>
    </w:p>
    <w:p>
      <w:pPr>
        <w:spacing w:after="0" w:line="130" w:lineRule="exact"/>
        <w:rPr>
          <w:rFonts w:ascii="Arial" w:cs="Arial" w:eastAsia="Arial" w:hAnsi="Arial"/>
          <w:sz w:val="18"/>
          <w:szCs w:val="18"/>
          <w:color w:val="auto"/>
        </w:rPr>
      </w:pPr>
    </w:p>
    <w:p>
      <w:pPr>
        <w:ind w:left="900" w:right="460" w:hanging="595"/>
        <w:spacing w:after="0" w:line="237" w:lineRule="exact"/>
        <w:tabs>
          <w:tab w:leader="none" w:pos="603"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30" w:type="dxa"/>
        <w:tblCellMar>
          <w:top w:w="0" w:type="dxa"/>
          <w:left w:w="0" w:type="dxa"/>
          <w:bottom w:w="0" w:type="dxa"/>
          <w:right w:w="0" w:type="dxa"/>
        </w:tblCellMar>
      </w:tblPr>
      <w:tr>
        <w:trPr>
          <w:trHeight w:val="347"/>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03213A104</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5 of 6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(a) Amount Beneficially Owned:</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As of the date hereof, the Reporting Person may be deemed to be the beneficial owner of 3,500,000 Shares.</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Percent of Class:</w:t>
      </w:r>
    </w:p>
    <w:p>
      <w:pPr>
        <w:spacing w:after="0" w:line="121" w:lineRule="exact"/>
        <w:rPr>
          <w:sz w:val="20"/>
          <w:szCs w:val="20"/>
          <w:color w:val="auto"/>
        </w:rPr>
      </w:pPr>
    </w:p>
    <w:p>
      <w:pPr>
        <w:jc w:val="both"/>
        <w:ind w:left="800"/>
        <w:spacing w:after="0" w:line="263" w:lineRule="auto"/>
        <w:rPr>
          <w:sz w:val="20"/>
          <w:szCs w:val="20"/>
          <w:color w:val="auto"/>
        </w:rPr>
      </w:pPr>
      <w:r>
        <w:rPr>
          <w:rFonts w:ascii="Arial" w:cs="Arial" w:eastAsia="Arial" w:hAnsi="Arial"/>
          <w:sz w:val="18"/>
          <w:szCs w:val="18"/>
          <w:color w:val="auto"/>
        </w:rPr>
        <w:t>As of the date hereof, the Reporting Person may be deemed to be the beneficial owner of 5.09% of the total number of Shares outstanding (based on information provided by the Issuer on the Form 10-Q filed November 3, 2022, there were 68,696,343 Shares outstanding as of October 27, 2022).</w:t>
      </w:r>
    </w:p>
    <w:p>
      <w:pPr>
        <w:spacing w:after="0" w:line="180"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 Number of shares as to which such person has: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SoMa Equity Partners, LP</w:t>
      </w:r>
    </w:p>
    <w:p>
      <w:pPr>
        <w:sectPr>
          <w:pgSz w:w="11900" w:h="16841" w:orient="portrait"/>
          <w:cols w:equalWidth="0" w:num="1">
            <w:col w:w="11240"/>
          </w:cols>
          <w:pgMar w:left="320" w:top="663" w:right="339" w:bottom="0" w:gutter="0" w:footer="0" w:header="0"/>
          <w:type w:val="continuous"/>
        </w:sectPr>
      </w:pPr>
    </w:p>
    <w:bookmarkStart w:id="3" w:name="page4"/>
    <w:bookmarkEnd w:id="3"/>
    <w:p>
      <w:pPr>
        <w:ind w:left="1020" w:hanging="220"/>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power to vote or direct the vote 3,500,000</w:t>
      </w:r>
    </w:p>
    <w:p>
      <w:pPr>
        <w:spacing w:after="0" w:line="23" w:lineRule="exact"/>
        <w:rPr>
          <w:rFonts w:ascii="Arial" w:cs="Arial" w:eastAsia="Arial" w:hAnsi="Arial"/>
          <w:sz w:val="18"/>
          <w:szCs w:val="18"/>
          <w:color w:val="auto"/>
        </w:rPr>
      </w:pPr>
    </w:p>
    <w:p>
      <w:pPr>
        <w:ind w:left="1060" w:hanging="26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9" w:lineRule="exact"/>
        <w:rPr>
          <w:rFonts w:ascii="Arial" w:cs="Arial" w:eastAsia="Arial" w:hAnsi="Arial"/>
          <w:sz w:val="18"/>
          <w:szCs w:val="18"/>
          <w:color w:val="auto"/>
        </w:rPr>
      </w:pPr>
    </w:p>
    <w:p>
      <w:pPr>
        <w:ind w:left="1120" w:hanging="32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3,500,000</w:t>
      </w:r>
    </w:p>
    <w:p>
      <w:pPr>
        <w:spacing w:after="0" w:line="9" w:lineRule="exact"/>
        <w:rPr>
          <w:rFonts w:ascii="Arial" w:cs="Arial" w:eastAsia="Arial" w:hAnsi="Arial"/>
          <w:sz w:val="18"/>
          <w:szCs w:val="18"/>
          <w:color w:val="auto"/>
        </w:rPr>
      </w:pPr>
    </w:p>
    <w:p>
      <w:pPr>
        <w:ind w:left="1100" w:hanging="300"/>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ind w:left="1300" w:hanging="1295"/>
        <w:spacing w:after="0" w:line="261"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1" w:lineRule="exact"/>
        <w:rPr>
          <w:sz w:val="20"/>
          <w:szCs w:val="20"/>
          <w:color w:val="auto"/>
        </w:rPr>
      </w:pPr>
    </w:p>
    <w:p>
      <w:pPr>
        <w:jc w:val="both"/>
        <w:ind w:left="800"/>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25" w:right="3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03213A104</w:t>
            </w:r>
          </w:p>
        </w:tc>
        <w:tc>
          <w:tcPr>
            <w:tcW w:w="452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88"/>
              </w:rPr>
              <w:t>Page 6 of 6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2023</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SoMa Equity Partners, LP</w:t>
      </w:r>
    </w:p>
    <w:p>
      <w:pPr>
        <w:spacing w:after="0" w:line="229" w:lineRule="exact"/>
        <w:rPr>
          <w:sz w:val="20"/>
          <w:szCs w:val="20"/>
          <w:color w:val="auto"/>
        </w:rPr>
      </w:pPr>
    </w:p>
    <w:p>
      <w:pPr>
        <w:ind w:left="5640"/>
        <w:spacing w:after="0"/>
        <w:tabs>
          <w:tab w:leader="none" w:pos="6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Jessica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Jessica Lane, Chief Compliance Officer</w:t>
      </w:r>
    </w:p>
    <w:sectPr>
      <w:pgSz w:w="11900" w:h="16838" w:orient="portrait"/>
      <w:cols w:equalWidth="0" w:num="1">
        <w:col w:w="11240"/>
      </w:cols>
      <w:pgMar w:left="320" w:top="7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2023-02-13T15:07:11Z</dcterms:created>
  <dcterms:modified xsi:type="dcterms:W3CDTF">2023-02-13T15:07:11Z</dcterms:modified>
</cp:coreProperties>
</file>