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transition period from to</w:t>
      </w:r>
    </w:p>
    <w:p>
      <w:pPr>
        <w:spacing w:after="0" w:line="13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AMPLITUDE,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45-3937349</w:t>
            </w:r>
          </w:p>
        </w:tc>
      </w:tr>
      <w:tr>
        <w:trPr>
          <w:trHeight w:val="18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1"/>
              </w:rPr>
              <w:t>201 Third Street, Suite 200</w:t>
            </w:r>
          </w:p>
        </w:tc>
        <w:tc>
          <w:tcPr>
            <w:tcW w:w="3020" w:type="dxa"/>
            <w:vAlign w:val="bottom"/>
          </w:tcPr>
          <w:p>
            <w:pPr>
              <w:spacing w:after="0"/>
              <w:rPr>
                <w:sz w:val="22"/>
                <w:szCs w:val="22"/>
                <w:color w:val="auto"/>
              </w:rPr>
            </w:pPr>
          </w:p>
        </w:tc>
      </w:tr>
      <w:tr>
        <w:trPr>
          <w:trHeight w:val="257"/>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0"/>
              </w:rPr>
              <w:t>San Francisco, California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94103</w:t>
            </w:r>
          </w:p>
        </w:tc>
      </w:tr>
      <w:tr>
        <w:trPr>
          <w:trHeight w:val="186"/>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(650) 988-5131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280" w:type="dxa"/>
            <w:vAlign w:val="bottom"/>
          </w:tcPr>
          <w:p>
            <w:pPr>
              <w:jc w:val="center"/>
              <w:spacing w:after="0"/>
              <w:rPr>
                <w:sz w:val="20"/>
                <w:szCs w:val="20"/>
                <w:color w:val="auto"/>
              </w:rPr>
            </w:pPr>
            <w:r>
              <w:rPr>
                <w:rFonts w:ascii="Arial" w:cs="Arial" w:eastAsia="Arial" w:hAnsi="Arial"/>
                <w:sz w:val="16"/>
                <w:szCs w:val="16"/>
                <w:color w:val="auto"/>
                <w:w w:val="90"/>
              </w:rPr>
              <w:t>Class A Common Stock, $0.00001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AMPL</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140" w:firstLine="599"/>
        <w:spacing w:after="0" w:line="293" w:lineRule="auto"/>
        <w:rPr>
          <w:sz w:val="20"/>
          <w:szCs w:val="20"/>
          <w:color w:val="auto"/>
        </w:rPr>
      </w:pPr>
      <w:r>
        <w:rPr>
          <w:rFonts w:ascii="Arial" w:cs="Arial" w:eastAsia="Arial" w:hAnsi="Arial"/>
          <w:sz w:val="16"/>
          <w:szCs w:val="16"/>
          <w:color w:val="auto"/>
        </w:rPr>
        <w:t>As of November 3, 2021, there were 53,879,646 shares of the registrant's Class A common stock and 55,015,748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4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20" w:type="dxa"/>
            <w:vAlign w:val="bottom"/>
            <w:tcBorders>
              <w:bottom w:val="single" w:sz="8" w:color="0000EE"/>
            </w:tcBorders>
            <w:gridSpan w:val="19"/>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Redeemable Convertible Preferred Stock and Stockholders’ Equity (Deficit)</w:t>
              </w:r>
            </w:hyperlink>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OTHER INFORMATION</w:t>
              </w:r>
            </w:hyperlink>
          </w:p>
        </w:tc>
        <w:tc>
          <w:tcPr>
            <w:tcW w:w="740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Unregistered Sales of Equity Securities and Use of Proceeds</w:t>
              </w:r>
            </w:hyperlink>
          </w:p>
        </w:tc>
        <w:tc>
          <w:tcPr>
            <w:tcW w:w="49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Defaults Upon Senior Securities</w:t>
              </w:r>
            </w:hyperlink>
          </w:p>
        </w:tc>
        <w:tc>
          <w:tcPr>
            <w:tcW w:w="69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Mine Safety Disclosures</w:t>
              </w:r>
            </w:hyperlink>
          </w:p>
        </w:tc>
        <w:tc>
          <w:tcPr>
            <w:tcW w:w="752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Exhibits</w:t>
              </w:r>
            </w:hyperlink>
          </w:p>
        </w:tc>
        <w:tc>
          <w:tcPr>
            <w:tcW w:w="798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140" w:type="dxa"/>
            <w:vAlign w:val="bottom"/>
            <w:gridSpan w:val="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3"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the effects of the coronavirus ("COVID-19") pandemic, including as a result of the recent Delta variant and any new strains or variants of the virus, on our business and the global economy generally;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our revenue, expenses, and other operating results;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acquire new customers;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increase usage of our Digital Optimization System and upsell and cross sell additional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achieve or sustain our profitability;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31"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the costs and success of our sales and marketing efforts, including our ability to grow and maintain our channel partners, and our ability to promote our brand;</w:t>
      </w:r>
    </w:p>
    <w:p>
      <w:pPr>
        <w:spacing w:after="0" w:line="62" w:lineRule="exact"/>
        <w:rPr>
          <w:sz w:val="20"/>
          <w:szCs w:val="20"/>
          <w:color w:val="auto"/>
        </w:rPr>
      </w:pPr>
    </w:p>
    <w:p>
      <w:pPr>
        <w:ind w:left="960" w:right="3520"/>
        <w:spacing w:after="0" w:line="425" w:lineRule="auto"/>
        <w:rPr>
          <w:sz w:val="20"/>
          <w:szCs w:val="20"/>
          <w:color w:val="auto"/>
        </w:rPr>
      </w:pPr>
      <w:r>
        <w:rPr>
          <w:rFonts w:ascii="Arial" w:cs="Arial" w:eastAsia="Arial" w:hAnsi="Arial"/>
          <w:sz w:val="17"/>
          <w:szCs w:val="17"/>
          <w:color w:val="auto"/>
        </w:rPr>
        <w:t>our reliance on key personnel and our ability to identify, recruit and retain skilled personnel; our ability to effectively manage our growth, including any international expansion; our ability to protect our intellectual property rights and any costs associated therewith; our ability to compete effectively with existing competitors and new market entrants; and the increased expenses associated with being a public company.</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3" w:name="page4"/>
    <w:bookmarkEnd w:id="3"/>
    <w:p>
      <w:pPr>
        <w:ind w:left="520"/>
        <w:spacing w:after="0"/>
        <w:rPr>
          <w:sz w:val="20"/>
          <w:szCs w:val="20"/>
          <w:color w:val="auto"/>
        </w:rPr>
      </w:pPr>
      <w:r>
        <w:rPr>
          <w:rFonts w:ascii="Arial" w:cs="Arial" w:eastAsia="Arial" w:hAnsi="Arial"/>
          <w:sz w:val="17"/>
          <w:szCs w:val="17"/>
          <w:color w:val="auto"/>
        </w:rPr>
        <w:t>We caution you that the foregoing list does not contain all of the forward-looking statements made in this Quarterly Report on Form 10-Q.</w:t>
      </w:r>
    </w:p>
    <w:p>
      <w:pPr>
        <w:spacing w:after="0" w:line="142"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discussed in Part II, Item 1A, “Risk Factors”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57" w:lineRule="exact"/>
        <w:rPr>
          <w:sz w:val="20"/>
          <w:szCs w:val="20"/>
          <w:color w:val="auto"/>
        </w:rPr>
      </w:pPr>
    </w:p>
    <w:p>
      <w:pPr>
        <w:ind w:right="140" w:firstLine="509"/>
        <w:spacing w:after="0" w:line="290"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68"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83" w:lineRule="exact"/>
        <w:rPr>
          <w:sz w:val="20"/>
          <w:szCs w:val="20"/>
          <w:color w:val="auto"/>
        </w:rPr>
      </w:pPr>
    </w:p>
    <w:p>
      <w:pPr>
        <w:jc w:val="both"/>
        <w:ind w:right="40" w:firstLine="509"/>
        <w:spacing w:after="0" w:line="329"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364"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7"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have a history of losses. As our costs increase, we may not be able to generate sufficient revenue to achieve and sustain profitability.</w:t>
      </w:r>
    </w:p>
    <w:p>
      <w:pPr>
        <w:spacing w:after="0" w:line="154" w:lineRule="exact"/>
        <w:rPr>
          <w:sz w:val="20"/>
          <w:szCs w:val="20"/>
          <w:color w:val="auto"/>
        </w:rPr>
      </w:pPr>
    </w:p>
    <w:p>
      <w:pPr>
        <w:ind w:left="960" w:right="140"/>
        <w:spacing w:after="0" w:line="329" w:lineRule="auto"/>
        <w:rPr>
          <w:sz w:val="20"/>
          <w:szCs w:val="20"/>
          <w:color w:val="auto"/>
        </w:rPr>
      </w:pPr>
      <w:r>
        <w:rPr>
          <w:rFonts w:ascii="Arial" w:cs="Arial" w:eastAsia="Arial" w:hAnsi="Arial"/>
          <w:sz w:val="16"/>
          <w:szCs w:val="16"/>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40"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We expect fluctuations in our financial results, making it difficult to project future results. If we fail to meet the expectations of securities analysts or investors with respect to our results of operations, our stock price could decline.</w:t>
      </w:r>
    </w:p>
    <w:p>
      <w:pPr>
        <w:spacing w:after="0" w:line="62"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We expect to continue to focus on sales to larger organizations and may become more dependent on those relationships, which may increase the variability of our sales cycles and our results of operations.</w:t>
      </w:r>
    </w:p>
    <w:p>
      <w:pPr>
        <w:spacing w:after="0" w:line="6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62"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materially adversely affect our business, financial condition, and results of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the market for SaaS applications develops more slowly than we expect or declines, our business would be adversely affected.</w:t>
      </w:r>
    </w:p>
    <w:p>
      <w:pPr>
        <w:spacing w:after="0" w:line="13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We are subject to government regulation, including import, export, economic sanctions, and anti-corruption laws and regulations, that may expose us to liability and increase our costs.</w:t>
      </w:r>
    </w:p>
    <w:p>
      <w:pPr>
        <w:spacing w:after="0" w:line="62" w:lineRule="exact"/>
        <w:rPr>
          <w:sz w:val="20"/>
          <w:szCs w:val="20"/>
          <w:color w:val="auto"/>
        </w:rPr>
      </w:pPr>
    </w:p>
    <w:p>
      <w:pPr>
        <w:ind w:left="960" w:right="80"/>
        <w:spacing w:after="0" w:line="275" w:lineRule="auto"/>
        <w:rPr>
          <w:sz w:val="20"/>
          <w:szCs w:val="20"/>
          <w:color w:val="auto"/>
        </w:rPr>
      </w:pPr>
      <w:r>
        <w:rPr>
          <w:rFonts w:ascii="Arial" w:cs="Arial" w:eastAsia="Arial" w:hAnsi="Arial"/>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stock price may be volatile, and could decline significantly and rapidly.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principal stockholders have the ability to influence the outcome of director elections and other matters requiring stockholder approval.</w:t>
      </w:r>
    </w:p>
    <w:p>
      <w:pPr>
        <w:spacing w:after="0" w:line="154" w:lineRule="exact"/>
        <w:rPr>
          <w:sz w:val="20"/>
          <w:szCs w:val="20"/>
          <w:color w:val="auto"/>
        </w:rPr>
      </w:pPr>
    </w:p>
    <w:p>
      <w:pPr>
        <w:ind w:left="960" w:right="40"/>
        <w:spacing w:after="0" w:line="275" w:lineRule="auto"/>
        <w:rPr>
          <w:sz w:val="20"/>
          <w:szCs w:val="20"/>
          <w:color w:val="auto"/>
        </w:rPr>
      </w:pPr>
      <w:r>
        <w:rPr>
          <w:rFonts w:ascii="Arial" w:cs="Arial" w:eastAsia="Arial" w:hAnsi="Arial"/>
          <w:sz w:val="18"/>
          <w:szCs w:val="18"/>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7" w:lineRule="exact"/>
        <w:rPr>
          <w:sz w:val="20"/>
          <w:szCs w:val="20"/>
          <w:color w:val="auto"/>
        </w:rPr>
      </w:pPr>
    </w:p>
    <w:p>
      <w:pPr>
        <w:ind w:left="960" w:right="320"/>
        <w:spacing w:after="0" w:line="279" w:lineRule="auto"/>
        <w:rPr>
          <w:sz w:val="20"/>
          <w:szCs w:val="20"/>
          <w:color w:val="auto"/>
        </w:rPr>
      </w:pPr>
      <w:r>
        <w:rPr>
          <w:rFonts w:ascii="Arial" w:cs="Arial" w:eastAsia="Arial" w:hAnsi="Arial"/>
          <w:sz w:val="18"/>
          <w:szCs w:val="18"/>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6"/>
          <w:szCs w:val="16"/>
          <w:b w:val="1"/>
          <w:bCs w:val="1"/>
          <w:color w:val="auto"/>
        </w:rPr>
        <w:t>PART I—FINANCIAL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6"/>
        </w:trPr>
        <w:tc>
          <w:tcPr>
            <w:tcW w:w="7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317,763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Restricted cash, current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 of allowance for doubtful accounts of $63 and</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$162 as of September 30, 2021 and December 31, 2020, respectively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Deferred commissions, current</w:t>
            </w: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7,427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367,931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Restricted cash, noncurrent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commissions, noncurrent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18,683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409,901</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175,082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LIABILITIES, REDEEMABLE CONVERTIBLE PREFERRED STOCK AND</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140"/>
              <w:spacing w:after="0"/>
              <w:rPr>
                <w:sz w:val="20"/>
                <w:szCs w:val="20"/>
                <w:color w:val="auto"/>
              </w:rPr>
            </w:pPr>
            <w:r>
              <w:rPr>
                <w:rFonts w:ascii="Arial" w:cs="Arial" w:eastAsia="Arial" w:hAnsi="Arial"/>
                <w:sz w:val="16"/>
                <w:szCs w:val="16"/>
                <w:b w:val="1"/>
                <w:bCs w:val="1"/>
                <w:color w:val="auto"/>
              </w:rPr>
              <w:t>STOCKHOLDERS' EQUITY (DEFICIT)</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3,218</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71,457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101,653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Redeemable convertible preferred stock:</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680" w:type="dxa"/>
            <w:vAlign w:val="bottom"/>
          </w:tcPr>
          <w:p>
            <w:pPr>
              <w:ind w:left="200"/>
              <w:spacing w:after="0"/>
              <w:rPr>
                <w:sz w:val="20"/>
                <w:szCs w:val="20"/>
                <w:color w:val="auto"/>
              </w:rPr>
            </w:pPr>
            <w:r>
              <w:rPr>
                <w:rFonts w:ascii="Arial" w:cs="Arial" w:eastAsia="Arial" w:hAnsi="Arial"/>
                <w:sz w:val="16"/>
                <w:szCs w:val="16"/>
                <w:color w:val="auto"/>
              </w:rPr>
              <w:t>Redeemable convertible preferred stock, $0.00001 par value per share; zero and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61,740 shares authorized as of September 30, 2021 and December 31, 2020,</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respectively; zero and 61,717 shares issued and outstanding as of September 30, 2021</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and December 31, 2020, respectively; aggregate liquidation preference of zero and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20"/>
              <w:spacing w:after="0"/>
              <w:rPr>
                <w:sz w:val="20"/>
                <w:szCs w:val="20"/>
                <w:color w:val="auto"/>
              </w:rPr>
            </w:pPr>
            <w:r>
              <w:rPr>
                <w:rFonts w:ascii="Arial" w:cs="Arial" w:eastAsia="Arial" w:hAnsi="Arial"/>
                <w:sz w:val="16"/>
                <w:szCs w:val="16"/>
                <w:color w:val="auto"/>
              </w:rPr>
              <w:t>$192,074 as of September 30, 2021 and December 31, 2020, respectively</w:t>
            </w:r>
          </w:p>
        </w:tc>
        <w:tc>
          <w:tcPr>
            <w:tcW w:w="2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 (deficit):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680" w:type="dxa"/>
            <w:vAlign w:val="bottom"/>
          </w:tcPr>
          <w:p>
            <w:pPr>
              <w:ind w:left="200"/>
              <w:spacing w:after="0"/>
              <w:rPr>
                <w:sz w:val="20"/>
                <w:szCs w:val="20"/>
                <w:color w:val="auto"/>
              </w:rPr>
            </w:pPr>
            <w:r>
              <w:rPr>
                <w:rFonts w:ascii="Arial" w:cs="Arial" w:eastAsia="Arial" w:hAnsi="Arial"/>
                <w:sz w:val="16"/>
                <w:szCs w:val="16"/>
                <w:color w:val="auto"/>
              </w:rPr>
              <w:t>Preferred stock, $0.00001 par value per share; 20,000 and zero shares authorized as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of September 30, 2021 and December 31, 2020, respectively; zero shares issued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20"/>
              <w:spacing w:after="0"/>
              <w:rPr>
                <w:sz w:val="20"/>
                <w:szCs w:val="20"/>
                <w:color w:val="auto"/>
              </w:rPr>
            </w:pPr>
            <w:r>
              <w:rPr>
                <w:rFonts w:ascii="Arial" w:cs="Arial" w:eastAsia="Arial" w:hAnsi="Arial"/>
                <w:sz w:val="16"/>
                <w:szCs w:val="16"/>
                <w:color w:val="auto"/>
              </w:rPr>
              <w:t>and outstanding as of September 30, 2021 and December 31, 2020, respectively</w:t>
            </w:r>
          </w:p>
        </w:tc>
        <w:tc>
          <w:tcPr>
            <w:tcW w:w="2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Class A common stock, $0.00001 par value per share; 600,000 and zero shares authorized</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September 30, 2021 and December 31, 2020, respectively; 51,669 and zero shares</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issued and outstanding as of September 30, 2021 and December 31, 2020, respectively</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680" w:type="dxa"/>
            <w:vAlign w:val="bottom"/>
          </w:tcPr>
          <w:p>
            <w:pPr>
              <w:ind w:left="200"/>
              <w:spacing w:after="0"/>
              <w:rPr>
                <w:sz w:val="20"/>
                <w:szCs w:val="20"/>
                <w:color w:val="auto"/>
              </w:rPr>
            </w:pPr>
            <w:r>
              <w:rPr>
                <w:rFonts w:ascii="Arial" w:cs="Arial" w:eastAsia="Arial" w:hAnsi="Arial"/>
                <w:sz w:val="16"/>
                <w:szCs w:val="16"/>
                <w:color w:val="auto"/>
              </w:rPr>
              <w:t>Class B common stock, $0.00001 par value per share; 600,000 and 118,600 shares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authorized as of September 30, 2021 and December 31, 2020, respectively; 56,006 and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320"/>
              <w:spacing w:after="0"/>
              <w:rPr>
                <w:sz w:val="20"/>
                <w:szCs w:val="20"/>
                <w:color w:val="auto"/>
              </w:rPr>
            </w:pPr>
            <w:r>
              <w:rPr>
                <w:rFonts w:ascii="Arial" w:cs="Arial" w:eastAsia="Arial" w:hAnsi="Arial"/>
                <w:sz w:val="16"/>
                <w:szCs w:val="16"/>
                <w:color w:val="auto"/>
              </w:rPr>
              <w:t>27,924 shares issued and outstanding as of September 30, 2021 and December 31, 2020,</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2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466,152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(157,905 )</w:t>
            </w:r>
          </w:p>
        </w:tc>
        <w:tc>
          <w:tcPr>
            <w:tcW w:w="2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(104,824 )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stockholders’ equity (deficit)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308,248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(67,120 )</w:t>
            </w:r>
          </w:p>
        </w:tc>
        <w:tc>
          <w:tcPr>
            <w:tcW w:w="0" w:type="dxa"/>
            <w:vAlign w:val="bottom"/>
          </w:tcPr>
          <w:p>
            <w:pPr>
              <w:spacing w:after="0"/>
              <w:rPr>
                <w:sz w:val="1"/>
                <w:szCs w:val="1"/>
                <w:color w:val="auto"/>
              </w:rPr>
            </w:pPr>
          </w:p>
        </w:tc>
      </w:tr>
      <w:tr>
        <w:trPr>
          <w:trHeight w:val="203"/>
        </w:trPr>
        <w:tc>
          <w:tcPr>
            <w:tcW w:w="76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liabilities, redeemable convertible preferred stock and stockholders’</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409,901</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175,082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80" w:type="dxa"/>
            <w:vAlign w:val="bottom"/>
          </w:tcPr>
          <w:p>
            <w:pPr>
              <w:ind w:left="500"/>
              <w:spacing w:after="0"/>
              <w:rPr>
                <w:sz w:val="20"/>
                <w:szCs w:val="20"/>
                <w:color w:val="auto"/>
              </w:rPr>
            </w:pPr>
            <w:r>
              <w:rPr>
                <w:rFonts w:ascii="Arial" w:cs="Arial" w:eastAsia="Arial" w:hAnsi="Arial"/>
                <w:sz w:val="16"/>
                <w:szCs w:val="16"/>
                <w:color w:val="auto"/>
              </w:rPr>
              <w:t>equity (deficit)</w:t>
            </w:r>
          </w:p>
        </w:tc>
        <w:tc>
          <w:tcPr>
            <w:tcW w:w="2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-5688330</wp:posOffset>
            </wp:positionV>
            <wp:extent cx="1714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-5688330</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-4508500</wp:posOffset>
            </wp:positionV>
            <wp:extent cx="171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-4491355</wp:posOffset>
            </wp:positionV>
            <wp:extent cx="171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-4508500</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-4491355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-3168015</wp:posOffset>
            </wp:positionV>
            <wp:extent cx="17145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-3168015</wp:posOffset>
            </wp:positionV>
            <wp:extent cx="5969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-279400</wp:posOffset>
            </wp:positionV>
            <wp:extent cx="1714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-279400</wp:posOffset>
            </wp:positionV>
            <wp:extent cx="5969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4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2"/>
                <w:szCs w:val="22"/>
                <w:color w:val="auto"/>
              </w:rPr>
            </w:pPr>
          </w:p>
        </w:tc>
      </w:tr>
      <w:tr>
        <w:trPr>
          <w:trHeight w:val="25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26,366</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72,388</w:t>
            </w:r>
          </w:p>
        </w:tc>
        <w:tc>
          <w:tcPr>
            <w:tcW w:w="10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13,982</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21,281</w:t>
            </w:r>
          </w:p>
        </w:tc>
        <w:tc>
          <w:tcPr>
            <w:tcW w:w="100" w:type="dxa"/>
            <w:vAlign w:val="bottom"/>
          </w:tcPr>
          <w:p>
            <w:pPr>
              <w:spacing w:after="0"/>
              <w:rPr>
                <w:sz w:val="21"/>
                <w:szCs w:val="21"/>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18,493</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34,022</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FF0FC"/>
          </w:tcPr>
          <w:p>
            <w:pPr>
              <w:spacing w:after="0"/>
              <w:rPr>
                <w:sz w:val="22"/>
                <w:szCs w:val="22"/>
                <w:color w:val="auto"/>
              </w:rPr>
            </w:pPr>
          </w:p>
        </w:tc>
      </w:tr>
      <w:tr>
        <w:trPr>
          <w:trHeight w:val="250"/>
        </w:trPr>
        <w:tc>
          <w:tcPr>
            <w:tcW w:w="48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22,199</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11,482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59,009</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36,851</w:t>
            </w:r>
          </w:p>
        </w:tc>
        <w:tc>
          <w:tcPr>
            <w:tcW w:w="100" w:type="dxa"/>
            <w:vAlign w:val="bottom"/>
          </w:tcPr>
          <w:p>
            <w:pPr>
              <w:spacing w:after="0"/>
              <w:rPr>
                <w:sz w:val="21"/>
                <w:szCs w:val="21"/>
                <w:color w:val="auto"/>
              </w:rPr>
            </w:pPr>
          </w:p>
        </w:tc>
      </w:tr>
      <w:tr>
        <w:trPr>
          <w:trHeight w:val="257"/>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27,567</w:t>
            </w:r>
          </w:p>
        </w:tc>
        <w:tc>
          <w:tcPr>
            <w:tcW w:w="2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41,098</w:t>
            </w:r>
          </w:p>
        </w:tc>
        <w:tc>
          <w:tcPr>
            <w:tcW w:w="2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60" w:type="dxa"/>
            <w:vAlign w:val="bottom"/>
          </w:tcPr>
          <w:p>
            <w:pPr>
              <w:ind w:left="7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68,259</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20,986</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134,129</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69,994</w:t>
            </w:r>
          </w:p>
        </w:tc>
        <w:tc>
          <w:tcPr>
            <w:tcW w:w="100" w:type="dxa"/>
            <w:vAlign w:val="bottom"/>
          </w:tcPr>
          <w:p>
            <w:pPr>
              <w:spacing w:after="0"/>
              <w:rPr>
                <w:sz w:val="21"/>
                <w:szCs w:val="21"/>
                <w:color w:val="auto"/>
              </w:rPr>
            </w:pPr>
          </w:p>
        </w:tc>
      </w:tr>
      <w:tr>
        <w:trPr>
          <w:trHeight w:val="25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860" w:type="dxa"/>
            <w:vAlign w:val="bottom"/>
          </w:tcPr>
          <w:p>
            <w:pPr>
              <w:ind w:left="740"/>
              <w:spacing w:after="0"/>
              <w:rPr>
                <w:sz w:val="20"/>
                <w:szCs w:val="20"/>
                <w:color w:val="auto"/>
              </w:rPr>
            </w:pPr>
            <w:r>
              <w:rPr>
                <w:rFonts w:ascii="Arial" w:cs="Arial" w:eastAsia="Arial" w:hAnsi="Arial"/>
                <w:sz w:val="18"/>
                <w:szCs w:val="18"/>
                <w:color w:val="auto"/>
                <w:w w:val="97"/>
              </w:rPr>
              <w:t>Loss before provision for (benefit from) income taxes</w:t>
            </w: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(36,645 )</w:t>
            </w:r>
          </w:p>
        </w:tc>
        <w:tc>
          <w:tcPr>
            <w:tcW w:w="4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(2,367 )</w:t>
            </w:r>
          </w:p>
        </w:tc>
        <w:tc>
          <w:tcPr>
            <w:tcW w:w="3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(52,521 )</w:t>
            </w:r>
          </w:p>
        </w:tc>
        <w:tc>
          <w:tcPr>
            <w:tcW w:w="4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(18,642 )</w:t>
            </w:r>
          </w:p>
        </w:tc>
      </w:tr>
      <w:tr>
        <w:trPr>
          <w:trHeight w:val="25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(86 )</w:t>
            </w:r>
          </w:p>
        </w:tc>
        <w:tc>
          <w:tcPr>
            <w:tcW w:w="4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FF0FC"/>
          </w:tcPr>
          <w:p>
            <w:pPr>
              <w:spacing w:after="0"/>
              <w:rPr>
                <w:sz w:val="22"/>
                <w:szCs w:val="22"/>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860" w:type="dxa"/>
            <w:vAlign w:val="bottom"/>
          </w:tcPr>
          <w:p>
            <w:pPr>
              <w:ind w:left="7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(36,559 )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(2,574 )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(53,081 )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(19,197 )</w:t>
            </w: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Net loss per share attributable to Class A and Class B common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860" w:type="dxa"/>
            <w:vAlign w:val="bottom"/>
          </w:tcPr>
          <w:p>
            <w:pPr>
              <w:ind w:left="740"/>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(0.93 )</w:t>
            </w:r>
          </w:p>
        </w:tc>
        <w:tc>
          <w:tcPr>
            <w:tcW w:w="4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(0.10 )</w:t>
            </w:r>
          </w:p>
        </w:tc>
        <w:tc>
          <w:tcPr>
            <w:tcW w:w="32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(1.64 )</w:t>
            </w:r>
          </w:p>
        </w:tc>
        <w:tc>
          <w:tcPr>
            <w:tcW w:w="4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(0.78 )</w:t>
            </w: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Weighted-average shares used in computing net loss per share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attributable to Class A and Class B common stockholders: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860" w:type="dxa"/>
            <w:vAlign w:val="bottom"/>
          </w:tcPr>
          <w:p>
            <w:pPr>
              <w:ind w:left="74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25,147</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32,362</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10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-2525395</wp:posOffset>
            </wp:positionV>
            <wp:extent cx="1543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-2525395</wp:posOffset>
            </wp:positionV>
            <wp:extent cx="1543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-2525395</wp:posOffset>
            </wp:positionV>
            <wp:extent cx="1371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-2525395</wp:posOffset>
            </wp:positionV>
            <wp:extent cx="596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-1864995</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-1864995</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-1864995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-1864995</wp:posOffset>
            </wp:positionV>
            <wp:extent cx="5969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-1522095</wp:posOffset>
            </wp:positionV>
            <wp:extent cx="1543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-1522095</wp:posOffset>
            </wp:positionV>
            <wp:extent cx="1543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-1522095</wp:posOffset>
            </wp:positionV>
            <wp:extent cx="1371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-1522095</wp:posOffset>
            </wp:positionV>
            <wp:extent cx="596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-1188085</wp:posOffset>
            </wp:positionV>
            <wp:extent cx="1543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-1188085</wp:posOffset>
            </wp:positionV>
            <wp:extent cx="1543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-1188085</wp:posOffset>
            </wp:positionV>
            <wp:extent cx="1371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-1188085</wp:posOffset>
            </wp:positionV>
            <wp:extent cx="596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5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5"/>
              </w:rPr>
              <w:t>Redeemable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Total</w:t>
            </w:r>
          </w:p>
        </w:tc>
      </w:tr>
      <w:tr>
        <w:trPr>
          <w:trHeight w:val="179"/>
        </w:trPr>
        <w:tc>
          <w:tcPr>
            <w:tcW w:w="2160" w:type="dxa"/>
            <w:vAlign w:val="bottom"/>
          </w:tcPr>
          <w:p>
            <w:pPr>
              <w:spacing w:after="0"/>
              <w:rPr>
                <w:sz w:val="15"/>
                <w:szCs w:val="15"/>
                <w:color w:val="auto"/>
              </w:rPr>
            </w:pPr>
          </w:p>
        </w:tc>
        <w:tc>
          <w:tcPr>
            <w:tcW w:w="1740" w:type="dxa"/>
            <w:vAlign w:val="bottom"/>
            <w:tcBorders>
              <w:bottom w:val="single" w:sz="8" w:color="auto"/>
            </w:tcBorders>
            <w:gridSpan w:val="4"/>
          </w:tcPr>
          <w:p>
            <w:pPr>
              <w:jc w:val="center"/>
              <w:ind w:left="737"/>
              <w:spacing w:after="0"/>
              <w:rPr>
                <w:sz w:val="20"/>
                <w:szCs w:val="20"/>
                <w:color w:val="auto"/>
              </w:rPr>
            </w:pPr>
            <w:r>
              <w:rPr>
                <w:rFonts w:ascii="Arial" w:cs="Arial" w:eastAsia="Arial" w:hAnsi="Arial"/>
                <w:sz w:val="13"/>
                <w:szCs w:val="13"/>
                <w:b w:val="1"/>
                <w:bCs w:val="1"/>
                <w:color w:val="auto"/>
                <w:w w:val="86"/>
              </w:rPr>
              <w:t>preferred stock</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3"/>
              </w:rPr>
              <w:t>Class A and Class B common stock</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stockholders’</w:t>
            </w:r>
          </w:p>
        </w:tc>
      </w:tr>
      <w:tr>
        <w:trPr>
          <w:trHeight w:val="177"/>
        </w:trPr>
        <w:tc>
          <w:tcPr>
            <w:tcW w:w="2160" w:type="dxa"/>
            <w:vAlign w:val="bottom"/>
          </w:tcPr>
          <w:p>
            <w:pPr>
              <w:spacing w:after="0"/>
              <w:rPr>
                <w:sz w:val="15"/>
                <w:szCs w:val="15"/>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equity (deficit)</w:t>
            </w:r>
          </w:p>
        </w:tc>
        <w:tc>
          <w:tcPr>
            <w:tcW w:w="60" w:type="dxa"/>
            <w:vAlign w:val="bottom"/>
          </w:tcPr>
          <w:p>
            <w:pPr>
              <w:spacing w:after="0"/>
              <w:rPr>
                <w:sz w:val="15"/>
                <w:szCs w:val="15"/>
                <w:color w:val="auto"/>
              </w:rPr>
            </w:pPr>
          </w:p>
        </w:tc>
      </w:tr>
      <w:tr>
        <w:trPr>
          <w:trHeight w:val="189"/>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2019</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56,480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137,991</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24,646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17,378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(80,257 )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(62,879 )</w:t>
            </w: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redeemable convertible</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w w:val="92"/>
              </w:rPr>
              <w:t>preferred stock, net of issuance costs of</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color w:val="auto"/>
              </w:rPr>
              <w:t>$0</w:t>
            </w:r>
          </w:p>
        </w:tc>
        <w:tc>
          <w:tcPr>
            <w:tcW w:w="1200" w:type="dxa"/>
            <w:vAlign w:val="bottom"/>
          </w:tcPr>
          <w:p>
            <w:pPr>
              <w:jc w:val="right"/>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1,091</w:t>
            </w:r>
          </w:p>
        </w:tc>
        <w:tc>
          <w:tcPr>
            <w:tcW w:w="60" w:type="dxa"/>
            <w:vAlign w:val="bottom"/>
            <w:shd w:val="clear" w:color="auto" w:fill="CFF0FC"/>
          </w:tcPr>
          <w:p>
            <w:pPr>
              <w:spacing w:after="0"/>
              <w:rPr>
                <w:sz w:val="17"/>
                <w:szCs w:val="17"/>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43</w:t>
            </w:r>
          </w:p>
        </w:tc>
        <w:tc>
          <w:tcPr>
            <w:tcW w:w="60" w:type="dxa"/>
            <w:vAlign w:val="bottom"/>
          </w:tcPr>
          <w:p>
            <w:pPr>
              <w:spacing w:after="0"/>
              <w:rPr>
                <w:sz w:val="15"/>
                <w:szCs w:val="15"/>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Vesting of early exercised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FF0FC"/>
          </w:tcPr>
          <w:p>
            <w:pPr>
              <w:spacing w:after="0"/>
              <w:rPr>
                <w:sz w:val="17"/>
                <w:szCs w:val="17"/>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Donation of common stock and</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color w:val="auto"/>
                <w:w w:val="98"/>
              </w:rPr>
              <w:t>repurchase of unvested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3"/>
                <w:szCs w:val="13"/>
                <w:color w:val="auto"/>
              </w:rPr>
              <w:t>(188 )</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(2 )</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(2 )</w:t>
            </w:r>
          </w:p>
        </w:tc>
      </w:tr>
      <w:tr>
        <w:trPr>
          <w:trHeight w:val="19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(4,908 )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(4,908 )</w:t>
            </w:r>
          </w:p>
        </w:tc>
      </w:tr>
      <w:tr>
        <w:trPr>
          <w:trHeight w:val="20"/>
        </w:trPr>
        <w:tc>
          <w:tcPr>
            <w:tcW w:w="2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76"/>
        </w:trPr>
        <w:tc>
          <w:tcPr>
            <w:tcW w:w="2160" w:type="dxa"/>
            <w:vAlign w:val="bottom"/>
          </w:tcPr>
          <w:p>
            <w:pPr>
              <w:ind w:left="20"/>
              <w:spacing w:after="0"/>
              <w:rPr>
                <w:sz w:val="20"/>
                <w:szCs w:val="20"/>
                <w:color w:val="auto"/>
              </w:rPr>
            </w:pPr>
            <w:r>
              <w:rPr>
                <w:rFonts w:ascii="Arial" w:cs="Arial" w:eastAsia="Arial" w:hAnsi="Arial"/>
                <w:sz w:val="13"/>
                <w:szCs w:val="13"/>
                <w:color w:val="auto"/>
              </w:rPr>
              <w:t>Balance at March 31, 2020</w:t>
            </w:r>
          </w:p>
        </w:tc>
        <w:tc>
          <w:tcPr>
            <w:tcW w:w="1200" w:type="dxa"/>
            <w:vAlign w:val="bottom"/>
          </w:tcPr>
          <w:p>
            <w:pPr>
              <w:jc w:val="right"/>
              <w:spacing w:after="0"/>
              <w:rPr>
                <w:sz w:val="20"/>
                <w:szCs w:val="20"/>
                <w:color w:val="auto"/>
              </w:rPr>
            </w:pPr>
            <w:r>
              <w:rPr>
                <w:rFonts w:ascii="Arial" w:cs="Arial" w:eastAsia="Arial" w:hAnsi="Arial"/>
                <w:sz w:val="13"/>
                <w:szCs w:val="13"/>
                <w:color w:val="auto"/>
              </w:rPr>
              <w:t>56,503</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138,191</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24,496</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18,517</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(85,165 )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(66,648 )</w:t>
            </w: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redeemable convertible</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preferred stock, net of issuance costs of</w:t>
            </w:r>
          </w:p>
        </w:tc>
        <w:tc>
          <w:tcPr>
            <w:tcW w:w="1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$169</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9,395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9,395</w:t>
            </w:r>
          </w:p>
        </w:tc>
        <w:tc>
          <w:tcPr>
            <w:tcW w:w="60" w:type="dxa"/>
            <w:vAlign w:val="bottom"/>
          </w:tcPr>
          <w:p>
            <w:pPr>
              <w:spacing w:after="0"/>
              <w:rPr>
                <w:sz w:val="15"/>
                <w:szCs w:val="15"/>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812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w:t>
            </w:r>
          </w:p>
        </w:tc>
        <w:tc>
          <w:tcPr>
            <w:tcW w:w="60" w:type="dxa"/>
            <w:vAlign w:val="bottom"/>
            <w:shd w:val="clear" w:color="auto" w:fill="CFF0FC"/>
          </w:tcPr>
          <w:p>
            <w:pPr>
              <w:spacing w:after="0"/>
              <w:rPr>
                <w:sz w:val="17"/>
                <w:szCs w:val="17"/>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w w:val="92"/>
              </w:rPr>
              <w:t>Vesting of early exercised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5"/>
                <w:szCs w:val="15"/>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Donation of common stock and</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repurchase of unvested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(182 )</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(11,715 )</w:t>
            </w: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(11,715 )</w:t>
            </w:r>
          </w:p>
        </w:tc>
      </w:tr>
      <w:tr>
        <w:trPr>
          <w:trHeight w:val="20"/>
        </w:trPr>
        <w:tc>
          <w:tcPr>
            <w:tcW w:w="2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2020</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61,717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187,811</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28,937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(96,880 )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(67,943 )</w:t>
            </w: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1,437</w:t>
            </w:r>
          </w:p>
        </w:tc>
        <w:tc>
          <w:tcPr>
            <w:tcW w:w="60" w:type="dxa"/>
            <w:vAlign w:val="bottom"/>
          </w:tcPr>
          <w:p>
            <w:pPr>
              <w:spacing w:after="0"/>
              <w:rPr>
                <w:sz w:val="15"/>
                <w:szCs w:val="15"/>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60" w:type="dxa"/>
            <w:vAlign w:val="bottom"/>
            <w:shd w:val="clear" w:color="auto" w:fill="CFF0FC"/>
          </w:tcPr>
          <w:p>
            <w:pPr>
              <w:spacing w:after="0"/>
              <w:rPr>
                <w:sz w:val="17"/>
                <w:szCs w:val="17"/>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w w:val="92"/>
              </w:rPr>
              <w:t>Vesting of early exercised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5"/>
                <w:szCs w:val="15"/>
                <w:color w:val="auto"/>
              </w:rPr>
            </w:pPr>
          </w:p>
        </w:tc>
      </w:tr>
      <w:tr>
        <w:trPr>
          <w:trHeight w:val="19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(2,574 )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(2,574 )</w:t>
            </w:r>
          </w:p>
        </w:tc>
      </w:tr>
      <w:tr>
        <w:trPr>
          <w:trHeight w:val="20"/>
        </w:trPr>
        <w:tc>
          <w:tcPr>
            <w:tcW w:w="2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84"/>
        </w:trPr>
        <w:tc>
          <w:tcPr>
            <w:tcW w:w="2160" w:type="dxa"/>
            <w:vAlign w:val="bottom"/>
          </w:tcPr>
          <w:p>
            <w:pPr>
              <w:ind w:left="20"/>
              <w:spacing w:after="0"/>
              <w:rPr>
                <w:sz w:val="20"/>
                <w:szCs w:val="20"/>
                <w:color w:val="auto"/>
              </w:rPr>
            </w:pPr>
            <w:r>
              <w:rPr>
                <w:rFonts w:ascii="Arial" w:cs="Arial" w:eastAsia="Arial" w:hAnsi="Arial"/>
                <w:sz w:val="13"/>
                <w:szCs w:val="13"/>
                <w:color w:val="auto"/>
              </w:rPr>
              <w:t>Balance at September 30, 2020</w:t>
            </w:r>
          </w:p>
        </w:tc>
        <w:tc>
          <w:tcPr>
            <w:tcW w:w="1200" w:type="dxa"/>
            <w:vAlign w:val="bottom"/>
          </w:tcPr>
          <w:p>
            <w:pPr>
              <w:jc w:val="right"/>
              <w:spacing w:after="0"/>
              <w:rPr>
                <w:sz w:val="20"/>
                <w:szCs w:val="20"/>
                <w:color w:val="auto"/>
              </w:rPr>
            </w:pPr>
            <w:r>
              <w:rPr>
                <w:rFonts w:ascii="Arial" w:cs="Arial" w:eastAsia="Arial" w:hAnsi="Arial"/>
                <w:sz w:val="13"/>
                <w:szCs w:val="13"/>
                <w:color w:val="auto"/>
              </w:rPr>
              <w:t>61,717</w:t>
            </w:r>
          </w:p>
        </w:tc>
        <w:tc>
          <w:tcPr>
            <w:tcW w:w="220" w:type="dxa"/>
            <w:vAlign w:val="bottom"/>
          </w:tcPr>
          <w:p>
            <w:pPr>
              <w:spacing w:after="0"/>
              <w:rPr>
                <w:sz w:val="15"/>
                <w:szCs w:val="15"/>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187,811</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25,658</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30,759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(99,454 )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(68,695 )</w:t>
            </w:r>
          </w:p>
        </w:tc>
      </w:tr>
      <w:tr>
        <w:trPr>
          <w:trHeight w:val="20"/>
        </w:trPr>
        <w:tc>
          <w:tcPr>
            <w:tcW w:w="2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-1916430</wp:posOffset>
            </wp:positionV>
            <wp:extent cx="1289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-1916430</wp:posOffset>
            </wp:positionV>
            <wp:extent cx="12890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-1916430</wp:posOffset>
            </wp:positionV>
            <wp:extent cx="1371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-1916430</wp:posOffset>
            </wp:positionV>
            <wp:extent cx="1111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-1916430</wp:posOffset>
            </wp:positionV>
            <wp:extent cx="1200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-1916430</wp:posOffset>
            </wp:positionV>
            <wp:extent cx="1200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-1916430</wp:posOffset>
            </wp:positionV>
            <wp:extent cx="431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-150495</wp:posOffset>
            </wp:positionV>
            <wp:extent cx="1289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-150495</wp:posOffset>
            </wp:positionV>
            <wp:extent cx="1289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-150495</wp:posOffset>
            </wp:positionV>
            <wp:extent cx="1371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-150495</wp:posOffset>
            </wp:positionV>
            <wp:extent cx="1111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-150495</wp:posOffset>
            </wp:positionV>
            <wp:extent cx="12001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-150495</wp:posOffset>
            </wp:positionV>
            <wp:extent cx="1200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5"/>
              </w:rPr>
              <w:t>Redeemable convertible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Total</w:t>
            </w:r>
          </w:p>
        </w:tc>
      </w:tr>
      <w:tr>
        <w:trPr>
          <w:trHeight w:val="179"/>
        </w:trPr>
        <w:tc>
          <w:tcPr>
            <w:tcW w:w="2160" w:type="dxa"/>
            <w:vAlign w:val="bottom"/>
          </w:tcPr>
          <w:p>
            <w:pPr>
              <w:spacing w:after="0"/>
              <w:rPr>
                <w:sz w:val="15"/>
                <w:szCs w:val="15"/>
                <w:color w:val="auto"/>
              </w:rPr>
            </w:pPr>
          </w:p>
        </w:tc>
        <w:tc>
          <w:tcPr>
            <w:tcW w:w="1740" w:type="dxa"/>
            <w:vAlign w:val="bottom"/>
            <w:tcBorders>
              <w:bottom w:val="single" w:sz="8" w:color="auto"/>
            </w:tcBorders>
            <w:gridSpan w:val="4"/>
          </w:tcPr>
          <w:p>
            <w:pPr>
              <w:jc w:val="center"/>
              <w:ind w:left="737"/>
              <w:spacing w:after="0"/>
              <w:rPr>
                <w:sz w:val="20"/>
                <w:szCs w:val="20"/>
                <w:color w:val="auto"/>
              </w:rPr>
            </w:pPr>
            <w:r>
              <w:rPr>
                <w:rFonts w:ascii="Arial" w:cs="Arial" w:eastAsia="Arial" w:hAnsi="Arial"/>
                <w:sz w:val="13"/>
                <w:szCs w:val="13"/>
                <w:b w:val="1"/>
                <w:bCs w:val="1"/>
                <w:color w:val="auto"/>
                <w:w w:val="86"/>
              </w:rPr>
              <w:t>preferred stock</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2"/>
              </w:rPr>
              <w:t>Class A and Class B common stock</w:t>
            </w: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stockholders’</w:t>
            </w:r>
          </w:p>
        </w:tc>
      </w:tr>
      <w:tr>
        <w:trPr>
          <w:trHeight w:val="177"/>
        </w:trPr>
        <w:tc>
          <w:tcPr>
            <w:tcW w:w="2160" w:type="dxa"/>
            <w:vAlign w:val="bottom"/>
          </w:tcPr>
          <w:p>
            <w:pPr>
              <w:spacing w:after="0"/>
              <w:rPr>
                <w:sz w:val="15"/>
                <w:szCs w:val="15"/>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equity (deficit)</w:t>
            </w:r>
          </w:p>
        </w:tc>
        <w:tc>
          <w:tcPr>
            <w:tcW w:w="60" w:type="dxa"/>
            <w:vAlign w:val="bottom"/>
          </w:tcPr>
          <w:p>
            <w:pPr>
              <w:spacing w:after="0"/>
              <w:rPr>
                <w:sz w:val="15"/>
                <w:szCs w:val="15"/>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1200" w:type="dxa"/>
            <w:vAlign w:val="bottom"/>
          </w:tcPr>
          <w:p>
            <w:pPr>
              <w:jc w:val="right"/>
              <w:spacing w:after="0"/>
              <w:rPr>
                <w:sz w:val="20"/>
                <w:szCs w:val="20"/>
                <w:color w:val="auto"/>
              </w:rPr>
            </w:pPr>
            <w:r>
              <w:rPr>
                <w:rFonts w:ascii="Arial" w:cs="Arial" w:eastAsia="Arial" w:hAnsi="Arial"/>
                <w:sz w:val="13"/>
                <w:szCs w:val="13"/>
                <w:color w:val="auto"/>
              </w:rPr>
              <w:t>61,717</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187,811</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27,924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37,704</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(104,824 )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(67,120 )</w:t>
            </w: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2,628</w:t>
            </w:r>
          </w:p>
        </w:tc>
        <w:tc>
          <w:tcPr>
            <w:tcW w:w="60" w:type="dxa"/>
            <w:vAlign w:val="bottom"/>
            <w:shd w:val="clear" w:color="auto" w:fill="CFF0FC"/>
          </w:tcPr>
          <w:p>
            <w:pPr>
              <w:spacing w:after="0"/>
              <w:rPr>
                <w:sz w:val="17"/>
                <w:szCs w:val="17"/>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1,488</w:t>
            </w:r>
          </w:p>
        </w:tc>
        <w:tc>
          <w:tcPr>
            <w:tcW w:w="60" w:type="dxa"/>
            <w:vAlign w:val="bottom"/>
          </w:tcPr>
          <w:p>
            <w:pPr>
              <w:spacing w:after="0"/>
              <w:rPr>
                <w:sz w:val="15"/>
                <w:szCs w:val="15"/>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60" w:type="dxa"/>
            <w:vAlign w:val="bottom"/>
            <w:shd w:val="clear" w:color="auto" w:fill="CFF0FC"/>
          </w:tcPr>
          <w:p>
            <w:pPr>
              <w:spacing w:after="0"/>
              <w:rPr>
                <w:sz w:val="15"/>
                <w:szCs w:val="15"/>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(6,439 )</w:t>
            </w: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(6,439 )</w:t>
            </w:r>
          </w:p>
        </w:tc>
      </w:tr>
      <w:tr>
        <w:trPr>
          <w:trHeight w:val="20"/>
        </w:trPr>
        <w:tc>
          <w:tcPr>
            <w:tcW w:w="2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2021</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61,717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187,811</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29,150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41,999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(111,263 )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(69,264 )</w:t>
            </w: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redeemable convertible</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w w:val="92"/>
              </w:rPr>
              <w:t>preferred stock, net of issuance costs of</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color w:val="auto"/>
              </w:rPr>
              <w:t>$198</w:t>
            </w:r>
          </w:p>
        </w:tc>
        <w:tc>
          <w:tcPr>
            <w:tcW w:w="1200" w:type="dxa"/>
            <w:vAlign w:val="bottom"/>
          </w:tcPr>
          <w:p>
            <w:pPr>
              <w:jc w:val="right"/>
              <w:spacing w:after="0"/>
              <w:rPr>
                <w:sz w:val="20"/>
                <w:szCs w:val="20"/>
                <w:color w:val="auto"/>
              </w:rPr>
            </w:pPr>
            <w:r>
              <w:rPr>
                <w:rFonts w:ascii="Arial" w:cs="Arial" w:eastAsia="Arial" w:hAnsi="Arial"/>
                <w:sz w:val="13"/>
                <w:szCs w:val="13"/>
                <w:color w:val="auto"/>
              </w:rPr>
              <w:t>5,419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173,302</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w:t>
            </w:r>
          </w:p>
        </w:tc>
        <w:tc>
          <w:tcPr>
            <w:tcW w:w="60" w:type="dxa"/>
            <w:vAlign w:val="bottom"/>
            <w:shd w:val="clear" w:color="auto" w:fill="CFF0FC"/>
          </w:tcPr>
          <w:p>
            <w:pPr>
              <w:spacing w:after="0"/>
              <w:rPr>
                <w:sz w:val="17"/>
                <w:szCs w:val="17"/>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2,691</w:t>
            </w:r>
          </w:p>
        </w:tc>
        <w:tc>
          <w:tcPr>
            <w:tcW w:w="60" w:type="dxa"/>
            <w:vAlign w:val="bottom"/>
          </w:tcPr>
          <w:p>
            <w:pPr>
              <w:spacing w:after="0"/>
              <w:rPr>
                <w:sz w:val="15"/>
                <w:szCs w:val="15"/>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w:t>
            </w:r>
          </w:p>
        </w:tc>
        <w:tc>
          <w:tcPr>
            <w:tcW w:w="60" w:type="dxa"/>
            <w:vAlign w:val="bottom"/>
            <w:shd w:val="clear" w:color="auto" w:fill="CFF0FC"/>
          </w:tcPr>
          <w:p>
            <w:pPr>
              <w:spacing w:after="0"/>
              <w:rPr>
                <w:sz w:val="15"/>
                <w:szCs w:val="15"/>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Issuance of common stock in</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color w:val="auto"/>
              </w:rPr>
              <w:t>connection with an acquisition</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7,402</w:t>
            </w:r>
          </w:p>
        </w:tc>
        <w:tc>
          <w:tcPr>
            <w:tcW w:w="60" w:type="dxa"/>
            <w:vAlign w:val="bottom"/>
          </w:tcPr>
          <w:p>
            <w:pPr>
              <w:spacing w:after="0"/>
              <w:rPr>
                <w:sz w:val="14"/>
                <w:szCs w:val="14"/>
                <w:color w:val="auto"/>
              </w:rPr>
            </w:pPr>
          </w:p>
        </w:tc>
      </w:tr>
      <w:tr>
        <w:trPr>
          <w:trHeight w:val="19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(10,083 )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(10,083 )</w:t>
            </w:r>
          </w:p>
        </w:tc>
      </w:tr>
      <w:tr>
        <w:trPr>
          <w:trHeight w:val="20"/>
        </w:trPr>
        <w:tc>
          <w:tcPr>
            <w:tcW w:w="2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76"/>
        </w:trPr>
        <w:tc>
          <w:tcPr>
            <w:tcW w:w="2160" w:type="dxa"/>
            <w:vAlign w:val="bottom"/>
          </w:tcPr>
          <w:p>
            <w:pPr>
              <w:ind w:left="20"/>
              <w:spacing w:after="0"/>
              <w:rPr>
                <w:sz w:val="20"/>
                <w:szCs w:val="20"/>
                <w:color w:val="auto"/>
              </w:rPr>
            </w:pPr>
            <w:r>
              <w:rPr>
                <w:rFonts w:ascii="Arial" w:cs="Arial" w:eastAsia="Arial" w:hAnsi="Arial"/>
                <w:sz w:val="13"/>
                <w:szCs w:val="13"/>
                <w:color w:val="auto"/>
              </w:rPr>
              <w:t>Balance at June 30, 2021</w:t>
            </w:r>
          </w:p>
        </w:tc>
        <w:tc>
          <w:tcPr>
            <w:tcW w:w="1200" w:type="dxa"/>
            <w:vAlign w:val="bottom"/>
          </w:tcPr>
          <w:p>
            <w:pPr>
              <w:jc w:val="right"/>
              <w:spacing w:after="0"/>
              <w:rPr>
                <w:sz w:val="20"/>
                <w:szCs w:val="20"/>
                <w:color w:val="auto"/>
              </w:rPr>
            </w:pPr>
            <w:r>
              <w:rPr>
                <w:rFonts w:ascii="Arial" w:cs="Arial" w:eastAsia="Arial" w:hAnsi="Arial"/>
                <w:sz w:val="13"/>
                <w:szCs w:val="13"/>
                <w:color w:val="auto"/>
              </w:rPr>
              <w:t>67,136</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361,113</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31,910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55,657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(121,346 )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(65,689 )</w:t>
            </w:r>
          </w:p>
        </w:tc>
      </w:tr>
      <w:tr>
        <w:trPr>
          <w:trHeight w:val="181"/>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redeemable convertible</w:t>
            </w: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62"/>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preferred stock, net of issuance costs of</w:t>
            </w:r>
          </w:p>
        </w:tc>
        <w:tc>
          <w:tcPr>
            <w:tcW w:w="1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$0</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26,500</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w w:val="96"/>
              </w:rPr>
              <w:t>Conversion of redeemable convertible</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3"/>
                <w:szCs w:val="13"/>
                <w:color w:val="auto"/>
                <w:w w:val="95"/>
              </w:rPr>
              <w:t>preferred stock to common stock upon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color w:val="auto"/>
              </w:rPr>
              <w:t>direct listing</w:t>
            </w: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(67,964 )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(387,613 )</w:t>
            </w:r>
          </w:p>
        </w:tc>
        <w:tc>
          <w:tcPr>
            <w:tcW w:w="1120" w:type="dxa"/>
            <w:vAlign w:val="bottom"/>
          </w:tcPr>
          <w:p>
            <w:pPr>
              <w:jc w:val="right"/>
              <w:spacing w:after="0"/>
              <w:rPr>
                <w:sz w:val="20"/>
                <w:szCs w:val="20"/>
                <w:color w:val="auto"/>
              </w:rPr>
            </w:pPr>
            <w:r>
              <w:rPr>
                <w:rFonts w:ascii="Arial" w:cs="Arial" w:eastAsia="Arial" w:hAnsi="Arial"/>
                <w:sz w:val="13"/>
                <w:szCs w:val="13"/>
                <w:color w:val="auto"/>
              </w:rPr>
              <w:t>67,964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387,612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387,613</w:t>
            </w:r>
          </w:p>
        </w:tc>
        <w:tc>
          <w:tcPr>
            <w:tcW w:w="60" w:type="dxa"/>
            <w:vAlign w:val="bottom"/>
          </w:tcPr>
          <w:p>
            <w:pPr>
              <w:spacing w:after="0"/>
              <w:rPr>
                <w:sz w:val="14"/>
                <w:szCs w:val="14"/>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14,613</w:t>
            </w:r>
          </w:p>
        </w:tc>
        <w:tc>
          <w:tcPr>
            <w:tcW w:w="60" w:type="dxa"/>
            <w:vAlign w:val="bottom"/>
            <w:shd w:val="clear" w:color="auto" w:fill="CFF0FC"/>
          </w:tcPr>
          <w:p>
            <w:pPr>
              <w:spacing w:after="0"/>
              <w:rPr>
                <w:sz w:val="17"/>
                <w:szCs w:val="17"/>
                <w:color w:val="auto"/>
              </w:rPr>
            </w:pPr>
          </w:p>
        </w:tc>
      </w:tr>
      <w:tr>
        <w:trPr>
          <w:trHeight w:val="181"/>
        </w:trPr>
        <w:tc>
          <w:tcPr>
            <w:tcW w:w="21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7,758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7,758</w:t>
            </w:r>
          </w:p>
        </w:tc>
        <w:tc>
          <w:tcPr>
            <w:tcW w:w="60" w:type="dxa"/>
            <w:vAlign w:val="bottom"/>
          </w:tcPr>
          <w:p>
            <w:pPr>
              <w:spacing w:after="0"/>
              <w:rPr>
                <w:sz w:val="15"/>
                <w:szCs w:val="15"/>
                <w:color w:val="auto"/>
              </w:rPr>
            </w:pPr>
          </w:p>
        </w:tc>
      </w:tr>
      <w:tr>
        <w:trPr>
          <w:trHeight w:val="197"/>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r>
      <w:tr>
        <w:trPr>
          <w:trHeight w:val="173"/>
        </w:trPr>
        <w:tc>
          <w:tcPr>
            <w:tcW w:w="2160" w:type="dxa"/>
            <w:vAlign w:val="bottom"/>
          </w:tcPr>
          <w:p>
            <w:pPr>
              <w:ind w:left="20"/>
              <w:spacing w:after="0"/>
              <w:rPr>
                <w:sz w:val="20"/>
                <w:szCs w:val="20"/>
                <w:color w:val="auto"/>
              </w:rPr>
            </w:pPr>
            <w:r>
              <w:rPr>
                <w:rFonts w:ascii="Arial" w:cs="Arial" w:eastAsia="Arial" w:hAnsi="Arial"/>
                <w:sz w:val="13"/>
                <w:szCs w:val="13"/>
                <w:color w:val="auto"/>
              </w:rPr>
              <w:t>Vesting of early exercised stock</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160" w:type="dxa"/>
            <w:vAlign w:val="bottom"/>
          </w:tcPr>
          <w:p>
            <w:pPr>
              <w:ind w:left="20"/>
              <w:spacing w:after="0"/>
              <w:rPr>
                <w:sz w:val="20"/>
                <w:szCs w:val="20"/>
                <w:color w:val="auto"/>
              </w:rPr>
            </w:pPr>
            <w:r>
              <w:rPr>
                <w:rFonts w:ascii="Arial" w:cs="Arial" w:eastAsia="Arial" w:hAnsi="Arial"/>
                <w:sz w:val="13"/>
                <w:szCs w:val="13"/>
                <w:color w:val="auto"/>
              </w:rPr>
              <w:t>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512</w:t>
            </w:r>
          </w:p>
        </w:tc>
        <w:tc>
          <w:tcPr>
            <w:tcW w:w="60" w:type="dxa"/>
            <w:vAlign w:val="bottom"/>
          </w:tcPr>
          <w:p>
            <w:pPr>
              <w:spacing w:after="0"/>
              <w:rPr>
                <w:sz w:val="14"/>
                <w:szCs w:val="14"/>
                <w:color w:val="auto"/>
              </w:rPr>
            </w:pPr>
          </w:p>
        </w:tc>
      </w:tr>
      <w:tr>
        <w:trPr>
          <w:trHeight w:val="196"/>
        </w:trPr>
        <w:tc>
          <w:tcPr>
            <w:tcW w:w="2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(36,559 )</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(36,559 )</w:t>
            </w:r>
          </w:p>
        </w:tc>
      </w:tr>
      <w:tr>
        <w:trPr>
          <w:trHeight w:val="20"/>
        </w:trPr>
        <w:tc>
          <w:tcPr>
            <w:tcW w:w="2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84"/>
        </w:trPr>
        <w:tc>
          <w:tcPr>
            <w:tcW w:w="2160" w:type="dxa"/>
            <w:vAlign w:val="bottom"/>
          </w:tcPr>
          <w:p>
            <w:pPr>
              <w:ind w:left="20"/>
              <w:spacing w:after="0"/>
              <w:rPr>
                <w:sz w:val="20"/>
                <w:szCs w:val="20"/>
                <w:color w:val="auto"/>
              </w:rPr>
            </w:pPr>
            <w:r>
              <w:rPr>
                <w:rFonts w:ascii="Arial" w:cs="Arial" w:eastAsia="Arial" w:hAnsi="Arial"/>
                <w:sz w:val="13"/>
                <w:szCs w:val="13"/>
                <w:color w:val="auto"/>
              </w:rPr>
              <w:t>Balance at September 30, 2021</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107,675</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466,152</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(157,905 )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308,248</w:t>
            </w:r>
          </w:p>
        </w:tc>
        <w:tc>
          <w:tcPr>
            <w:tcW w:w="60" w:type="dxa"/>
            <w:vAlign w:val="bottom"/>
          </w:tcPr>
          <w:p>
            <w:pPr>
              <w:spacing w:after="0"/>
              <w:rPr>
                <w:sz w:val="15"/>
                <w:szCs w:val="15"/>
                <w:color w:val="auto"/>
              </w:rPr>
            </w:pPr>
          </w:p>
        </w:tc>
      </w:tr>
      <w:tr>
        <w:trPr>
          <w:trHeight w:val="20"/>
        </w:trPr>
        <w:tc>
          <w:tcPr>
            <w:tcW w:w="2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-1633855</wp:posOffset>
            </wp:positionV>
            <wp:extent cx="13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-1633855</wp:posOffset>
            </wp:positionV>
            <wp:extent cx="13716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-1633855</wp:posOffset>
            </wp:positionV>
            <wp:extent cx="1200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-1633855</wp:posOffset>
            </wp:positionV>
            <wp:extent cx="1111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-1633855</wp:posOffset>
            </wp:positionV>
            <wp:extent cx="1111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-1633855</wp:posOffset>
            </wp:positionV>
            <wp:extent cx="1200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-1633855</wp:posOffset>
            </wp:positionV>
            <wp:extent cx="431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-150495</wp:posOffset>
            </wp:positionV>
            <wp:extent cx="1371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-150495</wp:posOffset>
            </wp:positionV>
            <wp:extent cx="1371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-150495</wp:posOffset>
            </wp:positionV>
            <wp:extent cx="1200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-150495</wp:posOffset>
            </wp:positionV>
            <wp:extent cx="1111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-150495</wp:posOffset>
            </wp:positionV>
            <wp:extent cx="11112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-150495</wp:posOffset>
            </wp:positionV>
            <wp:extent cx="1200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63"/>
        </w:trPr>
        <w:tc>
          <w:tcPr>
            <w:tcW w:w="7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(53,081 )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(19,197 )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Allowance for doubtful accounts, net of recoveries</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(34 )</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(377 )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(5,389 )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(3,886 )</w:t>
            </w: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(11,931 )</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(6,671 )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(3,788 )</w:t>
            </w: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(3,526 )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(2,227 )</w:t>
            </w:r>
          </w:p>
        </w:tc>
      </w:tr>
      <w:tr>
        <w:trPr>
          <w:trHeight w:val="263"/>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(1,200 )</w:t>
            </w: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(140 )</w:t>
            </w:r>
          </w:p>
        </w:tc>
      </w:tr>
      <w:tr>
        <w:trPr>
          <w:trHeight w:val="263"/>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30,633</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r>
      <w:tr>
        <w:trPr>
          <w:trHeight w:val="250"/>
        </w:trPr>
        <w:tc>
          <w:tcPr>
            <w:tcW w:w="7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(20,609 )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(7,401 )</w:t>
            </w:r>
          </w:p>
        </w:tc>
      </w:tr>
      <w:tr>
        <w:trPr>
          <w:trHeight w:val="25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(957 )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(3,700 )</w:t>
            </w:r>
          </w:p>
        </w:tc>
      </w:tr>
      <w:tr>
        <w:trPr>
          <w:trHeight w:val="25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Capitalization of internal-use software costs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(1,125 )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(924 )</w:t>
            </w: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(358 )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(5,102 )</w:t>
            </w: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FF0FC"/>
          </w:tcPr>
          <w:p>
            <w:pPr>
              <w:spacing w:after="0"/>
              <w:rPr>
                <w:sz w:val="22"/>
                <w:szCs w:val="22"/>
                <w:color w:val="auto"/>
              </w:rPr>
            </w:pPr>
          </w:p>
        </w:tc>
        <w:tc>
          <w:tcPr>
            <w:tcW w:w="136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issuance of redeemable convertible preferred stock,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199,802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49,820</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16,634</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Cash received for tax withholding obligations on equity award settlements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106,919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tax withholding obligations on equity award settlements</w:t>
            </w:r>
          </w:p>
        </w:tc>
        <w:tc>
          <w:tcPr>
            <w:tcW w:w="24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(101,556 )</w:t>
            </w:r>
          </w:p>
        </w:tc>
        <w:tc>
          <w:tcPr>
            <w:tcW w:w="3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Repurchase of unvested stock options</w:t>
            </w:r>
          </w:p>
        </w:tc>
        <w:tc>
          <w:tcPr>
            <w:tcW w:w="2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3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r>
      <w:tr>
        <w:trPr>
          <w:trHeight w:val="250"/>
        </w:trPr>
        <w:tc>
          <w:tcPr>
            <w:tcW w:w="76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221,798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7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200,831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38,689</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118,863</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80,918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319,694</w:t>
            </w:r>
          </w:p>
        </w:tc>
        <w:tc>
          <w:tcPr>
            <w:tcW w:w="28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119,607</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property and equipment included in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Vesting of early exercised options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-3331210</wp:posOffset>
            </wp:positionV>
            <wp:extent cx="1803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-3331210</wp:posOffset>
            </wp:positionV>
            <wp:extent cx="5969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-2670810</wp:posOffset>
            </wp:positionV>
            <wp:extent cx="1803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-2670810</wp:posOffset>
            </wp:positionV>
            <wp:extent cx="5969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-1342390</wp:posOffset>
            </wp:positionV>
            <wp:extent cx="1803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-1342390</wp:posOffset>
            </wp:positionV>
            <wp:extent cx="5969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-1007745</wp:posOffset>
            </wp:positionV>
            <wp:extent cx="1803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-1007745</wp:posOffset>
            </wp:positionV>
            <wp:extent cx="5969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AMPLITUDE,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31"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color w:val="auto"/>
        </w:rPr>
        <w:t>Amplitude, Inc. (the “Company”) was incorporated in the state of Delaware in 2011 and is headquartered in San Francisco, California. The Company provides a Digital Optimization System that helps companies analyze their customer behavior within digital products. The Company also offers customer support related to initial implementation setup, ongoing support services, and application training.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77"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The unaudited condensed consolidated balance sheet as of December 31, 2020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statements of redeemable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52"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final prospectus related to the direct listing of the Company’s Class A common stock on the Nasdaq Capital Market (the “Direct Listing”) filed with the Securities and Exchange Commission (the “SEC”) pursuant to Rule 424(b) under the Securities Act of 1933, as amended, on September 28,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31" w:lineRule="exact"/>
        <w:rPr>
          <w:sz w:val="20"/>
          <w:szCs w:val="20"/>
          <w:color w:val="auto"/>
        </w:rPr>
      </w:pPr>
    </w:p>
    <w:p>
      <w:pPr>
        <w:ind w:right="540" w:firstLine="509"/>
        <w:spacing w:after="0" w:line="293" w:lineRule="auto"/>
        <w:rPr>
          <w:sz w:val="20"/>
          <w:szCs w:val="20"/>
          <w:color w:val="auto"/>
        </w:rPr>
      </w:pPr>
      <w:r>
        <w:rPr>
          <w:rFonts w:ascii="Arial" w:cs="Arial" w:eastAsia="Arial" w:hAnsi="Arial"/>
          <w:sz w:val="18"/>
          <w:szCs w:val="18"/>
          <w:color w:val="auto"/>
        </w:rPr>
        <w:t>Certain amounts in the prior period financial statements have been reclassified to conform to the presentation of the current period condensed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Listing</w:t>
      </w:r>
    </w:p>
    <w:p>
      <w:pPr>
        <w:spacing w:after="0" w:line="131"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color w:val="auto"/>
        </w:rPr>
        <w:t>On September 21, 2021, the Company’s registration statement related to the Direct Listing (the "Registration Statement") was declared effective by the SEC, and on September 28, 2021, the Direct Listing was completed and the Company’s Class A common stock commenced trading. The Company incurred fees related to financial advisory service, audit, and legal expenses in connection with the Direct Listing and recorded general and administrative expenses of $16.1 million and $18.2 million for the three and nine months ended September 30, 2021, respectively.</w:t>
      </w:r>
    </w:p>
    <w:p>
      <w:pPr>
        <w:spacing w:after="0" w:line="48"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Prior to the Direct Listing, on August 30, 2021, an amended and restated certificate of incorporation of the Company was filed with the Secretary of State of the State of Delaware, which resulted in the creation of Class A common stock and Class B common stock. All existing shares of common stock issued and outstanding were reclassified into shares of Class B common stock.</w:t>
      </w:r>
    </w:p>
    <w:p>
      <w:pPr>
        <w:spacing w:after="0" w:line="75"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Upon the effectiveness of the Registration Statement, all 68.0 million outstanding shares of redeemable convertible preferred stock were converted into an equivalent number of shares of Class B common stock.</w:t>
      </w:r>
    </w:p>
    <w:p>
      <w:pPr>
        <w:spacing w:after="0" w:line="62"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On September 21, 2021, an amended and restated certificate of incorporation of the Company was filed with the Secretary of State of the State of Delaware, authorizing an aggregate of 1,220,000,000 shares of capital stock of the Company, including 600,000,000 shares of Class A common stock, 600,000,000 shares of Class B common stock, and 20,000,000 shares of preferred stock.</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expected period of benefit for deferred commissions;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useful lives of long-lived assets;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valuation of the Company’s common stock and stock-based awards;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valuation of goodwill and intangible assets; and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recognition, measurement, and valuation of deferred tax assets and income tax uncertainties.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9"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While the duration and extent of the COVID-19 pandemic depends on future developments that cannot be accurately predicted at this time, such as the extent and effectiveness of containment actions, it has already had an adverse effect on the global economy and the lasting effects of the pandemic continue to be unknown. The Company may experience customer losses, including due to bankruptcy or customers ceasing operations, which may result in delays in collections or an inability to collect accounts receivable from these customers.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 and Significant Customers</w:t>
      </w:r>
    </w:p>
    <w:p>
      <w:pPr>
        <w:spacing w:after="0" w:line="131" w:lineRule="exact"/>
        <w:rPr>
          <w:sz w:val="20"/>
          <w:szCs w:val="20"/>
          <w:color w:val="auto"/>
        </w:rPr>
      </w:pPr>
    </w:p>
    <w:p>
      <w:pPr>
        <w:ind w:right="180" w:firstLine="509"/>
        <w:spacing w:after="0" w:line="303" w:lineRule="auto"/>
        <w:rPr>
          <w:sz w:val="20"/>
          <w:szCs w:val="20"/>
          <w:color w:val="auto"/>
        </w:rPr>
      </w:pPr>
      <w:r>
        <w:rPr>
          <w:rFonts w:ascii="Arial" w:cs="Arial" w:eastAsia="Arial" w:hAnsi="Arial"/>
          <w:sz w:val="17"/>
          <w:szCs w:val="17"/>
          <w:color w:val="auto"/>
        </w:rPr>
        <w:t>Financial instruments that subject the Company to concentrations of credit risk consist primarily of cash and cash equivalents, restricted cash,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64"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No customer accounted for 10% or more of total revenue for the three and nine months ended September 30, 2021 and September 30, 2020. As of the quarter ended September 30, 2021, one customer represented 20% of accounts receivable. As of the year ended December 31, 2020, two customers represented 14% and 13% of accounts receivable,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 xml:space="preserve">Leases: 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requires companies to recognize lease liabilities and corresponding right-of-use leased assets on the balance sheets and to disclose key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leasing arrangements. Qualitative and quantitative disclosures will be enhanced to better understand the amount, timing, and uncertainty of cash flows arising from leases. ASU No. 2016-02 is effective for annual periods beginning after December 15, 2021, with early adoption permitted. Based on the Company’s initial assessment of its current and future leases, the Company anticipates the adoption of this guidance will have a material impact on its financial position as the Company will be required to recognize a right-of-use asset and corresponding liability related to its operating leases on its consolidated balance sheets.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in 2018 and 2019, the FASB issued the following Topic 842–related ASUs:</w:t>
      </w:r>
    </w:p>
    <w:p>
      <w:pPr>
        <w:spacing w:after="0" w:line="131" w:lineRule="exact"/>
        <w:rPr>
          <w:sz w:val="20"/>
          <w:szCs w:val="20"/>
          <w:color w:val="auto"/>
        </w:rPr>
      </w:pPr>
    </w:p>
    <w:p>
      <w:pPr>
        <w:ind w:left="1100" w:right="200"/>
        <w:spacing w:after="0" w:line="293" w:lineRule="auto"/>
        <w:rPr>
          <w:sz w:val="20"/>
          <w:szCs w:val="20"/>
          <w:color w:val="auto"/>
        </w:rPr>
      </w:pPr>
      <w:r>
        <w:rPr>
          <w:rFonts w:ascii="Arial" w:cs="Arial" w:eastAsia="Arial" w:hAnsi="Arial"/>
          <w:sz w:val="18"/>
          <w:szCs w:val="18"/>
          <w:color w:val="auto"/>
        </w:rPr>
        <w:t xml:space="preserve">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clarifies the applicability of Topic 842 to land easements and provides an optional transition practical expedient for existing land easements;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makes certain technical corrections to Topic 842;</w:t>
      </w:r>
    </w:p>
    <w:p>
      <w:pPr>
        <w:spacing w:after="0" w:line="131" w:lineRule="exact"/>
        <w:rPr>
          <w:sz w:val="20"/>
          <w:szCs w:val="20"/>
          <w:color w:val="auto"/>
        </w:rPr>
      </w:pPr>
    </w:p>
    <w:p>
      <w:pPr>
        <w:ind w:left="1100" w:right="60"/>
        <w:spacing w:after="0" w:line="279" w:lineRule="auto"/>
        <w:rPr>
          <w:sz w:val="20"/>
          <w:szCs w:val="20"/>
          <w:color w:val="auto"/>
        </w:rPr>
      </w:pPr>
      <w:r>
        <w:rPr>
          <w:rFonts w:ascii="Arial" w:cs="Arial" w:eastAsia="Arial" w:hAnsi="Arial"/>
          <w:sz w:val="18"/>
          <w:szCs w:val="18"/>
          <w:color w:val="auto"/>
        </w:rPr>
        <w:t xml:space="preserve">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companies to adopt Topic 842 without revising comparative period reporting or disclosures and provides an optional practical expedient to lessors to not separate lease and non-lease components of a contract if certain criteria are met; and</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2" w:name="page13"/>
    <w:bookmarkEnd w:id="12"/>
    <w:p>
      <w:pPr>
        <w:ind w:left="1100" w:right="280"/>
        <w:spacing w:after="0" w:line="279" w:lineRule="auto"/>
        <w:rPr>
          <w:sz w:val="20"/>
          <w:szCs w:val="20"/>
          <w:color w:val="auto"/>
        </w:rPr>
      </w:pPr>
      <w:r>
        <w:rPr>
          <w:rFonts w:ascii="Arial" w:cs="Arial" w:eastAsia="Arial" w:hAnsi="Arial"/>
          <w:sz w:val="18"/>
          <w:szCs w:val="18"/>
          <w:color w:val="auto"/>
        </w:rPr>
        <w:t xml:space="preserve">2019-01, </w:t>
      </w:r>
      <w:r>
        <w:rPr>
          <w:rFonts w:ascii="Arial" w:cs="Arial" w:eastAsia="Arial" w:hAnsi="Arial"/>
          <w:sz w:val="18"/>
          <w:szCs w:val="18"/>
          <w:i w:val="1"/>
          <w:iCs w:val="1"/>
          <w:color w:val="auto"/>
        </w:rPr>
        <w:t>Leases (Topic 842): Codification Improvements</w:t>
      </w:r>
      <w:r>
        <w:rPr>
          <w:rFonts w:ascii="Arial" w:cs="Arial" w:eastAsia="Arial" w:hAnsi="Arial"/>
          <w:sz w:val="18"/>
          <w:szCs w:val="18"/>
          <w:color w:val="auto"/>
        </w:rPr>
        <w:t>, which provides guidance for certain lessors on determining the fair value of an underlying asset in a lease and on the cash flow statement presentation of lease payments received; ASU No. 2019-01 also clarifies disclosures required in interim periods after adoption of ASU No. 2016-02 in the year of adoption.</w:t>
      </w:r>
    </w:p>
    <w:p>
      <w:pPr>
        <w:spacing w:after="0" w:line="183"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 xml:space="preserve">Financial Instruments - Credit Losses: In June 2016, the FASB issued ASU No. 2016-13, </w:t>
      </w:r>
      <w:r>
        <w:rPr>
          <w:rFonts w:ascii="Arial" w:cs="Arial" w:eastAsia="Arial" w:hAnsi="Arial"/>
          <w:sz w:val="18"/>
          <w:szCs w:val="18"/>
          <w:i w:val="1"/>
          <w:iCs w:val="1"/>
          <w:color w:val="auto"/>
        </w:rPr>
        <w:t>Financial Instruments (Topic 326).</w:t>
      </w:r>
      <w:r>
        <w:rPr>
          <w:rFonts w:ascii="Arial" w:cs="Arial" w:eastAsia="Arial" w:hAnsi="Arial"/>
          <w:sz w:val="18"/>
          <w:szCs w:val="18"/>
          <w:color w:val="auto"/>
        </w:rPr>
        <w:t xml:space="preserve"> This standard revises current U.S. GAAP methodology by requiring measurement and immediate recognition of expected credit losses on in-scope financial instruments, including trade receivables. ASU No. 2016-13 is effective for annual periods beginning after December 15, 2022, with early adoption permitted in fiscal years beginning after December 31, 2018. The Company is currently in the process of evaluating the impact of adoption on its consolidated financial statements.</w:t>
      </w:r>
    </w:p>
    <w:p>
      <w:pPr>
        <w:spacing w:after="0" w:line="19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 xml:space="preserve">Intangibles – Goodwill: In January 2017, the FASB issued No.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is currently evaluating the new guidance and assessing the potential impact on its consolidated financial statements.</w:t>
      </w:r>
    </w:p>
    <w:p>
      <w:pPr>
        <w:spacing w:after="0" w:line="295"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66"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amount of revenue recognized in the nine months ended September 30, 2021 that was included in deferred revenue as of December 31, 2020 was $36.9 million.</w:t>
      </w:r>
    </w:p>
    <w:p>
      <w:pPr>
        <w:spacing w:after="0" w:line="170"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As of September 30, 2021 and December 31, 2020, unrecognized transaction price related to remaining performance obligations was $152.0 million and $95.6 million, respectively. The Company’s remaining performance obligations as of September 30, 2021 and December 31, 2020 are expected to be recognized as follows (in thousands):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9"/>
                <w:szCs w:val="19"/>
                <w:color w:val="auto"/>
              </w:rPr>
            </w:pPr>
          </w:p>
        </w:tc>
      </w:t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r>
      <w:tr>
        <w:trPr>
          <w:trHeight w:val="241"/>
        </w:trPr>
        <w:tc>
          <w:tcPr>
            <w:tcW w:w="6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r>
      <w:tr>
        <w:trPr>
          <w:trHeight w:val="256"/>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Less than or equal to 12 months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125,946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85,706</w:t>
            </w:r>
          </w:p>
        </w:tc>
        <w:tc>
          <w:tcPr>
            <w:tcW w:w="80" w:type="dxa"/>
            <w:vAlign w:val="bottom"/>
            <w:shd w:val="clear" w:color="auto" w:fill="CFF0FC"/>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Greater than 12 months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c>
          <w:tcPr>
            <w:tcW w:w="80" w:type="dxa"/>
            <w:vAlign w:val="bottom"/>
          </w:tcPr>
          <w:p>
            <w:pPr>
              <w:spacing w:after="0"/>
              <w:rPr>
                <w:sz w:val="22"/>
                <w:szCs w:val="22"/>
                <w:color w:val="auto"/>
              </w:rPr>
            </w:pPr>
          </w:p>
        </w:tc>
      </w:tr>
      <w:tr>
        <w:trPr>
          <w:trHeight w:val="29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remaining performance obligations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152,007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146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46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-24765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31"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color w:val="auto"/>
        </w:rPr>
        <w:t>The following table shows the Company’s disaggregation of revenue by geographic areas, as determined based on the billing address of its customers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29,582</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16,914</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75,942</w:t>
            </w:r>
          </w:p>
        </w:tc>
        <w:tc>
          <w:tcPr>
            <w:tcW w:w="2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46,292</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41,895</w:t>
            </w:r>
          </w:p>
        </w:tc>
        <w:tc>
          <w:tcPr>
            <w:tcW w:w="2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90"/>
        </w:trPr>
        <w:tc>
          <w:tcPr>
            <w:tcW w:w="580" w:type="dxa"/>
            <w:vAlign w:val="bottom"/>
          </w:tcPr>
          <w:p>
            <w:pPr>
              <w:spacing w:after="0"/>
              <w:rPr>
                <w:sz w:val="24"/>
                <w:szCs w:val="24"/>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26,366</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7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72,388</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47"/>
        </w:trPr>
        <w:tc>
          <w:tcPr>
            <w:tcW w:w="580" w:type="dxa"/>
            <w:vAlign w:val="bottom"/>
          </w:tcPr>
          <w:p>
            <w:pPr>
              <w:spacing w:after="0"/>
              <w:rPr>
                <w:sz w:val="24"/>
                <w:szCs w:val="24"/>
                <w:color w:val="auto"/>
              </w:rPr>
            </w:pPr>
          </w:p>
        </w:tc>
        <w:tc>
          <w:tcPr>
            <w:tcW w:w="44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-471170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-453390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-471170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-453390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-471170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-453390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right="420" w:firstLine="509"/>
        <w:spacing w:after="0" w:line="279" w:lineRule="auto"/>
        <w:rPr>
          <w:sz w:val="20"/>
          <w:szCs w:val="20"/>
          <w:color w:val="auto"/>
        </w:rPr>
      </w:pPr>
      <w:r>
        <w:rPr>
          <w:rFonts w:ascii="Arial" w:cs="Arial" w:eastAsia="Arial" w:hAnsi="Arial"/>
          <w:sz w:val="18"/>
          <w:szCs w:val="18"/>
          <w:color w:val="auto"/>
        </w:rPr>
        <w:t>Commissions paid upon the initial acquisition of a contract are deferred and then amortized on a straight-line basis over a period of benefit, determined to be five years. The following table represents a rollforward of the Company’s deferred commissions for the three and nine months ended September 30, 2021 and September 30, 2020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43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24,957</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14,146</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12,260</w:t>
            </w:r>
          </w:p>
        </w:tc>
        <w:tc>
          <w:tcPr>
            <w:tcW w:w="100" w:type="dxa"/>
            <w:vAlign w:val="bottom"/>
            <w:shd w:val="clear" w:color="auto" w:fill="CFF0FC"/>
          </w:tcPr>
          <w:p>
            <w:pPr>
              <w:spacing w:after="0"/>
              <w:rPr>
                <w:sz w:val="22"/>
                <w:szCs w:val="22"/>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18"/>
                <w:szCs w:val="18"/>
                <w:color w:val="auto"/>
              </w:rPr>
              <w:t>Additions to deferred commissions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21"/>
                <w:szCs w:val="21"/>
                <w:color w:val="auto"/>
              </w:rPr>
            </w:pPr>
          </w:p>
        </w:tc>
      </w:tr>
      <w:tr>
        <w:trPr>
          <w:trHeight w:val="26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commissions</w:t>
            </w: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(1,849 )</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(1,042 )</w:t>
            </w: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(4,836 )</w:t>
            </w:r>
          </w:p>
        </w:tc>
        <w:tc>
          <w:tcPr>
            <w:tcW w:w="1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(2,818 )</w:t>
            </w:r>
          </w:p>
        </w:tc>
      </w:tr>
      <w:tr>
        <w:trPr>
          <w:trHeight w:val="250"/>
        </w:trPr>
        <w:tc>
          <w:tcPr>
            <w:tcW w:w="4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CFF0FC"/>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CFF0FC"/>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tcBorders>
              <w:top w:val="single" w:sz="8" w:color="CFF0FC"/>
            </w:tcBorders>
          </w:tcPr>
          <w:p>
            <w:pPr>
              <w:spacing w:after="0"/>
              <w:rPr>
                <w:sz w:val="21"/>
                <w:szCs w:val="21"/>
                <w:color w:val="auto"/>
              </w:rPr>
            </w:pPr>
          </w:p>
        </w:tc>
      </w:tr>
      <w:tr>
        <w:trPr>
          <w:trHeight w:val="25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Deferred commissions, current portion</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FF0FC"/>
          </w:tcPr>
          <w:p>
            <w:pPr>
              <w:spacing w:after="0"/>
              <w:rPr>
                <w:sz w:val="21"/>
                <w:szCs w:val="2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tcPr>
          <w:p>
            <w:pPr>
              <w:spacing w:after="0"/>
              <w:rPr>
                <w:sz w:val="22"/>
                <w:szCs w:val="22"/>
                <w:color w:val="auto"/>
              </w:rPr>
            </w:pPr>
          </w:p>
        </w:tc>
      </w:tr>
      <w:tr>
        <w:trPr>
          <w:trHeight w:val="520"/>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commissions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16,047</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-845185</wp:posOffset>
            </wp:positionV>
            <wp:extent cx="1460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-845185</wp:posOffset>
            </wp:positionV>
            <wp:extent cx="12890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-845185</wp:posOffset>
            </wp:positionV>
            <wp:extent cx="12890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-845185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146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146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128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1289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289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show the Company’s financial statement details as of September 30, 2021 and December 31, 2020.</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the Company's cash, cash equivalents, and restricted cash at each period end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4"/>
              </w:rPr>
              <w:t>As of</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4"/>
          </w:tcPr>
          <w:p>
            <w:pPr>
              <w:ind w:left="720"/>
              <w:spacing w:after="0"/>
              <w:rPr>
                <w:sz w:val="20"/>
                <w:szCs w:val="20"/>
                <w:color w:val="auto"/>
              </w:rPr>
            </w:pPr>
            <w:r>
              <w:rPr>
                <w:rFonts w:ascii="Arial" w:cs="Arial" w:eastAsia="Arial" w:hAnsi="Arial"/>
                <w:sz w:val="18"/>
                <w:szCs w:val="18"/>
                <w:b w:val="1"/>
                <w:bCs w:val="1"/>
                <w:color w:val="auto"/>
                <w:w w:val="92"/>
              </w:rPr>
              <w:t>September 30,</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December 31,</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5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80" w:type="dxa"/>
            <w:vAlign w:val="bottom"/>
          </w:tcPr>
          <w:p>
            <w:pPr>
              <w:spacing w:after="0"/>
              <w:rPr>
                <w:sz w:val="22"/>
                <w:szCs w:val="22"/>
                <w:color w:val="auto"/>
              </w:rPr>
            </w:pPr>
          </w:p>
        </w:tc>
      </w:t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317,763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117,783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79,839</w:t>
            </w:r>
          </w:p>
        </w:tc>
        <w:tc>
          <w:tcPr>
            <w:tcW w:w="80" w:type="dxa"/>
            <w:vAlign w:val="bottom"/>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 noncurrent</w:t>
            </w:r>
          </w:p>
        </w:tc>
        <w:tc>
          <w:tcPr>
            <w:tcW w:w="1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319,694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80,918</w:t>
            </w:r>
          </w:p>
        </w:tc>
        <w:tc>
          <w:tcPr>
            <w:tcW w:w="8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-193675</wp:posOffset>
            </wp:positionV>
            <wp:extent cx="14541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-193675</wp:posOffset>
            </wp:positionV>
            <wp:extent cx="1289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-193675</wp:posOffset>
            </wp:positionV>
            <wp:extent cx="1289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4"/>
              </w:rPr>
              <w:t>As of</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ind w:right="16"/>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6"/>
        </w:trPr>
        <w:tc>
          <w:tcPr>
            <w:tcW w:w="11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800" w:type="dxa"/>
            <w:vAlign w:val="bottom"/>
            <w:gridSpan w:val="2"/>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Prepaid hosting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1140" w:type="dxa"/>
            <w:vAlign w:val="bottom"/>
          </w:tcPr>
          <w:p>
            <w:pPr>
              <w:spacing w:after="0"/>
              <w:rPr>
                <w:sz w:val="22"/>
                <w:szCs w:val="22"/>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 and other assets</w:t>
            </w:r>
          </w:p>
        </w:tc>
        <w:tc>
          <w:tcPr>
            <w:tcW w:w="15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Borders>
              <w:bottom w:val="single" w:sz="8" w:color="CFF0FC"/>
            </w:tcBorders>
          </w:tcPr>
          <w:p>
            <w:pPr>
              <w:spacing w:after="0"/>
              <w:rPr>
                <w:sz w:val="22"/>
                <w:szCs w:val="22"/>
                <w:color w:val="auto"/>
              </w:rPr>
            </w:pPr>
          </w:p>
        </w:tc>
        <w:tc>
          <w:tcPr>
            <w:tcW w:w="1120" w:type="dxa"/>
            <w:vAlign w:val="bottom"/>
          </w:tcPr>
          <w:p>
            <w:pPr>
              <w:spacing w:after="0"/>
              <w:rPr>
                <w:sz w:val="22"/>
                <w:szCs w:val="22"/>
                <w:color w:val="auto"/>
              </w:rPr>
            </w:pPr>
          </w:p>
        </w:tc>
      </w:tr>
      <w:tr>
        <w:trPr>
          <w:trHeight w:val="296"/>
        </w:trPr>
        <w:tc>
          <w:tcPr>
            <w:tcW w:w="1140" w:type="dxa"/>
            <w:vAlign w:val="bottom"/>
          </w:tcPr>
          <w:p>
            <w:pPr>
              <w:spacing w:after="0"/>
              <w:rPr>
                <w:sz w:val="24"/>
                <w:szCs w:val="24"/>
                <w:color w:val="auto"/>
              </w:rPr>
            </w:pPr>
          </w:p>
        </w:tc>
        <w:tc>
          <w:tcPr>
            <w:tcW w:w="394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Total prepaid expense and other current assets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6,857</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547"/>
        </w:trPr>
        <w:tc>
          <w:tcPr>
            <w:tcW w:w="1140" w:type="dxa"/>
            <w:vAlign w:val="bottom"/>
          </w:tcPr>
          <w:p>
            <w:pPr>
              <w:spacing w:after="0"/>
              <w:rPr>
                <w:sz w:val="24"/>
                <w:szCs w:val="24"/>
                <w:color w:val="auto"/>
              </w:rPr>
            </w:pPr>
          </w:p>
        </w:tc>
        <w:tc>
          <w:tcPr>
            <w:tcW w:w="394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83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-470535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-453390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-641985</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-470535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-641985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9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4"/>
              </w:rPr>
              <w:t>As of</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r>
      <w:tr>
        <w:trPr>
          <w:trHeight w:val="223"/>
        </w:trPr>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9"/>
                <w:szCs w:val="19"/>
                <w:color w:val="auto"/>
              </w:rPr>
            </w:pPr>
          </w:p>
        </w:tc>
      </w:tr>
      <w:tr>
        <w:trPr>
          <w:trHeight w:val="256"/>
        </w:trPr>
        <w:tc>
          <w:tcPr>
            <w:tcW w:w="5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80" w:type="dxa"/>
            <w:vAlign w:val="bottom"/>
            <w:shd w:val="clear" w:color="auto" w:fill="CFF0FC"/>
          </w:tcPr>
          <w:p>
            <w:pPr>
              <w:spacing w:after="0"/>
              <w:rPr>
                <w:sz w:val="22"/>
                <w:szCs w:val="22"/>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Accrued payroll and employee related taxes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1,123</w:t>
            </w:r>
          </w:p>
        </w:tc>
        <w:tc>
          <w:tcPr>
            <w:tcW w:w="80" w:type="dxa"/>
            <w:vAlign w:val="bottom"/>
          </w:tcPr>
          <w:p>
            <w:pPr>
              <w:spacing w:after="0"/>
              <w:rPr>
                <w:sz w:val="21"/>
                <w:szCs w:val="21"/>
                <w:color w:val="auto"/>
              </w:rPr>
            </w:pPr>
          </w:p>
        </w:tc>
      </w:tr>
      <w:tr>
        <w:trPr>
          <w:trHeight w:val="26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Accrued sales tax</w:t>
            </w: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22"/>
                <w:szCs w:val="22"/>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Liability from early exercised stock options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21"/>
                <w:szCs w:val="21"/>
                <w:color w:val="auto"/>
              </w:rPr>
            </w:pPr>
          </w:p>
        </w:tc>
      </w:tr>
      <w:tr>
        <w:trPr>
          <w:trHeight w:val="26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Arial" w:cs="Arial" w:eastAsia="Arial" w:hAnsi="Arial"/>
                <w:sz w:val="18"/>
                <w:szCs w:val="18"/>
                <w:color w:val="auto"/>
              </w:rPr>
              <w:t>Total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24,836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8,110</w:t>
            </w:r>
          </w:p>
        </w:tc>
        <w:tc>
          <w:tcPr>
            <w:tcW w:w="8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-193675</wp:posOffset>
            </wp:positionV>
            <wp:extent cx="13716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Intangible Assets, and Goodwill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31" w:lineRule="exact"/>
        <w:rPr>
          <w:sz w:val="20"/>
          <w:szCs w:val="20"/>
          <w:color w:val="auto"/>
        </w:rPr>
      </w:pPr>
    </w:p>
    <w:p>
      <w:pPr>
        <w:ind w:right="20" w:firstLine="509"/>
        <w:spacing w:after="0" w:line="305" w:lineRule="auto"/>
        <w:rPr>
          <w:sz w:val="20"/>
          <w:szCs w:val="20"/>
          <w:color w:val="auto"/>
        </w:rPr>
      </w:pPr>
      <w:r>
        <w:rPr>
          <w:rFonts w:ascii="Arial" w:cs="Arial" w:eastAsia="Arial" w:hAnsi="Arial"/>
          <w:sz w:val="16"/>
          <w:szCs w:val="16"/>
          <w:color w:val="auto"/>
        </w:rPr>
        <w:t>During the nine months ended September 30, 2021, the Company completed an acquisition of a privately-held company for an aggregate of $9.5 million, consisting of $2.1 million of cash and $7.4 million of equity consideration through the issuance of 0.7 million shares of its common stock. The Company has accounted for this transaction as a business combination. In allocating the aggregate purchase price based on the estimated fair values, the Company recorded $3.8 million of cash, $2.85 million as a developed technology intangible asset, and $0.4 million as a customer related intangible asset, both of which are to be amortized over estimated useful lives of three years. The excess of purchase consideration over the fair value of net assets acquired was recorded as goodwill in the amount of $3.1 million after measurement period and working capital adjustments. As part of the acquisition, the Company also agreed to retention agreements with key employees in which 0.4 million shares of common stock are restricted and vest over a service period of four years. As of September 30, 2021, total unrecognized stock-based compensation expense related to these restricted shares was $3.8 million, which is expected to be recognized over the weighted average remaining vesting period of 3.6 years. The Company believes the goodwill balances associated with these acquisitions represent the synergies expected from expanded market opportunities when integrating the acquired developed technologies with the Company’s offerings as well as acquiring an assembled workforce. Related goodwill is deductible for income tax purposes.</w:t>
      </w:r>
    </w:p>
    <w:p>
      <w:pPr>
        <w:spacing w:after="0" w:line="169"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Aggregate acquisition-related costs associated with this business combination was not material for all periods presented and were included in general and administrative expenses in the condensed consolidated statements of operations. The results of operations of this business combination has been included in the Company’s condensed consolidated financial statements from the acquisition date. This business combination did not have a material impact on the Company’s condensed consolidated financial statements. Therefore, historical results of operations prior to the acquisition dates and pro forma results of operations have not been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Other Than Goodwill</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tcPr>
          <w:p>
            <w:pPr>
              <w:jc w:val="right"/>
              <w:ind w:right="57"/>
              <w:spacing w:after="0"/>
              <w:rPr>
                <w:sz w:val="20"/>
                <w:szCs w:val="20"/>
                <w:color w:val="auto"/>
              </w:rPr>
            </w:pPr>
            <w:r>
              <w:rPr>
                <w:rFonts w:ascii="Arial" w:cs="Arial" w:eastAsia="Arial" w:hAnsi="Arial"/>
                <w:sz w:val="14"/>
                <w:szCs w:val="14"/>
                <w:b w:val="1"/>
                <w:bCs w:val="1"/>
                <w:color w:val="auto"/>
              </w:rPr>
              <w:t>Net Carrying</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6"/>
              </w:rPr>
              <w:t>Gross Carrying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tcPr>
          <w:p>
            <w:pPr>
              <w:jc w:val="right"/>
              <w:ind w:right="57"/>
              <w:spacing w:after="0"/>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5"/>
                <w:szCs w:val="15"/>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gridSpan w:val="2"/>
          </w:tcPr>
          <w:p>
            <w:pPr>
              <w:spacing w:after="0"/>
              <w:rPr>
                <w:sz w:val="16"/>
                <w:szCs w:val="16"/>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gridSpan w:val="2"/>
          </w:tcPr>
          <w:p>
            <w:pPr>
              <w:spacing w:after="0"/>
              <w:rPr>
                <w:sz w:val="16"/>
                <w:szCs w:val="16"/>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02"/>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(1,837 )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(745 )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FF0FC"/>
          </w:tcPr>
          <w:p>
            <w:pPr>
              <w:spacing w:after="0"/>
              <w:rPr>
                <w:sz w:val="22"/>
                <w:szCs w:val="22"/>
                <w:color w:val="auto"/>
              </w:rPr>
            </w:pPr>
          </w:p>
        </w:tc>
      </w:tr>
      <w:tr>
        <w:trPr>
          <w:trHeight w:val="256"/>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related</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3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(1,896 )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(745 )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FF0FC"/>
          </w:tcPr>
          <w:p>
            <w:pPr>
              <w:spacing w:after="0"/>
              <w:rPr>
                <w:sz w:val="23"/>
                <w:szCs w:val="23"/>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2311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2311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Amortization expense of intangible assets was $0.5 million and $1.2 million for the three and nine months ended September 30, 2021, respectively, and $0.2 million and $0.5 million for the three and nine months ended September 30, 2020, respectively.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As of September 30, 2021, future amortization expense is expected to be as follows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49"/>
        </w:trPr>
        <w:tc>
          <w:tcPr>
            <w:tcW w:w="6240" w:type="dxa"/>
            <w:vAlign w:val="bottom"/>
          </w:tcPr>
          <w:p>
            <w:pPr>
              <w:spacing w:after="0"/>
              <w:rPr>
                <w:sz w:val="20"/>
                <w:szCs w:val="20"/>
                <w:color w:val="auto"/>
              </w:rPr>
            </w:pPr>
            <w:r>
              <w:rPr>
                <w:rFonts w:ascii="Arial" w:cs="Arial" w:eastAsia="Arial" w:hAnsi="Arial"/>
                <w:sz w:val="18"/>
                <w:szCs w:val="18"/>
                <w:color w:val="auto"/>
              </w:rPr>
              <w:t>Remainder of 2021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r>
      <w:tr>
        <w:trPr>
          <w:trHeight w:val="26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FF0FC"/>
          </w:tcPr>
          <w:p>
            <w:pPr>
              <w:spacing w:after="0"/>
              <w:rPr>
                <w:sz w:val="22"/>
                <w:szCs w:val="22"/>
                <w:color w:val="auto"/>
              </w:rPr>
            </w:pPr>
          </w:p>
        </w:tc>
      </w:tr>
      <w:tr>
        <w:trPr>
          <w:trHeight w:val="250"/>
        </w:trPr>
        <w:tc>
          <w:tcPr>
            <w:tcW w:w="62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1"/>
                <w:szCs w:val="21"/>
                <w:color w:val="auto"/>
              </w:rPr>
            </w:pPr>
          </w:p>
        </w:tc>
      </w:tr>
      <w:tr>
        <w:trPr>
          <w:trHeight w:val="26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22"/>
                <w:szCs w:val="22"/>
                <w:color w:val="auto"/>
              </w:rPr>
            </w:pP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90"/>
        </w:trPr>
        <w:tc>
          <w:tcPr>
            <w:tcW w:w="6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2021, the Company issued 6,246,111 shares of Series F redeemable convertible preferred stock.</w:t>
      </w:r>
    </w:p>
    <w:p>
      <w:pPr>
        <w:spacing w:after="0" w:line="26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Upon the effectiveness of the Registration Statement in connection with the Direct Listing, all shares of the Company's redeemable convertible preferred stock converted to Class B common stock on a one-to-one basis. The table below summarizes the Company's redeemable convertible preferred stock immediately prior to conversion (in thousands, except share data):</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6"/>
              </w:rPr>
              <w:t>Shares issued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400" w:type="dxa"/>
            <w:vAlign w:val="bottom"/>
          </w:tcPr>
          <w:p>
            <w:pPr>
              <w:spacing w:after="0"/>
              <w:rPr>
                <w:sz w:val="19"/>
                <w:szCs w:val="19"/>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value,</w:t>
            </w:r>
          </w:p>
        </w:tc>
        <w:tc>
          <w:tcPr>
            <w:tcW w:w="22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Liquidation</w:t>
            </w:r>
          </w:p>
        </w:tc>
        <w:tc>
          <w:tcPr>
            <w:tcW w:w="80" w:type="dxa"/>
            <w:vAlign w:val="bottom"/>
          </w:tcPr>
          <w:p>
            <w:pPr>
              <w:spacing w:after="0"/>
              <w:rPr>
                <w:sz w:val="19"/>
                <w:szCs w:val="19"/>
                <w:color w:val="auto"/>
              </w:rPr>
            </w:pPr>
          </w:p>
        </w:tc>
      </w:tr>
      <w:tr>
        <w:trPr>
          <w:trHeight w:val="243"/>
        </w:trPr>
        <w:tc>
          <w:tcPr>
            <w:tcW w:w="4400" w:type="dxa"/>
            <w:vAlign w:val="bottom"/>
          </w:tcPr>
          <w:p>
            <w:pPr>
              <w:spacing w:after="0"/>
              <w:rPr>
                <w:sz w:val="21"/>
                <w:szCs w:val="21"/>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authorized</w:t>
            </w: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net of costs</w:t>
            </w:r>
          </w:p>
        </w:tc>
        <w:tc>
          <w:tcPr>
            <w:tcW w:w="220" w:type="dxa"/>
            <w:vAlign w:val="bottom"/>
          </w:tcPr>
          <w:p>
            <w:pPr>
              <w:spacing w:after="0"/>
              <w:rPr>
                <w:sz w:val="21"/>
                <w:szCs w:val="21"/>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preference</w:t>
            </w:r>
          </w:p>
        </w:tc>
        <w:tc>
          <w:tcPr>
            <w:tcW w:w="80" w:type="dxa"/>
            <w:vAlign w:val="bottom"/>
          </w:tcPr>
          <w:p>
            <w:pPr>
              <w:spacing w:after="0"/>
              <w:rPr>
                <w:sz w:val="21"/>
                <w:szCs w:val="21"/>
                <w:color w:val="auto"/>
              </w:rPr>
            </w:pPr>
          </w:p>
        </w:tc>
      </w:tr>
      <w:tr>
        <w:trPr>
          <w:trHeight w:val="229"/>
        </w:trPr>
        <w:tc>
          <w:tcPr>
            <w:tcW w:w="4400" w:type="dxa"/>
            <w:vAlign w:val="bottom"/>
            <w:shd w:val="clear" w:color="auto" w:fill="CFF0FC"/>
          </w:tcPr>
          <w:p>
            <w:pPr>
              <w:spacing w:after="0" w:line="230" w:lineRule="exact"/>
              <w:rPr>
                <w:sz w:val="20"/>
                <w:szCs w:val="20"/>
                <w:color w:val="auto"/>
              </w:rPr>
            </w:pPr>
            <w:r>
              <w:rPr>
                <w:rFonts w:ascii="Arial" w:cs="Arial" w:eastAsia="Arial" w:hAnsi="Arial"/>
                <w:sz w:val="16"/>
                <w:szCs w:val="16"/>
                <w:color w:val="auto"/>
              </w:rPr>
              <w:t xml:space="preserve">Series A </w:t>
            </w:r>
            <w:r>
              <w:rPr>
                <w:rFonts w:ascii="Arial" w:cs="Arial" w:eastAsia="Arial" w:hAnsi="Arial"/>
                <w:sz w:val="21"/>
                <w:szCs w:val="21"/>
                <w:color w:val="auto"/>
                <w:vertAlign w:val="superscript"/>
              </w:rPr>
              <w:t>(1)</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24,504,272</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24,504,272</w:t>
            </w:r>
          </w:p>
        </w:tc>
        <w:tc>
          <w:tcPr>
            <w:tcW w:w="4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15,166</w:t>
            </w:r>
          </w:p>
        </w:tc>
        <w:tc>
          <w:tcPr>
            <w:tcW w:w="80" w:type="dxa"/>
            <w:vAlign w:val="bottom"/>
            <w:shd w:val="clear" w:color="auto" w:fill="CFF0FC"/>
          </w:tcPr>
          <w:p>
            <w:pPr>
              <w:spacing w:after="0"/>
              <w:rPr>
                <w:sz w:val="19"/>
                <w:szCs w:val="19"/>
                <w:color w:val="auto"/>
              </w:rPr>
            </w:pPr>
          </w:p>
        </w:tc>
      </w:tr>
      <w:tr>
        <w:trPr>
          <w:trHeight w:val="220"/>
        </w:trPr>
        <w:tc>
          <w:tcPr>
            <w:tcW w:w="4400" w:type="dxa"/>
            <w:vAlign w:val="bottom"/>
          </w:tcPr>
          <w:p>
            <w:pPr>
              <w:spacing w:after="0"/>
              <w:rPr>
                <w:sz w:val="20"/>
                <w:szCs w:val="20"/>
                <w:color w:val="auto"/>
              </w:rPr>
            </w:pPr>
            <w:r>
              <w:rPr>
                <w:rFonts w:ascii="Arial" w:cs="Arial" w:eastAsia="Arial" w:hAnsi="Arial"/>
                <w:sz w:val="16"/>
                <w:szCs w:val="16"/>
                <w:color w:val="auto"/>
              </w:rPr>
              <w:t>Series B</w:t>
            </w:r>
          </w:p>
        </w:tc>
        <w:tc>
          <w:tcPr>
            <w:tcW w:w="1220" w:type="dxa"/>
            <w:vAlign w:val="bottom"/>
          </w:tcPr>
          <w:p>
            <w:pPr>
              <w:jc w:val="right"/>
              <w:spacing w:after="0"/>
              <w:rPr>
                <w:sz w:val="20"/>
                <w:szCs w:val="20"/>
                <w:color w:val="auto"/>
              </w:rPr>
            </w:pPr>
            <w:r>
              <w:rPr>
                <w:rFonts w:ascii="Arial" w:cs="Arial" w:eastAsia="Arial" w:hAnsi="Arial"/>
                <w:sz w:val="16"/>
                <w:szCs w:val="16"/>
                <w:color w:val="auto"/>
              </w:rPr>
              <w:t>14,334,638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14,334,638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15,809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15,900</w:t>
            </w:r>
          </w:p>
        </w:tc>
        <w:tc>
          <w:tcPr>
            <w:tcW w:w="80" w:type="dxa"/>
            <w:vAlign w:val="bottom"/>
          </w:tcPr>
          <w:p>
            <w:pPr>
              <w:spacing w:after="0"/>
              <w:rPr>
                <w:sz w:val="19"/>
                <w:szCs w:val="19"/>
                <w:color w:val="auto"/>
              </w:rPr>
            </w:pPr>
          </w:p>
        </w:tc>
      </w:tr>
      <w:tr>
        <w:trPr>
          <w:trHeight w:val="23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Series C</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8,351,370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8,351,370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31,344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31,420</w:t>
            </w:r>
          </w:p>
        </w:tc>
        <w:tc>
          <w:tcPr>
            <w:tcW w:w="80" w:type="dxa"/>
            <w:vAlign w:val="bottom"/>
            <w:shd w:val="clear" w:color="auto" w:fill="CFF0FC"/>
          </w:tcPr>
          <w:p>
            <w:pPr>
              <w:spacing w:after="0"/>
              <w:rPr>
                <w:sz w:val="20"/>
                <w:szCs w:val="20"/>
                <w:color w:val="auto"/>
              </w:rPr>
            </w:pPr>
          </w:p>
        </w:tc>
      </w:tr>
      <w:tr>
        <w:trPr>
          <w:trHeight w:val="220"/>
        </w:trPr>
        <w:tc>
          <w:tcPr>
            <w:tcW w:w="4400" w:type="dxa"/>
            <w:vAlign w:val="bottom"/>
          </w:tcPr>
          <w:p>
            <w:pPr>
              <w:spacing w:after="0"/>
              <w:rPr>
                <w:sz w:val="20"/>
                <w:szCs w:val="20"/>
                <w:color w:val="auto"/>
              </w:rPr>
            </w:pPr>
            <w:r>
              <w:rPr>
                <w:rFonts w:ascii="Arial" w:cs="Arial" w:eastAsia="Arial" w:hAnsi="Arial"/>
                <w:sz w:val="16"/>
                <w:szCs w:val="16"/>
                <w:color w:val="auto"/>
              </w:rPr>
              <w:t>Series D</w:t>
            </w:r>
          </w:p>
        </w:tc>
        <w:tc>
          <w:tcPr>
            <w:tcW w:w="1220" w:type="dxa"/>
            <w:vAlign w:val="bottom"/>
          </w:tcPr>
          <w:p>
            <w:pPr>
              <w:jc w:val="right"/>
              <w:spacing w:after="0"/>
              <w:rPr>
                <w:sz w:val="20"/>
                <w:szCs w:val="20"/>
                <w:color w:val="auto"/>
              </w:rPr>
            </w:pPr>
            <w:r>
              <w:rPr>
                <w:rFonts w:ascii="Arial" w:cs="Arial" w:eastAsia="Arial" w:hAnsi="Arial"/>
                <w:sz w:val="16"/>
                <w:szCs w:val="16"/>
                <w:color w:val="auto"/>
              </w:rPr>
              <w:t>9,313,611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9,313,611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79,800</w:t>
            </w:r>
          </w:p>
        </w:tc>
        <w:tc>
          <w:tcPr>
            <w:tcW w:w="80" w:type="dxa"/>
            <w:vAlign w:val="bottom"/>
          </w:tcPr>
          <w:p>
            <w:pPr>
              <w:spacing w:after="0"/>
              <w:rPr>
                <w:sz w:val="19"/>
                <w:szCs w:val="19"/>
                <w:color w:val="auto"/>
              </w:rPr>
            </w:pPr>
          </w:p>
        </w:tc>
      </w:tr>
      <w:tr>
        <w:trPr>
          <w:trHeight w:val="23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Series E</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5,213,607</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5,213,607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49,789</w:t>
            </w:r>
          </w:p>
        </w:tc>
        <w:tc>
          <w:tcPr>
            <w:tcW w:w="80" w:type="dxa"/>
            <w:vAlign w:val="bottom"/>
            <w:shd w:val="clear" w:color="auto" w:fill="CFF0FC"/>
          </w:tcPr>
          <w:p>
            <w:pPr>
              <w:spacing w:after="0"/>
              <w:rPr>
                <w:sz w:val="20"/>
                <w:szCs w:val="20"/>
                <w:color w:val="auto"/>
              </w:rPr>
            </w:pPr>
          </w:p>
        </w:tc>
      </w:tr>
      <w:tr>
        <w:trPr>
          <w:trHeight w:val="227"/>
        </w:trPr>
        <w:tc>
          <w:tcPr>
            <w:tcW w:w="4400" w:type="dxa"/>
            <w:vAlign w:val="bottom"/>
          </w:tcPr>
          <w:p>
            <w:pPr>
              <w:spacing w:after="0"/>
              <w:rPr>
                <w:sz w:val="20"/>
                <w:szCs w:val="20"/>
                <w:color w:val="auto"/>
              </w:rPr>
            </w:pPr>
            <w:r>
              <w:rPr>
                <w:rFonts w:ascii="Arial" w:cs="Arial" w:eastAsia="Arial" w:hAnsi="Arial"/>
                <w:sz w:val="16"/>
                <w:szCs w:val="16"/>
                <w:color w:val="auto"/>
              </w:rPr>
              <w:t>Series F</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6,246,111</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6,246,111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199,802</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c>
          <w:tcPr>
            <w:tcW w:w="80" w:type="dxa"/>
            <w:vAlign w:val="bottom"/>
          </w:tcPr>
          <w:p>
            <w:pPr>
              <w:spacing w:after="0"/>
              <w:rPr>
                <w:sz w:val="19"/>
                <w:szCs w:val="19"/>
                <w:color w:val="auto"/>
              </w:rPr>
            </w:pPr>
          </w:p>
        </w:tc>
      </w:tr>
      <w:tr>
        <w:trPr>
          <w:trHeight w:val="259"/>
        </w:trPr>
        <w:tc>
          <w:tcPr>
            <w:tcW w:w="44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67,963,609</w:t>
            </w: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67,963,609</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387,613</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392,074</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154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154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1289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1289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45" w:lineRule="exact"/>
        <w:rPr>
          <w:sz w:val="20"/>
          <w:szCs w:val="20"/>
          <w:color w:val="auto"/>
        </w:rPr>
      </w:pPr>
    </w:p>
    <w:p>
      <w:pPr>
        <w:ind w:left="460" w:hanging="332"/>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the conversion of convertible notes with underlying principal and accrued interest of $2.1 million into 8,341,090 shares of Series A redeemable convertible preferred stock.</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there were no shares of redeemable convertible preferred stock issued and outstanding.</w:t>
      </w:r>
    </w:p>
    <w:p>
      <w:pPr>
        <w:spacing w:after="0" w:line="343"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and Equity Incentive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1" w:lineRule="exact"/>
        <w:rPr>
          <w:sz w:val="20"/>
          <w:szCs w:val="20"/>
          <w:color w:val="auto"/>
        </w:rPr>
      </w:pPr>
    </w:p>
    <w:p>
      <w:pPr>
        <w:ind w:right="100" w:firstLine="509"/>
        <w:spacing w:after="0" w:line="303" w:lineRule="auto"/>
        <w:rPr>
          <w:sz w:val="20"/>
          <w:szCs w:val="20"/>
          <w:color w:val="auto"/>
        </w:rPr>
      </w:pPr>
      <w:r>
        <w:rPr>
          <w:rFonts w:ascii="Arial" w:cs="Arial" w:eastAsia="Arial" w:hAnsi="Arial"/>
          <w:sz w:val="17"/>
          <w:szCs w:val="17"/>
          <w:color w:val="auto"/>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board of directors.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3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board of directors.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6" w:name="page17"/>
    <w:bookmarkEnd w:id="16"/>
    <w:p>
      <w:pPr>
        <w:ind w:right="20" w:firstLine="509"/>
        <w:spacing w:after="0" w:line="306" w:lineRule="auto"/>
        <w:rPr>
          <w:sz w:val="20"/>
          <w:szCs w:val="20"/>
          <w:color w:val="auto"/>
        </w:rPr>
      </w:pPr>
      <w:r>
        <w:rPr>
          <w:rFonts w:ascii="Arial" w:cs="Arial" w:eastAsia="Arial" w:hAnsi="Arial"/>
          <w:sz w:val="16"/>
          <w:szCs w:val="16"/>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shares of its common stock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r>
      <w:tr>
        <w:trPr>
          <w:trHeight w:val="223"/>
        </w:trPr>
        <w:tc>
          <w:tcPr>
            <w:tcW w:w="474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9"/>
                <w:szCs w:val="19"/>
                <w:color w:val="auto"/>
              </w:rPr>
            </w:pPr>
          </w:p>
        </w:tc>
      </w:tr>
      <w:tr>
        <w:trPr>
          <w:trHeight w:val="25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61,717,498</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Warrants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Non-plan stock options</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36,062</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Amended and Restated 2014 Stock</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Option and Grant Plan:</w:t>
            </w:r>
          </w:p>
        </w:tc>
        <w:tc>
          <w:tcPr>
            <w:tcW w:w="19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9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ind w:left="180"/>
              <w:spacing w:after="0"/>
              <w:rPr>
                <w:sz w:val="20"/>
                <w:szCs w:val="20"/>
                <w:color w:val="auto"/>
              </w:rPr>
            </w:pPr>
            <w:r>
              <w:rPr>
                <w:rFonts w:ascii="Arial" w:cs="Arial" w:eastAsia="Arial" w:hAnsi="Arial"/>
                <w:sz w:val="18"/>
                <w:szCs w:val="18"/>
                <w:color w:val="auto"/>
              </w:rPr>
              <w:t>Equity plan stock options outstanding</w:t>
            </w:r>
          </w:p>
        </w:tc>
        <w:tc>
          <w:tcPr>
            <w:tcW w:w="1980" w:type="dxa"/>
            <w:vAlign w:val="bottom"/>
          </w:tcPr>
          <w:p>
            <w:pPr>
              <w:jc w:val="right"/>
              <w:spacing w:after="0"/>
              <w:rPr>
                <w:sz w:val="20"/>
                <w:szCs w:val="20"/>
                <w:color w:val="auto"/>
              </w:rPr>
            </w:pPr>
            <w:r>
              <w:rPr>
                <w:rFonts w:ascii="Arial" w:cs="Arial" w:eastAsia="Arial" w:hAnsi="Arial"/>
                <w:sz w:val="18"/>
                <w:szCs w:val="18"/>
                <w:color w:val="auto"/>
              </w:rPr>
              <w:t>23,613,293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28,445,269</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RSUs outstanding</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1,231,873</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2,571,430</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ind w:left="180"/>
              <w:spacing w:after="0"/>
              <w:rPr>
                <w:sz w:val="20"/>
                <w:szCs w:val="20"/>
                <w:color w:val="auto"/>
              </w:rPr>
            </w:pPr>
            <w:r>
              <w:rPr>
                <w:rFonts w:ascii="Arial" w:cs="Arial" w:eastAsia="Arial" w:hAnsi="Arial"/>
                <w:sz w:val="18"/>
                <w:szCs w:val="18"/>
                <w:color w:val="auto"/>
              </w:rPr>
              <w:t>Shares available for future issuance</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1,151,100</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2021 Incentive Award Plan:</w:t>
            </w:r>
          </w:p>
        </w:tc>
        <w:tc>
          <w:tcPr>
            <w:tcW w:w="19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9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ind w:left="180"/>
              <w:spacing w:after="0"/>
              <w:rPr>
                <w:sz w:val="20"/>
                <w:szCs w:val="20"/>
                <w:color w:val="auto"/>
              </w:rPr>
            </w:pPr>
            <w:r>
              <w:rPr>
                <w:rFonts w:ascii="Arial" w:cs="Arial" w:eastAsia="Arial" w:hAnsi="Arial"/>
                <w:sz w:val="18"/>
                <w:szCs w:val="18"/>
                <w:color w:val="auto"/>
              </w:rPr>
              <w:t>Shares available for future issuance</w:t>
            </w:r>
          </w:p>
        </w:tc>
        <w:tc>
          <w:tcPr>
            <w:tcW w:w="1980" w:type="dxa"/>
            <w:vAlign w:val="bottom"/>
          </w:tcPr>
          <w:p>
            <w:pPr>
              <w:jc w:val="right"/>
              <w:spacing w:after="0"/>
              <w:rPr>
                <w:sz w:val="20"/>
                <w:szCs w:val="20"/>
                <w:color w:val="auto"/>
              </w:rPr>
            </w:pPr>
            <w:r>
              <w:rPr>
                <w:rFonts w:ascii="Arial" w:cs="Arial" w:eastAsia="Arial" w:hAnsi="Arial"/>
                <w:sz w:val="18"/>
                <w:szCs w:val="18"/>
                <w:color w:val="auto"/>
              </w:rPr>
              <w:t>19,290,929</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2021 Employee Stock Purchase Plan:</w:t>
            </w:r>
          </w:p>
        </w:tc>
        <w:tc>
          <w:tcPr>
            <w:tcW w:w="19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9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6"/>
        </w:trPr>
        <w:tc>
          <w:tcPr>
            <w:tcW w:w="4740" w:type="dxa"/>
            <w:vAlign w:val="bottom"/>
          </w:tcPr>
          <w:p>
            <w:pPr>
              <w:ind w:left="180"/>
              <w:spacing w:after="0"/>
              <w:rPr>
                <w:sz w:val="20"/>
                <w:szCs w:val="20"/>
                <w:color w:val="auto"/>
              </w:rPr>
            </w:pPr>
            <w:r>
              <w:rPr>
                <w:rFonts w:ascii="Arial" w:cs="Arial" w:eastAsia="Arial" w:hAnsi="Arial"/>
                <w:sz w:val="18"/>
                <w:szCs w:val="18"/>
                <w:color w:val="auto"/>
              </w:rPr>
              <w:t>Shares available for future issuance</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2,663,371</w:t>
            </w:r>
          </w:p>
        </w:tc>
        <w:tc>
          <w:tcPr>
            <w:tcW w:w="200" w:type="dxa"/>
            <w:vAlign w:val="bottom"/>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90"/>
        </w:trPr>
        <w:tc>
          <w:tcPr>
            <w:tcW w:w="47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reserved shares</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46,799,466</w:t>
            </w:r>
          </w:p>
        </w:tc>
        <w:tc>
          <w:tcPr>
            <w:tcW w:w="20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93,928,359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 total of 18,643,596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31" w:lineRule="exact"/>
        <w:rPr>
          <w:sz w:val="20"/>
          <w:szCs w:val="20"/>
          <w:color w:val="auto"/>
        </w:rPr>
      </w:pPr>
    </w:p>
    <w:p>
      <w:pPr>
        <w:ind w:right="80" w:firstLine="509"/>
        <w:spacing w:after="0" w:line="299" w:lineRule="auto"/>
        <w:rPr>
          <w:sz w:val="20"/>
          <w:szCs w:val="20"/>
          <w:color w:val="auto"/>
        </w:rPr>
      </w:pPr>
      <w:r>
        <w:rPr>
          <w:rFonts w:ascii="Arial" w:cs="Arial" w:eastAsia="Arial" w:hAnsi="Arial"/>
          <w:sz w:val="16"/>
          <w:szCs w:val="16"/>
          <w:color w:val="auto"/>
        </w:rPr>
        <w:t>In August 2021, the Company’s board of directors adopted, and its stockholders approved, the 2021 Employee Stock Purchase Plan (the "2021 ESPP"), which became effective in connection with the Direct Listing. The 2021 ESPP authorizes the issuance of shares of common stock pursuant to purchase rights granted to employees. A total of 2,663,371 shares of the Company’s Class A common stock have been reserved for future issuance under the 2021 ESPP, in addition to any annual automatic evergreen increases in the number of shares of Class A common stock reserved for future issuance under the 2021 ESPP. The 2021 ESPP offers employees the option to purchase shares through a series of consecutive 12 month offering periods on each May 15th and November 15th (with two six-month purchase periods during each offering period). The initial offering period under the 2021 ESPP will be longer than 12 months, commencing on September 28, 2021 and ending on November 14, 2022, with the first purchase period commencing on September 28, 2021 and ending on May 14, 2022. The price at which Class A common stock is purchased under the 2021 ESPP is equal to the lower of (i) 85% of the closing trading price per share of the Company's Class A common stock on the first trading date of an offering period in which a participant is enrolled or</w:t>
      </w:r>
    </w:p>
    <w:p>
      <w:pPr>
        <w:spacing w:after="0" w:line="3" w:lineRule="exact"/>
        <w:rPr>
          <w:sz w:val="20"/>
          <w:szCs w:val="20"/>
          <w:color w:val="auto"/>
        </w:rPr>
      </w:pPr>
    </w:p>
    <w:p>
      <w:pPr>
        <w:ind w:right="300" w:firstLine="8"/>
        <w:spacing w:after="0" w:line="292"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85% of the closing trading price per share on the purchase date, which will occur on the last trading day of each purchase period, or such other price designated by the administrator.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Stock options granted under the 2014 Plan and the 2021 Plan generally vest based on continued service over four years. As of September 30, 2021 and December 31, 2020, no awards were issued pursuant to the 2021 Plan. Options issued outside of the 2014 Plan were immaterial and therefore not discussed further below.</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stock option activity under the 2014 Plan for the nine months ended September 30, 2021 is as follows.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3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22"/>
                <w:szCs w:val="22"/>
                <w:color w:val="auto"/>
              </w:rPr>
            </w:pPr>
          </w:p>
        </w:tc>
      </w:tr>
      <w:tr>
        <w:trPr>
          <w:trHeight w:val="257"/>
        </w:trPr>
        <w:tc>
          <w:tcPr>
            <w:tcW w:w="3600" w:type="dxa"/>
            <w:vAlign w:val="bottom"/>
          </w:tcPr>
          <w:p>
            <w:pPr>
              <w:spacing w:after="0"/>
              <w:rPr>
                <w:sz w:val="22"/>
                <w:szCs w:val="22"/>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intrinsic</w:t>
            </w:r>
          </w:p>
        </w:tc>
        <w:tc>
          <w:tcPr>
            <w:tcW w:w="80" w:type="dxa"/>
            <w:vAlign w:val="bottom"/>
          </w:tcPr>
          <w:p>
            <w:pPr>
              <w:spacing w:after="0"/>
              <w:rPr>
                <w:sz w:val="22"/>
                <w:szCs w:val="22"/>
                <w:color w:val="auto"/>
              </w:rPr>
            </w:pPr>
          </w:p>
        </w:tc>
      </w:tr>
      <w:tr>
        <w:trPr>
          <w:trHeight w:val="257"/>
        </w:trPr>
        <w:tc>
          <w:tcPr>
            <w:tcW w:w="3600" w:type="dxa"/>
            <w:vAlign w:val="bottom"/>
          </w:tcPr>
          <w:p>
            <w:pPr>
              <w:spacing w:after="0"/>
              <w:rPr>
                <w:sz w:val="22"/>
                <w:szCs w:val="22"/>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stock</w:t>
            </w:r>
          </w:p>
        </w:tc>
        <w:tc>
          <w:tcPr>
            <w:tcW w:w="1120" w:type="dxa"/>
            <w:vAlign w:val="bottom"/>
          </w:tcPr>
          <w:p>
            <w:pPr>
              <w:jc w:val="center"/>
              <w:ind w:left="250"/>
              <w:spacing w:after="0"/>
              <w:rPr>
                <w:sz w:val="20"/>
                <w:szCs w:val="20"/>
                <w:color w:val="auto"/>
              </w:rPr>
            </w:pPr>
            <w:r>
              <w:rPr>
                <w:rFonts w:ascii="Arial" w:cs="Arial" w:eastAsia="Arial" w:hAnsi="Arial"/>
                <w:sz w:val="18"/>
                <w:szCs w:val="18"/>
                <w:b w:val="1"/>
                <w:bCs w:val="1"/>
                <w:color w:val="auto"/>
                <w:w w:val="85"/>
              </w:rPr>
              <w:t>exercise</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contractual</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value</w:t>
            </w:r>
          </w:p>
        </w:tc>
        <w:tc>
          <w:tcPr>
            <w:tcW w:w="80" w:type="dxa"/>
            <w:vAlign w:val="bottom"/>
          </w:tcPr>
          <w:p>
            <w:pPr>
              <w:spacing w:after="0"/>
              <w:rPr>
                <w:sz w:val="22"/>
                <w:szCs w:val="22"/>
                <w:color w:val="auto"/>
              </w:rPr>
            </w:pPr>
          </w:p>
        </w:tc>
      </w:tr>
      <w:tr>
        <w:trPr>
          <w:trHeight w:val="263"/>
        </w:trPr>
        <w:tc>
          <w:tcPr>
            <w:tcW w:w="36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8"/>
              </w:rPr>
              <w:t>price</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2"/>
                <w:szCs w:val="22"/>
                <w:color w:val="auto"/>
              </w:rPr>
            </w:pPr>
          </w:p>
        </w:tc>
      </w:tr>
      <w:tr>
        <w:trPr>
          <w:trHeight w:val="256"/>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31, 2020</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28,445,269</w:t>
            </w: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2.56</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78,450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4,661,590</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8.61</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(8,049,249 )</w:t>
            </w:r>
          </w:p>
        </w:tc>
        <w:tc>
          <w:tcPr>
            <w:tcW w:w="112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2.05</w:t>
            </w:r>
          </w:p>
        </w:tc>
        <w:tc>
          <w:tcPr>
            <w:tcW w:w="18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8"/>
                <w:szCs w:val="18"/>
                <w:color w:val="auto"/>
              </w:rPr>
              <w:t>Cancelled/forfeited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(1,444,317 )</w:t>
            </w:r>
          </w:p>
        </w:tc>
        <w:tc>
          <w:tcPr>
            <w:tcW w:w="1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3.14</w:t>
            </w: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0"/>
        </w:trPr>
        <w:tc>
          <w:tcPr>
            <w:tcW w:w="3600" w:type="dxa"/>
            <w:vAlign w:val="bottom"/>
            <w:tcBorders>
              <w:bottom w:val="single" w:sz="8" w:color="CFF0FC"/>
            </w:tcBorders>
            <w:shd w:val="clear" w:color="auto" w:fill="CFF0FC"/>
          </w:tcPr>
          <w:p>
            <w:pPr>
              <w:spacing w:after="0" w:line="250" w:lineRule="exact"/>
              <w:rPr>
                <w:sz w:val="20"/>
                <w:szCs w:val="20"/>
                <w:color w:val="auto"/>
              </w:rPr>
            </w:pPr>
            <w:r>
              <w:rPr>
                <w:rFonts w:ascii="Arial" w:cs="Arial" w:eastAsia="Arial" w:hAnsi="Arial"/>
                <w:sz w:val="18"/>
                <w:szCs w:val="18"/>
                <w:color w:val="auto"/>
              </w:rPr>
              <w:t>Balances as of September 30, 2021</w:t>
            </w:r>
            <w:r>
              <w:rPr>
                <w:rFonts w:ascii="Arial" w:cs="Arial" w:eastAsia="Arial" w:hAnsi="Arial"/>
                <w:sz w:val="24"/>
                <w:szCs w:val="24"/>
                <w:color w:val="auto"/>
                <w:vertAlign w:val="superscript"/>
              </w:rPr>
              <w:t>(2)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23,613,293</w:t>
            </w: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3.85</w:t>
            </w:r>
          </w:p>
        </w:tc>
        <w:tc>
          <w:tcPr>
            <w:tcW w:w="16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1,192,235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3600" w:type="dxa"/>
            <w:vAlign w:val="bottom"/>
          </w:tcPr>
          <w:p>
            <w:pPr>
              <w:spacing w:after="0" w:line="237" w:lineRule="exact"/>
              <w:rPr>
                <w:sz w:val="20"/>
                <w:szCs w:val="20"/>
                <w:color w:val="auto"/>
              </w:rPr>
            </w:pPr>
            <w:r>
              <w:rPr>
                <w:rFonts w:ascii="Arial" w:cs="Arial" w:eastAsia="Arial" w:hAnsi="Arial"/>
                <w:sz w:val="18"/>
                <w:szCs w:val="18"/>
                <w:color w:val="auto"/>
              </w:rPr>
              <w:t>Exercisable as of September 30, 2021</w:t>
            </w:r>
            <w:r>
              <w:rPr>
                <w:rFonts w:ascii="Arial" w:cs="Arial" w:eastAsia="Arial" w:hAnsi="Arial"/>
                <w:sz w:val="24"/>
                <w:szCs w:val="24"/>
                <w:color w:val="auto"/>
                <w:vertAlign w:val="superscript"/>
              </w:rPr>
              <w:t>(3)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14,640,193</w:t>
            </w:r>
          </w:p>
        </w:tc>
        <w:tc>
          <w:tcPr>
            <w:tcW w:w="220" w:type="dxa"/>
            <w:vAlign w:val="bottom"/>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2.60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757,484</w:t>
            </w:r>
          </w:p>
        </w:tc>
        <w:tc>
          <w:tcPr>
            <w:tcW w:w="8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-879475</wp:posOffset>
            </wp:positionV>
            <wp:extent cx="1371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-213995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-196215</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8572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right="140" w:hanging="332"/>
        <w:spacing w:after="0" w:line="266"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no forfeitures are estimated due to the Company's adoption of ASU No. 2016-09, all options are vested or expected to vest. As of September 30, 2021, no options were outstanding that were subject to a future performance condition</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Exercisable shares include vested options as well as unvested shares that can be early exercised</w:t>
      </w:r>
    </w:p>
    <w:p>
      <w:pPr>
        <w:spacing w:after="0" w:line="12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During December 2020, the Company granted 1,756,545 stock options to two executives which contain both a service condition and a performance condition. Based on the terms of the options, the vesting commencement date is defined as the date in which a Form S-1 filed with the SEC becomes effective (a “QPO Event”). In conjunction with the Direct Listing, a QPO Event occurred and therefore the options began to vest 1/24th each month subsequent to September 21, 2021. During the three and nine months ended September 30, 2021, the Company recognized $1.3 million in expense related to these awards using the accelerated attribution method. The unrecognized stock-based compensation expense was $3.4 million and $4.7 million as of September 30, 2021 and December 31, 2020, respectively.</w:t>
      </w:r>
    </w:p>
    <w:p>
      <w:pPr>
        <w:spacing w:after="0" w:line="83"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The aggregate intrinsic values of options are calculated as the difference between the exercise price of the options and the market price for shares of the Company’s common stock as of each period-end. The total intrinsic value of options exercised for the nine months ended September 30, 2021 and 2020 was $420.9 million and $4.5 million, respectively.</w:t>
      </w:r>
    </w:p>
    <w:p>
      <w:pPr>
        <w:spacing w:after="0" w:line="7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Stock options granted during the nine months ended September 30, 2021 and 2020 had a weighted average grant date fair value of $5.67 and $1.75 per share, respectively. With the exception of the performance options detailed above, the fair value is being expensed over the vesting period of the options on a straight-line basis as the services are being provided. The total fair value of shares vested during the nine months ended September 30, 2021 and 2020 was $220.0 million and $13.6 million, respectively. No tax benefits were realized from options during the periods.</w:t>
      </w:r>
    </w:p>
    <w:p>
      <w:pPr>
        <w:spacing w:after="0" w:line="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As of September 30, 2021, total unrecognized stock-based compensation expense related to 2014 Plan options was $45.5 million. This unrecognized expense as of September 30, 2021 is expected to be recognized over the weighted average remaining vesting period of 3.07 years. As of September 30, 2021, the Company had 654,728 shares of non-employee stock options outstanding under the 2014 Plan.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260" w:firstLine="509"/>
        <w:spacing w:after="0" w:line="275" w:lineRule="auto"/>
        <w:rPr>
          <w:sz w:val="20"/>
          <w:szCs w:val="20"/>
          <w:color w:val="auto"/>
        </w:rPr>
      </w:pPr>
      <w:r>
        <w:rPr>
          <w:rFonts w:ascii="Arial" w:cs="Arial" w:eastAsia="Arial" w:hAnsi="Arial"/>
          <w:sz w:val="18"/>
          <w:szCs w:val="18"/>
          <w:color w:val="auto"/>
        </w:rPr>
        <w:t>Based on the nature of the underlying option, the fair value of each option granted to employees under the 2014 Plan is estimated on the date of grant using the Monte Carlo simulation model that incorporates various assumptions, including the fair value of common stock, expected stock price volatility, contractual term, risk-free interest rates, and dividend yield. The risk-free interest rate is based on the U.S. Treasury yield curve in effect at the time of grant. The Company has never declared or paid any cash dividends.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range of assumptions and data inputs were used in the Monte Carlo simulation model to estimate the fair value of the options: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28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Three Months Ended</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8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4"/>
          </w:tcPr>
          <w:p>
            <w:pPr>
              <w:jc w:val="right"/>
              <w:ind w:right="128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4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2"/>
                <w:szCs w:val="22"/>
                <w:color w:val="auto"/>
              </w:rPr>
            </w:pPr>
          </w:p>
        </w:tc>
      </w:tr>
      <w:tr>
        <w:trPr>
          <w:trHeight w:val="25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30.52</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$7.48-30.52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$3.16-4.19</w:t>
            </w:r>
          </w:p>
        </w:tc>
        <w:tc>
          <w:tcPr>
            <w:tcW w:w="240" w:type="dxa"/>
            <w:vAlign w:val="bottom"/>
            <w:shd w:val="clear" w:color="auto" w:fill="CFF0FC"/>
          </w:tcPr>
          <w:p>
            <w:pPr>
              <w:spacing w:after="0"/>
              <w:rPr>
                <w:sz w:val="22"/>
                <w:szCs w:val="22"/>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spacing w:after="0"/>
              <w:rPr>
                <w:sz w:val="21"/>
                <w:szCs w:val="21"/>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1.30 %</w:t>
            </w:r>
          </w:p>
        </w:tc>
        <w:tc>
          <w:tcPr>
            <w:tcW w:w="10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0.70 %</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 - 1.70%</w:t>
            </w:r>
          </w:p>
        </w:tc>
        <w:tc>
          <w:tcPr>
            <w:tcW w:w="1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0.70 %</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60.0 %</w:t>
            </w:r>
          </w:p>
        </w:tc>
        <w:tc>
          <w:tcPr>
            <w:tcW w:w="10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70.0 %</w:t>
            </w:r>
          </w:p>
        </w:tc>
        <w:tc>
          <w:tcPr>
            <w:tcW w:w="1560" w:type="dxa"/>
            <w:vAlign w:val="bottom"/>
          </w:tcPr>
          <w:p>
            <w:pPr>
              <w:jc w:val="right"/>
              <w:spacing w:after="0"/>
              <w:rPr>
                <w:sz w:val="20"/>
                <w:szCs w:val="20"/>
                <w:color w:val="auto"/>
              </w:rPr>
            </w:pPr>
            <w:r>
              <w:rPr>
                <w:rFonts w:ascii="Arial" w:cs="Arial" w:eastAsia="Arial" w:hAnsi="Arial"/>
                <w:sz w:val="18"/>
                <w:szCs w:val="18"/>
                <w:color w:val="auto"/>
              </w:rPr>
              <w:t>60.0% - 70.0%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70.0% - 75.0%</w:t>
            </w:r>
          </w:p>
        </w:tc>
        <w:tc>
          <w:tcPr>
            <w:tcW w:w="240" w:type="dxa"/>
            <w:vAlign w:val="bottom"/>
          </w:tcPr>
          <w:p>
            <w:pPr>
              <w:spacing w:after="0"/>
              <w:rPr>
                <w:sz w:val="21"/>
                <w:szCs w:val="21"/>
                <w:color w:val="auto"/>
              </w:rPr>
            </w:pPr>
          </w:p>
        </w:tc>
      </w:tr>
      <w:tr>
        <w:trPr>
          <w:trHeight w:val="26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Contractual term (years)</w:t>
            </w:r>
          </w:p>
        </w:tc>
        <w:tc>
          <w:tcPr>
            <w:tcW w:w="96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22"/>
                <w:szCs w:val="2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publicly-traded, which includes a direct listing. As a result of the Direct Listing, the performance condition for all RSUs granted pursuant to the 2014 Plan has been met. During the three and nine months ended September 30, 2021, the Company recorded $7.2 million in expense related to RSUs using the accelerated attribution method.</w:t>
      </w:r>
    </w:p>
    <w:p>
      <w:pPr>
        <w:spacing w:after="0" w:line="83" w:lineRule="exact"/>
        <w:rPr>
          <w:sz w:val="20"/>
          <w:szCs w:val="20"/>
          <w:color w:val="auto"/>
        </w:rPr>
      </w:pPr>
    </w:p>
    <w:p>
      <w:pPr>
        <w:ind w:right="60" w:firstLine="509"/>
        <w:spacing w:after="0" w:line="324" w:lineRule="auto"/>
        <w:rPr>
          <w:sz w:val="20"/>
          <w:szCs w:val="20"/>
          <w:color w:val="auto"/>
        </w:rPr>
      </w:pPr>
      <w:r>
        <w:rPr>
          <w:rFonts w:ascii="Arial" w:cs="Arial" w:eastAsia="Arial" w:hAnsi="Arial"/>
          <w:sz w:val="17"/>
          <w:szCs w:val="17"/>
          <w:color w:val="auto"/>
        </w:rPr>
        <w:t>No RSUs were granted during the three and nine months ended September 30, 2020 and no stock-based compensation expense had been recognized during these periods as the Company evaluated the performance condition being met as not probable as of September 30, 2020.</w:t>
      </w:r>
    </w:p>
    <w:p>
      <w:pPr>
        <w:spacing w:after="0" w:line="39"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As of September 30, 2021, total unrecognized stock-based compensation expense related to 2014 Plan RSUs was $31.9 million. This unrecognized expense as of September 30, 2021 is expected to be recognized over the weighted average remaining vesting period of 2.09 years. As of September 30, 2021, the Company had 242,188 shares of non-employee RSUs outstanding under the 2014 Plan.</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 activity during the nine months ended September 30, 2021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Weighted-average</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Restricted stock</w:t>
            </w:r>
          </w:p>
        </w:tc>
        <w:tc>
          <w:tcPr>
            <w:tcW w:w="180" w:type="dxa"/>
            <w:vAlign w:val="bottom"/>
          </w:tcPr>
          <w:p>
            <w:pPr>
              <w:spacing w:after="0"/>
              <w:rPr>
                <w:sz w:val="19"/>
                <w:szCs w:val="19"/>
                <w:color w:val="auto"/>
              </w:rPr>
            </w:pPr>
          </w:p>
        </w:tc>
        <w:tc>
          <w:tcPr>
            <w:tcW w:w="1820" w:type="dxa"/>
            <w:vAlign w:val="bottom"/>
          </w:tcPr>
          <w:p>
            <w:pPr>
              <w:ind w:left="200"/>
              <w:spacing w:after="0"/>
              <w:rPr>
                <w:sz w:val="20"/>
                <w:szCs w:val="20"/>
                <w:color w:val="auto"/>
              </w:rPr>
            </w:pPr>
            <w:r>
              <w:rPr>
                <w:rFonts w:ascii="Arial" w:cs="Arial" w:eastAsia="Arial" w:hAnsi="Arial"/>
                <w:sz w:val="18"/>
                <w:szCs w:val="18"/>
                <w:b w:val="1"/>
                <w:bCs w:val="1"/>
                <w:color w:val="auto"/>
              </w:rPr>
              <w:t>grant date fair</w:t>
            </w:r>
          </w:p>
        </w:tc>
        <w:tc>
          <w:tcPr>
            <w:tcW w:w="1120" w:type="dxa"/>
            <w:vAlign w:val="bottom"/>
          </w:tcPr>
          <w:p>
            <w:pPr>
              <w:spacing w:after="0"/>
              <w:rPr>
                <w:sz w:val="19"/>
                <w:szCs w:val="19"/>
                <w:color w:val="auto"/>
              </w:rPr>
            </w:pPr>
          </w:p>
        </w:tc>
      </w:tr>
      <w:tr>
        <w:trPr>
          <w:trHeight w:val="241"/>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units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value per share</w:t>
            </w:r>
          </w:p>
        </w:tc>
        <w:tc>
          <w:tcPr>
            <w:tcW w:w="1120" w:type="dxa"/>
            <w:vAlign w:val="bottom"/>
          </w:tcPr>
          <w:p>
            <w:pPr>
              <w:spacing w:after="0"/>
              <w:rPr>
                <w:sz w:val="20"/>
                <w:szCs w:val="20"/>
                <w:color w:val="auto"/>
              </w:rPr>
            </w:pPr>
          </w:p>
        </w:tc>
      </w:tr>
      <w:tr>
        <w:trPr>
          <w:trHeight w:val="257"/>
        </w:trPr>
        <w:tc>
          <w:tcPr>
            <w:tcW w:w="1140" w:type="dxa"/>
            <w:vAlign w:val="bottom"/>
          </w:tcPr>
          <w:p>
            <w:pPr>
              <w:spacing w:after="0"/>
              <w:rPr>
                <w:sz w:val="22"/>
                <w:szCs w:val="22"/>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320" w:type="dxa"/>
            <w:vAlign w:val="bottom"/>
            <w:tcBorders>
              <w:bottom w:val="single" w:sz="8" w:color="CFF0FC"/>
            </w:tcBorders>
            <w:shd w:val="clear" w:color="auto" w:fill="CFF0FC"/>
          </w:tcPr>
          <w:p>
            <w:pPr>
              <w:spacing w:after="0"/>
              <w:rPr>
                <w:sz w:val="22"/>
                <w:szCs w:val="22"/>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2,571,430</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Granted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1,259,238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28.47</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3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(2,579,526 )</w:t>
            </w:r>
          </w:p>
        </w:tc>
        <w:tc>
          <w:tcPr>
            <w:tcW w:w="180" w:type="dxa"/>
            <w:vAlign w:val="bottom"/>
            <w:shd w:val="clear" w:color="auto" w:fill="CFF0FC"/>
          </w:tcPr>
          <w:p>
            <w:pPr>
              <w:spacing w:after="0"/>
              <w:rPr>
                <w:sz w:val="22"/>
                <w:szCs w:val="22"/>
                <w:color w:val="auto"/>
              </w:rPr>
            </w:pPr>
          </w:p>
        </w:tc>
        <w:tc>
          <w:tcPr>
            <w:tcW w:w="1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12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Cancelled/forfeited</w:t>
            </w:r>
          </w:p>
        </w:tc>
        <w:tc>
          <w:tcPr>
            <w:tcW w:w="1320" w:type="dxa"/>
            <w:vAlign w:val="bottom"/>
          </w:tcPr>
          <w:p>
            <w:pPr>
              <w:spacing w:after="0"/>
              <w:rPr>
                <w:sz w:val="22"/>
                <w:szCs w:val="22"/>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(19,269 )</w:t>
            </w:r>
          </w:p>
        </w:tc>
        <w:tc>
          <w:tcPr>
            <w:tcW w:w="1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21.59</w:t>
            </w:r>
          </w:p>
        </w:tc>
        <w:tc>
          <w:tcPr>
            <w:tcW w:w="1120" w:type="dxa"/>
            <w:vAlign w:val="bottom"/>
          </w:tcPr>
          <w:p>
            <w:pPr>
              <w:spacing w:after="0"/>
              <w:rPr>
                <w:sz w:val="22"/>
                <w:szCs w:val="22"/>
                <w:color w:val="auto"/>
              </w:rPr>
            </w:pPr>
          </w:p>
        </w:tc>
      </w:tr>
      <w:tr>
        <w:trPr>
          <w:trHeight w:val="290"/>
        </w:trPr>
        <w:tc>
          <w:tcPr>
            <w:tcW w:w="114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1320" w:type="dxa"/>
            <w:vAlign w:val="bottom"/>
            <w:tcBorders>
              <w:bottom w:val="single" w:sz="8" w:color="CFF0FC"/>
            </w:tcBorders>
            <w:shd w:val="clear" w:color="auto" w:fill="CFF0FC"/>
          </w:tcPr>
          <w:p>
            <w:pPr>
              <w:spacing w:after="0"/>
              <w:rPr>
                <w:sz w:val="24"/>
                <w:szCs w:val="24"/>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1,231,873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28.62</w:t>
            </w:r>
          </w:p>
        </w:tc>
        <w:tc>
          <w:tcPr>
            <w:tcW w:w="1120" w:type="dxa"/>
            <w:vAlign w:val="bottom"/>
          </w:tcPr>
          <w:p>
            <w:pPr>
              <w:spacing w:after="0"/>
              <w:rPr>
                <w:sz w:val="24"/>
                <w:szCs w:val="24"/>
                <w:color w:val="auto"/>
              </w:rPr>
            </w:pPr>
          </w:p>
        </w:tc>
      </w:tr>
      <w:tr>
        <w:trPr>
          <w:trHeight w:val="818"/>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-1308100</wp:posOffset>
            </wp:positionV>
            <wp:extent cx="16256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-642620</wp:posOffset>
            </wp:positionV>
            <wp:extent cx="162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-624840</wp:posOffset>
            </wp:positionV>
            <wp:extent cx="1625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color w:val="auto"/>
        </w:rPr>
        <w:t>Stock-based compensation expense, net of actual forfeitures is reflected in the condensed consolidated statement of operations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4"/>
              </w:rPr>
              <w:t>September 30,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4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2"/>
                <w:szCs w:val="22"/>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1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7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22"/>
                <w:szCs w:val="22"/>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7,390</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9,454</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4,498</w:t>
            </w:r>
          </w:p>
        </w:tc>
        <w:tc>
          <w:tcPr>
            <w:tcW w:w="80" w:type="dxa"/>
            <w:vAlign w:val="bottom"/>
          </w:tcPr>
          <w:p>
            <w:pPr>
              <w:spacing w:after="0"/>
              <w:rPr>
                <w:sz w:val="21"/>
                <w:szCs w:val="21"/>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2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80" w:type="dxa"/>
            <w:vAlign w:val="bottom"/>
            <w:shd w:val="clear" w:color="auto" w:fill="CFF0FC"/>
          </w:tcPr>
          <w:p>
            <w:pPr>
              <w:spacing w:after="0"/>
              <w:rPr>
                <w:sz w:val="22"/>
                <w:szCs w:val="22"/>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2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22"/>
                <w:szCs w:val="22"/>
                <w:color w:val="auto"/>
              </w:rPr>
            </w:pPr>
          </w:p>
        </w:tc>
      </w:tr>
      <w:tr>
        <w:trPr>
          <w:trHeight w:val="290"/>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14,539</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1,438</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2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-24765</wp:posOffset>
            </wp:positionV>
            <wp:extent cx="1543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154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54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During the three and nine months ended September 30, 2021, the Company recorded $1.1 million stock-based compensation expense, related to secondary transactions with select executives in which common stock was sold above fair value.</w:t>
      </w:r>
    </w:p>
    <w:p>
      <w:pPr>
        <w:spacing w:after="0" w:line="183" w:lineRule="exact"/>
        <w:rPr>
          <w:sz w:val="20"/>
          <w:szCs w:val="20"/>
          <w:color w:val="auto"/>
        </w:rPr>
      </w:pPr>
    </w:p>
    <w:p>
      <w:pPr>
        <w:ind w:right="420" w:firstLine="509"/>
        <w:spacing w:after="0" w:line="324" w:lineRule="auto"/>
        <w:rPr>
          <w:sz w:val="20"/>
          <w:szCs w:val="20"/>
          <w:color w:val="auto"/>
        </w:rPr>
      </w:pPr>
      <w:r>
        <w:rPr>
          <w:rFonts w:ascii="Arial" w:cs="Arial" w:eastAsia="Arial" w:hAnsi="Arial"/>
          <w:sz w:val="17"/>
          <w:szCs w:val="17"/>
          <w:color w:val="auto"/>
        </w:rPr>
        <w:t>During the three and nine months ended September 30, 2020, the Company recorded zero and $8.1 million stock-based compensation expense, respectively, related to secondary transactions with select executives in which common stock was sold above fair value.</w:t>
      </w:r>
    </w:p>
    <w:p>
      <w:pPr>
        <w:spacing w:after="0" w:line="251"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The Company had an effective tax rate of 0.2% and (1.1)% for the three and nine months ended September 30, 2021, respectively, and (8.7)% and (3.0)% for the three and nine months ended September 30, 2020, respectively. The Company continues to incur U.S. operating losses and has minimal profits in its foreign jurisdictions.</w:t>
      </w:r>
    </w:p>
    <w:p>
      <w:pPr>
        <w:spacing w:after="0" w:line="183"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During the three and nine months ended September 30, 2021 and 2020, the Company has evaluated all available evidence, both positive and negative, including historical levels of income, and expectations and risks associated with estimates of future taxable income, and has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00" w:lineRule="exact"/>
        <w:rPr>
          <w:sz w:val="20"/>
          <w:szCs w:val="20"/>
          <w:color w:val="auto"/>
        </w:rPr>
      </w:pPr>
    </w:p>
    <w:p>
      <w:pPr>
        <w:spacing w:after="0" w:line="208"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2021, the Company entered into a new sublease agreement for its principal executive office located in San Francisco.</w:t>
      </w:r>
    </w:p>
    <w:p>
      <w:pPr>
        <w:spacing w:after="0" w:line="239" w:lineRule="exact"/>
        <w:rPr>
          <w:sz w:val="20"/>
          <w:szCs w:val="20"/>
          <w:color w:val="auto"/>
        </w:rPr>
      </w:pPr>
    </w:p>
    <w:p>
      <w:pPr>
        <w:ind w:right="780" w:firstLine="509"/>
        <w:spacing w:after="0" w:line="293" w:lineRule="auto"/>
        <w:rPr>
          <w:sz w:val="20"/>
          <w:szCs w:val="20"/>
          <w:color w:val="auto"/>
        </w:rPr>
      </w:pPr>
      <w:r>
        <w:rPr>
          <w:rFonts w:ascii="Arial" w:cs="Arial" w:eastAsia="Arial" w:hAnsi="Arial"/>
          <w:sz w:val="18"/>
          <w:szCs w:val="18"/>
          <w:color w:val="auto"/>
        </w:rPr>
        <w:t>Future minimum annual lease payments under the non-cancellable operating lease agreements as of September 30, 2021 are as follows (in thousands):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As of</w:t>
            </w:r>
          </w:p>
        </w:tc>
        <w:tc>
          <w:tcPr>
            <w:tcW w:w="6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113"/>
              <w:spacing w:after="0"/>
              <w:rPr>
                <w:sz w:val="20"/>
                <w:szCs w:val="20"/>
                <w:color w:val="auto"/>
              </w:rPr>
            </w:pPr>
            <w:r>
              <w:rPr>
                <w:rFonts w:ascii="Arial" w:cs="Arial" w:eastAsia="Arial" w:hAnsi="Arial"/>
                <w:sz w:val="16"/>
                <w:szCs w:val="16"/>
                <w:b w:val="1"/>
                <w:bCs w:val="1"/>
                <w:color w:val="auto"/>
                <w:w w:val="91"/>
              </w:rPr>
              <w:t>September 30,</w:t>
            </w:r>
          </w:p>
        </w:tc>
        <w:tc>
          <w:tcPr>
            <w:tcW w:w="60" w:type="dxa"/>
            <w:vAlign w:val="bottom"/>
          </w:tcPr>
          <w:p>
            <w:pPr>
              <w:spacing w:after="0"/>
              <w:rPr>
                <w:sz w:val="17"/>
                <w:szCs w:val="17"/>
                <w:color w:val="auto"/>
              </w:rPr>
            </w:pPr>
          </w:p>
        </w:tc>
      </w:tr>
      <w:tr>
        <w:trPr>
          <w:trHeight w:val="223"/>
        </w:trPr>
        <w:tc>
          <w:tcPr>
            <w:tcW w:w="5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Pr>
          <w:p>
            <w:pPr>
              <w:spacing w:after="0"/>
              <w:rPr>
                <w:sz w:val="19"/>
                <w:szCs w:val="19"/>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FF0FC"/>
          </w:tcPr>
          <w:p>
            <w:pPr>
              <w:spacing w:after="0"/>
              <w:rPr>
                <w:sz w:val="22"/>
                <w:szCs w:val="22"/>
                <w:color w:val="auto"/>
              </w:rPr>
            </w:pP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3,068</w:t>
            </w:r>
          </w:p>
        </w:tc>
        <w:tc>
          <w:tcPr>
            <w:tcW w:w="60" w:type="dxa"/>
            <w:vAlign w:val="bottom"/>
          </w:tcPr>
          <w:p>
            <w:pPr>
              <w:spacing w:after="0"/>
              <w:rPr>
                <w:sz w:val="21"/>
                <w:szCs w:val="21"/>
                <w:color w:val="auto"/>
              </w:rPr>
            </w:pPr>
          </w:p>
        </w:tc>
      </w:tr>
      <w:tr>
        <w:trPr>
          <w:trHeight w:val="26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60" w:type="dxa"/>
            <w:vAlign w:val="bottom"/>
            <w:shd w:val="clear" w:color="auto" w:fill="CFF0FC"/>
          </w:tcPr>
          <w:p>
            <w:pPr>
              <w:spacing w:after="0"/>
              <w:rPr>
                <w:sz w:val="22"/>
                <w:szCs w:val="22"/>
                <w:color w:val="auto"/>
              </w:rPr>
            </w:pPr>
          </w:p>
        </w:tc>
      </w:tr>
      <w:tr>
        <w:trPr>
          <w:trHeight w:val="250"/>
        </w:trPr>
        <w:tc>
          <w:tcPr>
            <w:tcW w:w="5220" w:type="dxa"/>
            <w:vAlign w:val="bottom"/>
          </w:tcPr>
          <w:p>
            <w:pPr>
              <w:ind w:left="18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3,988</w:t>
            </w:r>
          </w:p>
        </w:tc>
        <w:tc>
          <w:tcPr>
            <w:tcW w:w="60" w:type="dxa"/>
            <w:vAlign w:val="bottom"/>
          </w:tcPr>
          <w:p>
            <w:pPr>
              <w:spacing w:after="0"/>
              <w:rPr>
                <w:sz w:val="21"/>
                <w:szCs w:val="21"/>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2025 and thereafter</w:t>
            </w:r>
          </w:p>
        </w:tc>
        <w:tc>
          <w:tcPr>
            <w:tcW w:w="1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220" w:type="dxa"/>
            <w:vAlign w:val="bottom"/>
          </w:tcPr>
          <w:p>
            <w:pPr>
              <w:ind w:left="36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w:t>
            </w:r>
          </w:p>
        </w:tc>
        <w:tc>
          <w:tcPr>
            <w:tcW w:w="6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-193675</wp:posOffset>
            </wp:positionV>
            <wp:extent cx="431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The Company recognizes minimum rental expenses on a straight-line basis over the term of the lease. Rent expense for the three and nine months ended September 30, 2021 was $0.9 million and $3.0 million, respectively. Rent expense for the three and nine months ended September 30, 2020 was $1.0 million and $3.1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31" w:lineRule="exact"/>
        <w:rPr>
          <w:sz w:val="20"/>
          <w:szCs w:val="20"/>
          <w:color w:val="auto"/>
        </w:rPr>
      </w:pPr>
    </w:p>
    <w:p>
      <w:pPr>
        <w:ind w:right="540" w:firstLine="509"/>
        <w:spacing w:after="0" w:line="279" w:lineRule="auto"/>
        <w:rPr>
          <w:sz w:val="20"/>
          <w:szCs w:val="20"/>
          <w:color w:val="auto"/>
        </w:rPr>
      </w:pPr>
      <w:r>
        <w:rPr>
          <w:rFonts w:ascii="Arial" w:cs="Arial" w:eastAsia="Arial" w:hAnsi="Arial"/>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ind w:right="20"/>
        <w:spacing w:after="0" w:line="275" w:lineRule="auto"/>
        <w:rPr>
          <w:sz w:val="20"/>
          <w:szCs w:val="20"/>
          <w:color w:val="auto"/>
        </w:rPr>
      </w:pPr>
      <w:r>
        <w:rPr>
          <w:rFonts w:ascii="Arial" w:cs="Arial" w:eastAsia="Arial" w:hAnsi="Arial"/>
          <w:sz w:val="18"/>
          <w:szCs w:val="18"/>
          <w:color w:val="auto"/>
        </w:rPr>
        <w:t>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00" w:lineRule="exact"/>
        <w:rPr>
          <w:sz w:val="20"/>
          <w:szCs w:val="20"/>
          <w:color w:val="auto"/>
        </w:rPr>
      </w:pPr>
    </w:p>
    <w:p>
      <w:pPr>
        <w:spacing w:after="0" w:line="238"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Basic net loss per share attributable to the Company’s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holders of such stock had the right to receive nonforfeitable dividends on a ratable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spacing w:after="0" w:line="83" w:lineRule="exact"/>
        <w:rPr>
          <w:sz w:val="20"/>
          <w:szCs w:val="20"/>
          <w:color w:val="auto"/>
        </w:rPr>
      </w:pPr>
    </w:p>
    <w:p>
      <w:pPr>
        <w:ind w:right="60" w:firstLine="509"/>
        <w:spacing w:after="0" w:line="303" w:lineRule="auto"/>
        <w:rPr>
          <w:sz w:val="20"/>
          <w:szCs w:val="20"/>
          <w:color w:val="auto"/>
        </w:rPr>
      </w:pPr>
      <w:r>
        <w:rPr>
          <w:rFonts w:ascii="Arial" w:cs="Arial" w:eastAsia="Arial" w:hAnsi="Arial"/>
          <w:sz w:val="17"/>
          <w:szCs w:val="17"/>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5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5"/>
          </w:tcPr>
          <w:p>
            <w:pPr>
              <w:jc w:val="right"/>
              <w:ind w:right="122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316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Class A and Class B</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stockholders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(36,559 )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(53,081 )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(19,197 )</w:t>
            </w:r>
          </w:p>
        </w:tc>
        <w:tc>
          <w:tcPr>
            <w:tcW w:w="0" w:type="dxa"/>
            <w:vAlign w:val="bottom"/>
          </w:tcPr>
          <w:p>
            <w:pPr>
              <w:spacing w:after="0"/>
              <w:rPr>
                <w:sz w:val="1"/>
                <w:szCs w:val="1"/>
                <w:color w:val="auto"/>
              </w:rPr>
            </w:pPr>
          </w:p>
        </w:tc>
      </w:tr>
      <w:tr>
        <w:trPr>
          <w:trHeight w:val="242"/>
        </w:trPr>
        <w:tc>
          <w:tcPr>
            <w:tcW w:w="3940" w:type="dxa"/>
            <w:vAlign w:val="bottom"/>
          </w:tcPr>
          <w:p>
            <w:pPr>
              <w:ind w:left="20"/>
              <w:spacing w:after="0"/>
              <w:rPr>
                <w:sz w:val="20"/>
                <w:szCs w:val="20"/>
                <w:color w:val="auto"/>
              </w:rPr>
            </w:pPr>
            <w:r>
              <w:rPr>
                <w:rFonts w:ascii="Arial" w:cs="Arial" w:eastAsia="Arial" w:hAnsi="Arial"/>
                <w:sz w:val="18"/>
                <w:szCs w:val="18"/>
                <w:color w:val="auto"/>
              </w:rPr>
              <w:t>Weighted-average shares used in computing net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w w:val="98"/>
              </w:rPr>
              <w:t>loss per share attributable to Class A and Class B</w:t>
            </w:r>
          </w:p>
        </w:tc>
        <w:tc>
          <w:tcPr>
            <w:tcW w:w="38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39,301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25,147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32,362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common stockholders, basic and diluted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per share attributable to Class A and</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(0.93 )</w:t>
            </w:r>
          </w:p>
        </w:tc>
        <w:tc>
          <w:tcPr>
            <w:tcW w:w="520" w:type="dxa"/>
            <w:vAlign w:val="bottom"/>
            <w:vMerge w:val="restart"/>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(0.10 )</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(1.64 )</w:t>
            </w:r>
          </w:p>
        </w:tc>
        <w:tc>
          <w:tcPr>
            <w:tcW w:w="520" w:type="dxa"/>
            <w:vAlign w:val="bottom"/>
            <w:vMerge w:val="restart"/>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w w:val="96"/>
              </w:rPr>
              <w:t>Class B common stockholders, basic and diluted</w:t>
            </w:r>
          </w:p>
        </w:tc>
        <w:tc>
          <w:tcPr>
            <w:tcW w:w="380" w:type="dxa"/>
            <w:vAlign w:val="bottom"/>
            <w:vMerge w:val="continue"/>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171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1714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1625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625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543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543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The following potential common shares were excluded from the calculation of diluted net loss per share because their effect would have been anti-dilutive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2"/>
                <w:szCs w:val="22"/>
                <w:color w:val="auto"/>
              </w:rPr>
            </w:pP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61,717</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Non-plan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Equity plan stock options outstanding</w:t>
            </w:r>
          </w:p>
        </w:tc>
        <w:tc>
          <w:tcPr>
            <w:tcW w:w="780" w:type="dxa"/>
            <w:vAlign w:val="bottom"/>
          </w:tcPr>
          <w:p>
            <w:pPr>
              <w:jc w:val="right"/>
              <w:spacing w:after="0"/>
              <w:rPr>
                <w:sz w:val="20"/>
                <w:szCs w:val="20"/>
                <w:color w:val="auto"/>
              </w:rPr>
            </w:pPr>
            <w:r>
              <w:rPr>
                <w:rFonts w:ascii="Arial" w:cs="Arial" w:eastAsia="Arial" w:hAnsi="Arial"/>
                <w:sz w:val="18"/>
                <w:szCs w:val="18"/>
                <w:color w:val="auto"/>
              </w:rPr>
              <w:t>23,613</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23,288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Equity plan stock options early exercised</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3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RSUs outstanding</w:t>
            </w:r>
          </w:p>
        </w:tc>
        <w:tc>
          <w:tcPr>
            <w:tcW w:w="78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shares</w:t>
            </w:r>
          </w:p>
        </w:tc>
        <w:tc>
          <w:tcPr>
            <w:tcW w:w="17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26,251</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87,691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5540"/>
              <w:spacing w:after="0"/>
              <w:rPr>
                <w:sz w:val="20"/>
                <w:szCs w:val="20"/>
                <w:color w:val="auto"/>
              </w:rPr>
            </w:pPr>
            <w:r>
              <w:rPr>
                <w:rFonts w:ascii="Arial" w:cs="Arial" w:eastAsia="Arial" w:hAnsi="Arial"/>
                <w:sz w:val="18"/>
                <w:szCs w:val="18"/>
                <w:color w:val="auto"/>
              </w:rPr>
              <w:t>21</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9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-639445</wp:posOffset>
            </wp:positionV>
            <wp:extent cx="18859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-639445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final prospectus related to the direct listing of the our Class A common stock on the Nasdaq Capital Market filed with the SEC pursuant to Rule 424(b) under the Securities Act of 1933, as amended, on September 28, 2021 (the “Prospectus”).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78"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i w:val="1"/>
          <w:iCs w:val="1"/>
          <w:color w:val="auto"/>
        </w:rPr>
        <w:t>Unless the context otherwise requires, all references in this report to "Amplitude," the "Company," "we," "our," "us," or similar terms refer to Amplitude, Inc. and its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We have built the first unified system that empowers teams to understand how digital products drive their business, thereby unleashing the full potential of product-led growth for businesses of every size, industry, and stage in their digital maturity. Our Digital Optimization System brings an entirely new depth of customer understanding with the speed of action to optimize digital experiences in the moment. We power the teams behind many of the most-beloved digital products to make the right bets, drive innovation, and maximize business outcomes.</w:t>
      </w:r>
    </w:p>
    <w:p>
      <w:pPr>
        <w:spacing w:after="0" w:line="17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At the core of our Digital Optimization System is our Behavioral Graph, a proprietary, purpose-built behavioral database that is the largest of its kind. Our Behavioral Graph instantly finds patterns, makes recommendations, and connects customer actions along their journeys to outcomes that drive engagement, growth, and loyalty. We have architected our Behavioral Graph to power numerous products linking data to insight to action, beginning first with our #1 ranked product analytics solution (according to G2, a top independent software review site). We have since expanded our Digital Optimization System to include products that enable cross-functional teams to personalize the digital product experiences of their customers, including our Recommend and Experiment offerings, which were both released in 2021.</w:t>
      </w:r>
    </w:p>
    <w:p>
      <w:pPr>
        <w:spacing w:after="0" w:line="191"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We have experienced significant growth in recent years driven by the rapid adoption of our Digital Optimization System by our diversified base of over 1,400 paying customers globally. Our customers span across industries and sizes, from the leading digital innovators to those looking to transform and adapt their business in the new digital age.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and Expansion</w:t>
      </w:r>
    </w:p>
    <w:p>
      <w:pPr>
        <w:spacing w:after="0" w:line="131" w:lineRule="exact"/>
        <w:rPr>
          <w:sz w:val="20"/>
          <w:szCs w:val="20"/>
          <w:color w:val="auto"/>
        </w:rPr>
      </w:pPr>
    </w:p>
    <w:p>
      <w:pPr>
        <w:ind w:right="320" w:firstLine="509"/>
        <w:spacing w:after="0" w:line="275" w:lineRule="auto"/>
        <w:rPr>
          <w:sz w:val="20"/>
          <w:szCs w:val="20"/>
          <w:color w:val="auto"/>
        </w:rPr>
      </w:pPr>
      <w:r>
        <w:rPr>
          <w:rFonts w:ascii="Arial" w:cs="Arial" w:eastAsia="Arial" w:hAnsi="Arial"/>
          <w:sz w:val="18"/>
          <w:szCs w:val="18"/>
          <w:color w:val="auto"/>
        </w:rPr>
        <w:t>We believe that our Digital Optimization System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5"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8"/>
          <w:szCs w:val="18"/>
          <w:color w:val="auto"/>
        </w:rPr>
        <w:t>As of September 30, 2021 and 2020, we had over 1,400 and 900 paying customers, respectively, representing an increase of 54% year-over-year. Our relationship with some of the world’s most beloved product-led companies has resulted in increased brand credibility and access to many attractive growth opportunities.</w:t>
      </w:r>
    </w:p>
    <w:p>
      <w:pPr>
        <w:spacing w:after="0" w:line="183"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We have been successful at efficiently growing our customer spend over time as evidenced by our dollar-based net retention rates. As of September 30, 2021 and 2020, our dollar-based net retention rate was 121% and 119%, respectively, for paying customers. We continue to increase the number of customers who have entered and grown into larger subscriptions with us.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Investments in Platform</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For example, in 2021, we announced the launch of our Recommend and Experiment products, and we are encouraged by early adoption by our customers. Furthermore, we may choose to add new products and offerings or enhance our platform capabilities through acquisitions. In 2020, we acquired ClearBrain to bolster our predictive analytics capabilities, and in 2021, we acquired Iteratively, a software company that bolsters our ability to empower developers to more quickly, easily, and accurately instrument data into our platform.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for Growth</w:t>
      </w:r>
    </w:p>
    <w:p>
      <w:pPr>
        <w:spacing w:after="0" w:line="131"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p>
    <w:p>
      <w:pPr>
        <w:spacing w:after="0" w:line="182"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p>
    <w:p>
      <w:pPr>
        <w:spacing w:after="0" w:line="16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and nine months ended September 30, 2021, 35% and 36% of our revenue was generated outside the United States,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35" w:lineRule="exact"/>
        <w:rPr>
          <w:sz w:val="20"/>
          <w:szCs w:val="20"/>
          <w:color w:val="auto"/>
        </w:rPr>
      </w:pPr>
    </w:p>
    <w:p>
      <w:pPr>
        <w:ind w:right="160" w:firstLine="509"/>
        <w:spacing w:after="0" w:line="329" w:lineRule="auto"/>
        <w:rPr>
          <w:sz w:val="20"/>
          <w:szCs w:val="20"/>
          <w:color w:val="auto"/>
        </w:rPr>
      </w:pPr>
      <w:r>
        <w:rPr>
          <w:rFonts w:ascii="Arial" w:cs="Arial" w:eastAsia="Arial" w:hAnsi="Arial"/>
          <w:sz w:val="16"/>
          <w:szCs w:val="16"/>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1"/>
        </w:trPr>
        <w:tc>
          <w:tcPr>
            <w:tcW w:w="344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63"/>
        </w:trPr>
        <w:tc>
          <w:tcPr>
            <w:tcW w:w="3440" w:type="dxa"/>
            <w:vAlign w:val="bottom"/>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c>
          <w:tcPr>
            <w:tcW w:w="440" w:type="dxa"/>
            <w:vAlign w:val="bottom"/>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YoY Growth</w:t>
            </w:r>
          </w:p>
        </w:tc>
        <w:tc>
          <w:tcPr>
            <w:tcW w:w="340" w:type="dxa"/>
            <w:vAlign w:val="bottom"/>
          </w:tcPr>
          <w:p>
            <w:pPr>
              <w:spacing w:after="0"/>
              <w:rPr>
                <w:sz w:val="22"/>
                <w:szCs w:val="22"/>
                <w:color w:val="auto"/>
              </w:rPr>
            </w:pPr>
          </w:p>
        </w:tc>
      </w:tr>
      <w:tr>
        <w:trPr>
          <w:trHeight w:val="28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Paying Customers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4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720" w:type="dxa"/>
            <w:vAlign w:val="bottom"/>
            <w:shd w:val="clear" w:color="auto" w:fill="CFF0FC"/>
          </w:tcPr>
          <w:p>
            <w:pPr>
              <w:ind w:left="440"/>
              <w:spacing w:after="0"/>
              <w:rPr>
                <w:sz w:val="20"/>
                <w:szCs w:val="20"/>
                <w:color w:val="auto"/>
              </w:rPr>
            </w:pPr>
            <w:r>
              <w:rPr>
                <w:rFonts w:ascii="Arial" w:cs="Arial" w:eastAsia="Arial" w:hAnsi="Arial"/>
                <w:sz w:val="18"/>
                <w:szCs w:val="18"/>
                <w:color w:val="auto"/>
                <w:w w:val="86"/>
              </w:rPr>
              <w:t>921</w:t>
            </w:r>
          </w:p>
        </w:tc>
        <w:tc>
          <w:tcPr>
            <w:tcW w:w="44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54 %</w:t>
            </w: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121 %</w:t>
            </w:r>
          </w:p>
        </w:tc>
        <w:tc>
          <w:tcPr>
            <w:tcW w:w="320" w:type="dxa"/>
            <w:vAlign w:val="bottom"/>
          </w:tcPr>
          <w:p>
            <w:pPr>
              <w:spacing w:after="0"/>
              <w:rPr>
                <w:sz w:val="23"/>
                <w:szCs w:val="23"/>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119 %</w:t>
            </w: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Customers</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92" w:right="439" w:bottom="1440" w:gutter="0" w:footer="0" w:header="0"/>
        </w:sectPr>
      </w:pPr>
    </w:p>
    <w:bookmarkStart w:id="23" w:name="page24"/>
    <w:bookmarkEnd w:id="23"/>
    <w:p>
      <w:pPr>
        <w:ind w:right="20" w:firstLine="509"/>
        <w:spacing w:after="0" w:line="275" w:lineRule="auto"/>
        <w:rPr>
          <w:sz w:val="20"/>
          <w:szCs w:val="20"/>
          <w:color w:val="auto"/>
        </w:rPr>
      </w:pPr>
      <w:r>
        <w:rPr>
          <w:rFonts w:ascii="Arial" w:cs="Arial" w:eastAsia="Arial" w:hAnsi="Arial"/>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31"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We calculate our dollar-based net retention rate to measure our ability to retain and expand Annual Recurring Revenue ("ARR") from our customers and believe it is an indicator of the value our platform delivers to customers and our future business opportunities. Our dollar-based net retention rate compares our ARR from the same set of customers across comparable periods and reflects customer renewals, expansion, contraction, and attrition.</w:t>
      </w:r>
    </w:p>
    <w:p>
      <w:pPr>
        <w:spacing w:after="0" w:line="14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35"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has resulted in favorable trends for our business and the businesses of those customers who have been able to leverage digital optimization of their products as sales increasingly shifted online. For example, during the second quarter of fiscal year 2020, the average customer’s event utilization rate, which is the percent of contracted event volume a customer consumes, increased to over 100%, signaling early upsell opportunities.</w:t>
      </w:r>
    </w:p>
    <w:p>
      <w:pPr>
        <w:spacing w:after="0" w:line="176"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Although we believe the COVID-19 pandemic has largely resulted in favorable trends for our business to date, we have experienced business disruptions, particularly at our San Francisco headquarters due to shelter-in-place orders and restrictions on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pandemic has resulted in, and may continue to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 See “Risk Factors” included under Part II, Item 1A of this Quarterly Report on Form 10-Q for further discussion of the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Non-GAAP Financial Measures</w:t>
      </w:r>
    </w:p>
    <w:p>
      <w:pPr>
        <w:spacing w:after="0" w:line="135"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8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64"/>
        </w:trPr>
        <w:tc>
          <w:tcPr>
            <w:tcW w:w="3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360" w:type="dxa"/>
            <w:vAlign w:val="bottom"/>
          </w:tcPr>
          <w:p>
            <w:pPr>
              <w:spacing w:after="0"/>
              <w:rPr>
                <w:sz w:val="22"/>
                <w:szCs w:val="22"/>
                <w:color w:val="auto"/>
              </w:rPr>
            </w:pPr>
          </w:p>
        </w:tc>
      </w:tr>
      <w:tr>
        <w:trPr>
          <w:trHeight w:val="28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5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46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51,107</w:t>
            </w:r>
          </w:p>
        </w:tc>
        <w:tc>
          <w:tcPr>
            <w:tcW w:w="360" w:type="dxa"/>
            <w:vAlign w:val="bottom"/>
            <w:shd w:val="clear" w:color="auto" w:fill="CFF0FC"/>
          </w:tcPr>
          <w:p>
            <w:pPr>
              <w:spacing w:after="0"/>
              <w:rPr>
                <w:sz w:val="24"/>
                <w:szCs w:val="24"/>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Non-GAAP 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32,417</w:t>
            </w:r>
          </w:p>
        </w:tc>
        <w:tc>
          <w:tcPr>
            <w:tcW w:w="5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18,768</w:t>
            </w:r>
          </w:p>
        </w:tc>
        <w:tc>
          <w:tcPr>
            <w:tcW w:w="5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83,525</w:t>
            </w:r>
          </w:p>
        </w:tc>
        <w:tc>
          <w:tcPr>
            <w:tcW w:w="46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51,517</w:t>
            </w:r>
          </w:p>
        </w:tc>
        <w:tc>
          <w:tcPr>
            <w:tcW w:w="360" w:type="dxa"/>
            <w:vAlign w:val="bottom"/>
          </w:tcPr>
          <w:p>
            <w:pPr>
              <w:spacing w:after="0"/>
              <w:rPr>
                <w:sz w:val="23"/>
                <w:szCs w:val="23"/>
                <w:color w:val="auto"/>
              </w:rPr>
            </w:pPr>
          </w:p>
        </w:tc>
      </w:tr>
      <w:tr>
        <w:trPr>
          <w:trHeight w:val="297"/>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8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69 %</w:t>
            </w:r>
          </w:p>
        </w:tc>
        <w:tc>
          <w:tcPr>
            <w:tcW w:w="34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71 %</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69 %</w:t>
            </w:r>
          </w:p>
        </w:tc>
        <w:tc>
          <w:tcPr>
            <w:tcW w:w="34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71 %</w:t>
            </w: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Non-GAAP Gross Margin</w:t>
            </w:r>
          </w:p>
        </w:tc>
        <w:tc>
          <w:tcPr>
            <w:tcW w:w="260" w:type="dxa"/>
            <w:vAlign w:val="bottom"/>
          </w:tcPr>
          <w:p>
            <w:pPr>
              <w:spacing w:after="0"/>
              <w:rPr>
                <w:sz w:val="23"/>
                <w:szCs w:val="23"/>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71 %</w:t>
            </w:r>
          </w:p>
        </w:tc>
        <w:tc>
          <w:tcPr>
            <w:tcW w:w="34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71 %</w:t>
            </w:r>
          </w:p>
        </w:tc>
        <w:tc>
          <w:tcPr>
            <w:tcW w:w="2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71 %</w:t>
            </w:r>
          </w:p>
        </w:tc>
        <w:tc>
          <w:tcPr>
            <w:tcW w:w="3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71 %</w:t>
            </w:r>
          </w:p>
        </w:tc>
      </w:tr>
      <w:tr>
        <w:trPr>
          <w:trHeight w:val="297"/>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8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(36,768 )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(2,385 )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(52,664 )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(18,887 )</w:t>
            </w: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(2,285 )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(9,677 )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(6,399 )</w:t>
            </w:r>
          </w:p>
        </w:tc>
      </w:tr>
      <w:tr>
        <w:trPr>
          <w:trHeight w:val="297"/>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8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Margin</w:t>
            </w:r>
          </w:p>
        </w:tc>
        <w:tc>
          <w:tcPr>
            <w:tcW w:w="26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(81 )%</w:t>
            </w:r>
          </w:p>
        </w:tc>
        <w:tc>
          <w:tcPr>
            <w:tcW w:w="34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(9 )%</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(45 )%</w:t>
            </w:r>
          </w:p>
        </w:tc>
        <w:tc>
          <w:tcPr>
            <w:tcW w:w="34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(26 )%</w:t>
            </w: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Non-GAAP Loss from Operations Margin</w:t>
            </w:r>
          </w:p>
        </w:tc>
        <w:tc>
          <w:tcPr>
            <w:tcW w:w="2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23"/>
                <w:szCs w:val="2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(3 )%</w:t>
            </w:r>
          </w:p>
        </w:tc>
        <w:tc>
          <w:tcPr>
            <w:tcW w:w="24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(8 )%</w:t>
            </w:r>
          </w:p>
        </w:tc>
        <w:tc>
          <w:tcPr>
            <w:tcW w:w="34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(9 )%</w:t>
            </w:r>
          </w:p>
        </w:tc>
      </w:tr>
      <w:tr>
        <w:trPr>
          <w:trHeight w:val="297"/>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2"/>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44"/>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(15,086 )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(20,609 )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(7,401 )</w:t>
            </w: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Free Cash Flow</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(15,782 )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1,868</w:t>
            </w:r>
          </w:p>
        </w:tc>
        <w:tc>
          <w:tcPr>
            <w:tcW w:w="5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(22,691 )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(8,803 )</w:t>
            </w:r>
          </w:p>
        </w:tc>
      </w:tr>
      <w:tr>
        <w:trPr>
          <w:trHeight w:val="297"/>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2"/>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44"/>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Activities Margin</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(33 )%</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10 %</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(17 )%</w:t>
            </w:r>
          </w:p>
        </w:tc>
        <w:tc>
          <w:tcPr>
            <w:tcW w:w="3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r>
      <w:tr>
        <w:trPr>
          <w:trHeight w:val="270"/>
        </w:trPr>
        <w:tc>
          <w:tcPr>
            <w:tcW w:w="3820" w:type="dxa"/>
            <w:vAlign w:val="bottom"/>
          </w:tcPr>
          <w:p>
            <w:pPr>
              <w:spacing w:after="0"/>
              <w:rPr>
                <w:sz w:val="20"/>
                <w:szCs w:val="20"/>
                <w:color w:val="auto"/>
              </w:rPr>
            </w:pPr>
            <w:r>
              <w:rPr>
                <w:rFonts w:ascii="Arial" w:cs="Arial" w:eastAsia="Arial" w:hAnsi="Arial"/>
                <w:sz w:val="18"/>
                <w:szCs w:val="18"/>
                <w:color w:val="auto"/>
              </w:rPr>
              <w:t>Free Cash Flow Margin</w:t>
            </w:r>
          </w:p>
        </w:tc>
        <w:tc>
          <w:tcPr>
            <w:tcW w:w="2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(35 )%</w:t>
            </w:r>
          </w:p>
        </w:tc>
        <w:tc>
          <w:tcPr>
            <w:tcW w:w="34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7 %</w:t>
            </w:r>
          </w:p>
        </w:tc>
        <w:tc>
          <w:tcPr>
            <w:tcW w:w="24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(19 )%</w:t>
            </w:r>
          </w:p>
        </w:tc>
        <w:tc>
          <w:tcPr>
            <w:tcW w:w="34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Margin and Non-GAAP Operating Margin</w:t>
      </w:r>
    </w:p>
    <w:p>
      <w:pPr>
        <w:spacing w:after="0" w:line="13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which currently consist exclusively of direct listing costs.</w:t>
      </w:r>
    </w:p>
    <w:p>
      <w:pPr>
        <w:spacing w:after="0" w:line="18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define non-GAAP loss from operations and non-GAAP operating margin as U.S. GAAP loss from operations and U.S. GAAP operating margin, respectively, excluding stock-based compensation expense and related employer payroll taxes, amortization of acquired intangible assets, and non-recurring costs, such as direct listing costs.</w:t>
      </w:r>
    </w:p>
    <w:p>
      <w:pPr>
        <w:spacing w:after="0" w:line="183"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64" w:lineRule="exact"/>
        <w:rPr>
          <w:sz w:val="20"/>
          <w:szCs w:val="20"/>
          <w:color w:val="auto"/>
        </w:rPr>
      </w:pPr>
    </w:p>
    <w:p>
      <w:pPr>
        <w:ind w:right="280" w:firstLine="509"/>
        <w:spacing w:after="0" w:line="279" w:lineRule="auto"/>
        <w:rPr>
          <w:sz w:val="20"/>
          <w:szCs w:val="20"/>
          <w:color w:val="auto"/>
        </w:rPr>
      </w:pPr>
      <w:r>
        <w:rPr>
          <w:rFonts w:ascii="Arial" w:cs="Arial" w:eastAsia="Arial" w:hAnsi="Arial"/>
          <w:sz w:val="18"/>
          <w:szCs w:val="18"/>
          <w:color w:val="auto"/>
        </w:rPr>
        <w:t>We use non-GAAP gross margin and non-GAAP operating margin in conjunction with traditional U.S. GAAP measures to evaluate our financial performance. We believe that non-GAAP gross margin and non-GAAP operating margin provide our management and investors consistency and comparability with our past financial performance and facilitates period-to-period comparisons of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Free Cash Flow and Margin</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reconcile the most directly comparable U.S. GAAP financial measure to each of these non-GAAP financial measures.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Non-GAAP Gross Profit and Gross Margin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08"/>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11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2020</w:t>
            </w:r>
          </w:p>
        </w:tc>
        <w:tc>
          <w:tcPr>
            <w:tcW w:w="3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2"/>
                <w:szCs w:val="22"/>
                <w:color w:val="auto"/>
              </w:rPr>
            </w:pPr>
          </w:p>
        </w:tc>
      </w:tr>
      <w:tr>
        <w:trPr>
          <w:trHeight w:val="284"/>
        </w:trPr>
        <w:tc>
          <w:tcPr>
            <w:tcW w:w="1140" w:type="dxa"/>
            <w:vAlign w:val="bottom"/>
          </w:tcPr>
          <w:p>
            <w:pPr>
              <w:spacing w:after="0"/>
              <w:rPr>
                <w:sz w:val="24"/>
                <w:szCs w:val="24"/>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3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3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3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51,107</w:t>
            </w:r>
          </w:p>
        </w:tc>
        <w:tc>
          <w:tcPr>
            <w:tcW w:w="260" w:type="dxa"/>
            <w:vAlign w:val="bottom"/>
            <w:shd w:val="clear" w:color="auto" w:fill="CFF0FC"/>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0"/>
        </w:trPr>
        <w:tc>
          <w:tcPr>
            <w:tcW w:w="11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r>
      <w:tr>
        <w:trPr>
          <w:trHeight w:val="283"/>
        </w:trPr>
        <w:tc>
          <w:tcPr>
            <w:tcW w:w="1140" w:type="dxa"/>
            <w:vAlign w:val="bottom"/>
          </w:tcPr>
          <w:p>
            <w:pPr>
              <w:spacing w:after="0"/>
              <w:rPr>
                <w:sz w:val="24"/>
                <w:szCs w:val="24"/>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3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FF0FC"/>
          </w:tcPr>
          <w:p>
            <w:pPr>
              <w:spacing w:after="0"/>
              <w:rPr>
                <w:sz w:val="24"/>
                <w:szCs w:val="24"/>
                <w:color w:val="auto"/>
              </w:rPr>
            </w:pPr>
          </w:p>
        </w:tc>
      </w:tr>
      <w:tr>
        <w:trPr>
          <w:trHeight w:val="277"/>
        </w:trPr>
        <w:tc>
          <w:tcPr>
            <w:tcW w:w="114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Acquired intangible assets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1,151</w:t>
            </w:r>
          </w:p>
        </w:tc>
        <w:tc>
          <w:tcPr>
            <w:tcW w:w="3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90"/>
        </w:trPr>
        <w:tc>
          <w:tcPr>
            <w:tcW w:w="1140" w:type="dxa"/>
            <w:vAlign w:val="bottom"/>
          </w:tcPr>
          <w:p>
            <w:pPr>
              <w:spacing w:after="0"/>
              <w:rPr>
                <w:sz w:val="24"/>
                <w:szCs w:val="24"/>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Non-GAAP Gross Profit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32,417</w:t>
            </w:r>
          </w:p>
        </w:tc>
        <w:tc>
          <w:tcPr>
            <w:tcW w:w="3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18,768</w:t>
            </w:r>
          </w:p>
        </w:tc>
        <w:tc>
          <w:tcPr>
            <w:tcW w:w="3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83,525</w:t>
            </w:r>
          </w:p>
        </w:tc>
        <w:tc>
          <w:tcPr>
            <w:tcW w:w="3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51,517</w:t>
            </w:r>
          </w:p>
        </w:tc>
        <w:tc>
          <w:tcPr>
            <w:tcW w:w="260" w:type="dxa"/>
            <w:vAlign w:val="bottom"/>
            <w:shd w:val="clear" w:color="auto" w:fill="CFF0FC"/>
          </w:tcPr>
          <w:p>
            <w:pPr>
              <w:spacing w:after="0"/>
              <w:rPr>
                <w:sz w:val="24"/>
                <w:szCs w:val="24"/>
                <w:color w:val="auto"/>
              </w:rPr>
            </w:pPr>
          </w:p>
        </w:tc>
      </w:tr>
      <w:tr>
        <w:trPr>
          <w:trHeight w:val="270"/>
        </w:trPr>
        <w:tc>
          <w:tcPr>
            <w:tcW w:w="114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Non-GAAP Gross Margin</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71 %</w:t>
            </w:r>
          </w:p>
        </w:tc>
        <w:tc>
          <w:tcPr>
            <w:tcW w:w="3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102870</wp:posOffset>
            </wp:positionV>
            <wp:extent cx="9340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150" w:lineRule="exact"/>
        <w:rPr>
          <w:sz w:val="20"/>
          <w:szCs w:val="20"/>
          <w:color w:val="auto"/>
        </w:rPr>
      </w:pPr>
    </w:p>
    <w:p>
      <w:pPr>
        <w:ind w:left="460" w:hanging="332"/>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63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Non-GAAP Loss From Operations and Loss From Operations Margin</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8"/>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63"/>
        </w:trPr>
        <w:tc>
          <w:tcPr>
            <w:tcW w:w="4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Pr>
          <w:p>
            <w:pPr>
              <w:spacing w:after="0"/>
              <w:rPr>
                <w:sz w:val="22"/>
                <w:szCs w:val="22"/>
                <w:color w:val="auto"/>
              </w:rPr>
            </w:pPr>
          </w:p>
        </w:tc>
      </w:tr>
      <w:tr>
        <w:trPr>
          <w:trHeight w:val="28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(36,768 )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(2,385 )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(52,664 )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(18,887 )</w:t>
            </w:r>
          </w:p>
        </w:tc>
      </w:tr>
      <w:tr>
        <w:trPr>
          <w:trHeight w:val="243"/>
        </w:trPr>
        <w:tc>
          <w:tcPr>
            <w:tcW w:w="4600" w:type="dxa"/>
            <w:vAlign w:val="bottom"/>
          </w:tcPr>
          <w:p>
            <w:pPr>
              <w:ind w:left="46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41"/>
        </w:trPr>
        <w:tc>
          <w:tcPr>
            <w:tcW w:w="4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8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17,931</w:t>
            </w:r>
          </w:p>
        </w:tc>
        <w:tc>
          <w:tcPr>
            <w:tcW w:w="52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5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11,970</w:t>
            </w:r>
          </w:p>
        </w:tc>
        <w:tc>
          <w:tcPr>
            <w:tcW w:w="360" w:type="dxa"/>
            <w:vAlign w:val="bottom"/>
            <w:shd w:val="clear" w:color="auto" w:fill="CFF0FC"/>
          </w:tcPr>
          <w:p>
            <w:pPr>
              <w:spacing w:after="0"/>
              <w:rPr>
                <w:sz w:val="24"/>
                <w:szCs w:val="24"/>
                <w:color w:val="auto"/>
              </w:rPr>
            </w:pPr>
          </w:p>
        </w:tc>
      </w:tr>
      <w:tr>
        <w:trPr>
          <w:trHeight w:val="277"/>
        </w:trPr>
        <w:tc>
          <w:tcPr>
            <w:tcW w:w="4600" w:type="dxa"/>
            <w:vAlign w:val="bottom"/>
          </w:tcPr>
          <w:p>
            <w:pPr>
              <w:ind w:left="20"/>
              <w:spacing w:after="0"/>
              <w:rPr>
                <w:sz w:val="20"/>
                <w:szCs w:val="20"/>
                <w:color w:val="auto"/>
              </w:rPr>
            </w:pPr>
            <w:r>
              <w:rPr>
                <w:rFonts w:ascii="Arial" w:cs="Arial" w:eastAsia="Arial" w:hAnsi="Arial"/>
                <w:sz w:val="18"/>
                <w:szCs w:val="18"/>
                <w:color w:val="auto"/>
              </w:rPr>
              <w:t>Acquired intangible assets amortization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5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1,151</w:t>
            </w:r>
          </w:p>
        </w:tc>
        <w:tc>
          <w:tcPr>
            <w:tcW w:w="5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24"/>
                <w:szCs w:val="24"/>
                <w:color w:val="auto"/>
              </w:rPr>
            </w:pPr>
          </w:p>
        </w:tc>
      </w:tr>
      <w:tr>
        <w:trPr>
          <w:trHeight w:val="29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listing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52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5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r>
      <w:tr>
        <w:trPr>
          <w:trHeight w:val="277"/>
        </w:trPr>
        <w:tc>
          <w:tcPr>
            <w:tcW w:w="4600" w:type="dxa"/>
            <w:vAlign w:val="bottom"/>
          </w:tcPr>
          <w:p>
            <w:pPr>
              <w:ind w:left="20"/>
              <w:spacing w:after="0"/>
              <w:rPr>
                <w:sz w:val="20"/>
                <w:szCs w:val="20"/>
                <w:color w:val="auto"/>
              </w:rPr>
            </w:pPr>
            <w:r>
              <w:rPr>
                <w:rFonts w:ascii="Arial" w:cs="Arial" w:eastAsia="Arial" w:hAnsi="Arial"/>
                <w:sz w:val="18"/>
                <w:szCs w:val="18"/>
                <w:color w:val="auto"/>
              </w:rPr>
              <w:t>Non-GAAP Loss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(2,285 )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(695 )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(9,677 )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(6,399 )</w:t>
            </w:r>
          </w:p>
        </w:tc>
      </w:tr>
      <w:tr>
        <w:trPr>
          <w:trHeight w:val="29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Loss from Operations Margin</w:t>
            </w:r>
          </w:p>
        </w:tc>
        <w:tc>
          <w:tcPr>
            <w:tcW w:w="26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(5 )%</w:t>
            </w:r>
          </w:p>
        </w:tc>
        <w:tc>
          <w:tcPr>
            <w:tcW w:w="36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(8 )%</w:t>
            </w:r>
          </w:p>
        </w:tc>
        <w:tc>
          <w:tcPr>
            <w:tcW w:w="3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94615</wp:posOffset>
            </wp:positionV>
            <wp:extent cx="9340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9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Stock-based compensation expense-related charges include employer payroll tax-related expenses on employee stock transactions.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8"/>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63"/>
        </w:trPr>
        <w:tc>
          <w:tcPr>
            <w:tcW w:w="4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Pr>
          <w:p>
            <w:pPr>
              <w:spacing w:after="0"/>
              <w:rPr>
                <w:sz w:val="22"/>
                <w:szCs w:val="22"/>
                <w:color w:val="auto"/>
              </w:rPr>
            </w:pPr>
          </w:p>
        </w:tc>
      </w:tr>
      <w:tr>
        <w:trPr>
          <w:trHeight w:val="28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(697 )</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(673 )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(358 )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(5,102 )</w:t>
            </w:r>
          </w:p>
        </w:tc>
      </w:tr>
      <w:tr>
        <w:trPr>
          <w:trHeight w:val="277"/>
        </w:trPr>
        <w:tc>
          <w:tcPr>
            <w:tcW w:w="46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42,485</w:t>
            </w:r>
          </w:p>
        </w:tc>
        <w:tc>
          <w:tcPr>
            <w:tcW w:w="520" w:type="dxa"/>
            <w:vAlign w:val="bottom"/>
          </w:tcPr>
          <w:p>
            <w:pPr>
              <w:spacing w:after="0"/>
              <w:rPr>
                <w:sz w:val="24"/>
                <w:szCs w:val="24"/>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221,798</w:t>
            </w:r>
          </w:p>
        </w:tc>
        <w:tc>
          <w:tcPr>
            <w:tcW w:w="5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51,192</w:t>
            </w:r>
          </w:p>
        </w:tc>
        <w:tc>
          <w:tcPr>
            <w:tcW w:w="360" w:type="dxa"/>
            <w:vAlign w:val="bottom"/>
          </w:tcPr>
          <w:p>
            <w:pPr>
              <w:spacing w:after="0"/>
              <w:rPr>
                <w:sz w:val="24"/>
                <w:szCs w:val="24"/>
                <w:color w:val="auto"/>
              </w:rPr>
            </w:pPr>
          </w:p>
        </w:tc>
      </w:tr>
      <w:tr>
        <w:trPr>
          <w:trHeight w:val="29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(15,086 )</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2,541</w:t>
            </w:r>
          </w:p>
        </w:tc>
        <w:tc>
          <w:tcPr>
            <w:tcW w:w="4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(20,609 )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(7,401 )</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40"/>
        </w:trPr>
        <w:tc>
          <w:tcPr>
            <w:tcW w:w="4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r>
      <w:tr>
        <w:trPr>
          <w:trHeight w:val="28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(302 )</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(216 )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(957 )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(478 )</w:t>
            </w:r>
          </w:p>
        </w:tc>
      </w:tr>
      <w:tr>
        <w:trPr>
          <w:trHeight w:val="277"/>
        </w:trPr>
        <w:tc>
          <w:tcPr>
            <w:tcW w:w="4600" w:type="dxa"/>
            <w:vAlign w:val="bottom"/>
          </w:tcPr>
          <w:p>
            <w:pPr>
              <w:ind w:left="20"/>
              <w:spacing w:after="0"/>
              <w:rPr>
                <w:sz w:val="20"/>
                <w:szCs w:val="20"/>
                <w:color w:val="auto"/>
              </w:rPr>
            </w:pPr>
            <w:r>
              <w:rPr>
                <w:rFonts w:ascii="Arial" w:cs="Arial" w:eastAsia="Arial" w:hAnsi="Arial"/>
                <w:sz w:val="18"/>
                <w:szCs w:val="18"/>
                <w:color w:val="auto"/>
              </w:rPr>
              <w:t>Capitalization of internal-use software costs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(394 )</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(457 )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(1,125 )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(924 )</w:t>
            </w:r>
          </w:p>
        </w:tc>
      </w:tr>
      <w:tr>
        <w:trPr>
          <w:trHeight w:val="29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(15,782 )</w:t>
            </w: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1,868</w:t>
            </w:r>
          </w:p>
        </w:tc>
        <w:tc>
          <w:tcPr>
            <w:tcW w:w="4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(22,691 )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(8,803 )</w:t>
            </w: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3120" w:type="dxa"/>
            <w:vAlign w:val="bottom"/>
          </w:tcPr>
          <w:p>
            <w:pPr>
              <w:jc w:val="right"/>
              <w:ind w:right="650"/>
              <w:spacing w:after="0"/>
              <w:rPr>
                <w:sz w:val="20"/>
                <w:szCs w:val="20"/>
                <w:color w:val="auto"/>
              </w:rPr>
            </w:pPr>
            <w:r>
              <w:rPr>
                <w:rFonts w:ascii="Arial" w:cs="Arial" w:eastAsia="Arial" w:hAnsi="Arial"/>
                <w:sz w:val="18"/>
                <w:szCs w:val="18"/>
                <w:color w:val="auto"/>
              </w:rPr>
              <w:t>(35 )%</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7 %</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(19 )%</w:t>
            </w:r>
          </w:p>
        </w:tc>
        <w:tc>
          <w:tcPr>
            <w:tcW w:w="108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jc w:val="both"/>
        <w:ind w:right="100" w:firstLine="509"/>
        <w:spacing w:after="0" w:line="275" w:lineRule="auto"/>
        <w:rPr>
          <w:sz w:val="20"/>
          <w:szCs w:val="20"/>
          <w:color w:val="auto"/>
        </w:rPr>
      </w:pPr>
      <w:r>
        <w:rPr>
          <w:rFonts w:ascii="Arial" w:cs="Arial" w:eastAsia="Arial" w:hAnsi="Arial"/>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3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Cost of revenue consists primarily of the cost of providing our platform to our customers and consists of third-party hosting fees, personnel-related expenses for our operations and support personnel, and amortization of our capitalized internal-use software and acquired developed software. As we acquire new customers and existing customers increase their use of our platform, we expect that our cost of revenue will continue to increase in dollar amount.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1"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20" w:firstLine="509"/>
        <w:spacing w:after="0" w:line="306" w:lineRule="auto"/>
        <w:rPr>
          <w:sz w:val="20"/>
          <w:szCs w:val="20"/>
          <w:color w:val="auto"/>
        </w:rPr>
      </w:pPr>
      <w:r>
        <w:rPr>
          <w:rFonts w:ascii="Arial" w:cs="Arial" w:eastAsia="Arial" w:hAnsi="Arial"/>
          <w:sz w:val="16"/>
          <w:szCs w:val="16"/>
          <w:color w:val="auto"/>
        </w:rPr>
        <w:t>Research and development expenses consist primarily of personnel-related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 In addition, we incurred additional research and development expenses during the three and nine months ended September 30, 2021, when we completed our Direct Listing, as a result of the stock-based compensation expenses associated with our RSUs. We also anticipate additional stock-based compensation expense in future periods due to an increase in the fair value of our common stock in connection with our Direct Listing.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we expect sales and marketing costs to increase as a percentage of revenue as we invest in product sales growth. In addition, we incurred additional sales and marketing expenses during the three and nine months ended September 30, 2021, when we completed our Direct Listing as a result of the stock-based compensation expenses associated with our RSUs. We also anticipate additional stock-based compensation expense in future periods due to an increase in the fair value of our common stock in connection with our Direct Listing.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both"/>
        <w:ind w:right="20" w:firstLine="509"/>
        <w:spacing w:after="0" w:line="299" w:lineRule="auto"/>
        <w:rPr>
          <w:sz w:val="20"/>
          <w:szCs w:val="20"/>
          <w:color w:val="auto"/>
        </w:rPr>
      </w:pPr>
      <w:r>
        <w:rPr>
          <w:rFonts w:ascii="Arial" w:cs="Arial" w:eastAsia="Arial" w:hAnsi="Arial"/>
          <w:sz w:val="16"/>
          <w:szCs w:val="16"/>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 In addition, we incurred additional general and administrative expenses during the three and nine months ended September 30, 2021, when we completed our Direct Listing as a result of the stock-based compensation expenses associated with our RSUs. We also anticipate additional stock-based compensation expense in future periods due to an increase in the fair value of our common stock in connection with our Direct Listing.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(expense), net consists primarily of interest income on our cash holdings offset by foreign currency transaction gains and losses.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31"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$93.2 million and tax credit carryforwards of $2.8 million, net of reserves as of December 31, 2020,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91"/>
              </w:rPr>
              <w:t>(in thousands)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26,366</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24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20"/>
              <w:spacing w:after="0" w:line="257"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13,982</w:t>
            </w:r>
          </w:p>
        </w:tc>
        <w:tc>
          <w:tcPr>
            <w:tcW w:w="2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w:t>
            </w: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2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31,491</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18,601</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81,465</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60" w:type="dxa"/>
            <w:vAlign w:val="bottom"/>
            <w:gridSpan w:val="2"/>
            <w:shd w:val="clear" w:color="auto" w:fill="CFF0FC"/>
          </w:tcPr>
          <w:p>
            <w:pPr>
              <w:ind w:left="200"/>
              <w:spacing w:after="0" w:line="26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18,493</w:t>
            </w: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34,022</w:t>
            </w:r>
          </w:p>
        </w:tc>
        <w:tc>
          <w:tcPr>
            <w:tcW w:w="2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22,199</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11,482</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59,009</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FF0FC"/>
            </w:tcBorders>
            <w:gridSpan w:val="2"/>
            <w:shd w:val="clear" w:color="auto" w:fill="CFF0FC"/>
          </w:tcPr>
          <w:p>
            <w:pPr>
              <w:ind w:left="200"/>
              <w:spacing w:after="0" w:line="257"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32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27,567</w:t>
            </w:r>
          </w:p>
        </w:tc>
        <w:tc>
          <w:tcPr>
            <w:tcW w:w="2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41,098</w:t>
            </w:r>
          </w:p>
        </w:tc>
        <w:tc>
          <w:tcPr>
            <w:tcW w:w="2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68,259</w:t>
            </w:r>
          </w:p>
        </w:tc>
        <w:tc>
          <w:tcPr>
            <w:tcW w:w="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20,986</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134,129</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(36,768 )</w:t>
            </w:r>
          </w:p>
        </w:tc>
        <w:tc>
          <w:tcPr>
            <w:tcW w:w="9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(2,385 )</w:t>
            </w:r>
          </w:p>
        </w:tc>
        <w:tc>
          <w:tcPr>
            <w:tcW w:w="4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(52,664 )</w:t>
            </w:r>
          </w:p>
        </w:tc>
        <w:tc>
          <w:tcPr>
            <w:tcW w:w="4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(18,887 )</w:t>
            </w:r>
          </w:p>
        </w:tc>
        <w:tc>
          <w:tcPr>
            <w:tcW w:w="0" w:type="dxa"/>
            <w:vAlign w:val="bottom"/>
          </w:tcPr>
          <w:p>
            <w:pPr>
              <w:spacing w:after="0"/>
              <w:rPr>
                <w:sz w:val="1"/>
                <w:szCs w:val="1"/>
                <w:color w:val="auto"/>
              </w:rPr>
            </w:pPr>
          </w:p>
        </w:tc>
      </w:tr>
      <w:tr>
        <w:trPr>
          <w:trHeight w:val="25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Loss before provision for (benefit from) income taxes</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(36,645 )</w:t>
            </w:r>
          </w:p>
        </w:tc>
        <w:tc>
          <w:tcPr>
            <w:tcW w:w="92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(2,367 )</w:t>
            </w:r>
          </w:p>
        </w:tc>
        <w:tc>
          <w:tcPr>
            <w:tcW w:w="4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(52,521 )</w:t>
            </w:r>
          </w:p>
        </w:tc>
        <w:tc>
          <w:tcPr>
            <w:tcW w:w="4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(18,642 )</w:t>
            </w:r>
          </w:p>
        </w:tc>
        <w:tc>
          <w:tcPr>
            <w:tcW w:w="0" w:type="dxa"/>
            <w:vAlign w:val="bottom"/>
          </w:tcPr>
          <w:p>
            <w:pPr>
              <w:spacing w:after="0"/>
              <w:rPr>
                <w:sz w:val="1"/>
                <w:szCs w:val="1"/>
                <w:color w:val="auto"/>
              </w:rPr>
            </w:pPr>
          </w:p>
        </w:tc>
      </w:tr>
      <w:tr>
        <w:trPr>
          <w:trHeight w:val="25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(86 )</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(36,559 )</w:t>
            </w:r>
          </w:p>
        </w:tc>
        <w:tc>
          <w:tcPr>
            <w:tcW w:w="9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(2,574 )</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(53,081 )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(19,197 )</w:t>
            </w:r>
          </w:p>
        </w:tc>
        <w:tc>
          <w:tcPr>
            <w:tcW w:w="0" w:type="dxa"/>
            <w:vAlign w:val="bottom"/>
          </w:tcPr>
          <w:p>
            <w:pPr>
              <w:spacing w:after="0"/>
              <w:rPr>
                <w:sz w:val="1"/>
                <w:szCs w:val="1"/>
                <w:color w:val="auto"/>
              </w:rPr>
            </w:pPr>
          </w:p>
        </w:tc>
      </w:tr>
      <w:tr>
        <w:trPr>
          <w:trHeight w:val="419"/>
        </w:trPr>
        <w:tc>
          <w:tcPr>
            <w:tcW w:w="37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-2242185</wp:posOffset>
            </wp:positionV>
            <wp:extent cx="17145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-2242185</wp:posOffset>
            </wp:positionV>
            <wp:extent cx="17145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-2242185</wp:posOffset>
            </wp:positionV>
            <wp:extent cx="15430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-2242185</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-1582420</wp:posOffset>
            </wp:positionV>
            <wp:extent cx="17145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-1582420</wp:posOffset>
            </wp:positionV>
            <wp:extent cx="1714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-1582420</wp:posOffset>
            </wp:positionV>
            <wp:extent cx="15430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-1582420</wp:posOffset>
            </wp:positionV>
            <wp:extent cx="596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2"/>
        </w:trPr>
        <w:tc>
          <w:tcPr>
            <w:tcW w:w="4660" w:type="dxa"/>
            <w:vAlign w:val="bottom"/>
            <w:gridSpan w:val="2"/>
          </w:tcPr>
          <w:p>
            <w:pPr>
              <w:spacing w:after="0"/>
              <w:rPr>
                <w:sz w:val="20"/>
                <w:szCs w:val="20"/>
                <w:color w:val="auto"/>
              </w:rPr>
            </w:pPr>
            <w:r>
              <w:rPr>
                <w:rFonts w:ascii="Arial" w:cs="Arial" w:eastAsia="Arial" w:hAnsi="Arial"/>
                <w:sz w:val="14"/>
                <w:szCs w:val="14"/>
                <w:color w:val="auto"/>
              </w:rPr>
              <w:t>(1)  Amounts include stock-based compensation expense as follows: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07"/>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5"/>
              </w:rPr>
              <w:t>Nine Months Ended</w:t>
            </w:r>
          </w:p>
        </w:tc>
      </w:tr>
      <w:tr>
        <w:trPr>
          <w:trHeight w:val="241"/>
        </w:trPr>
        <w:tc>
          <w:tcPr>
            <w:tcW w:w="1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11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7"/>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0"/>
        </w:trPr>
        <w:tc>
          <w:tcPr>
            <w:tcW w:w="1140" w:type="dxa"/>
            <w:vAlign w:val="bottom"/>
          </w:tcPr>
          <w:p>
            <w:pPr>
              <w:spacing w:after="0"/>
              <w:rPr>
                <w:sz w:val="24"/>
                <w:szCs w:val="24"/>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5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w:t>
            </w:r>
          </w:p>
        </w:tc>
      </w:tr>
      <w:tr>
        <w:trPr>
          <w:trHeight w:val="277"/>
        </w:trPr>
        <w:tc>
          <w:tcPr>
            <w:tcW w:w="114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7,390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4,498</w:t>
            </w:r>
          </w:p>
        </w:tc>
      </w:tr>
      <w:tr>
        <w:trPr>
          <w:trHeight w:val="290"/>
        </w:trPr>
        <w:tc>
          <w:tcPr>
            <w:tcW w:w="1140" w:type="dxa"/>
            <w:vAlign w:val="bottom"/>
          </w:tcPr>
          <w:p>
            <w:pPr>
              <w:spacing w:after="0"/>
              <w:rPr>
                <w:sz w:val="24"/>
                <w:szCs w:val="24"/>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1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4,199</w:t>
            </w:r>
          </w:p>
        </w:tc>
      </w:tr>
      <w:tr>
        <w:trPr>
          <w:trHeight w:val="263"/>
        </w:trPr>
        <w:tc>
          <w:tcPr>
            <w:tcW w:w="114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r>
      <w:tr>
        <w:trPr>
          <w:trHeight w:val="277"/>
        </w:trPr>
        <w:tc>
          <w:tcPr>
            <w:tcW w:w="1140" w:type="dxa"/>
            <w:vAlign w:val="bottom"/>
          </w:tcPr>
          <w:p>
            <w:pPr>
              <w:spacing w:after="0"/>
              <w:rPr>
                <w:sz w:val="24"/>
                <w:szCs w:val="24"/>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14,539</w:t>
            </w:r>
          </w:p>
        </w:tc>
        <w:tc>
          <w:tcPr>
            <w:tcW w:w="2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8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20,137</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11,923</w:t>
            </w:r>
          </w:p>
        </w:tc>
      </w:tr>
      <w:tr>
        <w:trPr>
          <w:trHeight w:val="20"/>
        </w:trPr>
        <w:tc>
          <w:tcPr>
            <w:tcW w:w="114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-5080</wp:posOffset>
            </wp:positionV>
            <wp:extent cx="12890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-5080</wp:posOffset>
            </wp:positionV>
            <wp:extent cx="1111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-5080</wp:posOffset>
            </wp:positionV>
            <wp:extent cx="11176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-5080</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Stock-based compensation expense for the three and nine months ended September 30, 2021 and the three and nine months ended September 30, 2020 includes $1.1 million, $1.1 million, zero, and $8.1 million, respectively, of compensation expense related to common stock sales by select executives, which sales were made above fair value and were facilitated by us. For more information, refer to Note 6 of our condensed consolidated financial statements.</w:t>
      </w:r>
    </w:p>
    <w:p>
      <w:pPr>
        <w:spacing w:after="0" w:line="185"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data, for each of the periods presented, as a percentage of revenue.</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9"/>
                <w:szCs w:val="19"/>
                <w:color w:val="auto"/>
              </w:rPr>
            </w:pPr>
          </w:p>
        </w:tc>
        <w:tc>
          <w:tcPr>
            <w:tcW w:w="2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3780" w:type="dxa"/>
            <w:vAlign w:val="bottom"/>
          </w:tcPr>
          <w:p>
            <w:pPr>
              <w:spacing w:after="0"/>
              <w:rPr>
                <w:sz w:val="20"/>
                <w:szCs w:val="20"/>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50"/>
        </w:trPr>
        <w:tc>
          <w:tcPr>
            <w:tcW w:w="378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5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3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1"/>
              </w:rPr>
              <w:t>100%</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100%</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50"/>
        </w:trPr>
        <w:tc>
          <w:tcPr>
            <w:tcW w:w="3780" w:type="dxa"/>
            <w:vAlign w:val="bottom"/>
          </w:tcPr>
          <w:p>
            <w:pPr>
              <w:spacing w:after="0"/>
              <w:rPr>
                <w:sz w:val="20"/>
                <w:szCs w:val="20"/>
                <w:color w:val="auto"/>
              </w:rPr>
            </w:pPr>
            <w:r>
              <w:rPr>
                <w:rFonts w:ascii="Arial" w:cs="Arial" w:eastAsia="Arial" w:hAnsi="Arial"/>
                <w:sz w:val="18"/>
                <w:szCs w:val="18"/>
                <w:color w:val="auto"/>
              </w:rPr>
              <w:t>Cost of revenue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31%</w:t>
            </w:r>
          </w:p>
        </w:tc>
        <w:tc>
          <w:tcPr>
            <w:tcW w:w="14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29%</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31%</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29%</w:t>
            </w:r>
          </w:p>
        </w:tc>
      </w:tr>
      <w:tr>
        <w:trPr>
          <w:trHeight w:val="25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69%</w:t>
            </w:r>
          </w:p>
        </w:tc>
        <w:tc>
          <w:tcPr>
            <w:tcW w:w="13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4"/>
              </w:rPr>
              <w:t>71%</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69%</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71%</w:t>
            </w:r>
          </w:p>
        </w:tc>
      </w:tr>
      <w:tr>
        <w:trPr>
          <w:trHeight w:val="250"/>
        </w:trPr>
        <w:tc>
          <w:tcPr>
            <w:tcW w:w="37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63"/>
        </w:trPr>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41%</w:t>
            </w:r>
          </w:p>
        </w:tc>
        <w:tc>
          <w:tcPr>
            <w:tcW w:w="13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4"/>
              </w:rPr>
              <w:t>21%</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29%</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27%</w:t>
            </w:r>
          </w:p>
        </w:tc>
      </w:tr>
      <w:tr>
        <w:trPr>
          <w:trHeight w:val="250"/>
        </w:trPr>
        <w:tc>
          <w:tcPr>
            <w:tcW w:w="37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49%</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50%</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51%</w:t>
            </w:r>
          </w:p>
        </w:tc>
      </w:tr>
      <w:tr>
        <w:trPr>
          <w:trHeight w:val="257"/>
        </w:trPr>
        <w:tc>
          <w:tcPr>
            <w:tcW w:w="3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61%</w:t>
            </w:r>
          </w:p>
        </w:tc>
        <w:tc>
          <w:tcPr>
            <w:tcW w:w="1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1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19%</w:t>
            </w:r>
          </w:p>
        </w:tc>
      </w:tr>
      <w:tr>
        <w:trPr>
          <w:trHeight w:val="250"/>
        </w:trPr>
        <w:tc>
          <w:tcPr>
            <w:tcW w:w="37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4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114%</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97%</w:t>
            </w:r>
          </w:p>
        </w:tc>
      </w:tr>
      <w:tr>
        <w:trPr>
          <w:trHeight w:val="257"/>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(81)%</w:t>
            </w:r>
          </w:p>
        </w:tc>
        <w:tc>
          <w:tcPr>
            <w:tcW w:w="13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(9)%</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(45)%</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(26)%</w:t>
            </w:r>
          </w:p>
        </w:tc>
      </w:tr>
      <w:tr>
        <w:trPr>
          <w:trHeight w:val="250"/>
        </w:trPr>
        <w:tc>
          <w:tcPr>
            <w:tcW w:w="3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42"/>
        </w:trPr>
        <w:tc>
          <w:tcPr>
            <w:tcW w:w="3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before provision for (benefit from)</w:t>
            </w:r>
          </w:p>
        </w:tc>
        <w:tc>
          <w:tcPr>
            <w:tcW w:w="12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income</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44"/>
        </w:trPr>
        <w:tc>
          <w:tcPr>
            <w:tcW w:w="3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taxes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(81)%</w:t>
            </w:r>
          </w:p>
        </w:tc>
        <w:tc>
          <w:tcPr>
            <w:tcW w:w="13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(9)%</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(45)%</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(26)%</w:t>
            </w:r>
          </w:p>
        </w:tc>
      </w:tr>
      <w:tr>
        <w:trPr>
          <w:trHeight w:val="250"/>
        </w:trPr>
        <w:tc>
          <w:tcPr>
            <w:tcW w:w="37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w:t>
            </w:r>
          </w:p>
        </w:tc>
      </w:tr>
      <w:tr>
        <w:trPr>
          <w:trHeight w:val="25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(80)%</w:t>
            </w:r>
          </w:p>
        </w:tc>
        <w:tc>
          <w:tcPr>
            <w:tcW w:w="13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5"/>
              </w:rPr>
              <w:t>(10)%</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(45)%</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-1959610</wp:posOffset>
            </wp:positionV>
            <wp:extent cx="857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-1959610</wp:posOffset>
            </wp:positionV>
            <wp:extent cx="774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-1959610</wp:posOffset>
            </wp:positionV>
            <wp:extent cx="7747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-1299210</wp:posOffset>
            </wp:positionV>
            <wp:extent cx="857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-1299210</wp:posOffset>
            </wp:positionV>
            <wp:extent cx="7747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-1299210</wp:posOffset>
            </wp:positionV>
            <wp:extent cx="7747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2374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7"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43" w:lineRule="exact"/>
        <w:rPr>
          <w:sz w:val="20"/>
          <w:szCs w:val="20"/>
          <w:color w:val="auto"/>
        </w:rPr>
      </w:pPr>
    </w:p>
    <w:p>
      <w:pPr>
        <w:ind w:right="3700"/>
        <w:spacing w:after="0" w:line="418" w:lineRule="auto"/>
        <w:rPr>
          <w:sz w:val="20"/>
          <w:szCs w:val="20"/>
          <w:color w:val="auto"/>
        </w:rPr>
      </w:pPr>
      <w:r>
        <w:rPr>
          <w:rFonts w:ascii="Arial" w:cs="Arial" w:eastAsia="Arial" w:hAnsi="Arial"/>
          <w:sz w:val="18"/>
          <w:szCs w:val="18"/>
          <w:b w:val="1"/>
          <w:bCs w:val="1"/>
          <w:i w:val="1"/>
          <w:iCs w:val="1"/>
          <w:color w:val="auto"/>
        </w:rPr>
        <w:t xml:space="preserve">Comparison of Three Months Ended September 30, 2021 to Three Months Ended September 30, 2020 </w:t>
      </w:r>
      <w:r>
        <w:rPr>
          <w:rFonts w:ascii="Arial" w:cs="Arial" w:eastAsia="Arial" w:hAnsi="Arial"/>
          <w:sz w:val="18"/>
          <w:szCs w:val="18"/>
          <w:i w:val="1"/>
          <w:iCs w:val="1"/>
          <w:color w:val="auto"/>
        </w:rPr>
        <w:t>Revenue</w:t>
      </w:r>
    </w:p>
    <w:p>
      <w:pPr>
        <w:spacing w:after="0" w:line="12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22860</wp:posOffset>
            </wp:positionV>
            <wp:extent cx="19970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77"/>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4"/>
          </w:tcPr>
          <w:p>
            <w:pPr>
              <w:jc w:val="right"/>
              <w:ind w:right="190"/>
              <w:spacing w:after="0"/>
              <w:rPr>
                <w:sz w:val="20"/>
                <w:szCs w:val="20"/>
                <w:color w:val="auto"/>
              </w:rPr>
            </w:pPr>
            <w:r>
              <w:rPr>
                <w:rFonts w:ascii="Arial" w:cs="Arial" w:eastAsia="Arial" w:hAnsi="Arial"/>
                <w:sz w:val="18"/>
                <w:szCs w:val="18"/>
                <w:b w:val="1"/>
                <w:bCs w:val="1"/>
                <w:i w:val="1"/>
                <w:iCs w:val="1"/>
                <w:color w:val="auto"/>
                <w:w w:val="86"/>
              </w:rPr>
              <w:t>(in thousands, except percentages)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0"/>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172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72%</w:t>
            </w:r>
          </w:p>
        </w:tc>
      </w:tr>
    </w:tbl>
    <w:p>
      <w:pPr>
        <w:spacing w:after="0" w:line="269"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Revenue increased $19.1 million, or 72%, during the three months ended September 30, 2021 compared to the three months ended September 30, 2020. The increase in revenue was primarily due to growth of our paying customer base of 54% and revenue generated from our existing paying customers as reflected by our dollar-based net retention of 121% as of September 30, 2021.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132"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08"/>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1"/>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5"/>
          </w:tcPr>
          <w:p>
            <w:pPr>
              <w:jc w:val="right"/>
              <w:ind w:right="13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3"/>
        </w:trPr>
        <w:tc>
          <w:tcPr>
            <w:tcW w:w="46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 Change</w:t>
            </w:r>
          </w:p>
        </w:tc>
        <w:tc>
          <w:tcPr>
            <w:tcW w:w="24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77"/>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4"/>
          </w:tcPr>
          <w:p>
            <w:pPr>
              <w:jc w:val="right"/>
              <w:ind w:right="190"/>
              <w:spacing w:after="0"/>
              <w:rPr>
                <w:sz w:val="20"/>
                <w:szCs w:val="20"/>
                <w:color w:val="auto"/>
              </w:rPr>
            </w:pPr>
            <w:r>
              <w:rPr>
                <w:rFonts w:ascii="Arial" w:cs="Arial" w:eastAsia="Arial" w:hAnsi="Arial"/>
                <w:sz w:val="18"/>
                <w:szCs w:val="18"/>
                <w:b w:val="1"/>
                <w:bCs w:val="1"/>
                <w:i w:val="1"/>
                <w:iCs w:val="1"/>
                <w:color w:val="auto"/>
                <w:w w:val="87"/>
              </w:rPr>
              <w:t>(in thousands, except percentages)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13,982</w:t>
            </w:r>
          </w:p>
        </w:tc>
        <w:tc>
          <w:tcPr>
            <w:tcW w:w="4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w:t>
            </w: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17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8"/>
              </w:rPr>
              <w:t>80%</w:t>
            </w: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69 %</w:t>
            </w:r>
          </w:p>
        </w:tc>
        <w:tc>
          <w:tcPr>
            <w:tcW w:w="200" w:type="dxa"/>
            <w:vAlign w:val="bottom"/>
          </w:tcPr>
          <w:p>
            <w:pPr>
              <w:spacing w:after="0"/>
              <w:rPr>
                <w:sz w:val="23"/>
                <w:szCs w:val="23"/>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3"/>
                <w:szCs w:val="23"/>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283"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Cost of revenue increased $6.2 million, or 80%, during the three months ended September 30, 2021 compared to the three months ended September 30, 2020. The increase was primarily due to an increase of $3.9 million in third-party hosting costs as we increased capacity to support paying customer usage and growth of our paying customer base and $1.7 million in personnel and related expenses directly associated with an increase in headcount, including an increase in allocated overhead costs.</w:t>
      </w:r>
    </w:p>
    <w:p>
      <w:pPr>
        <w:spacing w:after="0" w:line="185"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Our gross margin decreased during the three months ended September 30, 2021 compared to the three months ended September 30, 2020 mainly due to increases in amortization of acquired intangible assets and stock-based compensation expenses.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08"/>
        </w:trPr>
        <w:tc>
          <w:tcPr>
            <w:tcW w:w="4700" w:type="dxa"/>
            <w:vAlign w:val="bottom"/>
          </w:tcPr>
          <w:p>
            <w:pPr>
              <w:spacing w:after="0"/>
              <w:rPr>
                <w:sz w:val="24"/>
                <w:szCs w:val="24"/>
                <w:color w:val="auto"/>
              </w:rPr>
            </w:pPr>
          </w:p>
        </w:tc>
        <w:tc>
          <w:tcPr>
            <w:tcW w:w="26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1"/>
        </w:trPr>
        <w:tc>
          <w:tcPr>
            <w:tcW w:w="4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4"/>
              </w:rPr>
              <w:t>September 30,</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3"/>
        </w:trPr>
        <w:tc>
          <w:tcPr>
            <w:tcW w:w="47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 Change</w:t>
            </w:r>
          </w:p>
        </w:tc>
      </w:tr>
      <w:tr>
        <w:trPr>
          <w:trHeight w:val="277"/>
        </w:trPr>
        <w:tc>
          <w:tcPr>
            <w:tcW w:w="4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5"/>
          </w:tcPr>
          <w:p>
            <w:pPr>
              <w:jc w:val="right"/>
              <w:ind w:right="170"/>
              <w:spacing w:after="0"/>
              <w:rPr>
                <w:sz w:val="20"/>
                <w:szCs w:val="20"/>
                <w:color w:val="auto"/>
              </w:rPr>
            </w:pPr>
            <w:r>
              <w:rPr>
                <w:rFonts w:ascii="Arial" w:cs="Arial" w:eastAsia="Arial" w:hAnsi="Arial"/>
                <w:sz w:val="18"/>
                <w:szCs w:val="18"/>
                <w:b w:val="1"/>
                <w:bCs w:val="1"/>
                <w:i w:val="1"/>
                <w:iCs w:val="1"/>
                <w:color w:val="auto"/>
                <w:w w:val="93"/>
              </w:rPr>
              <w:t>(in thousands, except percentages)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0"/>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18,493</w:t>
            </w: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12,907</w:t>
            </w:r>
          </w:p>
        </w:tc>
        <w:tc>
          <w:tcPr>
            <w:tcW w:w="17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231%</w:t>
            </w:r>
          </w:p>
        </w:tc>
      </w:tr>
      <w:tr>
        <w:trPr>
          <w:trHeight w:val="277"/>
        </w:trPr>
        <w:tc>
          <w:tcPr>
            <w:tcW w:w="4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22,199</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11,482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10,717</w:t>
            </w:r>
          </w:p>
        </w:tc>
        <w:tc>
          <w:tcPr>
            <w:tcW w:w="172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93%</w:t>
            </w:r>
          </w:p>
        </w:tc>
      </w:tr>
      <w:tr>
        <w:trPr>
          <w:trHeight w:val="27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27,567</w:t>
            </w: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23,649</w:t>
            </w:r>
          </w:p>
        </w:tc>
        <w:tc>
          <w:tcPr>
            <w:tcW w:w="172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604%</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68,259</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20,986</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47,273</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-184785</wp:posOffset>
            </wp:positionV>
            <wp:extent cx="1543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-184785</wp:posOffset>
            </wp:positionV>
            <wp:extent cx="15430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-184785</wp:posOffset>
            </wp:positionV>
            <wp:extent cx="1543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31"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Research and development expenses increased $12.9 million, or 231%, during the three months ended September 30, 2021 compared to the three months ended September 30, 2020. The increase was primarily due to an increase of $9.5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also was attributable to $3.2 million in personnel and related expenses directly associated with an increase in headcount, including an increase in allocated overhead costs.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31"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Sales and marketing expenses increased $10.7 million, or 93%, during the three months ended September 30, 2021 compared to the three months ended September 30, 2020. The increase was primarily due to an increase of $7.2 million in personnel and related expenses directly associated with an increase in headcount, including an increase in allocated overhead costs. This increase also was attributable to $2.3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was also attributable to an increase of $1.2 million related to expenses to support our marketing, lead generation and advertising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General and administrative expenses increased $23.6 million, or 604%, during the three months ended September 30, 2021 compared to the three months ended September 30, 2020. The increase was primarily due to an increase of $16.8 million in fees for professional services incurred in connection with our Direct Listing and in preparation for operating as a public company. The increase was also attributable to a $4.5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also was attributable to $2.4 million in personnel and related expenses directly associated with an increase in headcount, including an increase in allocated overhead costs.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08"/>
        </w:trPr>
        <w:tc>
          <w:tcPr>
            <w:tcW w:w="4700" w:type="dxa"/>
            <w:vAlign w:val="bottom"/>
          </w:tcPr>
          <w:p>
            <w:pPr>
              <w:spacing w:after="0"/>
              <w:rPr>
                <w:sz w:val="24"/>
                <w:szCs w:val="24"/>
                <w:color w:val="auto"/>
              </w:rPr>
            </w:pPr>
          </w:p>
        </w:tc>
        <w:tc>
          <w:tcPr>
            <w:tcW w:w="28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1"/>
        </w:trPr>
        <w:tc>
          <w:tcPr>
            <w:tcW w:w="47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3"/>
        </w:trPr>
        <w:tc>
          <w:tcPr>
            <w:tcW w:w="47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77"/>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5"/>
          </w:tcPr>
          <w:p>
            <w:pPr>
              <w:jc w:val="right"/>
              <w:ind w:right="170"/>
              <w:spacing w:after="0"/>
              <w:rPr>
                <w:sz w:val="20"/>
                <w:szCs w:val="20"/>
                <w:color w:val="auto"/>
              </w:rPr>
            </w:pPr>
            <w:r>
              <w:rPr>
                <w:rFonts w:ascii="Arial" w:cs="Arial" w:eastAsia="Arial" w:hAnsi="Arial"/>
                <w:sz w:val="18"/>
                <w:szCs w:val="18"/>
                <w:b w:val="1"/>
                <w:bCs w:val="1"/>
                <w:i w:val="1"/>
                <w:iCs w:val="1"/>
                <w:color w:val="auto"/>
                <w:w w:val="92"/>
              </w:rPr>
              <w:t>(in thousands, except percentages)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0"/>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34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72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583%</w:t>
            </w:r>
          </w:p>
        </w:tc>
      </w:tr>
    </w:tbl>
    <w:p>
      <w:pPr>
        <w:spacing w:after="0" w:line="269" w:lineRule="exact"/>
        <w:rPr>
          <w:sz w:val="20"/>
          <w:szCs w:val="20"/>
          <w:color w:val="auto"/>
        </w:rPr>
      </w:pPr>
    </w:p>
    <w:p>
      <w:pPr>
        <w:ind w:right="200" w:firstLine="509"/>
        <w:spacing w:after="0" w:line="329" w:lineRule="auto"/>
        <w:rPr>
          <w:sz w:val="20"/>
          <w:szCs w:val="20"/>
          <w:color w:val="auto"/>
        </w:rPr>
      </w:pPr>
      <w:r>
        <w:rPr>
          <w:rFonts w:ascii="Arial" w:cs="Arial" w:eastAsia="Arial" w:hAnsi="Arial"/>
          <w:sz w:val="16"/>
          <w:szCs w:val="16"/>
          <w:color w:val="auto"/>
        </w:rPr>
        <w:t>Other income (expense), net increased $0.1 million, or 583%, during the three months ended September 30, 2021 compared to the three months ended September 30, 2020. The increase was primarily related to a $0.1 million increase in interest income resulting from a higher average cash and cash equivalents balance during the three months ended September 30, 2021 compared to the three months ended September 30,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Provision for (Benefit From) Income Taxes</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08"/>
        </w:trPr>
        <w:tc>
          <w:tcPr>
            <w:tcW w:w="4660" w:type="dxa"/>
            <w:vAlign w:val="bottom"/>
          </w:tcPr>
          <w:p>
            <w:pPr>
              <w:spacing w:after="0"/>
              <w:rPr>
                <w:sz w:val="24"/>
                <w:szCs w:val="24"/>
                <w:color w:val="auto"/>
              </w:rPr>
            </w:pPr>
          </w:p>
        </w:tc>
        <w:tc>
          <w:tcPr>
            <w:tcW w:w="27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1"/>
        </w:trPr>
        <w:tc>
          <w:tcPr>
            <w:tcW w:w="4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3"/>
        </w:trPr>
        <w:tc>
          <w:tcPr>
            <w:tcW w:w="46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77"/>
        </w:trPr>
        <w:tc>
          <w:tcPr>
            <w:tcW w:w="4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6"/>
          </w:tcPr>
          <w:p>
            <w:pPr>
              <w:jc w:val="right"/>
              <w:ind w:right="520"/>
              <w:spacing w:after="0"/>
              <w:rPr>
                <w:sz w:val="20"/>
                <w:szCs w:val="20"/>
                <w:color w:val="auto"/>
              </w:rPr>
            </w:pPr>
            <w:r>
              <w:rPr>
                <w:rFonts w:ascii="Arial" w:cs="Arial" w:eastAsia="Arial" w:hAnsi="Arial"/>
                <w:sz w:val="18"/>
                <w:szCs w:val="18"/>
                <w:b w:val="1"/>
                <w:bCs w:val="1"/>
                <w:i w:val="1"/>
                <w:iCs w:val="1"/>
                <w:color w:val="auto"/>
                <w:w w:val="93"/>
              </w:rPr>
              <w:t>(in thousands, except percentages)</w:t>
            </w:r>
          </w:p>
        </w:tc>
        <w:tc>
          <w:tcPr>
            <w:tcW w:w="1480" w:type="dxa"/>
            <w:vAlign w:val="bottom"/>
          </w:tcPr>
          <w:p>
            <w:pPr>
              <w:spacing w:after="0"/>
              <w:rPr>
                <w:sz w:val="24"/>
                <w:szCs w:val="24"/>
                <w:color w:val="auto"/>
              </w:rPr>
            </w:pPr>
          </w:p>
        </w:tc>
      </w:tr>
      <w:tr>
        <w:trPr>
          <w:trHeight w:val="29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FF0FC"/>
          </w:tcPr>
          <w:p>
            <w:pPr>
              <w:jc w:val="right"/>
              <w:ind w:right="830"/>
              <w:spacing w:after="0"/>
              <w:rPr>
                <w:sz w:val="20"/>
                <w:szCs w:val="20"/>
                <w:color w:val="auto"/>
              </w:rPr>
            </w:pPr>
            <w:r>
              <w:rPr>
                <w:rFonts w:ascii="Arial" w:cs="Arial" w:eastAsia="Arial" w:hAnsi="Arial"/>
                <w:sz w:val="18"/>
                <w:szCs w:val="18"/>
                <w:color w:val="auto"/>
              </w:rPr>
              <w:t>(86 )   $</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(293 )</w:t>
            </w:r>
          </w:p>
        </w:tc>
        <w:tc>
          <w:tcPr>
            <w:tcW w:w="14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(142%)</w:t>
            </w:r>
          </w:p>
        </w:tc>
      </w:tr>
    </w:tbl>
    <w:p>
      <w:pPr>
        <w:spacing w:after="0" w:line="269" w:lineRule="exact"/>
        <w:rPr>
          <w:sz w:val="20"/>
          <w:szCs w:val="20"/>
          <w:color w:val="auto"/>
        </w:rPr>
      </w:pPr>
    </w:p>
    <w:p>
      <w:pPr>
        <w:ind w:right="460" w:firstLine="509"/>
        <w:spacing w:after="0" w:line="279" w:lineRule="auto"/>
        <w:rPr>
          <w:sz w:val="20"/>
          <w:szCs w:val="20"/>
          <w:color w:val="auto"/>
        </w:rPr>
      </w:pPr>
      <w:r>
        <w:rPr>
          <w:rFonts w:ascii="Arial" w:cs="Arial" w:eastAsia="Arial" w:hAnsi="Arial"/>
          <w:sz w:val="18"/>
          <w:szCs w:val="18"/>
          <w:color w:val="auto"/>
        </w:rPr>
        <w:t>Provision for income taxes decreased $0.3 million, or 142%, during the three months ended September 30, 2021 compared to the three months ended September 30, 2020 mainly due to a one-time benefit related to deferred taxes acquired as part of a business combination of a privately-held company.</w:t>
      </w:r>
    </w:p>
    <w:p>
      <w:pPr>
        <w:spacing w:after="0" w:line="291" w:lineRule="exact"/>
        <w:rPr>
          <w:sz w:val="20"/>
          <w:szCs w:val="20"/>
          <w:color w:val="auto"/>
        </w:rPr>
      </w:pPr>
    </w:p>
    <w:p>
      <w:pPr>
        <w:ind w:right="3860"/>
        <w:spacing w:after="0" w:line="418" w:lineRule="auto"/>
        <w:rPr>
          <w:sz w:val="20"/>
          <w:szCs w:val="20"/>
          <w:color w:val="auto"/>
        </w:rPr>
      </w:pPr>
      <w:r>
        <w:rPr>
          <w:rFonts w:ascii="Arial" w:cs="Arial" w:eastAsia="Arial" w:hAnsi="Arial"/>
          <w:sz w:val="18"/>
          <w:szCs w:val="18"/>
          <w:b w:val="1"/>
          <w:bCs w:val="1"/>
          <w:i w:val="1"/>
          <w:iCs w:val="1"/>
          <w:color w:val="auto"/>
        </w:rPr>
        <w:t xml:space="preserve">Comparison of Nine Months Ended September 30, 2021 to Nine Months Ended September 30, 2020 </w:t>
      </w:r>
      <w:r>
        <w:rPr>
          <w:rFonts w:ascii="Arial" w:cs="Arial" w:eastAsia="Arial" w:hAnsi="Arial"/>
          <w:sz w:val="18"/>
          <w:szCs w:val="18"/>
          <w:i w:val="1"/>
          <w:iCs w:val="1"/>
          <w:color w:val="auto"/>
        </w:rPr>
        <w:t>Revenue</w:t>
      </w:r>
    </w:p>
    <w:p>
      <w:pPr>
        <w:spacing w:after="0" w:line="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22860</wp:posOffset>
            </wp:positionV>
            <wp:extent cx="1585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5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 Change</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77"/>
        </w:trPr>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20" w:type="dxa"/>
            <w:vAlign w:val="bottom"/>
            <w:gridSpan w:val="7"/>
          </w:tcPr>
          <w:p>
            <w:pPr>
              <w:ind w:left="4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1120" w:type="dxa"/>
            <w:vAlign w:val="bottom"/>
          </w:tcPr>
          <w:p>
            <w:pPr>
              <w:spacing w:after="0"/>
              <w:rPr>
                <w:sz w:val="24"/>
                <w:szCs w:val="24"/>
                <w:color w:val="auto"/>
              </w:rPr>
            </w:pPr>
          </w:p>
        </w:tc>
      </w:tr>
      <w:tr>
        <w:trPr>
          <w:trHeight w:val="29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45,449</w:t>
            </w:r>
          </w:p>
        </w:tc>
        <w:tc>
          <w:tcPr>
            <w:tcW w:w="1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Revenue increased $45.4 million, or 63%, during the nine months ended September 30, 2021 compared to the nine months ended September 30, 2020. The increase in revenue was primarily due to growth of our paying customer base of 54% and revenue generated from our existing paying customers as reflected by our dollar-based net retention of 121% as of September 30, 2021.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Cost of Revenue and Gross Margin</w:t>
      </w:r>
    </w:p>
    <w:p>
      <w:pPr>
        <w:spacing w:after="0" w:line="26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22860</wp:posOffset>
            </wp:positionV>
            <wp:extent cx="15513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 Change</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77"/>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i w:val="1"/>
                <w:iCs w:val="1"/>
                <w:color w:val="auto"/>
                <w:w w:val="85"/>
              </w:rPr>
              <w:t>(in thousands, except percentages)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0"/>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36,372</w:t>
            </w:r>
          </w:p>
        </w:tc>
        <w:tc>
          <w:tcPr>
            <w:tcW w:w="200" w:type="dxa"/>
            <w:vAlign w:val="bottom"/>
            <w:shd w:val="clear" w:color="auto" w:fill="CFF0FC"/>
          </w:tcPr>
          <w:p>
            <w:pPr>
              <w:spacing w:after="0"/>
              <w:rPr>
                <w:sz w:val="24"/>
                <w:szCs w:val="24"/>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21,281</w:t>
            </w: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15,091</w:t>
            </w:r>
          </w:p>
        </w:tc>
        <w:tc>
          <w:tcPr>
            <w:tcW w:w="12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71%</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69 %</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71 %</w:t>
            </w:r>
          </w:p>
        </w:tc>
        <w:tc>
          <w:tcPr>
            <w:tcW w:w="14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83"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Cost of revenue increased $15.1 million, or 71%, during the nine months ended September 30, 2021 compared to the nine months ended September 30, 2020. The increase was primarily due to an increase of $9.3 million in third-party hosting costs as we increased capacity to support paying customer usage and growth of our paying customer base and $4.2 million in personnel and related expenses directly associated with an increase in headcount, including an increase in allocated overhead costs. Additionally, cost of revenue increased by $1.5 million due to the amortization of acquired intangibles assets related to our business combinations.</w:t>
      </w:r>
    </w:p>
    <w:p>
      <w:pPr>
        <w:spacing w:after="0" w:line="19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Our gross margin decreased during the nine months ended September 30, 2021 compared to the nine months ended September 30, 2020 mainly due to increases in amortization of acquired intangible assets and stock-based compensation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6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22860</wp:posOffset>
            </wp:positionV>
            <wp:extent cx="15430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 Change</w:t>
            </w:r>
          </w:p>
        </w:tc>
        <w:tc>
          <w:tcPr>
            <w:tcW w:w="160" w:type="dxa"/>
            <w:vAlign w:val="bottom"/>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Change</w:t>
            </w:r>
          </w:p>
        </w:tc>
      </w:tr>
      <w:tr>
        <w:trPr>
          <w:trHeight w:val="277"/>
        </w:trPr>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7"/>
              </w:rPr>
              <w:t>(in thousands, except percentages)</w:t>
            </w:r>
          </w:p>
        </w:tc>
        <w:tc>
          <w:tcPr>
            <w:tcW w:w="1080" w:type="dxa"/>
            <w:vAlign w:val="bottom"/>
          </w:tcPr>
          <w:p>
            <w:pPr>
              <w:spacing w:after="0"/>
              <w:rPr>
                <w:sz w:val="24"/>
                <w:szCs w:val="24"/>
                <w:color w:val="auto"/>
              </w:rPr>
            </w:pPr>
          </w:p>
        </w:tc>
      </w:tr>
      <w:tr>
        <w:trPr>
          <w:trHeight w:val="29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34,022</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60" w:type="dxa"/>
            <w:vAlign w:val="bottom"/>
            <w:shd w:val="clear" w:color="auto" w:fill="CFF0FC"/>
          </w:tcPr>
          <w:p>
            <w:pPr>
              <w:spacing w:after="0"/>
              <w:rPr>
                <w:sz w:val="24"/>
                <w:szCs w:val="2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72%</w:t>
            </w:r>
          </w:p>
        </w:tc>
      </w:tr>
      <w:tr>
        <w:trPr>
          <w:trHeight w:val="277"/>
        </w:trPr>
        <w:tc>
          <w:tcPr>
            <w:tcW w:w="29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59,009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36,851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22,158</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7"/>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41,098</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27,682</w:t>
            </w:r>
          </w:p>
        </w:tc>
        <w:tc>
          <w:tcPr>
            <w:tcW w:w="1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206%</w:t>
            </w:r>
          </w:p>
        </w:tc>
      </w:tr>
      <w:tr>
        <w:trPr>
          <w:trHeight w:val="263"/>
        </w:trPr>
        <w:tc>
          <w:tcPr>
            <w:tcW w:w="2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134,129</w:t>
            </w: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69,994</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64,135</w:t>
            </w:r>
          </w:p>
        </w:tc>
        <w:tc>
          <w:tcPr>
            <w:tcW w:w="1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-184785</wp:posOffset>
            </wp:positionV>
            <wp:extent cx="11112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-184785</wp:posOffset>
            </wp:positionV>
            <wp:extent cx="9461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-184785</wp:posOffset>
            </wp:positionV>
            <wp:extent cx="939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31" w:lineRule="exact"/>
        <w:rPr>
          <w:sz w:val="20"/>
          <w:szCs w:val="20"/>
          <w:color w:val="auto"/>
        </w:rPr>
      </w:pPr>
    </w:p>
    <w:p>
      <w:pPr>
        <w:ind w:right="260" w:firstLine="509"/>
        <w:spacing w:after="0" w:line="292" w:lineRule="auto"/>
        <w:rPr>
          <w:sz w:val="20"/>
          <w:szCs w:val="20"/>
          <w:color w:val="auto"/>
        </w:rPr>
      </w:pPr>
      <w:r>
        <w:rPr>
          <w:rFonts w:ascii="Arial" w:cs="Arial" w:eastAsia="Arial" w:hAnsi="Arial"/>
          <w:sz w:val="17"/>
          <w:szCs w:val="17"/>
          <w:color w:val="auto"/>
        </w:rPr>
        <w:t>Research and development expenses increased $14.3 million, or 72%, during the nine months ended September 30, 2021 compared to the nine months ended September 30, 2020. The increase was primarily due to $7.5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 This increase also was attributable to an increase of $6.8 million in personnel and related expenses directly associated with an increase in headcount, including an increase in allocated overhead costs.</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Sales and Marketing</w:t>
      </w:r>
    </w:p>
    <w:p>
      <w:pPr>
        <w:spacing w:after="0" w:line="131" w:lineRule="exact"/>
        <w:rPr>
          <w:sz w:val="20"/>
          <w:szCs w:val="20"/>
          <w:color w:val="auto"/>
        </w:rPr>
      </w:pPr>
    </w:p>
    <w:p>
      <w:pPr>
        <w:ind w:right="260" w:firstLine="509"/>
        <w:spacing w:after="0" w:line="275" w:lineRule="auto"/>
        <w:rPr>
          <w:sz w:val="20"/>
          <w:szCs w:val="20"/>
          <w:color w:val="auto"/>
        </w:rPr>
      </w:pPr>
      <w:r>
        <w:rPr>
          <w:rFonts w:ascii="Arial" w:cs="Arial" w:eastAsia="Arial" w:hAnsi="Arial"/>
          <w:sz w:val="18"/>
          <w:szCs w:val="18"/>
          <w:color w:val="auto"/>
        </w:rPr>
        <w:t>Sales and marketing expenses increased $22.2 million, or 60%, during the nine months ended September 30, 2021 compared to the nine months ended September 30, 2020. The increase was primarily due to an increase of $16.5 million in personnel and related expenses directly associated with an increase in headcount, including an increase in allocated overhead costs. This increase was also attributable to an increase of $5.3 million related to expenses to support our marketing, lead generation and advertising programs.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General and administrative expenses increased $27.7 million, or 206%, during the nine months ended September 30, 2021 compared to the nine months ended September 30, 2020. The increase was primarily due to an increase of $20.7 million in fees for professional services incurred in connection with our Direct Listing and in preparation for operating as a public company. This increase also was attributable to $3.7 million in personnel and related expenses directly associated with an increase in headcount, including an increase in allocated overhead costs. The increase was also attributable to a $3.3 million in stock-based compensation expenses and related payroll taxes as a result of increased headcount, increased value of stock-based awards, and additional expense due to the satisfaction of the performance-based vesting condition of certain equity awards upon the Direct Listing.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30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22860</wp:posOffset>
            </wp:positionV>
            <wp:extent cx="1440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77"/>
        </w:trPr>
        <w:tc>
          <w:tcPr>
            <w:tcW w:w="2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7"/>
          </w:tcPr>
          <w:p>
            <w:pPr>
              <w:jc w:val="right"/>
              <w:ind w:right="40"/>
              <w:spacing w:after="0"/>
              <w:rPr>
                <w:sz w:val="20"/>
                <w:szCs w:val="20"/>
                <w:color w:val="auto"/>
              </w:rPr>
            </w:pPr>
            <w:r>
              <w:rPr>
                <w:rFonts w:ascii="Arial" w:cs="Arial" w:eastAsia="Arial" w:hAnsi="Arial"/>
                <w:sz w:val="18"/>
                <w:szCs w:val="18"/>
                <w:b w:val="1"/>
                <w:bCs w:val="1"/>
                <w:i w:val="1"/>
                <w:iCs w:val="1"/>
                <w:color w:val="auto"/>
                <w:w w:val="87"/>
              </w:rPr>
              <w:t>(in thousands, except percentages)</w:t>
            </w:r>
          </w:p>
        </w:tc>
        <w:tc>
          <w:tcPr>
            <w:tcW w:w="1120" w:type="dxa"/>
            <w:vAlign w:val="bottom"/>
          </w:tcPr>
          <w:p>
            <w:pPr>
              <w:spacing w:after="0"/>
              <w:rPr>
                <w:sz w:val="24"/>
                <w:szCs w:val="24"/>
                <w:color w:val="auto"/>
              </w:rPr>
            </w:pPr>
          </w:p>
        </w:tc>
      </w:tr>
      <w:tr>
        <w:trPr>
          <w:trHeight w:val="29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143</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(102 )</w:t>
            </w:r>
          </w:p>
        </w:tc>
        <w:tc>
          <w:tcPr>
            <w:tcW w:w="11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(42%)</w:t>
            </w:r>
          </w:p>
        </w:tc>
      </w:tr>
    </w:tbl>
    <w:p>
      <w:pPr>
        <w:spacing w:after="0" w:line="215" w:lineRule="exact"/>
        <w:rPr>
          <w:sz w:val="20"/>
          <w:szCs w:val="20"/>
          <w:color w:val="auto"/>
        </w:rPr>
      </w:pPr>
    </w:p>
    <w:p>
      <w:pPr>
        <w:ind w:right="20" w:firstLine="509"/>
        <w:spacing w:after="0" w:line="303" w:lineRule="auto"/>
        <w:rPr>
          <w:sz w:val="20"/>
          <w:szCs w:val="20"/>
          <w:color w:val="auto"/>
        </w:rPr>
      </w:pPr>
      <w:r>
        <w:rPr>
          <w:rFonts w:ascii="Arial" w:cs="Arial" w:eastAsia="Arial" w:hAnsi="Arial"/>
          <w:sz w:val="17"/>
          <w:szCs w:val="17"/>
          <w:color w:val="auto"/>
        </w:rPr>
        <w:t>Other income (expense), net decreased $0.1 million, or 42%, during the nine months ended September 30, 2021 compared to the nine months ended September 30, 2020. The decrease is related to a $0.1 million decrease in interest income resulting from lower average interest rate on our cash and cash equivalents for the nine months ended September 30, 2021 compared to the nine months ended September 30,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0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22860</wp:posOffset>
            </wp:positionV>
            <wp:extent cx="14916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5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 Change</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77"/>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gridSpan w:val="7"/>
          </w:tcPr>
          <w:p>
            <w:pPr>
              <w:ind w:left="80"/>
              <w:spacing w:after="0"/>
              <w:rPr>
                <w:sz w:val="20"/>
                <w:szCs w:val="20"/>
                <w:color w:val="auto"/>
              </w:rPr>
            </w:pPr>
            <w:r>
              <w:rPr>
                <w:rFonts w:ascii="Arial" w:cs="Arial" w:eastAsia="Arial" w:hAnsi="Arial"/>
                <w:sz w:val="18"/>
                <w:szCs w:val="18"/>
                <w:b w:val="1"/>
                <w:bCs w:val="1"/>
                <w:i w:val="1"/>
                <w:iCs w:val="1"/>
                <w:color w:val="auto"/>
                <w:w w:val="88"/>
              </w:rPr>
              <w:t>(in thousands, except percentages)</w:t>
            </w:r>
          </w:p>
        </w:tc>
        <w:tc>
          <w:tcPr>
            <w:tcW w:w="1000" w:type="dxa"/>
            <w:vAlign w:val="bottom"/>
          </w:tcPr>
          <w:p>
            <w:pPr>
              <w:spacing w:after="0"/>
              <w:rPr>
                <w:sz w:val="24"/>
                <w:szCs w:val="24"/>
                <w:color w:val="auto"/>
              </w:rPr>
            </w:pPr>
          </w:p>
        </w:tc>
      </w:tr>
      <w:tr>
        <w:trPr>
          <w:trHeight w:val="24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44"/>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w:t>
            </w:r>
          </w:p>
        </w:tc>
      </w:tr>
    </w:tbl>
    <w:p>
      <w:pPr>
        <w:spacing w:after="0" w:line="215"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Provision for income taxes increased approximately 1% during the nine months ended September 30, 2021 compared to the nine months ended September 30, 2020 primarily due to increased foreign taxes resulting from increased foreign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$157.9 million as of September 30, 2021 and negative cash flows from operating activities for the nine months ended September 30, 2021 and 2020.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4" w:name="page35"/>
    <w:bookmarkEnd w:id="34"/>
    <w:p>
      <w:pPr>
        <w:jc w:val="both"/>
        <w:ind w:right="220" w:firstLine="509"/>
        <w:spacing w:after="0" w:line="292" w:lineRule="auto"/>
        <w:rPr>
          <w:sz w:val="20"/>
          <w:szCs w:val="20"/>
          <w:color w:val="auto"/>
        </w:rPr>
      </w:pPr>
      <w:r>
        <w:rPr>
          <w:rFonts w:ascii="Arial" w:cs="Arial" w:eastAsia="Arial" w:hAnsi="Arial"/>
          <w:sz w:val="17"/>
          <w:szCs w:val="17"/>
          <w:color w:val="auto"/>
        </w:rPr>
        <w:t>As of September 30, 2021, our principal sources of liquidity were cash and cash equivalents of $317.8 million and restricted cash of $1.9 million.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September 30, 2021, we had $71.5 million of deferred revenue, all of which was recorded as a current liability. This deferred revenue will be recognized as revenue when or as the related performance obligations are met.</w:t>
      </w:r>
    </w:p>
    <w:p>
      <w:pPr>
        <w:spacing w:after="0" w:line="174"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520"/>
              <w:spacing w:after="0"/>
              <w:rPr>
                <w:sz w:val="20"/>
                <w:szCs w:val="20"/>
                <w:color w:val="auto"/>
              </w:rPr>
            </w:pPr>
            <w:r>
              <w:rPr>
                <w:rFonts w:ascii="Arial" w:cs="Arial" w:eastAsia="Arial" w:hAnsi="Arial"/>
                <w:sz w:val="18"/>
                <w:szCs w:val="18"/>
                <w:color w:val="auto"/>
                <w:w w:val="94"/>
              </w:rPr>
              <w:t>The following table shows a summary of our cash flows for the periods presented:</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6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1"/>
              </w:rPr>
              <w:t>Nine Months Ended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7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September 30,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7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0"/>
        </w:trPr>
        <w:tc>
          <w:tcPr>
            <w:tcW w:w="6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20" w:type="dxa"/>
            <w:vAlign w:val="bottom"/>
            <w:gridSpan w:val="3"/>
          </w:tcPr>
          <w:p>
            <w:pPr>
              <w:jc w:val="center"/>
              <w:ind w:left="770"/>
              <w:spacing w:after="0"/>
              <w:rPr>
                <w:sz w:val="20"/>
                <w:szCs w:val="20"/>
                <w:color w:val="auto"/>
              </w:rPr>
            </w:pPr>
            <w:r>
              <w:rPr>
                <w:rFonts w:ascii="Arial" w:cs="Arial" w:eastAsia="Arial" w:hAnsi="Arial"/>
                <w:sz w:val="18"/>
                <w:szCs w:val="18"/>
                <w:b w:val="1"/>
                <w:bCs w:val="1"/>
                <w:i w:val="1"/>
                <w:iCs w:val="1"/>
                <w:color w:val="auto"/>
                <w:w w:val="87"/>
              </w:rPr>
              <w:t>(in thousands)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9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(20,609 )</w:t>
            </w: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(7,401 )</w:t>
            </w:r>
          </w:p>
        </w:tc>
      </w:tr>
      <w:tr>
        <w:trPr>
          <w:trHeight w:val="277"/>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(358 )</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(5,102 )</w:t>
            </w:r>
          </w:p>
        </w:tc>
      </w:tr>
      <w:tr>
        <w:trPr>
          <w:trHeight w:val="29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221,798</w:t>
            </w:r>
          </w:p>
        </w:tc>
        <w:tc>
          <w:tcPr>
            <w:tcW w:w="340" w:type="dxa"/>
            <w:vAlign w:val="bottom"/>
            <w:shd w:val="clear" w:color="auto" w:fill="CFF0FC"/>
          </w:tcPr>
          <w:p>
            <w:pPr>
              <w:spacing w:after="0"/>
              <w:rPr>
                <w:sz w:val="24"/>
                <w:szCs w:val="24"/>
                <w:color w:val="auto"/>
              </w:rPr>
            </w:pP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51,192</w:t>
            </w:r>
          </w:p>
        </w:tc>
        <w:tc>
          <w:tcPr>
            <w:tcW w:w="100" w:type="dxa"/>
            <w:vAlign w:val="bottom"/>
            <w:shd w:val="clear" w:color="auto" w:fill="CFF0FC"/>
          </w:tcPr>
          <w:p>
            <w:pPr>
              <w:spacing w:after="0"/>
              <w:rPr>
                <w:sz w:val="24"/>
                <w:szCs w:val="24"/>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p>
    <w:p>
      <w:pPr>
        <w:spacing w:after="0" w:line="18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Net cash used in operating activities of $20.6 million for the nine months ended September 30, 2021 reflects our net loss of $53.1 million, adjusted by non-cash items such as stock-based compensation expense of $20.1 million and depreciation and amortization of $2.2 million as well as net cash provided by changes in our operating assets and liabilities of $10.5 million. The net cash provided by changes in operating assets and liabilities primarily consisted of a $30.6 million increase in deferred revenue, resulting from increased billings for subscriptions, and a $6.3 million increase in accrued expenses and accounts payable, resulting primarily from increases in accrued professional services, marketing, accrued payroll, and benefits due to an increase in the size of our operations. These increases were partially offset by a $15.5 million increase in prepaid expenses and other current and noncurrent assets related to an increase in prepayments made in advance for future services, an increase in deferred commissions of $6.7 million, and a $5.4 million increase in accounts receivable due to higher customer billings.</w:t>
      </w:r>
    </w:p>
    <w:p>
      <w:pPr>
        <w:spacing w:after="0" w:line="18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Net cash used in operating activities of $7.4 million for the nine months ended September 30, 2020 reflects our net loss of $19.2 million, adjusted by non-cash items such as stock-based compensation expense of $11.9 million and depreciation and amortization of $1.1 million as well as net cash used from changes in our operating assets and liabilities of $1.4 million. The net cash used from changes in operating assets and liabilities primarily consisted of an increase in deferred commissions of $3.8 million, a $3.9 million increase in accounts receivable due to higher customer billings, as well as a $0.6 million increase in prepaid expenses and other current and noncurrent assets related to an increase in prepayments made in advance for future services. These decreases were partially offset by a $6.5 million increase in deferred revenue, resulting from increased billings for subscriptions.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Net cash used in investing activities of $0.4 million for the nine months ended September 30, 2021 consisted of $1.1 million of capitalized internal-use software development costs and $1.0 million in purchases of property and equipment. These decreases were partially offset by $1.7 million in net cash acquired upon the acquisition of a privately-held company.</w:t>
      </w:r>
    </w:p>
    <w:p>
      <w:pPr>
        <w:spacing w:after="0" w:line="183" w:lineRule="exact"/>
        <w:rPr>
          <w:sz w:val="20"/>
          <w:szCs w:val="20"/>
          <w:color w:val="auto"/>
        </w:rPr>
      </w:pPr>
    </w:p>
    <w:p>
      <w:pPr>
        <w:ind w:right="400" w:firstLine="509"/>
        <w:spacing w:after="0" w:line="324" w:lineRule="auto"/>
        <w:rPr>
          <w:sz w:val="20"/>
          <w:szCs w:val="20"/>
          <w:color w:val="auto"/>
        </w:rPr>
      </w:pPr>
      <w:r>
        <w:rPr>
          <w:rFonts w:ascii="Arial" w:cs="Arial" w:eastAsia="Arial" w:hAnsi="Arial"/>
          <w:sz w:val="17"/>
          <w:szCs w:val="17"/>
          <w:color w:val="auto"/>
        </w:rPr>
        <w:t>Net cash used in investing activities of $5.1 million for the nine months ended September 30, 2020 consisted of $3.7 million in cash paid for an acquisition, $0.9 million of capitalized internal-use software development costs, and $0.5 million in purchases of property and equipment.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1" w:lineRule="exact"/>
        <w:rPr>
          <w:sz w:val="20"/>
          <w:szCs w:val="20"/>
          <w:color w:val="auto"/>
        </w:rPr>
      </w:pPr>
    </w:p>
    <w:p>
      <w:pPr>
        <w:ind w:right="140" w:firstLine="509"/>
        <w:spacing w:after="0" w:line="319" w:lineRule="auto"/>
        <w:rPr>
          <w:sz w:val="20"/>
          <w:szCs w:val="20"/>
          <w:color w:val="auto"/>
        </w:rPr>
      </w:pPr>
      <w:r>
        <w:rPr>
          <w:rFonts w:ascii="Arial" w:cs="Arial" w:eastAsia="Arial" w:hAnsi="Arial"/>
          <w:sz w:val="16"/>
          <w:szCs w:val="16"/>
          <w:color w:val="auto"/>
        </w:rPr>
        <w:t>Net cash provided by financing activities of $221.8 million for the nine months ended September 30, 2021 primarily consisted of $199.8 million in net proceeds from the sale and issuance of Series F preferred stock, $16.6 million in proceeds from the exercise of stock options, and $5.4 million of net cash provided through sales of common stock to cover tax-related amounts that had not yet been remitted to the respective taxing jurisdictions. It is expected that this $5.4 million net cash received will be paid in subsequent periods and will be recorded as a financing cash outflow at such time.</w:t>
      </w:r>
    </w:p>
    <w:p>
      <w:pPr>
        <w:spacing w:after="0" w:line="156"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Net cash provided by financing activities of $51.2 million for the nine months ended September 30, 2020 primarily consisted of $49.6 million in net proceeds from the sale and issuance of Series E preferred stock, $0.2 million in net proceeds from the sale and issuance of Series D preferred stock, and $1.4 million in proceeds from the exercise of stock options.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Remaining performance obligations (“RPO”) as of September 30, 2021 and 2020, including the expected timing of recognition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As of</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1"/>
        </w:trPr>
        <w:tc>
          <w:tcPr>
            <w:tcW w:w="55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77"/>
        </w:trPr>
        <w:tc>
          <w:tcPr>
            <w:tcW w:w="55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4"/>
                <w:szCs w:val="24"/>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 Change</w:t>
            </w:r>
          </w:p>
        </w:tc>
      </w:tr>
      <w:tr>
        <w:trPr>
          <w:trHeight w:val="28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or equal to 12 months</w:t>
            </w:r>
          </w:p>
        </w:tc>
        <w:tc>
          <w:tcPr>
            <w:tcW w:w="108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125,946</w:t>
            </w:r>
          </w:p>
        </w:tc>
        <w:tc>
          <w:tcPr>
            <w:tcW w:w="8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75,652</w:t>
            </w:r>
          </w:p>
        </w:tc>
        <w:tc>
          <w:tcPr>
            <w:tcW w:w="20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8"/>
              </w:rPr>
              <w:t>66%</w:t>
            </w:r>
          </w:p>
        </w:tc>
      </w:tr>
      <w:tr>
        <w:trPr>
          <w:trHeight w:val="277"/>
        </w:trPr>
        <w:tc>
          <w:tcPr>
            <w:tcW w:w="5520" w:type="dxa"/>
            <w:vAlign w:val="bottom"/>
          </w:tcPr>
          <w:p>
            <w:pPr>
              <w:ind w:left="20"/>
              <w:spacing w:after="0"/>
              <w:rPr>
                <w:sz w:val="20"/>
                <w:szCs w:val="20"/>
                <w:color w:val="auto"/>
              </w:rPr>
            </w:pPr>
            <w:r>
              <w:rPr>
                <w:rFonts w:ascii="Arial" w:cs="Arial" w:eastAsia="Arial" w:hAnsi="Arial"/>
                <w:sz w:val="18"/>
                <w:szCs w:val="18"/>
                <w:color w:val="auto"/>
              </w:rPr>
              <w:t>Greater than 12 months</w:t>
            </w: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w:t>
            </w:r>
          </w:p>
        </w:tc>
        <w:tc>
          <w:tcPr>
            <w:tcW w:w="2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w:t>
            </w:r>
          </w:p>
        </w:tc>
        <w:tc>
          <w:tcPr>
            <w:tcW w:w="26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184%</w:t>
            </w:r>
          </w:p>
        </w:tc>
      </w:tr>
      <w:tr>
        <w:trPr>
          <w:trHeight w:val="277"/>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108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152,007</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84,839</w:t>
            </w:r>
          </w:p>
        </w:tc>
        <w:tc>
          <w:tcPr>
            <w:tcW w:w="26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-5080</wp:posOffset>
            </wp:positionV>
            <wp:extent cx="1803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-5080</wp:posOffset>
            </wp:positionV>
            <wp:extent cx="17145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95"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43"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During the nine months ended September 30, 2021, there were no material changes in our contractual obligations and other commitments outside of those disclosed in the Prospectus. For further information on our commitments and contingencies, refer to Note 9 in the consolidated financial statements contained within the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31" w:lineRule="exact"/>
        <w:rPr>
          <w:sz w:val="20"/>
          <w:szCs w:val="20"/>
          <w:color w:val="auto"/>
        </w:rPr>
      </w:pPr>
    </w:p>
    <w:p>
      <w:pPr>
        <w:ind w:right="260" w:firstLine="509"/>
        <w:spacing w:after="0" w:line="309"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nine months ended September 30, 2021 as compared to those disclosed in our Management’s Discussion and Analysis of Financial Condition and Results of Operations set forth in the Prospectus.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820" w:firstLine="509"/>
        <w:spacing w:after="0" w:line="293" w:lineRule="auto"/>
        <w:rPr>
          <w:sz w:val="20"/>
          <w:szCs w:val="20"/>
          <w:color w:val="auto"/>
        </w:rPr>
      </w:pPr>
      <w:r>
        <w:rPr>
          <w:rFonts w:ascii="Arial" w:cs="Arial" w:eastAsia="Arial" w:hAnsi="Arial"/>
          <w:sz w:val="18"/>
          <w:szCs w:val="18"/>
          <w:color w:val="auto"/>
        </w:rPr>
        <w:t>See Note 1 to our condensed consolidated financial statements included in Part I, Item 1 of this Quarterly Report on Form 10-Q for more information regarding recent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Our cash and cash equivalents consist of cash on hand. As of September 30, 2021, we had cash and cash equivalents of $317.8 million. We do not have any marketable securities and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31"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Additionally, fluctuations in foreign currency exchange rates may cause us to recognize transaction gains and losses in our condensed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“Legal Matters” in Note 8 to our condensed consolidated financial statements included in Part I, Item 1 of this Quarterly Report on Form 10-Q.</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62" w:lineRule="exact"/>
        <w:rPr>
          <w:sz w:val="20"/>
          <w:szCs w:val="20"/>
          <w:color w:val="auto"/>
        </w:rPr>
      </w:pPr>
    </w:p>
    <w:p>
      <w:pPr>
        <w:ind w:right="300" w:firstLine="509"/>
        <w:spacing w:after="0" w:line="359" w:lineRule="auto"/>
        <w:rPr>
          <w:sz w:val="20"/>
          <w:szCs w:val="20"/>
          <w:color w:val="auto"/>
        </w:rPr>
      </w:pPr>
      <w:r>
        <w:rPr>
          <w:rFonts w:ascii="Arial" w:cs="Arial" w:eastAsia="Arial" w:hAnsi="Arial"/>
          <w:sz w:val="16"/>
          <w:szCs w:val="16"/>
          <w:color w:val="auto"/>
        </w:rPr>
        <w:t>Our revenue was $102.5 million for the fiscal year ended December 31, 2020 and $72.4 million and $117.8 million for the nine months ended September 30, 2020 and 2021, respectively. However, you should not rely on our historical revenue growth as an indication of our future performance.</w:t>
      </w:r>
    </w:p>
    <w:p>
      <w:pPr>
        <w:spacing w:after="0" w:line="125" w:lineRule="exact"/>
        <w:rPr>
          <w:sz w:val="20"/>
          <w:szCs w:val="20"/>
          <w:color w:val="auto"/>
        </w:rPr>
      </w:pPr>
    </w:p>
    <w:p>
      <w:pPr>
        <w:ind w:right="220" w:firstLine="509"/>
        <w:spacing w:after="0" w:line="324" w:lineRule="auto"/>
        <w:rPr>
          <w:sz w:val="20"/>
          <w:szCs w:val="20"/>
          <w:color w:val="auto"/>
        </w:rPr>
      </w:pPr>
      <w:r>
        <w:rPr>
          <w:rFonts w:ascii="Arial" w:cs="Arial" w:eastAsia="Arial" w:hAnsi="Arial"/>
          <w:sz w:val="17"/>
          <w:szCs w:val="17"/>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47" w:lineRule="exact"/>
        <w:rPr>
          <w:sz w:val="20"/>
          <w:szCs w:val="20"/>
          <w:color w:val="auto"/>
        </w:rPr>
      </w:pPr>
    </w:p>
    <w:p>
      <w:pPr>
        <w:ind w:right="120" w:firstLine="509"/>
        <w:spacing w:after="0" w:line="288" w:lineRule="auto"/>
        <w:rPr>
          <w:sz w:val="20"/>
          <w:szCs w:val="20"/>
          <w:color w:val="auto"/>
        </w:rPr>
      </w:pPr>
      <w:r>
        <w:rPr>
          <w:rFonts w:ascii="Arial" w:cs="Arial" w:eastAsia="Arial" w:hAnsi="Arial"/>
          <w:sz w:val="17"/>
          <w:szCs w:val="17"/>
          <w:color w:val="auto"/>
        </w:rPr>
        <w:t>Our revenue growth rate may decline over time. In future periods, our revenue growth could slow or our revenue could decline for a number of reasons, including slowing demand for our Digital Optimization System, increased competition, changes to technology, a decrease in the growth of our overall market, or our failure, for any reason, to manage our growth effectively or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We have a history of losses. As our costs increase, we may not be able to generate sufficient revenue to achieve and sustain profitability.</w:t>
      </w:r>
    </w:p>
    <w:p>
      <w:pPr>
        <w:spacing w:after="0" w:line="14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have experienced net losses in each period since inception. We generated net losses of $24.6 million for the fiscal year ended December 31, 2020 and $19.2 million and $53.1 million for the nine months ended September 30, 2020 and 2021, respectively. As of September 30, 2021 and December 31, 2020, we had an accumulated deficit of $157.9 million and 104.8 million, respectively. We expect our costs and expenses to increase in future periods. In particular, we intend to continue to invest significant resources in:</w:t>
      </w:r>
    </w:p>
    <w:p>
      <w:pPr>
        <w:spacing w:after="0" w:line="77" w:lineRule="exact"/>
        <w:rPr>
          <w:sz w:val="20"/>
          <w:szCs w:val="20"/>
          <w:color w:val="auto"/>
        </w:rPr>
      </w:pPr>
    </w:p>
    <w:p>
      <w:pPr>
        <w:ind w:left="1020" w:right="20" w:hanging="479"/>
        <w:spacing w:after="0" w:line="324" w:lineRule="auto"/>
        <w:tabs>
          <w:tab w:leader="none" w:pos="8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development of our Digital Optimization System, including investments in our research and development team, the development or acquisition of new products, features, and functionality, and improvements to the scalability, availability, and security of our platform;</w:t>
      </w:r>
    </w:p>
    <w:p>
      <w:pPr>
        <w:spacing w:after="0" w:line="39" w:lineRule="exact"/>
        <w:rPr>
          <w:rFonts w:ascii="Arial" w:cs="Arial" w:eastAsia="Arial" w:hAnsi="Arial"/>
          <w:sz w:val="17"/>
          <w:szCs w:val="17"/>
          <w:color w:val="auto"/>
        </w:rPr>
      </w:pPr>
    </w:p>
    <w:p>
      <w:pPr>
        <w:ind w:left="1020" w:right="60" w:hanging="479"/>
        <w:spacing w:after="0" w:line="293"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03" w:lineRule="exact"/>
        <w:rPr>
          <w:rFonts w:ascii="Arial" w:cs="Arial" w:eastAsia="Arial" w:hAnsi="Arial"/>
          <w:sz w:val="18"/>
          <w:szCs w:val="18"/>
          <w:color w:val="auto"/>
        </w:rPr>
      </w:pPr>
    </w:p>
    <w:p>
      <w:pPr>
        <w:ind w:left="900" w:hanging="35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w:t>
      </w:r>
    </w:p>
    <w:p>
      <w:pPr>
        <w:spacing w:after="0" w:line="239" w:lineRule="exact"/>
        <w:rPr>
          <w:sz w:val="20"/>
          <w:szCs w:val="20"/>
          <w:color w:val="auto"/>
        </w:rPr>
      </w:pPr>
    </w:p>
    <w:p>
      <w:pPr>
        <w:ind w:right="280" w:firstLine="509"/>
        <w:spacing w:after="0" w:line="272" w:lineRule="auto"/>
        <w:rPr>
          <w:sz w:val="20"/>
          <w:szCs w:val="20"/>
          <w:color w:val="auto"/>
        </w:rPr>
      </w:pPr>
      <w:r>
        <w:rPr>
          <w:rFonts w:ascii="Arial" w:cs="Arial" w:eastAsia="Arial" w:hAnsi="Arial"/>
          <w:sz w:val="18"/>
          <w:szCs w:val="18"/>
          <w:color w:val="auto"/>
        </w:rPr>
        <w:t>In addition, part of our business strategy is to focus on our long-term growth. As a result, our profitability may be lower in the near-term than it would be if our strategy were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cause long-term profitability. If we are ultimately unable to achieve profitability at the level anticipated by industry or financial analysts and our stockholders, our stock price may decline.</w:t>
      </w:r>
    </w:p>
    <w:p>
      <w:pPr>
        <w:spacing w:after="0" w:line="19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91" w:lineRule="exact"/>
        <w:rPr>
          <w:sz w:val="20"/>
          <w:szCs w:val="20"/>
          <w:color w:val="auto"/>
        </w:rPr>
      </w:pPr>
    </w:p>
    <w:p>
      <w:pPr>
        <w:spacing w:after="0" w:line="303" w:lineRule="auto"/>
        <w:rPr>
          <w:sz w:val="20"/>
          <w:szCs w:val="20"/>
          <w:color w:val="auto"/>
        </w:rPr>
      </w:pPr>
      <w:r>
        <w:rPr>
          <w:rFonts w:ascii="Arial" w:cs="Arial" w:eastAsia="Arial" w:hAnsi="Arial"/>
          <w:sz w:val="17"/>
          <w:szCs w:val="17"/>
          <w:b w:val="1"/>
          <w:bCs w:val="1"/>
          <w:i w:val="1"/>
          <w:iCs w:val="1"/>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6" w:lineRule="exact"/>
        <w:rPr>
          <w:sz w:val="20"/>
          <w:szCs w:val="20"/>
          <w:color w:val="auto"/>
        </w:rPr>
      </w:pPr>
    </w:p>
    <w:p>
      <w:pPr>
        <w:jc w:val="both"/>
        <w:ind w:right="80" w:firstLine="509"/>
        <w:spacing w:after="0" w:line="290" w:lineRule="auto"/>
        <w:rPr>
          <w:sz w:val="20"/>
          <w:szCs w:val="20"/>
          <w:color w:val="auto"/>
        </w:rPr>
      </w:pPr>
      <w:r>
        <w:rPr>
          <w:rFonts w:ascii="Arial" w:cs="Arial" w:eastAsia="Arial" w:hAnsi="Arial"/>
          <w:sz w:val="17"/>
          <w:szCs w:val="17"/>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Optimization System and the successful implementation of our marketing strategy.</w:t>
      </w:r>
    </w:p>
    <w:p>
      <w:pPr>
        <w:spacing w:after="0" w:line="176" w:lineRule="exact"/>
        <w:rPr>
          <w:sz w:val="20"/>
          <w:szCs w:val="20"/>
          <w:color w:val="auto"/>
        </w:rPr>
      </w:pPr>
    </w:p>
    <w:p>
      <w:pPr>
        <w:ind w:right="120" w:firstLine="509"/>
        <w:spacing w:after="0" w:line="288" w:lineRule="auto"/>
        <w:rPr>
          <w:sz w:val="20"/>
          <w:szCs w:val="20"/>
          <w:color w:val="auto"/>
        </w:rPr>
      </w:pPr>
      <w:r>
        <w:rPr>
          <w:rFonts w:ascii="Arial" w:cs="Arial" w:eastAsia="Arial" w:hAnsi="Arial"/>
          <w:sz w:val="17"/>
          <w:szCs w:val="17"/>
          <w:color w:val="auto"/>
        </w:rPr>
        <w:t>Our customer retention and expansion and the rate at which we attract new customers may decline or fluctuate as a result of a number of factors, including our customers’ satisfaction with our Digital Optimization System;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0" w:name="page41"/>
    <w:bookmarkEnd w:id="40"/>
    <w:p>
      <w:pPr>
        <w:ind w:right="200"/>
        <w:spacing w:after="0" w:line="29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If we fail to meet the expectations of securities analysts or investors with respect to our results of operations, our stock price could decline.</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to fluctuate include:</w:t>
      </w:r>
    </w:p>
    <w:p>
      <w:pPr>
        <w:spacing w:after="0" w:line="75" w:lineRule="exact"/>
        <w:rPr>
          <w:sz w:val="20"/>
          <w:szCs w:val="20"/>
          <w:color w:val="auto"/>
        </w:rPr>
      </w:pPr>
    </w:p>
    <w:p>
      <w:pPr>
        <w:ind w:left="1020" w:right="12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or pricing of, our Digital Optimization System, including as a result of our introduction of new products, features, and functionality;</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usage of our Digital Optimization System;</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existing customers;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expansion rates;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in new products, features, and functionality;</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customers’ purchases;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speed with which customers are able to migrate data onto our platform after purchasing capacity;</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awareness of our brand on a global basis;</w:t>
      </w:r>
    </w:p>
    <w:p>
      <w:pPr>
        <w:spacing w:after="0" w:line="130" w:lineRule="exact"/>
        <w:rPr>
          <w:rFonts w:ascii="Arial" w:cs="Arial" w:eastAsia="Arial" w:hAnsi="Arial"/>
          <w:sz w:val="18"/>
          <w:szCs w:val="18"/>
          <w:color w:val="auto"/>
        </w:rPr>
      </w:pPr>
    </w:p>
    <w:p>
      <w:pPr>
        <w:ind w:left="1020" w:right="32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features, or functionality developed or acquired by us or our competitors;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30" w:lineRule="exact"/>
        <w:rPr>
          <w:rFonts w:ascii="Arial" w:cs="Arial" w:eastAsia="Arial" w:hAnsi="Arial"/>
          <w:sz w:val="18"/>
          <w:szCs w:val="18"/>
          <w:color w:val="auto"/>
        </w:rPr>
      </w:pPr>
    </w:p>
    <w:p>
      <w:pPr>
        <w:ind w:left="1020" w:right="18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costs associated with our cloud computing infrastructure, particularly the cloud services provided by Amazon Web Services (“AWS”);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and sales and marketing expenses;</w:t>
      </w:r>
    </w:p>
    <w:p>
      <w:pPr>
        <w:spacing w:after="0" w:line="142" w:lineRule="exact"/>
        <w:rPr>
          <w:rFonts w:ascii="Arial" w:cs="Arial" w:eastAsia="Arial" w:hAnsi="Arial"/>
          <w:sz w:val="17"/>
          <w:szCs w:val="17"/>
          <w:color w:val="auto"/>
        </w:rPr>
      </w:pPr>
    </w:p>
    <w:p>
      <w:pPr>
        <w:ind w:left="900" w:hanging="35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42" w:lineRule="exact"/>
        <w:rPr>
          <w:rFonts w:ascii="Arial" w:cs="Arial" w:eastAsia="Arial" w:hAnsi="Arial"/>
          <w:sz w:val="17"/>
          <w:szCs w:val="17"/>
          <w:color w:val="auto"/>
        </w:rPr>
      </w:pPr>
    </w:p>
    <w:p>
      <w:pPr>
        <w:ind w:left="1020" w:right="46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mergers, acquisitions or strategic partnerships, and their integration;</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identify and complete merger, acquisition or strategic partnership opportunities;</w:t>
      </w:r>
    </w:p>
    <w:p>
      <w:pPr>
        <w:spacing w:after="0" w:line="130" w:lineRule="exact"/>
        <w:rPr>
          <w:rFonts w:ascii="Arial" w:cs="Arial" w:eastAsia="Arial" w:hAnsi="Arial"/>
          <w:sz w:val="18"/>
          <w:szCs w:val="18"/>
          <w:color w:val="auto"/>
        </w:rPr>
      </w:pPr>
    </w:p>
    <w:p>
      <w:pPr>
        <w:ind w:left="1020" w:right="18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and related difficulties in collections;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epidemics or pandemics, such as the coronavirus ("COVID-19") pandemic;</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30" w:lineRule="exact"/>
        <w:rPr>
          <w:rFonts w:ascii="Arial" w:cs="Arial" w:eastAsia="Arial" w:hAnsi="Arial"/>
          <w:sz w:val="18"/>
          <w:szCs w:val="18"/>
          <w:color w:val="auto"/>
        </w:rPr>
      </w:pPr>
    </w:p>
    <w:p>
      <w:pPr>
        <w:ind w:left="1020" w:right="6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things, expenses associated with compliance, particularly with respect to compliance with evolving privacy and data protection laws and regulations;</w:t>
      </w:r>
    </w:p>
    <w:p>
      <w:pPr>
        <w:spacing w:after="0" w:line="61" w:lineRule="exact"/>
        <w:rPr>
          <w:rFonts w:ascii="Arial" w:cs="Arial" w:eastAsia="Arial" w:hAnsi="Arial"/>
          <w:sz w:val="18"/>
          <w:szCs w:val="18"/>
          <w:color w:val="auto"/>
        </w:rPr>
      </w:pPr>
    </w:p>
    <w:p>
      <w:pPr>
        <w:ind w:left="1020" w:right="600" w:hanging="479"/>
        <w:spacing w:after="0" w:line="324" w:lineRule="auto"/>
        <w:tabs>
          <w:tab w:leader="none" w:pos="8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39" w:lineRule="exact"/>
        <w:rPr>
          <w:rFonts w:ascii="Arial" w:cs="Arial" w:eastAsia="Arial" w:hAnsi="Arial"/>
          <w:sz w:val="17"/>
          <w:szCs w:val="17"/>
          <w:color w:val="auto"/>
        </w:rPr>
      </w:pPr>
    </w:p>
    <w:p>
      <w:pPr>
        <w:ind w:left="1020" w:hanging="479"/>
        <w:spacing w:after="0" w:line="293"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344" w:lineRule="exact"/>
        <w:rPr>
          <w:rFonts w:ascii="Arial" w:cs="Arial" w:eastAsia="Arial" w:hAnsi="Arial"/>
          <w:sz w:val="17"/>
          <w:szCs w:val="17"/>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41" w:name="page42"/>
    <w:bookmarkEnd w:id="41"/>
    <w:p>
      <w:pPr>
        <w:ind w:right="60" w:firstLine="509"/>
        <w:spacing w:after="0" w:line="279"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litigation.</w:t>
      </w:r>
    </w:p>
    <w:p>
      <w:pPr>
        <w:spacing w:after="0" w:line="291"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We expect to continue to focus on sales to larger organizations and may become more dependent on those relationships, which may increase the variability of our sales cycles and our results of operations.</w:t>
      </w:r>
    </w:p>
    <w:p>
      <w:pPr>
        <w:spacing w:after="0" w:line="62" w:lineRule="exact"/>
        <w:rPr>
          <w:sz w:val="20"/>
          <w:szCs w:val="20"/>
          <w:color w:val="auto"/>
        </w:rPr>
      </w:pPr>
    </w:p>
    <w:p>
      <w:pPr>
        <w:ind w:right="120" w:firstLine="509"/>
        <w:spacing w:after="0" w:line="296" w:lineRule="auto"/>
        <w:rPr>
          <w:sz w:val="20"/>
          <w:szCs w:val="20"/>
          <w:color w:val="auto"/>
        </w:rPr>
      </w:pPr>
      <w:r>
        <w:rPr>
          <w:rFonts w:ascii="Arial" w:cs="Arial" w:eastAsia="Arial" w:hAnsi="Arial"/>
          <w:sz w:val="17"/>
          <w:szCs w:val="17"/>
          <w:color w:val="auto"/>
        </w:rPr>
        <w:t>As we continue to focus on, and may become more dependent on, sales to larger organizations, we expect our sales cycles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sales cycle may adversely affect our financial results. Factors that may influence the length and variability of our sales cycle include:</w:t>
      </w:r>
    </w:p>
    <w:p>
      <w:pPr>
        <w:spacing w:after="0" w:line="62" w:lineRule="exact"/>
        <w:rPr>
          <w:sz w:val="20"/>
          <w:szCs w:val="20"/>
          <w:color w:val="auto"/>
        </w:rPr>
      </w:pPr>
    </w:p>
    <w:p>
      <w:pPr>
        <w:ind w:left="900" w:hanging="35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Digital Optimization System;</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competitive nature of evaluation and purchasing processes;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features, or functionality by us or our competitors; and</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lengthy purchasing approval processes.</w:t>
      </w:r>
    </w:p>
    <w:p>
      <w:pPr>
        <w:spacing w:after="0" w:line="239"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93"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Optimization System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200" w:lineRule="exact"/>
        <w:rPr>
          <w:sz w:val="20"/>
          <w:szCs w:val="20"/>
          <w:color w:val="auto"/>
        </w:rPr>
      </w:pPr>
    </w:p>
    <w:p>
      <w:pPr>
        <w:spacing w:after="0" w:line="238"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62"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or potential customers. Our ability to grow revenue and the profitability of our business depend on demand for software applications generally. Historically, during economic downturns there have been reductions in spending on software applications and services generally as well as pressure for extended billing terms and other financial concessions. If economic conditions deteriorate, our customers and prospective customers may go out of business or elect to decrease their budgets, which would limit our ability to grow our business and materially adversely affect our financial condition and results of operations. In addition, our competitors, many of whom are larger and have greater financial resources than we do, may respond to challenging market conditions by lowering prices in an attempt to attract our customers, and they may be less dependent on key industry events to generate sales for their products.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If the market for SaaS applications develops more slowly than we expect or declines, our business would be adversely affected.</w:t>
      </w:r>
    </w:p>
    <w:p>
      <w:pPr>
        <w:spacing w:after="0" w:line="131"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Our success will depend to a substantial extent on the widespread adoption of SaaS applications in general, and of SaaS applications that look to solve aspects of digital optimization.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Optimization System,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Optimization System. If we or other SaaS providers experience data security incidents, loss of customer data, disruptions in delivery, or other problems, the market for SaaS applications, including our Digital Optimization System,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8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62"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8"/>
          <w:szCs w:val="18"/>
          <w:color w:val="auto"/>
        </w:rPr>
        <w:t>The market for applications that looks to address digital optimization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75" w:lineRule="exact"/>
        <w:rPr>
          <w:sz w:val="20"/>
          <w:szCs w:val="20"/>
          <w:color w:val="auto"/>
        </w:rPr>
      </w:pPr>
    </w:p>
    <w:p>
      <w:pPr>
        <w:ind w:left="1020" w:right="740" w:hanging="479"/>
        <w:spacing w:after="0" w:line="293"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 companies that have greater name recognition, much longer operating histories, more established customer relationships, larger marketing budgets, and significantly greater resources than we do;</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in-house software systems;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 integrated systems vendors;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smaller companies offering alternative SaaS applications; and</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or emerging entrants seeking to develop competing technologies.</w:t>
      </w:r>
    </w:p>
    <w:p>
      <w:pPr>
        <w:spacing w:after="0" w:line="200" w:lineRule="exact"/>
        <w:rPr>
          <w:sz w:val="20"/>
          <w:szCs w:val="20"/>
          <w:color w:val="auto"/>
        </w:rPr>
      </w:pPr>
    </w:p>
    <w:p>
      <w:pPr>
        <w:spacing w:after="0" w:line="214" w:lineRule="exact"/>
        <w:rPr>
          <w:sz w:val="20"/>
          <w:szCs w:val="20"/>
          <w:color w:val="auto"/>
        </w:rPr>
      </w:pPr>
    </w:p>
    <w:p>
      <w:pPr>
        <w:ind w:right="120" w:firstLine="509"/>
        <w:spacing w:after="0" w:line="319" w:lineRule="auto"/>
        <w:rPr>
          <w:sz w:val="20"/>
          <w:szCs w:val="20"/>
          <w:color w:val="auto"/>
        </w:rPr>
      </w:pPr>
      <w:r>
        <w:rPr>
          <w:rFonts w:ascii="Arial" w:cs="Arial" w:eastAsia="Arial" w:hAnsi="Arial"/>
          <w:sz w:val="16"/>
          <w:szCs w:val="16"/>
          <w:color w:val="auto"/>
        </w:rPr>
        <w:t>Our competitors may be able to respond more quickly and effectively than we can to new or changing opportunities, technologies, standards, or customer requirements. With the introduction of new technologies, the evolution of our Digital Optimization System, and new market entrants, we expect competition to intensify in the future. Pricing pressures and increased competition generally could result in reduced sales, reduced margins, losses, or the failure of our Digital Optimization System to achieve or maintain more widespread market acceptance, any of which could harm our business.</w:t>
      </w:r>
    </w:p>
    <w:p>
      <w:pPr>
        <w:spacing w:after="0" w:line="156"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Our competitors vary in size and in the breadth and scope of the products and services they offer. Further, other established SaaS providers not currently focused on digital optimization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"Business—Competition" in our Prospectus.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43" w:name="page44"/>
    <w:bookmarkEnd w:id="43"/>
    <w:p>
      <w:pPr>
        <w:ind w:right="320"/>
        <w:spacing w:after="0" w:line="293" w:lineRule="auto"/>
        <w:rPr>
          <w:sz w:val="20"/>
          <w:szCs w:val="20"/>
          <w:color w:val="auto"/>
        </w:rPr>
      </w:pPr>
      <w:r>
        <w:rPr>
          <w:rFonts w:ascii="Arial" w:cs="Arial" w:eastAsia="Arial" w:hAnsi="Arial"/>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Our ability to attract new customers and retain and increase revenue from existing customers depends in large part on our ability to enhance and improve our Digital Optimization System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Optimization System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Optimization System to meet customer requirements, or otherwise gain market acceptance, our business, financial condition, and results of operations could be materially adversely affected.</w:t>
      </w:r>
    </w:p>
    <w:p>
      <w:pPr>
        <w:spacing w:after="0" w:line="18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Because our Digital Optimization System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Optimization System may need to address additional requirements specific to those industries.</w:t>
      </w:r>
    </w:p>
    <w:p>
      <w:pPr>
        <w:spacing w:after="0" w:line="17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If we are unable to enhance our Digital Optimization System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00" w:lineRule="exact"/>
        <w:rPr>
          <w:sz w:val="20"/>
          <w:szCs w:val="20"/>
          <w:color w:val="auto"/>
        </w:rPr>
      </w:pPr>
    </w:p>
    <w:p>
      <w:pPr>
        <w:spacing w:after="0" w:line="23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operational and financial resources. We intend to continue to invest to expand our business, which may cause our margins to decline, and any investments we make will occur in advance of experiencing the benefits from such investments, making it difficult to determine in a timely manner if we are efficiently allocating our resources. As usage of our Digital Optimization System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 the quality of our products may suffer, which could negatively affect our brand and reputation and harm our ability to retain and attract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ind w:right="320"/>
        <w:spacing w:after="0" w:line="324" w:lineRule="auto"/>
        <w:rPr>
          <w:sz w:val="20"/>
          <w:szCs w:val="20"/>
          <w:color w:val="auto"/>
        </w:rPr>
      </w:pPr>
      <w:r>
        <w:rPr>
          <w:rFonts w:ascii="Arial" w:cs="Arial" w:eastAsia="Arial" w:hAnsi="Arial"/>
          <w:sz w:val="17"/>
          <w:szCs w:val="17"/>
          <w:b w:val="1"/>
          <w:bCs w:val="1"/>
          <w:i w:val="1"/>
          <w:iCs w:val="1"/>
          <w:color w:val="auto"/>
        </w:rPr>
        <w:t>The COVID-19 pandemic or similar outbreaks could have an adverse impact on our business and operations, and the markets and communities in which we, our partners and customers operate, and the impact of the pandemic is difficult to assess or predict.</w:t>
      </w:r>
    </w:p>
    <w:p>
      <w:pPr>
        <w:spacing w:after="0" w:line="39"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The continued impact and ultimate duration of the COVID-19 pandemic (including the recent Delta variant and any new strains or variants of the virus) on the global economy and our business are difficult to assess or predict. Actual and potential impacts include:</w:t>
      </w:r>
    </w:p>
    <w:p>
      <w:pPr>
        <w:spacing w:after="0" w:line="62" w:lineRule="exact"/>
        <w:rPr>
          <w:sz w:val="20"/>
          <w:szCs w:val="20"/>
          <w:color w:val="auto"/>
        </w:rPr>
      </w:pPr>
    </w:p>
    <w:p>
      <w:pPr>
        <w:ind w:left="1020" w:right="540" w:hanging="479"/>
        <w:spacing w:after="0" w:line="359" w:lineRule="auto"/>
        <w:tabs>
          <w:tab w:leader="none" w:pos="8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customer prospects and our existing customers may experience slowdowns in their businesses, which in turn may result in reduced demand for our Digital Optimization System, lengthening of sales cycles, loss of customers, and difficulties in collections.</w:t>
      </w:r>
    </w:p>
    <w:p>
      <w:pPr>
        <w:spacing w:after="0" w:line="16" w:lineRule="exact"/>
        <w:rPr>
          <w:rFonts w:ascii="Arial" w:cs="Arial" w:eastAsia="Arial" w:hAnsi="Arial"/>
          <w:sz w:val="16"/>
          <w:szCs w:val="16"/>
          <w:color w:val="auto"/>
        </w:rPr>
      </w:pPr>
    </w:p>
    <w:p>
      <w:pPr>
        <w:ind w:left="1020" w:right="340" w:hanging="479"/>
        <w:spacing w:after="0" w:line="293"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employees are working from home significantly more frequently than they have historically, which may result in decreased employee productivity and morale with increased unwanted employee attrition.</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continue to incur fixed costs, particularly for real estate, and are deriving reduced or no benefit from those costs.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continue to experience disruptions to our growth planning, such as for facilities and international expansion.</w:t>
      </w:r>
    </w:p>
    <w:p>
      <w:pPr>
        <w:spacing w:after="0" w:line="130" w:lineRule="exact"/>
        <w:rPr>
          <w:rFonts w:ascii="Arial" w:cs="Arial" w:eastAsia="Arial" w:hAnsi="Arial"/>
          <w:sz w:val="18"/>
          <w:szCs w:val="18"/>
          <w:color w:val="auto"/>
        </w:rPr>
      </w:pPr>
    </w:p>
    <w:p>
      <w:pPr>
        <w:ind w:left="1020" w:right="380" w:hanging="479"/>
        <w:spacing w:after="0" w:line="293"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anticipate incurring costs in returning to work from our facilities around the world, including changes to the workplace, such as space planning, food service, and amenities.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legal liability for safe workplace claims.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critical vendors could go out of business.</w:t>
      </w:r>
    </w:p>
    <w:p>
      <w:pPr>
        <w:spacing w:after="0" w:line="130" w:lineRule="exact"/>
        <w:rPr>
          <w:rFonts w:ascii="Arial" w:cs="Arial" w:eastAsia="Arial" w:hAnsi="Arial"/>
          <w:sz w:val="18"/>
          <w:szCs w:val="18"/>
          <w:color w:val="auto"/>
        </w:rPr>
      </w:pPr>
    </w:p>
    <w:p>
      <w:pPr>
        <w:ind w:left="1020" w:right="320" w:hanging="479"/>
        <w:spacing w:after="0" w:line="324"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in-person marketing events, including customer user conferences, have been cancelled, and we may continue to experience prolonged delays in our ability to reschedule or conduct in-person marketing events and other sales and marketing activities.</w:t>
      </w:r>
    </w:p>
    <w:p>
      <w:pPr>
        <w:spacing w:after="0" w:line="241" w:lineRule="exact"/>
        <w:rPr>
          <w:rFonts w:ascii="Arial" w:cs="Arial" w:eastAsia="Arial" w:hAnsi="Arial"/>
          <w:sz w:val="17"/>
          <w:szCs w:val="17"/>
          <w:color w:val="auto"/>
        </w:rPr>
      </w:pPr>
    </w:p>
    <w:p>
      <w:pPr>
        <w:ind w:left="1020" w:right="240" w:hanging="479"/>
        <w:spacing w:after="0" w:line="279"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p>
    <w:p>
      <w:pPr>
        <w:spacing w:after="0" w:line="183"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As global economic conditions improve with the rollout of vaccines, business activity may not recover as quickly as anticipated. Conditions may vary between countries and regions and will be subject to the effectiveness of government policies, vaccine administration rates, and other factors that may not be foreseeable. In addition, in September 2021, the Biden administration announced plans to require employers with 100 or more employees to mandate that their personnel be vaccinated or undergo weekly testing. We currently require employees in North America to be fully vaccinated to utilize our office space or attend in-person company events and have implemented other health and safety protocols.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 It is not possible at this time to predict the duration and extent of the impact that COVID-19 could have on worldwide economic activity and our business in particular. In addition, as stay-at-home orders and other quarantine and isolation measures are lifted, the amount of time that consumers spend interacting with digital products may normalize or decline, which could slow customer demand for our Digital Optimization System.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45" w:name="page46"/>
    <w:bookmarkEnd w:id="45"/>
    <w:p>
      <w:pPr>
        <w:ind w:right="140"/>
        <w:spacing w:after="0" w:line="279" w:lineRule="auto"/>
        <w:rPr>
          <w:sz w:val="20"/>
          <w:szCs w:val="20"/>
          <w:color w:val="auto"/>
        </w:rPr>
      </w:pPr>
      <w:r>
        <w:rPr>
          <w:rFonts w:ascii="Arial" w:cs="Arial" w:eastAsia="Arial" w:hAnsi="Arial"/>
          <w:sz w:val="18"/>
          <w:szCs w:val="18"/>
          <w:b w:val="1"/>
          <w:bCs w:val="1"/>
          <w:i w:val="1"/>
          <w:iCs w:val="1"/>
          <w:color w:val="auto"/>
        </w:rPr>
        <w:t>If our security measures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7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Use of our platform involves the storage, transmission, and processing of our customers’ proprietary data, including personal or identifying information of their customers or employees. Unauthorized disclosure of or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and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78"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 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We have previously been, and may in the future become, the target of cyberattacks by third parties seeking unauthorized access to our or our customers’ data or to disrupt our operations or ability to provide our services.</w:t>
      </w:r>
    </w:p>
    <w:p>
      <w:pPr>
        <w:spacing w:after="0" w:line="163" w:lineRule="exact"/>
        <w:rPr>
          <w:sz w:val="20"/>
          <w:szCs w:val="20"/>
          <w:color w:val="auto"/>
        </w:rPr>
      </w:pPr>
    </w:p>
    <w:p>
      <w:pPr>
        <w:ind w:right="160" w:firstLine="509"/>
        <w:spacing w:after="0" w:line="287" w:lineRule="auto"/>
        <w:rPr>
          <w:sz w:val="20"/>
          <w:szCs w:val="20"/>
          <w:color w:val="auto"/>
        </w:rPr>
      </w:pPr>
      <w:r>
        <w:rPr>
          <w:rFonts w:ascii="Arial" w:cs="Arial" w:eastAsia="Arial" w:hAnsi="Arial"/>
          <w:sz w:val="17"/>
          <w:szCs w:val="17"/>
          <w:color w:val="auto"/>
        </w:rPr>
        <w:t>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w:t>
      </w:r>
    </w:p>
    <w:p>
      <w:pPr>
        <w:spacing w:after="0" w:line="290"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i w:val="1"/>
          <w:iCs w:val="1"/>
          <w:color w:val="auto"/>
        </w:rPr>
        <w:t>A security breach may cause us to breach customer contracts. Our agreements with certain customers may require us to use industry-standard or reasonable measures to safeguard personal information or confidential information. A security breach could lead to claims by our customers, their end-users, or other relevant stakeholders that we have failed to comply with such legal or contractual obligations. As a result, we could be subject to legal action or our customers could end their relationships with us. There can be no assurance that any limitations of liability in our contracts would be enforceable or adequate or would otherwise protect us from liabilities or damages.</w:t>
      </w:r>
    </w:p>
    <w:p>
      <w:pPr>
        <w:spacing w:after="0" w:line="66" w:lineRule="exact"/>
        <w:rPr>
          <w:sz w:val="20"/>
          <w:szCs w:val="20"/>
          <w:color w:val="auto"/>
        </w:rPr>
      </w:pPr>
    </w:p>
    <w:p>
      <w:pPr>
        <w:ind w:right="140" w:firstLine="509"/>
        <w:spacing w:after="0" w:line="319" w:lineRule="auto"/>
        <w:rPr>
          <w:sz w:val="20"/>
          <w:szCs w:val="20"/>
          <w:color w:val="auto"/>
        </w:rPr>
      </w:pPr>
      <w:r>
        <w:rPr>
          <w:rFonts w:ascii="Arial" w:cs="Arial" w:eastAsia="Arial" w:hAnsi="Arial"/>
          <w:sz w:val="16"/>
          <w:szCs w:val="16"/>
          <w:color w:val="auto"/>
        </w:rPr>
        <w:t>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state, federal and foreign regulators, and private litigants.</w:t>
      </w:r>
    </w:p>
    <w:p>
      <w:pPr>
        <w:spacing w:after="0" w:line="156"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ind w:right="420"/>
        <w:spacing w:after="0" w:line="359"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17"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Our business and continued growth depend in part on the ability of our existing and potential customers to access our platform at any time and within an acceptable amount of time. Our agreements with customers typically provide for service 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 of 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 level commitments under our customer agreements. As a result, our business, financial condition, and results of operations could be materially adversely affected if we suffer unscheduled downtime that exceeds the service level commitments we have made to our customers. Any extended service outages could materially adversely affect our business and reputation.</w:t>
      </w:r>
    </w:p>
    <w:p>
      <w:pPr>
        <w:spacing w:after="0" w:line="189"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Our Digital Optimization System is proprietary, and we rely on the expertise of members of our engineering, operations, product, and software development teams for their continued performance. It may become increasingly difficult and costly to maintain and improve our performance,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60"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Optimization System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7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materially adversely affect our business and growth prospects.</w:t>
      </w:r>
    </w:p>
    <w:p>
      <w:pPr>
        <w:spacing w:after="0" w:line="131" w:lineRule="exact"/>
        <w:rPr>
          <w:sz w:val="20"/>
          <w:szCs w:val="20"/>
          <w:color w:val="auto"/>
        </w:rPr>
      </w:pPr>
    </w:p>
    <w:p>
      <w:pPr>
        <w:jc w:val="both"/>
        <w:ind w:right="220" w:firstLine="509"/>
        <w:spacing w:after="0" w:line="296" w:lineRule="auto"/>
        <w:rPr>
          <w:sz w:val="20"/>
          <w:szCs w:val="20"/>
          <w:color w:val="auto"/>
        </w:rPr>
      </w:pPr>
      <w:r>
        <w:rPr>
          <w:rFonts w:ascii="Arial" w:cs="Arial" w:eastAsia="Arial" w:hAnsi="Arial"/>
          <w:sz w:val="17"/>
          <w:szCs w:val="17"/>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ind w:right="20"/>
        <w:spacing w:after="0" w:line="293"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In using our Digital Optimization System,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Optimization System to existing and prospective customers, our business, financial condition, and results of operations.</w:t>
      </w:r>
    </w:p>
    <w:p>
      <w:pPr>
        <w:spacing w:after="0" w:line="39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Incorrect or improper implementation or use of our Digital Optimization System could result in customer dissatisfaction and materially adversely affect our business, financial condition, and results of operations.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We often assist our customers in implementing our Digital Optimization System (whether through us directly or a third-party implementation partner), and they may need training in the proper use of our Digital Optimization System to maximize its potential and avoid inadequate performance. If we or our implementation partners fail to train customers on how to efficiently and effectively use our Digital Optimization System or we fail to provide adequate product support to our customers, we may lose opportunities for additional subscriptions, customers may choose not to renew or expand the use of our Digital Optimization System, we may experience negative publicity or legal claims against us, and our reputation and brand may suffer. Any of these circumstances could materially adversely affect our business, financial condition, and results of operations.</w:t>
      </w:r>
    </w:p>
    <w:p>
      <w:pPr>
        <w:spacing w:after="0" w:line="284" w:lineRule="exact"/>
        <w:rPr>
          <w:sz w:val="20"/>
          <w:szCs w:val="20"/>
          <w:color w:val="auto"/>
        </w:rPr>
      </w:pPr>
    </w:p>
    <w:p>
      <w:pPr>
        <w:jc w:val="both"/>
        <w:ind w:right="140"/>
        <w:spacing w:after="0" w:line="279" w:lineRule="auto"/>
        <w:rPr>
          <w:sz w:val="20"/>
          <w:szCs w:val="20"/>
          <w:color w:val="auto"/>
        </w:rPr>
      </w:pPr>
      <w:r>
        <w:rPr>
          <w:rFonts w:ascii="Arial" w:cs="Arial" w:eastAsia="Arial" w:hAnsi="Arial"/>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7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Our customers and prospective customers expect our Digital Optimization System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Optimization System may become less marketable, less competitive, or obsolete, and our business, financial condition, results of operations, and growth prospects could be materially adversely affected.</w:t>
      </w:r>
    </w:p>
    <w:p>
      <w:pPr>
        <w:spacing w:after="0" w:line="29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We have limited experience with respect to determining the optimal prices for our Digital Optimization System and, as a result, we have in the past and expect in the future that we will need to change our pricing model from time to time. As the market for our Digital Optimization System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right="420"/>
        <w:spacing w:after="0" w:line="324" w:lineRule="auto"/>
        <w:rPr>
          <w:sz w:val="20"/>
          <w:szCs w:val="20"/>
          <w:color w:val="auto"/>
        </w:rPr>
      </w:pPr>
      <w:r>
        <w:rPr>
          <w:rFonts w:ascii="Arial" w:cs="Arial" w:eastAsia="Arial" w:hAnsi="Arial"/>
          <w:sz w:val="17"/>
          <w:szCs w:val="17"/>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39"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Optimization System by new and existing customers, especially enterprise customers, our business, financial condition, and results of operations may be materially adversely affected.</w:t>
      </w:r>
    </w:p>
    <w:p>
      <w:pPr>
        <w:spacing w:after="0" w:line="16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9"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Optimization System, but there can be no assurance that these steps will be effective, and restrictions on travel and other limitations as a result of the COVID-19 pandemic undermine our efforts to provide training and build relationships. In addition, if our channel partners are unsuccessful in marketing and selling access to our Digital Optimization System, it would limit our expansion into certain geographies, sectors, and industries. If we are unable to develop and maintain effective sales incentive programs for our channel partners, we may not be able to incentivize these partners to sell access to our Digital Optimization System to customers.</w:t>
      </w:r>
    </w:p>
    <w:p>
      <w:pPr>
        <w:spacing w:after="0" w:line="178"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Optimization System altogether. Our channel partners could subject us to lawsuits, potential liability, and reputational harm if, for example, any of our channel partners misrepresents the functionality of our Digital Optimization System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Optimization System. If our channel partners are unsuccessful in selling access to our Digital Optimization System, or if we are unable to enter into arrangements with or retain a sufficient number of high-quality channel partners in each of the regions in which we sell access to our Digital Optimization System and keep them motivated to sell access to our Digital Optimization System, our business, financial condition, results of operations, and growth prospects could be adversely affected.</w:t>
      </w:r>
    </w:p>
    <w:p>
      <w:pPr>
        <w:spacing w:after="0" w:line="290"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If our marketing strategies are not effective in attracting new and retaining existing customers, our business and ability to grow our revenues would be harmed.</w:t>
      </w:r>
    </w:p>
    <w:p>
      <w:pPr>
        <w:spacing w:after="0" w:line="62"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rely on our marketing strategies consisting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 to drive our sales and revenue. These strategies may not continue to generate the level of sales necessary to increase our revenue. If our outbound sales efforts are unsuccessful at attracting and retaining new and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right="40" w:firstLine="509"/>
        <w:spacing w:after="0" w:line="296" w:lineRule="auto"/>
        <w:rPr>
          <w:sz w:val="20"/>
          <w:szCs w:val="20"/>
          <w:color w:val="auto"/>
        </w:rPr>
      </w:pPr>
      <w:r>
        <w:rPr>
          <w:rFonts w:ascii="Arial" w:cs="Arial" w:eastAsia="Arial" w:hAnsi="Arial"/>
          <w:sz w:val="17"/>
          <w:szCs w:val="17"/>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78" w:lineRule="exact"/>
        <w:rPr>
          <w:sz w:val="20"/>
          <w:szCs w:val="20"/>
          <w:color w:val="auto"/>
        </w:rPr>
      </w:pPr>
    </w:p>
    <w:p>
      <w:pPr>
        <w:ind w:right="840"/>
        <w:spacing w:after="0" w:line="293" w:lineRule="auto"/>
        <w:rPr>
          <w:sz w:val="20"/>
          <w:szCs w:val="20"/>
          <w:color w:val="auto"/>
        </w:rPr>
      </w:pPr>
      <w:r>
        <w:rPr>
          <w:rFonts w:ascii="Arial" w:cs="Arial" w:eastAsia="Arial" w:hAnsi="Arial"/>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62" w:lineRule="exact"/>
        <w:rPr>
          <w:sz w:val="20"/>
          <w:szCs w:val="20"/>
          <w:color w:val="auto"/>
        </w:rPr>
      </w:pPr>
    </w:p>
    <w:p>
      <w:pPr>
        <w:ind w:right="40" w:firstLine="509"/>
        <w:spacing w:after="0" w:line="284" w:lineRule="auto"/>
        <w:rPr>
          <w:sz w:val="20"/>
          <w:szCs w:val="20"/>
          <w:color w:val="auto"/>
        </w:rPr>
      </w:pPr>
      <w:r>
        <w:rPr>
          <w:rFonts w:ascii="Arial" w:cs="Arial" w:eastAsia="Arial" w:hAnsi="Arial"/>
          <w:sz w:val="17"/>
          <w:szCs w:val="17"/>
          <w:color w:val="auto"/>
        </w:rPr>
        <w:t>We have experienced rapid growth in our customer base since our inception. Although our growth strategy includes acquiring new customers across industries, company size, and stages of digital maturity, we believe there is continued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may require considerable time to evaluate and test our Digital Optimization System prior to making a purchase decision and placing an order. A number of factors influence the length and variability of our sales cycle, including the need to educate potential customers about the uses and benefits of our Digital Optimization System,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quarter ended September 30, 2021,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and enhance our brand, our business, financial condition, and results of operations may be materially adversely affected.</w:t>
      </w:r>
    </w:p>
    <w:p>
      <w:pPr>
        <w:spacing w:after="0" w:line="165"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We believe that maintaining and enhancing our reputation as a differentiated and category-defining company in digital optimization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Optimization System from competitive products and services. In addition, independent industry analysts often provide reviews of our Digital Optimization System, as well as products and services offered by our competitors, and perception of our Digital Optimization System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36"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international in scope, and we plan further geographic expansion, creating a variety of operational challenges.</w:t>
      </w:r>
    </w:p>
    <w:p>
      <w:pPr>
        <w:spacing w:after="0" w:line="131"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For the year ended December 31, 2020 and the nine months ended September 30, 2021, 36% of our revenue was generated outside the United States.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31" w:lineRule="exact"/>
        <w:rPr>
          <w:sz w:val="20"/>
          <w:szCs w:val="20"/>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anticipated public cloud adoption by international businesses;</w:t>
      </w:r>
    </w:p>
    <w:p>
      <w:pPr>
        <w:spacing w:after="0" w:line="130" w:lineRule="exact"/>
        <w:rPr>
          <w:rFonts w:ascii="Arial" w:cs="Arial" w:eastAsia="Arial" w:hAnsi="Arial"/>
          <w:sz w:val="18"/>
          <w:szCs w:val="18"/>
          <w:color w:val="auto"/>
        </w:rPr>
      </w:pPr>
    </w:p>
    <w:p>
      <w:pPr>
        <w:ind w:left="1020" w:right="44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which may be unexpected, in a specific country’s or region’s political, economic, or legal and regulatory environment, including Brexit, pandemics, terrorist activities, tariffs, trade wars, or long-term environmental risks;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adapt and localize our Digital Optimization System for specific countries;</w:t>
      </w:r>
    </w:p>
    <w:p>
      <w:pPr>
        <w:spacing w:after="0" w:line="130" w:lineRule="exact"/>
        <w:rPr>
          <w:rFonts w:ascii="Arial" w:cs="Arial" w:eastAsia="Arial" w:hAnsi="Arial"/>
          <w:sz w:val="18"/>
          <w:szCs w:val="18"/>
          <w:color w:val="auto"/>
        </w:rPr>
      </w:pPr>
    </w:p>
    <w:p>
      <w:pPr>
        <w:ind w:left="1020" w:right="42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greater difficulty enforcing contracts, collecting accounts receivable, or satisfying revenue recognition criteria, especially in emerging markets;</w:t>
      </w:r>
    </w:p>
    <w:p>
      <w:pPr>
        <w:spacing w:after="0" w:line="61" w:lineRule="exact"/>
        <w:rPr>
          <w:rFonts w:ascii="Arial" w:cs="Arial" w:eastAsia="Arial" w:hAnsi="Arial"/>
          <w:sz w:val="18"/>
          <w:szCs w:val="18"/>
          <w:color w:val="auto"/>
        </w:rPr>
      </w:pPr>
    </w:p>
    <w:p>
      <w:pPr>
        <w:ind w:left="1020" w:right="22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evolving, and more stringent regulations relating to privacy and data security and the unauthorized use of, or access to, commercial and personal information, particularly in Europe;</w:t>
      </w:r>
    </w:p>
    <w:p>
      <w:pPr>
        <w:spacing w:after="0" w:line="61" w:lineRule="exact"/>
        <w:rPr>
          <w:rFonts w:ascii="Arial" w:cs="Arial" w:eastAsia="Arial" w:hAnsi="Arial"/>
          <w:sz w:val="18"/>
          <w:szCs w:val="18"/>
          <w:color w:val="auto"/>
        </w:rPr>
      </w:pPr>
    </w:p>
    <w:p>
      <w:pPr>
        <w:ind w:left="102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61" w:lineRule="exact"/>
        <w:rPr>
          <w:rFonts w:ascii="Arial" w:cs="Arial" w:eastAsia="Arial" w:hAnsi="Arial"/>
          <w:sz w:val="18"/>
          <w:szCs w:val="18"/>
          <w:color w:val="auto"/>
        </w:rPr>
      </w:pPr>
    </w:p>
    <w:p>
      <w:pPr>
        <w:ind w:left="1020" w:right="140" w:hanging="479"/>
        <w:spacing w:after="0" w:line="279"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4" w:lineRule="exact"/>
        <w:rPr>
          <w:rFonts w:ascii="Arial" w:cs="Arial" w:eastAsia="Arial" w:hAnsi="Arial"/>
          <w:sz w:val="18"/>
          <w:szCs w:val="18"/>
          <w:color w:val="auto"/>
        </w:rPr>
      </w:pPr>
    </w:p>
    <w:p>
      <w:pPr>
        <w:ind w:left="1020" w:right="24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30" w:lineRule="exact"/>
        <w:rPr>
          <w:rFonts w:ascii="Arial" w:cs="Arial" w:eastAsia="Arial" w:hAnsi="Arial"/>
          <w:sz w:val="18"/>
          <w:szCs w:val="18"/>
          <w:color w:val="auto"/>
        </w:rPr>
      </w:pPr>
    </w:p>
    <w:p>
      <w:pPr>
        <w:ind w:left="1020" w:right="60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42" w:lineRule="exact"/>
        <w:rPr>
          <w:rFonts w:ascii="Arial" w:cs="Arial" w:eastAsia="Arial" w:hAnsi="Arial"/>
          <w:sz w:val="17"/>
          <w:szCs w:val="17"/>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30" w:lineRule="exact"/>
        <w:rPr>
          <w:rFonts w:ascii="Arial" w:cs="Arial" w:eastAsia="Arial" w:hAnsi="Arial"/>
          <w:sz w:val="18"/>
          <w:szCs w:val="18"/>
          <w:color w:val="auto"/>
        </w:rPr>
      </w:pPr>
    </w:p>
    <w:p>
      <w:pPr>
        <w:ind w:left="1020" w:right="24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264" w:lineRule="exact"/>
        <w:rPr>
          <w:rFonts w:ascii="Arial" w:cs="Arial" w:eastAsia="Arial" w:hAnsi="Arial"/>
          <w:sz w:val="18"/>
          <w:szCs w:val="18"/>
          <w:color w:val="auto"/>
        </w:rPr>
      </w:pPr>
    </w:p>
    <w:p>
      <w:pPr>
        <w:ind w:left="1020" w:right="360" w:hanging="479"/>
        <w:spacing w:after="0" w:line="359" w:lineRule="auto"/>
        <w:tabs>
          <w:tab w:leader="none" w:pos="8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COVID-19 or other pandemics or epidemics that could decrease economic activity in certain markets, decrease use of our products and services, or decrease our ability to import, export, or sell our products and services to existing or new customers in international markets;</w:t>
      </w:r>
    </w:p>
    <w:p>
      <w:pPr>
        <w:spacing w:after="0" w:line="16" w:lineRule="exact"/>
        <w:rPr>
          <w:rFonts w:ascii="Arial" w:cs="Arial" w:eastAsia="Arial" w:hAnsi="Arial"/>
          <w:sz w:val="16"/>
          <w:szCs w:val="16"/>
          <w:color w:val="auto"/>
        </w:rPr>
      </w:pPr>
    </w:p>
    <w:p>
      <w:pPr>
        <w:ind w:left="1020" w:right="520" w:hanging="479"/>
        <w:spacing w:after="0" w:line="279"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liabilities under export control, economic and trade sanction, anti-corruption, and anti-money laundering laws, including the Export Administration Regulations, the OFAC regulations, the FCPA, U.S. bribery laws, the UK Bribery Act, and similar laws and regulations in other jurisdictions;</w:t>
      </w:r>
    </w:p>
    <w:p>
      <w:pPr>
        <w:spacing w:after="0" w:line="74"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or preferences for domestic products;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technical standards, existing or future regulatory and certification requirements, and required features and functionality;</w:t>
      </w:r>
    </w:p>
    <w:p>
      <w:pPr>
        <w:spacing w:after="0" w:line="130" w:lineRule="exact"/>
        <w:rPr>
          <w:rFonts w:ascii="Arial" w:cs="Arial" w:eastAsia="Arial" w:hAnsi="Arial"/>
          <w:sz w:val="18"/>
          <w:szCs w:val="18"/>
          <w:color w:val="auto"/>
        </w:rPr>
      </w:pPr>
    </w:p>
    <w:p>
      <w:pPr>
        <w:ind w:left="1020" w:right="10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privacy and data security, including the EU GDPR and similar laws and regulations in other jurisdictions; and</w:t>
      </w:r>
    </w:p>
    <w:p>
      <w:pPr>
        <w:spacing w:after="0" w:line="61" w:lineRule="exact"/>
        <w:rPr>
          <w:rFonts w:ascii="Arial" w:cs="Arial" w:eastAsia="Arial" w:hAnsi="Arial"/>
          <w:sz w:val="18"/>
          <w:szCs w:val="18"/>
          <w:color w:val="auto"/>
        </w:rPr>
      </w:pPr>
    </w:p>
    <w:p>
      <w:pPr>
        <w:ind w:left="1020" w:right="240" w:hanging="479"/>
        <w:spacing w:after="0" w:line="293" w:lineRule="auto"/>
        <w:tabs>
          <w:tab w:leader="none" w:pos="8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70"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derive, and expect to continue for some time to derive, substantially all of our revenue from our Amplitude Analytics product.</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Although we recently released our Amplitude Recommend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 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9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7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For the year ended December 31, 2020 and the nine months ended September 30, 2020 and 2021, our research and development expenses were 25%, 27%,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it would materially adversely affect our business,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agree to indemnify customers and other third parties, which exposes us to substantial potential liability.</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54"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We do not know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7" w:lineRule="exact"/>
        <w:rPr>
          <w:sz w:val="20"/>
          <w:szCs w:val="20"/>
          <w:color w:val="auto"/>
        </w:rPr>
      </w:pPr>
    </w:p>
    <w:p>
      <w:pPr>
        <w:ind w:left="1020" w:right="240" w:hanging="479"/>
        <w:spacing w:after="0" w:line="293"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uncertainty in, and evolution of, legal standards relating to the validity, enforceability, and scope of protection of intellectual property rights;</w:t>
      </w:r>
    </w:p>
    <w:p>
      <w:pPr>
        <w:spacing w:after="0" w:line="153" w:lineRule="exact"/>
        <w:rPr>
          <w:rFonts w:ascii="Arial" w:cs="Arial" w:eastAsia="Arial" w:hAnsi="Arial"/>
          <w:sz w:val="16"/>
          <w:szCs w:val="16"/>
          <w:color w:val="auto"/>
        </w:rPr>
      </w:pPr>
    </w:p>
    <w:p>
      <w:pPr>
        <w:ind w:left="900" w:hanging="35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invalidation of our intellectual property rights through administrative processes or litigation;</w:t>
      </w:r>
    </w:p>
    <w:p>
      <w:pPr>
        <w:spacing w:after="0" w:line="333" w:lineRule="exact"/>
        <w:rPr>
          <w:rFonts w:ascii="Arial" w:cs="Arial" w:eastAsia="Arial" w:hAnsi="Arial"/>
          <w:sz w:val="18"/>
          <w:szCs w:val="18"/>
          <w:color w:val="auto"/>
        </w:rPr>
      </w:pPr>
    </w:p>
    <w:p>
      <w:pPr>
        <w:ind w:left="900" w:hanging="35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inability by us to detect infringement or other misappropriation of our intellectual property rights by third parties; and</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practical, resource, or business limitations on our ability to enforce our rights.</w:t>
      </w:r>
    </w:p>
    <w:p>
      <w:pPr>
        <w:spacing w:after="0" w:line="239"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81" w:lineRule="exact"/>
        <w:rPr>
          <w:sz w:val="20"/>
          <w:szCs w:val="20"/>
          <w:color w:val="auto"/>
        </w:rPr>
      </w:pPr>
    </w:p>
    <w:p>
      <w:pPr>
        <w:ind w:right="300" w:firstLine="509"/>
        <w:spacing w:after="0" w:line="319"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56"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6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color w:val="auto"/>
        </w:rPr>
        <w:t>Any intellectual property litigation to which we become a party may require us to do one or more of the following:</w:t>
      </w:r>
    </w:p>
    <w:p>
      <w:pPr>
        <w:spacing w:after="0" w:line="131" w:lineRule="exact"/>
        <w:rPr>
          <w:sz w:val="20"/>
          <w:szCs w:val="20"/>
          <w:color w:val="auto"/>
        </w:rPr>
      </w:pPr>
    </w:p>
    <w:p>
      <w:pPr>
        <w:ind w:left="1020" w:right="20" w:hanging="479"/>
        <w:spacing w:after="0" w:line="293"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selling, licensing, or using products or features that incorporate the intellectual property rights that we allegedly infringe, misappropriate, or violate;</w:t>
      </w:r>
    </w:p>
    <w:p>
      <w:pPr>
        <w:spacing w:after="0" w:line="61" w:lineRule="exact"/>
        <w:rPr>
          <w:rFonts w:ascii="Arial" w:cs="Arial" w:eastAsia="Arial" w:hAnsi="Arial"/>
          <w:sz w:val="18"/>
          <w:szCs w:val="18"/>
          <w:color w:val="auto"/>
        </w:rPr>
      </w:pPr>
    </w:p>
    <w:p>
      <w:pPr>
        <w:ind w:left="1020" w:right="140" w:hanging="479"/>
        <w:spacing w:after="0" w:line="293"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subscription fee refunds, or other costs or damages, including indemnification of third parties;</w:t>
      </w:r>
    </w:p>
    <w:p>
      <w:pPr>
        <w:spacing w:after="0" w:line="61" w:lineRule="exact"/>
        <w:rPr>
          <w:rFonts w:ascii="Arial" w:cs="Arial" w:eastAsia="Arial" w:hAnsi="Arial"/>
          <w:sz w:val="18"/>
          <w:szCs w:val="18"/>
          <w:color w:val="auto"/>
        </w:rPr>
      </w:pPr>
    </w:p>
    <w:p>
      <w:pPr>
        <w:ind w:left="1020" w:right="20" w:hanging="479"/>
        <w:spacing w:after="0" w:line="293"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61" w:lineRule="exact"/>
        <w:rPr>
          <w:rFonts w:ascii="Arial" w:cs="Arial" w:eastAsia="Arial" w:hAnsi="Arial"/>
          <w:sz w:val="18"/>
          <w:szCs w:val="18"/>
          <w:color w:val="auto"/>
        </w:rPr>
      </w:pPr>
    </w:p>
    <w:p>
      <w:pPr>
        <w:ind w:left="1020" w:right="320" w:hanging="479"/>
        <w:spacing w:after="0" w:line="293"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345"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Intellectual property litigation is typically complex, time consuming, and expensive to resolve and would divert the resources, time, and attention of our management and technical personnel,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96"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“open-source” software could negatively affect our ability to sell our platform and subject us to possible litigation.</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We use software in our Digital Optimization System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expose us to liability and increase our costs.</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Our Digital Optimization System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7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We are also subject to various domestic and international anti-corruption laws, such as the U.S. Foreign Corrupt Practices Act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7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299" w:lineRule="exact"/>
        <w:rPr>
          <w:sz w:val="20"/>
          <w:szCs w:val="20"/>
          <w:color w:val="auto"/>
        </w:rPr>
      </w:pPr>
    </w:p>
    <w:p>
      <w:pPr>
        <w:ind w:right="160"/>
        <w:spacing w:after="0" w:line="359" w:lineRule="auto"/>
        <w:rPr>
          <w:sz w:val="20"/>
          <w:szCs w:val="20"/>
          <w:color w:val="auto"/>
        </w:rPr>
      </w:pPr>
      <w:r>
        <w:rPr>
          <w:rFonts w:ascii="Arial" w:cs="Arial" w:eastAsia="Arial" w:hAnsi="Arial"/>
          <w:sz w:val="15"/>
          <w:szCs w:val="15"/>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2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practices do not comply.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5" w:name="page56"/>
    <w:bookmarkEnd w:id="55"/>
    <w:p>
      <w:pPr>
        <w:ind w:right="20" w:firstLine="509"/>
        <w:spacing w:after="0" w:line="302" w:lineRule="auto"/>
        <w:rPr>
          <w:sz w:val="20"/>
          <w:szCs w:val="20"/>
          <w:color w:val="auto"/>
        </w:rPr>
      </w:pPr>
      <w:r>
        <w:rPr>
          <w:rFonts w:ascii="Arial" w:cs="Arial" w:eastAsia="Arial" w:hAnsi="Arial"/>
          <w:sz w:val="16"/>
          <w:szCs w:val="16"/>
          <w:color w:val="auto"/>
        </w:rPr>
        <w:t>We may incur significant expenses to comply with the laws, regulations and other obligations that apply to us. 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data, including, for example, expanded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data out of the EEA, complies with the GDPR. While the CJEU upheld the validity of the Standard Contractual Clauses, the CJEU ruled that the underlying data transfers must be assessed on a case-by-case basis by the data controller to determine whether the personal data will be adequately protected. As a result, on June 4, 2021 the European Commission published a decision adopting an updated set of Standard Contractual Clauses designed to address issues identified by the CJEU. Use of the Standard Contractual Clauses will still need to be assessed on a case-by-case basis taking into account the legal regime applicable in the destination country, in particular applicable surveillance laws and rights of individuals. The exact scope and applicability of the new Standard Contractual Clauses is currently unclear, particularly regarding transfers to parties outside the EEA who are already subject to the GDPR. We are awaiting further clarification from the European Commission and therefore the full scope of application of the Standard Contractual Clauses remains subject to review and change as we get a better understanding from the European Commission and national regulators. As such, we will need to review existing transfers of personal data out of the EEA and put in place measures to implement the new Standard Contractual Clauses, subject to a transition period. Accordingly, unless we put in place such measures by the end of the applicable transition period, any transfers by us of personal data from Europe may not comply with European data protection laws and may increase our exposure to the GDPR’s heightened sanctions for violations of its cross-border data transfer restrictions. Loss of our ability to transfer personal data from Europe may also require us to increase our data processing capabilities in those jurisdictions at significant expense.</w:t>
      </w:r>
    </w:p>
    <w:p>
      <w:pPr>
        <w:spacing w:after="0" w:line="170"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Further, from January 1, 2021, companies have had to comply with both the GDPR and the United Kingdom GDPR (“UK GDPR”), which, together with the amended UK Data Protection Act 2018, retains the GDPR in UK national law. The UK GDPR mirrors the fines under the GDPR, imposing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w:t>
      </w:r>
    </w:p>
    <w:p>
      <w:pPr>
        <w:spacing w:after="0" w:line="182"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In addition to the E.U. and UK,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Optimization System,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right="20" w:firstLine="509"/>
        <w:spacing w:after="0" w:line="285" w:lineRule="auto"/>
        <w:rPr>
          <w:sz w:val="20"/>
          <w:szCs w:val="20"/>
          <w:color w:val="auto"/>
        </w:rPr>
      </w:pPr>
      <w:r>
        <w:rPr>
          <w:rFonts w:ascii="Arial" w:cs="Arial" w:eastAsia="Arial" w:hAnsi="Arial"/>
          <w:sz w:val="17"/>
          <w:szCs w:val="17"/>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of up to $7,500 per violation.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passed in Virginia and Colorado, and proposed in other states and at the federal level, reflecting a trend toward more stringent privacy legislation in the United States. The enactment of such laws may have potentially conflicting requirements that would make compliance challenging.</w:t>
      </w:r>
    </w:p>
    <w:p>
      <w:pPr>
        <w:spacing w:after="0" w:line="18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63" w:lineRule="exact"/>
        <w:rPr>
          <w:sz w:val="20"/>
          <w:szCs w:val="20"/>
          <w:color w:val="auto"/>
        </w:rPr>
      </w:pPr>
    </w:p>
    <w:p>
      <w:pPr>
        <w:ind w:right="100" w:firstLine="509"/>
        <w:spacing w:after="0" w:line="308"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Tax and Accounting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31"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We conduct transactions, particularly intercompany transactions, in currencies other than the U.S. dollar. While we have primarily transacted with customers and vendors in U.S. dollars, we have transacted in foreign currencies for subscriptions to our Digital Optimization System, and we expect to significantly expand the number of transactions with customers for our Digital Optimization System that are denominated in foreign currencies.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64" w:lineRule="exact"/>
        <w:rPr>
          <w:sz w:val="20"/>
          <w:szCs w:val="20"/>
          <w:color w:val="auto"/>
        </w:rPr>
      </w:pPr>
    </w:p>
    <w:p>
      <w:pPr>
        <w:ind w:right="380" w:firstLine="509"/>
        <w:spacing w:after="0" w:line="314" w:lineRule="auto"/>
        <w:rPr>
          <w:sz w:val="20"/>
          <w:szCs w:val="20"/>
          <w:color w:val="auto"/>
        </w:rPr>
      </w:pPr>
      <w:r>
        <w:rPr>
          <w:rFonts w:ascii="Arial" w:cs="Arial" w:eastAsia="Arial" w:hAnsi="Arial"/>
          <w:sz w:val="16"/>
          <w:szCs w:val="16"/>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31"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1" w:lineRule="exact"/>
        <w:rPr>
          <w:sz w:val="20"/>
          <w:szCs w:val="20"/>
          <w:color w:val="auto"/>
        </w:rPr>
      </w:pPr>
    </w:p>
    <w:p>
      <w:pPr>
        <w:ind w:right="100" w:firstLine="509"/>
        <w:spacing w:after="0" w:line="319" w:lineRule="auto"/>
        <w:rPr>
          <w:sz w:val="20"/>
          <w:szCs w:val="20"/>
          <w:color w:val="auto"/>
        </w:rPr>
      </w:pPr>
      <w:r>
        <w:rPr>
          <w:rFonts w:ascii="Arial" w:cs="Arial" w:eastAsia="Arial" w:hAnsi="Arial"/>
          <w:sz w:val="16"/>
          <w:szCs w:val="16"/>
          <w:color w:val="auto"/>
        </w:rPr>
        <w:t>In addition, the Organization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w:t>
      </w:r>
    </w:p>
    <w:p>
      <w:pPr>
        <w:spacing w:after="0" w:line="131" w:lineRule="exact"/>
        <w:rPr>
          <w:sz w:val="20"/>
          <w:szCs w:val="20"/>
          <w:color w:val="auto"/>
        </w:rPr>
      </w:pPr>
    </w:p>
    <w:p>
      <w:pPr>
        <w:ind w:right="200" w:firstLine="509"/>
        <w:spacing w:after="0" w:line="287" w:lineRule="auto"/>
        <w:rPr>
          <w:sz w:val="20"/>
          <w:szCs w:val="20"/>
          <w:color w:val="auto"/>
        </w:rPr>
      </w:pPr>
      <w:r>
        <w:rPr>
          <w:rFonts w:ascii="Arial" w:cs="Arial" w:eastAsia="Arial" w:hAnsi="Arial"/>
          <w:sz w:val="17"/>
          <w:szCs w:val="17"/>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 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 material adverse effect on our results of operations.</w:t>
      </w:r>
    </w:p>
    <w:p>
      <w:pPr>
        <w:spacing w:after="0" w:line="131" w:lineRule="exact"/>
        <w:rPr>
          <w:sz w:val="20"/>
          <w:szCs w:val="20"/>
          <w:color w:val="auto"/>
        </w:rPr>
      </w:pPr>
    </w:p>
    <w:p>
      <w:pPr>
        <w:ind w:right="140" w:firstLine="509"/>
        <w:spacing w:after="0" w:line="319" w:lineRule="auto"/>
        <w:rPr>
          <w:sz w:val="20"/>
          <w:szCs w:val="20"/>
          <w:color w:val="auto"/>
        </w:rPr>
      </w:pPr>
      <w:r>
        <w:rPr>
          <w:rFonts w:ascii="Arial" w:cs="Arial" w:eastAsia="Arial" w:hAnsi="Arial"/>
          <w:sz w:val="16"/>
          <w:szCs w:val="16"/>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31" w:lineRule="exact"/>
        <w:rPr>
          <w:sz w:val="20"/>
          <w:szCs w:val="20"/>
          <w:color w:val="auto"/>
        </w:rPr>
      </w:pPr>
    </w:p>
    <w:p>
      <w:pPr>
        <w:ind w:left="900" w:hanging="359"/>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53" w:lineRule="exact"/>
        <w:rPr>
          <w:rFonts w:ascii="Arial" w:cs="Arial" w:eastAsia="Arial" w:hAnsi="Arial"/>
          <w:sz w:val="16"/>
          <w:szCs w:val="16"/>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 and the CARES Act;</w:t>
      </w:r>
    </w:p>
    <w:p>
      <w:pPr>
        <w:spacing w:after="0" w:line="130" w:lineRule="exact"/>
        <w:rPr>
          <w:rFonts w:ascii="Arial" w:cs="Arial" w:eastAsia="Arial" w:hAnsi="Arial"/>
          <w:sz w:val="18"/>
          <w:szCs w:val="18"/>
          <w:color w:val="auto"/>
        </w:rPr>
      </w:pPr>
    </w:p>
    <w:p>
      <w:pPr>
        <w:ind w:left="1020" w:right="40" w:hanging="479"/>
        <w:spacing w:after="0" w:line="324" w:lineRule="auto"/>
        <w:tabs>
          <w:tab w:leader="none" w:pos="8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9" w:lineRule="exact"/>
        <w:rPr>
          <w:rFonts w:ascii="Arial" w:cs="Arial" w:eastAsia="Arial" w:hAnsi="Arial"/>
          <w:sz w:val="17"/>
          <w:szCs w:val="17"/>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acquisitions.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materially adversely affect our results of operations.</w:t>
      </w:r>
    </w:p>
    <w:p>
      <w:pPr>
        <w:spacing w:after="0" w:line="239"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93"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xml:space="preserve">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that online sellers can be required to collect sales and use tax despite not having a physical presence in the buyer’s state. In response to </w:t>
      </w:r>
      <w:r>
        <w:rPr>
          <w:rFonts w:ascii="Arial" w:cs="Arial" w:eastAsia="Arial" w:hAnsi="Arial"/>
          <w:sz w:val="17"/>
          <w:szCs w:val="17"/>
          <w:i w:val="1"/>
          <w:iCs w:val="1"/>
          <w:color w:val="auto"/>
        </w:rPr>
        <w:t>Wayfair</w:t>
      </w:r>
      <w:r>
        <w:rPr>
          <w:rFonts w:ascii="Arial" w:cs="Arial" w:eastAsia="Arial" w:hAnsi="Arial"/>
          <w:sz w:val="17"/>
          <w:szCs w:val="17"/>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42"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U.S. GAAP is subject to interpretation by the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9" w:name="page60"/>
    <w:bookmarkEnd w:id="59"/>
    <w:p>
      <w:pPr>
        <w:ind w:right="180"/>
        <w:spacing w:after="0" w:line="29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3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could decline significantly and rapidly.</w:t>
      </w:r>
    </w:p>
    <w:p>
      <w:pPr>
        <w:spacing w:after="0" w:line="239"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The trading price of our Class A common stock may fluctuate substantially in response to numerous factors in addition to the ones described in the preceding risk factors, many of which are beyond our control, including:</w:t>
      </w:r>
    </w:p>
    <w:p>
      <w:pPr>
        <w:spacing w:after="0" w:line="62" w:lineRule="exact"/>
        <w:rPr>
          <w:sz w:val="20"/>
          <w:szCs w:val="20"/>
          <w:color w:val="auto"/>
        </w:rPr>
      </w:pPr>
    </w:p>
    <w:p>
      <w:pPr>
        <w:ind w:left="900" w:hanging="35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results of operations, or operating metrics and those of our competitors;</w:t>
      </w:r>
    </w:p>
    <w:p>
      <w:pPr>
        <w:spacing w:after="0" w:line="142" w:lineRule="exact"/>
        <w:rPr>
          <w:rFonts w:ascii="Arial" w:cs="Arial" w:eastAsia="Arial" w:hAnsi="Arial"/>
          <w:sz w:val="17"/>
          <w:szCs w:val="17"/>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30" w:lineRule="exact"/>
        <w:rPr>
          <w:rFonts w:ascii="Arial" w:cs="Arial" w:eastAsia="Arial" w:hAnsi="Arial"/>
          <w:sz w:val="18"/>
          <w:szCs w:val="18"/>
          <w:color w:val="auto"/>
        </w:rPr>
      </w:pPr>
    </w:p>
    <w:p>
      <w:pPr>
        <w:ind w:left="1020" w:right="320" w:hanging="479"/>
        <w:spacing w:after="0" w:line="293"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pricing of our Digital Optimization System;</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Digital Optimization System;</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platform;</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board of directors, senior management, or key personnel;</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30" w:lineRule="exact"/>
        <w:rPr>
          <w:rFonts w:ascii="Arial" w:cs="Arial" w:eastAsia="Arial" w:hAnsi="Arial"/>
          <w:sz w:val="18"/>
          <w:szCs w:val="18"/>
          <w:color w:val="auto"/>
        </w:rPr>
      </w:pPr>
    </w:p>
    <w:p>
      <w:pPr>
        <w:ind w:left="1020" w:right="140" w:hanging="479"/>
        <w:spacing w:after="0" w:line="293"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elections, or responses to these events; and</w:t>
      </w:r>
    </w:p>
    <w:p>
      <w:pPr>
        <w:spacing w:after="0" w:line="61" w:lineRule="exact"/>
        <w:rPr>
          <w:rFonts w:ascii="Arial" w:cs="Arial" w:eastAsia="Arial" w:hAnsi="Arial"/>
          <w:sz w:val="18"/>
          <w:szCs w:val="18"/>
          <w:color w:val="auto"/>
        </w:rPr>
      </w:pPr>
    </w:p>
    <w:p>
      <w:pPr>
        <w:ind w:left="1020" w:right="120" w:hanging="479"/>
        <w:spacing w:after="0" w:line="293"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concentrated voting control of our executive officers, directors, and their affiliates.</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60" w:name="page61"/>
    <w:bookmarkEnd w:id="60"/>
    <w:p>
      <w:pPr>
        <w:ind w:right="140" w:firstLine="509"/>
        <w:spacing w:after="0" w:line="292" w:lineRule="auto"/>
        <w:rPr>
          <w:sz w:val="20"/>
          <w:szCs w:val="20"/>
          <w:color w:val="auto"/>
        </w:rPr>
      </w:pPr>
      <w:r>
        <w:rPr>
          <w:rFonts w:ascii="Arial" w:cs="Arial" w:eastAsia="Arial" w:hAnsi="Arial"/>
          <w:sz w:val="17"/>
          <w:szCs w:val="17"/>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principal stockholders have the ability to influence the outcome of director elections and other matters requiring stockholder approval.</w:t>
      </w:r>
    </w:p>
    <w:p>
      <w:pPr>
        <w:spacing w:after="0" w:line="154"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Our directors, executive officers, and holders of more than 5% of our capital stock and their affiliates collectively beneficially own, in the aggregate, shares representing a substantial majority of the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7"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Class B common stock has five votes per share, whereas our Class A common stock, which are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78" w:lineRule="exact"/>
        <w:rPr>
          <w:sz w:val="20"/>
          <w:szCs w:val="20"/>
          <w:color w:val="auto"/>
        </w:rPr>
      </w:pPr>
    </w:p>
    <w:p>
      <w:pPr>
        <w:jc w:val="both"/>
        <w:ind w:right="40" w:firstLine="509"/>
        <w:spacing w:after="0" w:line="314" w:lineRule="auto"/>
        <w:rPr>
          <w:sz w:val="20"/>
          <w:szCs w:val="20"/>
          <w:color w:val="auto"/>
        </w:rPr>
      </w:pPr>
      <w:r>
        <w:rPr>
          <w:rFonts w:ascii="Arial" w:cs="Arial" w:eastAsia="Arial" w:hAnsi="Arial"/>
          <w:sz w:val="16"/>
          <w:szCs w:val="16"/>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0"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Direct Listing,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1" w:name="page62"/>
    <w:bookmarkEnd w:id="61"/>
    <w:p>
      <w:pPr>
        <w:jc w:val="both"/>
        <w:ind w:right="120"/>
        <w:spacing w:after="0" w:line="279"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75"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 of our securityholders are subject to any contractual lock-up or other contractual restriction on the transfer or sale of their shares.</w:t>
      </w:r>
    </w:p>
    <w:p>
      <w:pPr>
        <w:spacing w:after="0" w:line="142"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Moreover, once we have been a reporting company subject to the reporting requirements of Section 13 or Section 15(d) of the Exchange Act for 90 days and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our Prospectus, will be entitled to sell their shares of our Class A common stock subject to volume limitations under Rule 144 and various vesting agreements.</w:t>
      </w:r>
    </w:p>
    <w:p>
      <w:pPr>
        <w:spacing w:after="0" w:line="174"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In addition, we filed a registration statement to register all shares subject to options and RSUs outstanding or reserved for future issuance under our equity compensation plans. As of September 30, 2021, we had 23,613,293 options outstanding that, if fully exercised, would result in the issuance of shares of Class A common stock, as well as 1,231,873 shares of Class A common stock subject to RSU awards.</w:t>
      </w:r>
    </w:p>
    <w:p>
      <w:pPr>
        <w:spacing w:after="0" w:line="164" w:lineRule="exact"/>
        <w:rPr>
          <w:sz w:val="20"/>
          <w:szCs w:val="20"/>
          <w:color w:val="auto"/>
        </w:rPr>
      </w:pPr>
    </w:p>
    <w:p>
      <w:pPr>
        <w:ind w:right="800" w:firstLine="509"/>
        <w:spacing w:after="0" w:line="293" w:lineRule="auto"/>
        <w:rPr>
          <w:sz w:val="20"/>
          <w:szCs w:val="20"/>
          <w:color w:val="auto"/>
        </w:rPr>
      </w:pPr>
      <w:r>
        <w:rPr>
          <w:rFonts w:ascii="Arial" w:cs="Arial" w:eastAsia="Arial" w:hAnsi="Arial"/>
          <w:sz w:val="18"/>
          <w:szCs w:val="18"/>
          <w:color w:val="auto"/>
        </w:rPr>
        <w:t>Accordingly, these shares will be able to be freely sold in the public market upon issuance, subject to applicable vesting requirements and compliance by affiliates with Rule 144.</w:t>
      </w:r>
    </w:p>
    <w:p>
      <w:pPr>
        <w:spacing w:after="0" w:line="170"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00" w:lineRule="exact"/>
        <w:rPr>
          <w:sz w:val="20"/>
          <w:szCs w:val="20"/>
          <w:color w:val="auto"/>
        </w:rPr>
      </w:pPr>
    </w:p>
    <w:p>
      <w:pPr>
        <w:spacing w:after="0" w:line="21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99"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2" w:lineRule="exact"/>
        <w:rPr>
          <w:sz w:val="20"/>
          <w:szCs w:val="20"/>
          <w:color w:val="auto"/>
        </w:rPr>
      </w:pPr>
    </w:p>
    <w:p>
      <w:pPr>
        <w:ind w:right="40" w:firstLine="509"/>
        <w:spacing w:after="0" w:line="303"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2" w:name="page63"/>
    <w:bookmarkEnd w:id="62"/>
    <w:p>
      <w:pPr>
        <w:ind w:right="8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We will remain an emerging growth company until the earliest of: (1) the last day of the fiscal year following the fifth anniversary of the listing of our Class A common stock on the Nasdaq Capital Market; (2) the last day of the first fiscal year in which our annual gross revenue is $1.07 billion or more;</w:t>
      </w:r>
    </w:p>
    <w:p>
      <w:pPr>
        <w:spacing w:after="0" w:line="1" w:lineRule="exact"/>
        <w:rPr>
          <w:sz w:val="20"/>
          <w:szCs w:val="20"/>
          <w:color w:val="auto"/>
        </w:rPr>
      </w:pPr>
    </w:p>
    <w:p>
      <w:pPr>
        <w:ind w:right="40" w:firstLine="8"/>
        <w:spacing w:after="0" w:line="292"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 (4) the date we qualify as a “large accelerated filer,” with at least $700 million of equity securities held by non-affiliates.</w:t>
      </w:r>
    </w:p>
    <w:p>
      <w:pPr>
        <w:spacing w:after="0" w:line="170" w:lineRule="exact"/>
        <w:rPr>
          <w:sz w:val="20"/>
          <w:szCs w:val="20"/>
          <w:color w:val="auto"/>
        </w:rPr>
      </w:pPr>
    </w:p>
    <w:p>
      <w:pPr>
        <w:ind w:right="220" w:firstLine="509"/>
        <w:spacing w:after="0" w:line="275"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For example, if we do not adopt a new or revised accounting standard, our future results of operations may not be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200" w:lineRule="exact"/>
        <w:rPr>
          <w:sz w:val="20"/>
          <w:szCs w:val="20"/>
          <w:color w:val="auto"/>
        </w:rPr>
      </w:pPr>
    </w:p>
    <w:p>
      <w:pPr>
        <w:spacing w:after="0" w:line="242"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39" w:lineRule="exact"/>
        <w:rPr>
          <w:sz w:val="20"/>
          <w:szCs w:val="20"/>
          <w:color w:val="auto"/>
        </w:rPr>
      </w:pPr>
    </w:p>
    <w:p>
      <w:pPr>
        <w:ind w:right="180" w:firstLine="509"/>
        <w:spacing w:after="0" w:line="359"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17" w:lineRule="exact"/>
        <w:rPr>
          <w:sz w:val="20"/>
          <w:szCs w:val="20"/>
          <w:color w:val="auto"/>
        </w:rPr>
      </w:pPr>
    </w:p>
    <w:p>
      <w:pPr>
        <w:ind w:left="1020" w:right="140" w:hanging="479"/>
        <w:spacing w:after="0" w:line="293"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42" w:lineRule="exact"/>
        <w:rPr>
          <w:rFonts w:ascii="Arial" w:cs="Arial" w:eastAsia="Arial" w:hAnsi="Arial"/>
          <w:sz w:val="17"/>
          <w:szCs w:val="17"/>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30" w:lineRule="exact"/>
        <w:rPr>
          <w:rFonts w:ascii="Arial" w:cs="Arial" w:eastAsia="Arial" w:hAnsi="Arial"/>
          <w:sz w:val="18"/>
          <w:szCs w:val="18"/>
          <w:color w:val="auto"/>
        </w:rPr>
      </w:pPr>
    </w:p>
    <w:p>
      <w:pPr>
        <w:ind w:left="1020" w:right="240" w:hanging="479"/>
        <w:spacing w:after="0" w:line="293"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1"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30" w:lineRule="exact"/>
        <w:rPr>
          <w:rFonts w:ascii="Arial" w:cs="Arial" w:eastAsia="Arial" w:hAnsi="Arial"/>
          <w:sz w:val="18"/>
          <w:szCs w:val="18"/>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30" w:lineRule="exact"/>
        <w:rPr>
          <w:rFonts w:ascii="Arial" w:cs="Arial" w:eastAsia="Arial" w:hAnsi="Arial"/>
          <w:sz w:val="18"/>
          <w:szCs w:val="18"/>
          <w:color w:val="auto"/>
        </w:rPr>
      </w:pPr>
    </w:p>
    <w:p>
      <w:pPr>
        <w:ind w:left="1020" w:right="220" w:hanging="479"/>
        <w:spacing w:after="0" w:line="293"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1" w:lineRule="exact"/>
        <w:rPr>
          <w:rFonts w:ascii="Arial" w:cs="Arial" w:eastAsia="Arial" w:hAnsi="Arial"/>
          <w:sz w:val="18"/>
          <w:szCs w:val="18"/>
          <w:color w:val="auto"/>
        </w:rPr>
      </w:pPr>
    </w:p>
    <w:p>
      <w:pPr>
        <w:ind w:left="1020" w:right="100" w:hanging="479"/>
        <w:spacing w:after="0" w:line="293"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3" w:name="page64"/>
    <w:bookmarkEnd w:id="63"/>
    <w:p>
      <w:pPr>
        <w:ind w:right="20" w:firstLine="509"/>
        <w:spacing w:after="0" w:line="30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72"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62" w:lineRule="exact"/>
        <w:rPr>
          <w:sz w:val="20"/>
          <w:szCs w:val="20"/>
          <w:color w:val="auto"/>
        </w:rPr>
      </w:pPr>
    </w:p>
    <w:p>
      <w:pPr>
        <w:jc w:val="both"/>
        <w:ind w:left="1020" w:right="40" w:hanging="479"/>
        <w:spacing w:after="0" w:line="296" w:lineRule="auto"/>
        <w:tabs>
          <w:tab w:leader="none" w:pos="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61" w:lineRule="exact"/>
        <w:rPr>
          <w:rFonts w:ascii="Arial" w:cs="Arial" w:eastAsia="Arial" w:hAnsi="Arial"/>
          <w:sz w:val="17"/>
          <w:szCs w:val="17"/>
          <w:color w:val="auto"/>
        </w:rPr>
      </w:pPr>
    </w:p>
    <w:p>
      <w:pPr>
        <w:ind w:left="900" w:hanging="35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42" w:lineRule="exact"/>
        <w:rPr>
          <w:rFonts w:ascii="Arial" w:cs="Arial" w:eastAsia="Arial" w:hAnsi="Arial"/>
          <w:sz w:val="17"/>
          <w:szCs w:val="17"/>
          <w:color w:val="auto"/>
        </w:rPr>
      </w:pPr>
    </w:p>
    <w:p>
      <w:pPr>
        <w:ind w:left="1020" w:right="160" w:hanging="479"/>
        <w:spacing w:after="0" w:line="359" w:lineRule="auto"/>
        <w:tabs>
          <w:tab w:leader="none" w:pos="8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1020" w:hanging="479"/>
        <w:spacing w:after="0" w:line="293"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1" w:lineRule="exact"/>
        <w:rPr>
          <w:rFonts w:ascii="Arial" w:cs="Arial" w:eastAsia="Arial" w:hAnsi="Arial"/>
          <w:sz w:val="18"/>
          <w:szCs w:val="18"/>
          <w:color w:val="auto"/>
        </w:rPr>
      </w:pPr>
    </w:p>
    <w:p>
      <w:pPr>
        <w:ind w:left="1020" w:right="240" w:hanging="479"/>
        <w:spacing w:after="0" w:line="293"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jc w:val="both"/>
        <w:ind w:right="380" w:firstLine="509"/>
        <w:spacing w:after="0" w:line="359"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4" w:name="page65"/>
    <w:bookmarkEnd w:id="64"/>
    <w:p>
      <w:pPr>
        <w:ind w:right="180"/>
        <w:spacing w:after="0" w:line="303" w:lineRule="auto"/>
        <w:rPr>
          <w:sz w:val="20"/>
          <w:szCs w:val="20"/>
          <w:color w:val="auto"/>
        </w:rPr>
      </w:pPr>
      <w:r>
        <w:rPr>
          <w:rFonts w:ascii="Arial" w:cs="Arial" w:eastAsia="Arial" w:hAnsi="Arial"/>
          <w:sz w:val="17"/>
          <w:szCs w:val="17"/>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56"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5"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attract and retain highly skilled employees could materially adversely affect our business.</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have. As our company grows and evolves, we may need to implement more complex organizational management structures or adapt our corporate culture and work environments. These changes could have an adverse impact on our corporate culture, which could harm our ability to retain and recruit personnel.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If we fail to attract new personnel or fail to retain and motivate our current personnel, our business and growth prospects could be materially adversely affected.</w:t>
      </w:r>
    </w:p>
    <w:p>
      <w:pPr>
        <w:spacing w:after="0" w:line="293"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62"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Changes in the business, regulatory, or political climate in the San Francisco Bay Area could adversely affect our operations.</w:t>
      </w:r>
    </w:p>
    <w:p>
      <w:pPr>
        <w:spacing w:after="0" w:line="131"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00" w:lineRule="exact"/>
        <w:rPr>
          <w:sz w:val="20"/>
          <w:szCs w:val="20"/>
          <w:color w:val="auto"/>
        </w:rPr>
      </w:pPr>
    </w:p>
    <w:p>
      <w:pPr>
        <w:spacing w:after="0" w:line="247"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Digital Optimization System, and could harm our business.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Optimization System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Optimization System could decline.</w:t>
      </w:r>
    </w:p>
    <w:p>
      <w:pPr>
        <w:spacing w:after="0" w:line="286"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Optimization System or generate any particular level of revenue for us. Any expansion in our markets depends on a number of factors, including the cost, performance, and perceived value associated with our Digital Optimization System and the products of our competitors. Even if the markets in which we compete achieve the forecasted growth, our business could fail to grow at similar rates, if at all.</w:t>
      </w:r>
    </w:p>
    <w:p>
      <w:pPr>
        <w:spacing w:after="0" w:line="284" w:lineRule="exact"/>
        <w:rPr>
          <w:sz w:val="20"/>
          <w:szCs w:val="20"/>
          <w:color w:val="auto"/>
        </w:rPr>
      </w:pPr>
    </w:p>
    <w:p>
      <w:pPr>
        <w:spacing w:after="0" w:line="394" w:lineRule="auto"/>
        <w:rPr>
          <w:sz w:val="20"/>
          <w:szCs w:val="20"/>
          <w:color w:val="auto"/>
        </w:rPr>
      </w:pPr>
      <w:r>
        <w:rPr>
          <w:rFonts w:ascii="Arial" w:cs="Arial" w:eastAsia="Arial" w:hAnsi="Arial"/>
          <w:sz w:val="15"/>
          <w:szCs w:val="15"/>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have in the past and intend in the future to seek to acquire or invest in businesses, joint ventures, and platform technologies that we believe could complement or expand our Digital Optimization System,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occurrences and similar events.</w:t>
      </w:r>
    </w:p>
    <w:p>
      <w:pPr>
        <w:spacing w:after="0" w:line="13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ind w:right="280" w:firstLine="509"/>
        <w:spacing w:after="0" w:line="279" w:lineRule="auto"/>
        <w:rPr>
          <w:sz w:val="20"/>
          <w:szCs w:val="20"/>
          <w:color w:val="auto"/>
        </w:rPr>
      </w:pPr>
      <w:r>
        <w:rPr>
          <w:rFonts w:ascii="Arial" w:cs="Arial" w:eastAsia="Arial" w:hAnsi="Arial"/>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83" w:lineRule="exact"/>
        <w:rPr>
          <w:sz w:val="20"/>
          <w:szCs w:val="20"/>
          <w:color w:val="auto"/>
        </w:rPr>
      </w:pPr>
    </w:p>
    <w:p>
      <w:pPr>
        <w:jc w:val="both"/>
        <w:ind w:right="860" w:firstLine="509"/>
        <w:spacing w:after="0" w:line="329" w:lineRule="auto"/>
        <w:rPr>
          <w:sz w:val="20"/>
          <w:szCs w:val="20"/>
          <w:color w:val="auto"/>
        </w:rPr>
      </w:pPr>
      <w:r>
        <w:rPr>
          <w:rFonts w:ascii="Arial" w:cs="Arial" w:eastAsia="Arial" w:hAnsi="Arial"/>
          <w:sz w:val="16"/>
          <w:szCs w:val="16"/>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56"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4" w:lineRule="exact"/>
        <w:rPr>
          <w:sz w:val="20"/>
          <w:szCs w:val="20"/>
          <w:color w:val="auto"/>
        </w:rPr>
      </w:pPr>
    </w:p>
    <w:p>
      <w:pPr>
        <w:ind w:right="800"/>
        <w:spacing w:after="0" w:line="29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Nasdaq rules,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84"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75"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We will be required, pursuant to Section 404, to furnish a report by management on, among other things, the effectiveness of our internal control over financial reporting on an annual basis, beginning with our second annual report on Form 10-K.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begun to establish a compliance and controls function and we will need to hire additional accounting and financial personnel with appropriate public company experience and technical accounting knowledge and compile the system and process documentation necessary to perform the evaluation needed to comply with Section 404.</w:t>
      </w:r>
    </w:p>
    <w:p>
      <w:pPr>
        <w:spacing w:after="0" w:line="165"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right="540" w:firstLine="509"/>
        <w:spacing w:after="0" w:line="293" w:lineRule="auto"/>
        <w:rPr>
          <w:sz w:val="20"/>
          <w:szCs w:val="20"/>
          <w:color w:val="auto"/>
        </w:rPr>
      </w:pPr>
      <w:r>
        <w:rPr>
          <w:rFonts w:ascii="Arial" w:cs="Arial" w:eastAsia="Arial" w:hAnsi="Arial"/>
          <w:sz w:val="18"/>
          <w:szCs w:val="18"/>
          <w:color w:val="auto"/>
        </w:rPr>
        <w:t>Set forth below is information regarding all securities issued by the Registrant without registration under the Securities Act during the period covered by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Plan-Related Issuances</w:t>
      </w:r>
    </w:p>
    <w:p>
      <w:pPr>
        <w:spacing w:after="0" w:line="131" w:lineRule="exact"/>
        <w:rPr>
          <w:sz w:val="20"/>
          <w:szCs w:val="20"/>
          <w:color w:val="auto"/>
        </w:rPr>
      </w:pPr>
    </w:p>
    <w:p>
      <w:pPr>
        <w:ind w:right="120" w:firstLine="509"/>
        <w:spacing w:after="0" w:line="303" w:lineRule="auto"/>
        <w:rPr>
          <w:sz w:val="20"/>
          <w:szCs w:val="20"/>
          <w:color w:val="auto"/>
        </w:rPr>
      </w:pPr>
      <w:r>
        <w:rPr>
          <w:rFonts w:ascii="Arial" w:cs="Arial" w:eastAsia="Arial" w:hAnsi="Arial"/>
          <w:sz w:val="17"/>
          <w:szCs w:val="17"/>
          <w:color w:val="auto"/>
        </w:rPr>
        <w:t>From July 1, 2021 to September 30, 2021, we issued and sold to certain of our directors, officers, employees, consultants, and other service providers an aggregate of 2,837,184 shares of common stock upon the exercise of options under our Amended and Restated 2014 Stock Option and Grant Plan (the “2014 Plan”), for a weighted average exercise price of $2.31 per share and an aggregate purchase price of $6.6 million.</w:t>
      </w:r>
    </w:p>
    <w:p>
      <w:pPr>
        <w:spacing w:after="0" w:line="56" w:lineRule="exact"/>
        <w:rPr>
          <w:sz w:val="20"/>
          <w:szCs w:val="20"/>
          <w:color w:val="auto"/>
        </w:rPr>
      </w:pPr>
    </w:p>
    <w:p>
      <w:pPr>
        <w:jc w:val="both"/>
        <w:ind w:right="360" w:firstLine="509"/>
        <w:spacing w:after="0" w:line="279" w:lineRule="auto"/>
        <w:rPr>
          <w:sz w:val="20"/>
          <w:szCs w:val="20"/>
          <w:color w:val="auto"/>
        </w:rPr>
      </w:pPr>
      <w:r>
        <w:rPr>
          <w:rFonts w:ascii="Arial" w:cs="Arial" w:eastAsia="Arial" w:hAnsi="Arial"/>
          <w:sz w:val="18"/>
          <w:szCs w:val="18"/>
          <w:color w:val="auto"/>
        </w:rPr>
        <w:t>From July 1, 2021 to September 30, 2021, we issued and sold to an accredited investor an aggregate of 36,062 shares of Class B common stock upon the exercise of options granted outside our 2014 Plan, at a weighted average exercise price of $0.30 per share and an aggregate purchase price of $0.01 million.</w:t>
      </w:r>
    </w:p>
    <w:p>
      <w:pPr>
        <w:spacing w:after="0" w:line="75" w:lineRule="exact"/>
        <w:rPr>
          <w:sz w:val="20"/>
          <w:szCs w:val="20"/>
          <w:color w:val="auto"/>
        </w:rPr>
      </w:pPr>
    </w:p>
    <w:p>
      <w:pPr>
        <w:ind w:right="40" w:firstLine="509"/>
        <w:spacing w:after="0" w:line="359" w:lineRule="auto"/>
        <w:rPr>
          <w:sz w:val="20"/>
          <w:szCs w:val="20"/>
          <w:color w:val="auto"/>
        </w:rPr>
      </w:pPr>
      <w:r>
        <w:rPr>
          <w:rFonts w:ascii="Arial" w:cs="Arial" w:eastAsia="Arial" w:hAnsi="Arial"/>
          <w:sz w:val="16"/>
          <w:szCs w:val="16"/>
          <w:color w:val="auto"/>
        </w:rPr>
        <w:t>From July 1, 2021 through September 30, 2021, we granted to our directors, officers, employees, consultants, and other service providers options to purchase an aggregate of 282,734 shares of our common stock under our 2014 Plan, at a weighted average exercise price of $24.56 per share.</w:t>
      </w:r>
    </w:p>
    <w:p>
      <w:pPr>
        <w:spacing w:after="0" w:line="17"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From July 1, 2021 through September 30, 2021, we granted to our directors, officers, employees, consultants, and other service providers RSUs representing an aggregate of 779,757 shares of our common stock under our 2014 Plan.</w:t>
      </w:r>
    </w:p>
    <w:p>
      <w:pPr>
        <w:spacing w:after="0" w:line="62" w:lineRule="exact"/>
        <w:rPr>
          <w:sz w:val="20"/>
          <w:szCs w:val="20"/>
          <w:color w:val="auto"/>
        </w:rPr>
      </w:pPr>
    </w:p>
    <w:p>
      <w:pPr>
        <w:ind w:right="580" w:firstLine="509"/>
        <w:spacing w:after="0" w:line="293" w:lineRule="auto"/>
        <w:rPr>
          <w:sz w:val="20"/>
          <w:szCs w:val="20"/>
          <w:color w:val="auto"/>
        </w:rPr>
      </w:pPr>
      <w:r>
        <w:rPr>
          <w:rFonts w:ascii="Arial" w:cs="Arial" w:eastAsia="Arial" w:hAnsi="Arial"/>
          <w:sz w:val="18"/>
          <w:szCs w:val="18"/>
          <w:color w:val="auto"/>
        </w:rPr>
        <w:t>From July 1, 2021 through September 30, 2021, we granted to our directors, officers, employees, consultants, and other service providers an aggregate of 46,875 shares of restricted common stock under our 2014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Warrant-Related Issuances</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In September 2021, we issued an aggregate of 6,822 shares of Class B common stock to an accredited investor upon the net exercise of warrants at a weighted average exercise price of $1.39 per share and an aggregate purchase price of $0.01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Redeemable Convertible Preferred Stock</w:t>
      </w:r>
    </w:p>
    <w:p>
      <w:pPr>
        <w:spacing w:after="0" w:line="13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In July and August 2021, we issued and sold an aggregate of 827,609 shares of Series F redeemable convertible preferred stock at a purchase price of $32.0199 per share to 11 accredited investors, for an aggregate purchase price of $26.5 million.</w:t>
      </w:r>
    </w:p>
    <w:p>
      <w:pPr>
        <w:spacing w:after="0" w:line="62" w:lineRule="exact"/>
        <w:rPr>
          <w:sz w:val="20"/>
          <w:szCs w:val="20"/>
          <w:color w:val="auto"/>
        </w:rPr>
      </w:pPr>
    </w:p>
    <w:p>
      <w:pPr>
        <w:ind w:right="80" w:firstLine="509"/>
        <w:spacing w:after="0" w:line="314" w:lineRule="auto"/>
        <w:rPr>
          <w:sz w:val="20"/>
          <w:szCs w:val="20"/>
          <w:color w:val="auto"/>
        </w:rPr>
      </w:pPr>
      <w:r>
        <w:rPr>
          <w:rFonts w:ascii="Arial" w:cs="Arial" w:eastAsia="Arial" w:hAnsi="Arial"/>
          <w:sz w:val="16"/>
          <w:szCs w:val="16"/>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200" w:type="dxa"/>
            <w:vAlign w:val="bottom"/>
            <w:gridSpan w:val="38"/>
          </w:tcPr>
          <w:p>
            <w:pPr>
              <w:spacing w:after="0"/>
              <w:rPr>
                <w:sz w:val="20"/>
                <w:szCs w:val="20"/>
                <w:color w:val="auto"/>
              </w:rPr>
            </w:pPr>
            <w:r>
              <w:rPr>
                <w:rFonts w:ascii="Arial" w:cs="Arial" w:eastAsia="Arial" w:hAnsi="Arial"/>
                <w:sz w:val="18"/>
                <w:szCs w:val="18"/>
                <w:b w:val="1"/>
                <w:bCs w:val="1"/>
                <w:color w:val="auto"/>
              </w:rPr>
              <w:t>Item 6. Exhibits.</w:t>
            </w:r>
          </w:p>
        </w:tc>
        <w:tc>
          <w:tcPr>
            <w:tcW w:w="440" w:type="dxa"/>
            <w:vAlign w:val="bottom"/>
          </w:tcPr>
          <w:p>
            <w:pPr>
              <w:spacing w:after="0"/>
              <w:rPr>
                <w:sz w:val="20"/>
                <w:szCs w:val="20"/>
                <w:color w:val="auto"/>
              </w:rPr>
            </w:pPr>
          </w:p>
        </w:tc>
      </w:tr>
      <w:tr>
        <w:trPr>
          <w:trHeight w:val="45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160" w:type="dxa"/>
            <w:vAlign w:val="bottom"/>
            <w:gridSpan w:val="37"/>
          </w:tcPr>
          <w:p>
            <w:pPr>
              <w:spacing w:after="0"/>
              <w:rPr>
                <w:sz w:val="20"/>
                <w:szCs w:val="20"/>
                <w:color w:val="auto"/>
              </w:rPr>
            </w:pPr>
            <w:r>
              <w:rPr>
                <w:rFonts w:ascii="Arial" w:cs="Arial" w:eastAsia="Arial" w:hAnsi="Arial"/>
                <w:sz w:val="18"/>
                <w:szCs w:val="18"/>
                <w:b w:val="1"/>
                <w:bCs w:val="1"/>
                <w:color w:val="auto"/>
              </w:rPr>
              <w:t>Description</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w w:val="88"/>
              </w:rPr>
              <w:t>Form</w:t>
            </w:r>
          </w:p>
        </w:tc>
      </w:tr>
      <w:tr>
        <w:trPr>
          <w:trHeight w:val="23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3"/>
        </w:trPr>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3.1</w:t>
            </w:r>
          </w:p>
        </w:tc>
        <w:tc>
          <w:tcPr>
            <w:tcW w:w="5160" w:type="dxa"/>
            <w:vAlign w:val="bottom"/>
            <w:gridSpan w:val="37"/>
          </w:tcPr>
          <w:p>
            <w:pPr>
              <w:spacing w:after="0" w:line="202" w:lineRule="exact"/>
              <w:rPr>
                <w:rFonts w:ascii="Arial" w:cs="Arial" w:eastAsia="Arial" w:hAnsi="Arial"/>
                <w:sz w:val="18"/>
                <w:szCs w:val="18"/>
                <w:color w:val="0000FF"/>
              </w:rPr>
            </w:pPr>
            <w:hyperlink r:id="rId275">
              <w:r>
                <w:rPr>
                  <w:rFonts w:ascii="Arial" w:cs="Arial" w:eastAsia="Arial" w:hAnsi="Arial"/>
                  <w:sz w:val="18"/>
                  <w:szCs w:val="18"/>
                  <w:color w:val="0000FF"/>
                </w:rPr>
                <w:t>Restated Certificate of Incorporation of the Registrant.</w:t>
              </w:r>
            </w:hyperlink>
          </w:p>
        </w:tc>
        <w:tc>
          <w:tcPr>
            <w:tcW w:w="440" w:type="dxa"/>
            <w:vAlign w:val="bottom"/>
          </w:tcPr>
          <w:p>
            <w:pPr>
              <w:ind w:left="20"/>
              <w:spacing w:after="0" w:line="202" w:lineRule="exact"/>
              <w:rPr>
                <w:sz w:val="20"/>
                <w:szCs w:val="20"/>
                <w:color w:val="auto"/>
              </w:rPr>
            </w:pPr>
            <w:r>
              <w:rPr>
                <w:rFonts w:ascii="Arial" w:cs="Arial" w:eastAsia="Arial" w:hAnsi="Arial"/>
                <w:sz w:val="18"/>
                <w:szCs w:val="18"/>
                <w:color w:val="auto"/>
              </w:rPr>
              <w:t>8-K</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56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276">
              <w:r>
                <w:rPr>
                  <w:rFonts w:ascii="Arial" w:cs="Arial" w:eastAsia="Arial" w:hAnsi="Arial"/>
                  <w:sz w:val="18"/>
                  <w:szCs w:val="18"/>
                  <w:color w:val="0000FF"/>
                  <w:w w:val="90"/>
                </w:rPr>
                <w:t>Amended and Restated Bylaws of the Registrant.</w:t>
              </w:r>
            </w:hyperlink>
          </w:p>
        </w:tc>
        <w:tc>
          <w:tcPr>
            <w:tcW w:w="20" w:type="dxa"/>
            <w:vAlign w:val="bottom"/>
            <w:tcBorders>
              <w:top w:val="single" w:sz="8" w:color="0000FF"/>
              <w:bottom w:val="single" w:sz="8" w:color="0000EE"/>
            </w:tcBorders>
          </w:tcPr>
          <w:p>
            <w:pPr>
              <w:spacing w:after="0"/>
              <w:rPr>
                <w:sz w:val="19"/>
                <w:szCs w:val="19"/>
                <w:color w:val="auto"/>
              </w:rPr>
            </w:pPr>
          </w:p>
        </w:tc>
        <w:tc>
          <w:tcPr>
            <w:tcW w:w="340" w:type="dxa"/>
            <w:vAlign w:val="bottom"/>
            <w:tcBorders>
              <w:top w:val="single" w:sz="8" w:color="0000FF"/>
            </w:tcBorders>
            <w:gridSpan w:val="2"/>
          </w:tcPr>
          <w:p>
            <w:pPr>
              <w:spacing w:after="0"/>
              <w:rPr>
                <w:sz w:val="19"/>
                <w:szCs w:val="19"/>
                <w:color w:val="auto"/>
              </w:rPr>
            </w:pPr>
          </w:p>
        </w:tc>
        <w:tc>
          <w:tcPr>
            <w:tcW w:w="1240" w:type="dxa"/>
            <w:vAlign w:val="bottom"/>
            <w:gridSpan w:val="19"/>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8-K</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5140" w:type="dxa"/>
            <w:vAlign w:val="bottom"/>
            <w:tcBorders>
              <w:bottom w:val="single" w:sz="8" w:color="0000FF"/>
            </w:tcBorders>
            <w:gridSpan w:val="36"/>
          </w:tcPr>
          <w:p>
            <w:pPr>
              <w:spacing w:after="0"/>
              <w:rPr>
                <w:rFonts w:ascii="Arial" w:cs="Arial" w:eastAsia="Arial" w:hAnsi="Arial"/>
                <w:sz w:val="18"/>
                <w:szCs w:val="18"/>
                <w:color w:val="0000FF"/>
                <w:w w:val="91"/>
              </w:rPr>
            </w:pPr>
            <w:hyperlink r:id="rId277">
              <w:r>
                <w:rPr>
                  <w:rFonts w:ascii="Arial" w:cs="Arial" w:eastAsia="Arial" w:hAnsi="Arial"/>
                  <w:sz w:val="18"/>
                  <w:szCs w:val="18"/>
                  <w:color w:val="0000FF"/>
                  <w:w w:val="91"/>
                </w:rPr>
                <w:t>Specimen Stock Certificate evidencing the shares of Class A Common</w:t>
              </w:r>
            </w:hyperlink>
          </w:p>
        </w:tc>
        <w:tc>
          <w:tcPr>
            <w:tcW w:w="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09"/>
        </w:trPr>
        <w:tc>
          <w:tcPr>
            <w:tcW w:w="1040" w:type="dxa"/>
            <w:vAlign w:val="bottom"/>
          </w:tcPr>
          <w:p>
            <w:pPr>
              <w:spacing w:after="0"/>
              <w:rPr>
                <w:sz w:val="18"/>
                <w:szCs w:val="18"/>
                <w:color w:val="auto"/>
              </w:rPr>
            </w:pPr>
          </w:p>
        </w:tc>
        <w:tc>
          <w:tcPr>
            <w:tcW w:w="5160" w:type="dxa"/>
            <w:vAlign w:val="bottom"/>
            <w:gridSpan w:val="37"/>
          </w:tcPr>
          <w:p>
            <w:pPr>
              <w:spacing w:after="0"/>
              <w:rPr>
                <w:rFonts w:ascii="Arial" w:cs="Arial" w:eastAsia="Arial" w:hAnsi="Arial"/>
                <w:sz w:val="18"/>
                <w:szCs w:val="18"/>
                <w:color w:val="0000FF"/>
              </w:rPr>
            </w:pPr>
            <w:hyperlink r:id="rId277">
              <w:r>
                <w:rPr>
                  <w:rFonts w:ascii="Arial" w:cs="Arial" w:eastAsia="Arial" w:hAnsi="Arial"/>
                  <w:sz w:val="18"/>
                  <w:szCs w:val="18"/>
                  <w:color w:val="0000FF"/>
                </w:rPr>
                <w:t>Stock.</w:t>
              </w:r>
            </w:hyperlink>
          </w:p>
        </w:tc>
        <w:tc>
          <w:tcPr>
            <w:tcW w:w="4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5120" w:type="dxa"/>
            <w:vAlign w:val="bottom"/>
            <w:tcBorders>
              <w:bottom w:val="single" w:sz="8" w:color="0000FF"/>
            </w:tcBorders>
            <w:gridSpan w:val="35"/>
          </w:tcPr>
          <w:p>
            <w:pPr>
              <w:spacing w:after="0"/>
              <w:rPr>
                <w:rFonts w:ascii="Arial" w:cs="Arial" w:eastAsia="Arial" w:hAnsi="Arial"/>
                <w:sz w:val="18"/>
                <w:szCs w:val="18"/>
                <w:color w:val="0000FF"/>
                <w:w w:val="90"/>
              </w:rPr>
            </w:pPr>
            <w:hyperlink r:id="rId278">
              <w:r>
                <w:rPr>
                  <w:rFonts w:ascii="Arial" w:cs="Arial" w:eastAsia="Arial" w:hAnsi="Arial"/>
                  <w:sz w:val="18"/>
                  <w:szCs w:val="18"/>
                  <w:color w:val="0000FF"/>
                  <w:w w:val="90"/>
                </w:rPr>
                <w:t>Specimen Stock Certificate evidencing the shares of Class B Common</w:t>
              </w:r>
            </w:hyperlink>
          </w:p>
        </w:tc>
        <w:tc>
          <w:tcPr>
            <w:tcW w:w="40" w:type="dxa"/>
            <w:vAlign w:val="bottom"/>
            <w:gridSpan w:val="2"/>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S-8</w:t>
            </w:r>
          </w:p>
        </w:tc>
      </w:tr>
      <w:tr>
        <w:trPr>
          <w:trHeight w:val="209"/>
        </w:trPr>
        <w:tc>
          <w:tcPr>
            <w:tcW w:w="1040" w:type="dxa"/>
            <w:vAlign w:val="bottom"/>
          </w:tcPr>
          <w:p>
            <w:pPr>
              <w:spacing w:after="0"/>
              <w:rPr>
                <w:sz w:val="18"/>
                <w:szCs w:val="18"/>
                <w:color w:val="auto"/>
              </w:rPr>
            </w:pPr>
          </w:p>
        </w:tc>
        <w:tc>
          <w:tcPr>
            <w:tcW w:w="5160" w:type="dxa"/>
            <w:vAlign w:val="bottom"/>
            <w:gridSpan w:val="37"/>
          </w:tcPr>
          <w:p>
            <w:pPr>
              <w:spacing w:after="0"/>
              <w:rPr>
                <w:rFonts w:ascii="Arial" w:cs="Arial" w:eastAsia="Arial" w:hAnsi="Arial"/>
                <w:sz w:val="18"/>
                <w:szCs w:val="18"/>
                <w:color w:val="0000FF"/>
              </w:rPr>
            </w:pPr>
            <w:hyperlink r:id="rId278">
              <w:r>
                <w:rPr>
                  <w:rFonts w:ascii="Arial" w:cs="Arial" w:eastAsia="Arial" w:hAnsi="Arial"/>
                  <w:sz w:val="18"/>
                  <w:szCs w:val="18"/>
                  <w:color w:val="0000FF"/>
                </w:rPr>
                <w:t>Stock.</w:t>
              </w:r>
            </w:hyperlink>
          </w:p>
        </w:tc>
        <w:tc>
          <w:tcPr>
            <w:tcW w:w="4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5080" w:type="dxa"/>
            <w:vAlign w:val="bottom"/>
            <w:tcBorders>
              <w:bottom w:val="single" w:sz="8" w:color="0000FF"/>
            </w:tcBorders>
            <w:gridSpan w:val="33"/>
          </w:tcPr>
          <w:p>
            <w:pPr>
              <w:spacing w:after="0"/>
              <w:rPr>
                <w:rFonts w:ascii="Arial" w:cs="Arial" w:eastAsia="Arial" w:hAnsi="Arial"/>
                <w:sz w:val="18"/>
                <w:szCs w:val="18"/>
                <w:color w:val="0000FF"/>
                <w:w w:val="90"/>
              </w:rPr>
            </w:pPr>
            <w:hyperlink r:id="rId279">
              <w:r>
                <w:rPr>
                  <w:rFonts w:ascii="Arial" w:cs="Arial" w:eastAsia="Arial" w:hAnsi="Arial"/>
                  <w:sz w:val="18"/>
                  <w:szCs w:val="18"/>
                  <w:color w:val="0000FF"/>
                  <w:w w:val="90"/>
                </w:rPr>
                <w:t>Amended and Restated Investors’ Rights Agreement, dated as of May</w:t>
              </w:r>
            </w:hyperlink>
          </w:p>
        </w:tc>
        <w:tc>
          <w:tcPr>
            <w:tcW w:w="80" w:type="dxa"/>
            <w:vAlign w:val="bottom"/>
            <w:gridSpan w:val="4"/>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09"/>
        </w:trPr>
        <w:tc>
          <w:tcPr>
            <w:tcW w:w="1040" w:type="dxa"/>
            <w:vAlign w:val="bottom"/>
          </w:tcPr>
          <w:p>
            <w:pPr>
              <w:spacing w:after="0"/>
              <w:rPr>
                <w:sz w:val="18"/>
                <w:szCs w:val="18"/>
                <w:color w:val="auto"/>
              </w:rPr>
            </w:pPr>
          </w:p>
        </w:tc>
        <w:tc>
          <w:tcPr>
            <w:tcW w:w="5020" w:type="dxa"/>
            <w:vAlign w:val="bottom"/>
            <w:tcBorders>
              <w:bottom w:val="single" w:sz="8" w:color="0000FF"/>
            </w:tcBorders>
            <w:gridSpan w:val="31"/>
          </w:tcPr>
          <w:p>
            <w:pPr>
              <w:spacing w:after="0"/>
              <w:rPr>
                <w:rFonts w:ascii="Arial" w:cs="Arial" w:eastAsia="Arial" w:hAnsi="Arial"/>
                <w:sz w:val="18"/>
                <w:szCs w:val="18"/>
                <w:color w:val="0000FF"/>
                <w:w w:val="89"/>
              </w:rPr>
            </w:pPr>
            <w:hyperlink r:id="rId279">
              <w:r>
                <w:rPr>
                  <w:rFonts w:ascii="Arial" w:cs="Arial" w:eastAsia="Arial" w:hAnsi="Arial"/>
                  <w:sz w:val="18"/>
                  <w:szCs w:val="18"/>
                  <w:color w:val="0000FF"/>
                  <w:w w:val="89"/>
                </w:rPr>
                <w:t>28, 2021, as amended, by and among the Registrant and certain of its</w:t>
              </w:r>
            </w:hyperlink>
          </w:p>
        </w:tc>
        <w:tc>
          <w:tcPr>
            <w:tcW w:w="140" w:type="dxa"/>
            <w:vAlign w:val="bottom"/>
            <w:gridSpan w:val="6"/>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5160" w:type="dxa"/>
            <w:vAlign w:val="bottom"/>
            <w:gridSpan w:val="37"/>
          </w:tcPr>
          <w:p>
            <w:pPr>
              <w:spacing w:after="0"/>
              <w:rPr>
                <w:rFonts w:ascii="Arial" w:cs="Arial" w:eastAsia="Arial" w:hAnsi="Arial"/>
                <w:sz w:val="18"/>
                <w:szCs w:val="18"/>
                <w:color w:val="0000FF"/>
              </w:rPr>
            </w:pPr>
            <w:hyperlink r:id="rId279">
              <w:r>
                <w:rPr>
                  <w:rFonts w:ascii="Arial" w:cs="Arial" w:eastAsia="Arial" w:hAnsi="Arial"/>
                  <w:sz w:val="18"/>
                  <w:szCs w:val="18"/>
                  <w:color w:val="0000FF"/>
                </w:rPr>
                <w:t>stockholders.</w:t>
              </w:r>
            </w:hyperlink>
          </w:p>
        </w:tc>
        <w:tc>
          <w:tcPr>
            <w:tcW w:w="4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4800" w:type="dxa"/>
            <w:vAlign w:val="bottom"/>
            <w:tcBorders>
              <w:bottom w:val="single" w:sz="8" w:color="0000FF"/>
            </w:tcBorders>
            <w:gridSpan w:val="24"/>
          </w:tcPr>
          <w:p>
            <w:pPr>
              <w:spacing w:after="0"/>
              <w:rPr>
                <w:rFonts w:ascii="Arial" w:cs="Arial" w:eastAsia="Arial" w:hAnsi="Arial"/>
                <w:sz w:val="18"/>
                <w:szCs w:val="18"/>
                <w:color w:val="0000FF"/>
                <w:w w:val="89"/>
              </w:rPr>
            </w:pPr>
            <w:hyperlink r:id="rId280">
              <w:r>
                <w:rPr>
                  <w:rFonts w:ascii="Arial" w:cs="Arial" w:eastAsia="Arial" w:hAnsi="Arial"/>
                  <w:sz w:val="18"/>
                  <w:szCs w:val="18"/>
                  <w:color w:val="0000FF"/>
                  <w:w w:val="89"/>
                </w:rPr>
                <w:t>Sublease, dated May 13, 2021, by and between the Registrant and</w:t>
              </w:r>
            </w:hyperlink>
          </w:p>
        </w:tc>
        <w:tc>
          <w:tcPr>
            <w:tcW w:w="360" w:type="dxa"/>
            <w:vAlign w:val="bottom"/>
            <w:gridSpan w:val="13"/>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10"/>
        </w:trPr>
        <w:tc>
          <w:tcPr>
            <w:tcW w:w="1040" w:type="dxa"/>
            <w:vAlign w:val="bottom"/>
          </w:tcPr>
          <w:p>
            <w:pPr>
              <w:spacing w:after="0"/>
              <w:rPr>
                <w:sz w:val="18"/>
                <w:szCs w:val="18"/>
                <w:color w:val="auto"/>
              </w:rPr>
            </w:pPr>
          </w:p>
        </w:tc>
        <w:tc>
          <w:tcPr>
            <w:tcW w:w="1200" w:type="dxa"/>
            <w:vAlign w:val="bottom"/>
            <w:tcBorders>
              <w:bottom w:val="single" w:sz="8" w:color="0000FF"/>
            </w:tcBorders>
            <w:gridSpan w:val="4"/>
          </w:tcPr>
          <w:p>
            <w:pPr>
              <w:spacing w:after="0"/>
              <w:rPr>
                <w:rFonts w:ascii="Arial" w:cs="Arial" w:eastAsia="Arial" w:hAnsi="Arial"/>
                <w:sz w:val="18"/>
                <w:szCs w:val="18"/>
                <w:color w:val="0000FF"/>
                <w:w w:val="88"/>
              </w:rPr>
            </w:pPr>
            <w:hyperlink r:id="rId280">
              <w:r>
                <w:rPr>
                  <w:rFonts w:ascii="Arial" w:cs="Arial" w:eastAsia="Arial" w:hAnsi="Arial"/>
                  <w:sz w:val="18"/>
                  <w:szCs w:val="18"/>
                  <w:color w:val="0000FF"/>
                  <w:w w:val="88"/>
                </w:rPr>
                <w:t>Postmates, LLC.</w:t>
              </w:r>
            </w:hyperlink>
          </w:p>
        </w:tc>
        <w:tc>
          <w:tcPr>
            <w:tcW w:w="20" w:type="dxa"/>
            <w:vAlign w:val="bottom"/>
            <w:tcBorders>
              <w:bottom w:val="single" w:sz="8" w:color="0000EE"/>
            </w:tcBorders>
          </w:tcPr>
          <w:p>
            <w:pPr>
              <w:spacing w:after="0"/>
              <w:rPr>
                <w:sz w:val="18"/>
                <w:szCs w:val="18"/>
                <w:color w:val="auto"/>
              </w:rPr>
            </w:pPr>
          </w:p>
        </w:tc>
        <w:tc>
          <w:tcPr>
            <w:tcW w:w="3940" w:type="dxa"/>
            <w:vAlign w:val="bottom"/>
            <w:gridSpan w:val="32"/>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10.2(a)#</w:t>
            </w:r>
          </w:p>
        </w:tc>
        <w:tc>
          <w:tcPr>
            <w:tcW w:w="4480" w:type="dxa"/>
            <w:vAlign w:val="bottom"/>
            <w:tcBorders>
              <w:bottom w:val="single" w:sz="8" w:color="0000FF"/>
            </w:tcBorders>
            <w:gridSpan w:val="21"/>
          </w:tcPr>
          <w:p>
            <w:pPr>
              <w:spacing w:after="0"/>
              <w:rPr>
                <w:rFonts w:ascii="Arial" w:cs="Arial" w:eastAsia="Arial" w:hAnsi="Arial"/>
                <w:sz w:val="18"/>
                <w:szCs w:val="18"/>
                <w:color w:val="0000FF"/>
                <w:w w:val="89"/>
              </w:rPr>
            </w:pPr>
            <w:hyperlink r:id="rId281">
              <w:r>
                <w:rPr>
                  <w:rFonts w:ascii="Arial" w:cs="Arial" w:eastAsia="Arial" w:hAnsi="Arial"/>
                  <w:sz w:val="18"/>
                  <w:szCs w:val="18"/>
                  <w:color w:val="0000FF"/>
                  <w:w w:val="89"/>
                </w:rPr>
                <w:t>Amended and Restated 2014 Stock Option and Grant Plan, as</w:t>
              </w:r>
            </w:hyperlink>
          </w:p>
        </w:tc>
        <w:tc>
          <w:tcPr>
            <w:tcW w:w="680" w:type="dxa"/>
            <w:vAlign w:val="bottom"/>
            <w:gridSpan w:val="16"/>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10"/>
        </w:trPr>
        <w:tc>
          <w:tcPr>
            <w:tcW w:w="1040" w:type="dxa"/>
            <w:vAlign w:val="bottom"/>
          </w:tcPr>
          <w:p>
            <w:pPr>
              <w:spacing w:after="0"/>
              <w:rPr>
                <w:sz w:val="18"/>
                <w:szCs w:val="18"/>
                <w:color w:val="auto"/>
              </w:rPr>
            </w:pPr>
          </w:p>
        </w:tc>
        <w:tc>
          <w:tcPr>
            <w:tcW w:w="5160" w:type="dxa"/>
            <w:vAlign w:val="bottom"/>
            <w:gridSpan w:val="37"/>
          </w:tcPr>
          <w:p>
            <w:pPr>
              <w:spacing w:after="0"/>
              <w:rPr>
                <w:rFonts w:ascii="Arial" w:cs="Arial" w:eastAsia="Arial" w:hAnsi="Arial"/>
                <w:sz w:val="18"/>
                <w:szCs w:val="18"/>
                <w:color w:val="0000FF"/>
              </w:rPr>
            </w:pPr>
            <w:hyperlink r:id="rId281">
              <w:r>
                <w:rPr>
                  <w:rFonts w:ascii="Arial" w:cs="Arial" w:eastAsia="Arial" w:hAnsi="Arial"/>
                  <w:sz w:val="18"/>
                  <w:szCs w:val="18"/>
                  <w:color w:val="0000FF"/>
                </w:rPr>
                <w:t>amended.</w:t>
              </w:r>
            </w:hyperlink>
          </w:p>
        </w:tc>
        <w:tc>
          <w:tcPr>
            <w:tcW w:w="4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10.2(b)#</w:t>
            </w:r>
          </w:p>
        </w:tc>
        <w:tc>
          <w:tcPr>
            <w:tcW w:w="4920" w:type="dxa"/>
            <w:vAlign w:val="bottom"/>
            <w:tcBorders>
              <w:bottom w:val="single" w:sz="8" w:color="0000FF"/>
            </w:tcBorders>
            <w:gridSpan w:val="28"/>
          </w:tcPr>
          <w:p>
            <w:pPr>
              <w:spacing w:after="0"/>
              <w:rPr>
                <w:rFonts w:ascii="Arial" w:cs="Arial" w:eastAsia="Arial" w:hAnsi="Arial"/>
                <w:sz w:val="18"/>
                <w:szCs w:val="18"/>
                <w:color w:val="0000FF"/>
                <w:w w:val="90"/>
              </w:rPr>
            </w:pPr>
            <w:hyperlink r:id="rId282">
              <w:r>
                <w:rPr>
                  <w:rFonts w:ascii="Arial" w:cs="Arial" w:eastAsia="Arial" w:hAnsi="Arial"/>
                  <w:sz w:val="18"/>
                  <w:szCs w:val="18"/>
                  <w:color w:val="0000FF"/>
                  <w:w w:val="90"/>
                </w:rPr>
                <w:t>Form Agreements under Amended and Restated 2014 Stock Option</w:t>
              </w:r>
            </w:hyperlink>
          </w:p>
        </w:tc>
        <w:tc>
          <w:tcPr>
            <w:tcW w:w="240" w:type="dxa"/>
            <w:vAlign w:val="bottom"/>
            <w:gridSpan w:val="9"/>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09"/>
        </w:trPr>
        <w:tc>
          <w:tcPr>
            <w:tcW w:w="1040" w:type="dxa"/>
            <w:vAlign w:val="bottom"/>
          </w:tcPr>
          <w:p>
            <w:pPr>
              <w:spacing w:after="0"/>
              <w:rPr>
                <w:sz w:val="18"/>
                <w:szCs w:val="18"/>
                <w:color w:val="auto"/>
              </w:rPr>
            </w:pPr>
          </w:p>
        </w:tc>
        <w:tc>
          <w:tcPr>
            <w:tcW w:w="2060" w:type="dxa"/>
            <w:vAlign w:val="bottom"/>
            <w:tcBorders>
              <w:bottom w:val="single" w:sz="8" w:color="0000FF"/>
            </w:tcBorders>
            <w:gridSpan w:val="9"/>
          </w:tcPr>
          <w:p>
            <w:pPr>
              <w:spacing w:after="0"/>
              <w:rPr>
                <w:rFonts w:ascii="Arial" w:cs="Arial" w:eastAsia="Arial" w:hAnsi="Arial"/>
                <w:sz w:val="18"/>
                <w:szCs w:val="18"/>
                <w:color w:val="0000FF"/>
                <w:w w:val="86"/>
              </w:rPr>
            </w:pPr>
            <w:hyperlink r:id="rId282">
              <w:r>
                <w:rPr>
                  <w:rFonts w:ascii="Arial" w:cs="Arial" w:eastAsia="Arial" w:hAnsi="Arial"/>
                  <w:sz w:val="18"/>
                  <w:szCs w:val="18"/>
                  <w:color w:val="0000FF"/>
                  <w:w w:val="86"/>
                </w:rPr>
                <w:t>and Grant Plan, as amended.</w:t>
              </w:r>
            </w:hyperlink>
          </w:p>
        </w:tc>
        <w:tc>
          <w:tcPr>
            <w:tcW w:w="3100" w:type="dxa"/>
            <w:vAlign w:val="bottom"/>
            <w:gridSpan w:val="28"/>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10.3(a)#</w:t>
            </w:r>
          </w:p>
        </w:tc>
        <w:tc>
          <w:tcPr>
            <w:tcW w:w="2000" w:type="dxa"/>
            <w:vAlign w:val="bottom"/>
            <w:tcBorders>
              <w:bottom w:val="single" w:sz="8" w:color="0000FF"/>
            </w:tcBorders>
            <w:gridSpan w:val="7"/>
          </w:tcPr>
          <w:p>
            <w:pPr>
              <w:spacing w:after="0"/>
              <w:rPr>
                <w:rFonts w:ascii="Arial" w:cs="Arial" w:eastAsia="Arial" w:hAnsi="Arial"/>
                <w:sz w:val="18"/>
                <w:szCs w:val="18"/>
                <w:color w:val="0000FF"/>
                <w:w w:val="90"/>
              </w:rPr>
            </w:pPr>
            <w:hyperlink r:id="rId283">
              <w:r>
                <w:rPr>
                  <w:rFonts w:ascii="Arial" w:cs="Arial" w:eastAsia="Arial" w:hAnsi="Arial"/>
                  <w:sz w:val="18"/>
                  <w:szCs w:val="18"/>
                  <w:color w:val="0000FF"/>
                  <w:w w:val="90"/>
                </w:rPr>
                <w:t>2021 Incentive Award Plan.</w:t>
              </w:r>
            </w:hyperlink>
          </w:p>
        </w:tc>
        <w:tc>
          <w:tcPr>
            <w:tcW w:w="20" w:type="dxa"/>
            <w:vAlign w:val="bottom"/>
            <w:tcBorders>
              <w:bottom w:val="single" w:sz="8" w:color="0000EE"/>
            </w:tcBorders>
          </w:tcPr>
          <w:p>
            <w:pPr>
              <w:spacing w:after="0"/>
              <w:rPr>
                <w:sz w:val="19"/>
                <w:szCs w:val="19"/>
                <w:color w:val="auto"/>
              </w:rPr>
            </w:pPr>
          </w:p>
        </w:tc>
        <w:tc>
          <w:tcPr>
            <w:tcW w:w="3140" w:type="dxa"/>
            <w:vAlign w:val="bottom"/>
            <w:gridSpan w:val="29"/>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439"/>
        </w:trPr>
        <w:tc>
          <w:tcPr>
            <w:tcW w:w="1040" w:type="dxa"/>
            <w:vAlign w:val="bottom"/>
          </w:tcPr>
          <w:p>
            <w:pPr>
              <w:ind w:left="20"/>
              <w:spacing w:after="0"/>
              <w:rPr>
                <w:sz w:val="20"/>
                <w:szCs w:val="20"/>
                <w:color w:val="auto"/>
              </w:rPr>
            </w:pPr>
            <w:r>
              <w:rPr>
                <w:rFonts w:ascii="Arial" w:cs="Arial" w:eastAsia="Arial" w:hAnsi="Arial"/>
                <w:sz w:val="18"/>
                <w:szCs w:val="18"/>
                <w:color w:val="auto"/>
              </w:rPr>
              <w:t>10.3(b)#</w:t>
            </w:r>
          </w:p>
        </w:tc>
        <w:tc>
          <w:tcPr>
            <w:tcW w:w="3800" w:type="dxa"/>
            <w:vAlign w:val="bottom"/>
            <w:tcBorders>
              <w:bottom w:val="single" w:sz="8" w:color="0000FF"/>
            </w:tcBorders>
            <w:gridSpan w:val="17"/>
          </w:tcPr>
          <w:p>
            <w:pPr>
              <w:spacing w:after="0"/>
              <w:rPr>
                <w:rFonts w:ascii="Arial" w:cs="Arial" w:eastAsia="Arial" w:hAnsi="Arial"/>
                <w:sz w:val="18"/>
                <w:szCs w:val="18"/>
                <w:color w:val="0000FF"/>
                <w:w w:val="90"/>
              </w:rPr>
            </w:pPr>
            <w:hyperlink r:id="rId284">
              <w:r>
                <w:rPr>
                  <w:rFonts w:ascii="Arial" w:cs="Arial" w:eastAsia="Arial" w:hAnsi="Arial"/>
                  <w:sz w:val="18"/>
                  <w:szCs w:val="18"/>
                  <w:color w:val="0000FF"/>
                  <w:w w:val="90"/>
                </w:rPr>
                <w:t>Form Agreements under 2021 Incentive Award Plan.</w:t>
              </w:r>
            </w:hyperlink>
          </w:p>
        </w:tc>
        <w:tc>
          <w:tcPr>
            <w:tcW w:w="1360" w:type="dxa"/>
            <w:vAlign w:val="bottom"/>
            <w:gridSpan w:val="20"/>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439"/>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5160" w:type="dxa"/>
            <w:vAlign w:val="bottom"/>
            <w:gridSpan w:val="37"/>
          </w:tcPr>
          <w:p>
            <w:pPr>
              <w:spacing w:after="0"/>
              <w:rPr>
                <w:rFonts w:ascii="Arial" w:cs="Arial" w:eastAsia="Arial" w:hAnsi="Arial"/>
                <w:sz w:val="18"/>
                <w:szCs w:val="18"/>
                <w:color w:val="0000FF"/>
              </w:rPr>
            </w:pPr>
            <w:hyperlink r:id="rId285">
              <w:r>
                <w:rPr>
                  <w:rFonts w:ascii="Arial" w:cs="Arial" w:eastAsia="Arial" w:hAnsi="Arial"/>
                  <w:sz w:val="18"/>
                  <w:szCs w:val="18"/>
                  <w:color w:val="0000FF"/>
                </w:rPr>
                <w:t>2021 Employee Stock Purchase Plan.</w:t>
              </w:r>
            </w:hyperlink>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0"/>
        </w:trPr>
        <w:tc>
          <w:tcPr>
            <w:tcW w:w="1040" w:type="dxa"/>
            <w:vAlign w:val="bottom"/>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5040" w:type="dxa"/>
            <w:vAlign w:val="bottom"/>
            <w:tcBorders>
              <w:bottom w:val="single" w:sz="8" w:color="0000FF"/>
            </w:tcBorders>
            <w:gridSpan w:val="32"/>
          </w:tcPr>
          <w:p>
            <w:pPr>
              <w:spacing w:after="0"/>
              <w:rPr>
                <w:rFonts w:ascii="Arial" w:cs="Arial" w:eastAsia="Arial" w:hAnsi="Arial"/>
                <w:sz w:val="18"/>
                <w:szCs w:val="18"/>
                <w:color w:val="0000FF"/>
                <w:w w:val="91"/>
              </w:rPr>
            </w:pPr>
            <w:hyperlink r:id="rId286">
              <w:r>
                <w:rPr>
                  <w:rFonts w:ascii="Arial" w:cs="Arial" w:eastAsia="Arial" w:hAnsi="Arial"/>
                  <w:sz w:val="18"/>
                  <w:szCs w:val="18"/>
                  <w:color w:val="0000FF"/>
                  <w:w w:val="91"/>
                </w:rPr>
                <w:t>Form of Indemnification Agreement between the Registrant and each</w:t>
              </w:r>
            </w:hyperlink>
          </w:p>
        </w:tc>
        <w:tc>
          <w:tcPr>
            <w:tcW w:w="120" w:type="dxa"/>
            <w:vAlign w:val="bottom"/>
            <w:gridSpan w:val="5"/>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09"/>
        </w:trPr>
        <w:tc>
          <w:tcPr>
            <w:tcW w:w="1040" w:type="dxa"/>
            <w:vAlign w:val="bottom"/>
          </w:tcPr>
          <w:p>
            <w:pPr>
              <w:spacing w:after="0"/>
              <w:rPr>
                <w:sz w:val="18"/>
                <w:szCs w:val="18"/>
                <w:color w:val="auto"/>
              </w:rPr>
            </w:pPr>
          </w:p>
        </w:tc>
        <w:tc>
          <w:tcPr>
            <w:tcW w:w="2820" w:type="dxa"/>
            <w:vAlign w:val="bottom"/>
            <w:tcBorders>
              <w:bottom w:val="single" w:sz="8" w:color="0000FF"/>
            </w:tcBorders>
            <w:gridSpan w:val="12"/>
          </w:tcPr>
          <w:p>
            <w:pPr>
              <w:spacing w:after="0"/>
              <w:rPr>
                <w:rFonts w:ascii="Arial" w:cs="Arial" w:eastAsia="Arial" w:hAnsi="Arial"/>
                <w:sz w:val="18"/>
                <w:szCs w:val="18"/>
                <w:color w:val="0000FF"/>
                <w:w w:val="91"/>
              </w:rPr>
            </w:pPr>
            <w:hyperlink r:id="rId286">
              <w:r>
                <w:rPr>
                  <w:rFonts w:ascii="Arial" w:cs="Arial" w:eastAsia="Arial" w:hAnsi="Arial"/>
                  <w:sz w:val="18"/>
                  <w:szCs w:val="18"/>
                  <w:color w:val="0000FF"/>
                  <w:w w:val="91"/>
                </w:rPr>
                <w:t>of its Directors and Executive Officers.</w:t>
              </w:r>
            </w:hyperlink>
          </w:p>
        </w:tc>
        <w:tc>
          <w:tcPr>
            <w:tcW w:w="20" w:type="dxa"/>
            <w:vAlign w:val="bottom"/>
            <w:tcBorders>
              <w:bottom w:val="single" w:sz="8" w:color="0000EE"/>
            </w:tcBorders>
          </w:tcPr>
          <w:p>
            <w:pPr>
              <w:spacing w:after="0"/>
              <w:rPr>
                <w:sz w:val="18"/>
                <w:szCs w:val="18"/>
                <w:color w:val="auto"/>
              </w:rPr>
            </w:pPr>
          </w:p>
        </w:tc>
        <w:tc>
          <w:tcPr>
            <w:tcW w:w="2320" w:type="dxa"/>
            <w:vAlign w:val="bottom"/>
            <w:gridSpan w:val="24"/>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3540" w:type="dxa"/>
            <w:vAlign w:val="bottom"/>
            <w:tcBorders>
              <w:bottom w:val="single" w:sz="8" w:color="0000FF"/>
            </w:tcBorders>
            <w:gridSpan w:val="14"/>
          </w:tcPr>
          <w:p>
            <w:pPr>
              <w:spacing w:after="0"/>
              <w:rPr>
                <w:rFonts w:ascii="Arial" w:cs="Arial" w:eastAsia="Arial" w:hAnsi="Arial"/>
                <w:sz w:val="18"/>
                <w:szCs w:val="18"/>
                <w:color w:val="0000FF"/>
                <w:w w:val="90"/>
              </w:rPr>
            </w:pPr>
            <w:hyperlink r:id="rId287">
              <w:r>
                <w:rPr>
                  <w:rFonts w:ascii="Arial" w:cs="Arial" w:eastAsia="Arial" w:hAnsi="Arial"/>
                  <w:sz w:val="18"/>
                  <w:szCs w:val="18"/>
                  <w:color w:val="0000FF"/>
                  <w:w w:val="90"/>
                </w:rPr>
                <w:t>Non-Employee Director Compensation Program.</w:t>
              </w:r>
            </w:hyperlink>
          </w:p>
        </w:tc>
        <w:tc>
          <w:tcPr>
            <w:tcW w:w="20" w:type="dxa"/>
            <w:vAlign w:val="bottom"/>
            <w:tcBorders>
              <w:bottom w:val="single" w:sz="8" w:color="0000EE"/>
            </w:tcBorders>
          </w:tcPr>
          <w:p>
            <w:pPr>
              <w:spacing w:after="0"/>
              <w:rPr>
                <w:sz w:val="19"/>
                <w:szCs w:val="19"/>
                <w:color w:val="auto"/>
              </w:rPr>
            </w:pPr>
          </w:p>
        </w:tc>
        <w:tc>
          <w:tcPr>
            <w:tcW w:w="1600" w:type="dxa"/>
            <w:vAlign w:val="bottom"/>
            <w:gridSpan w:val="22"/>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439"/>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4900" w:type="dxa"/>
            <w:vAlign w:val="bottom"/>
            <w:tcBorders>
              <w:bottom w:val="single" w:sz="8" w:color="0000FF"/>
            </w:tcBorders>
            <w:gridSpan w:val="27"/>
          </w:tcPr>
          <w:p>
            <w:pPr>
              <w:spacing w:after="0"/>
              <w:rPr>
                <w:rFonts w:ascii="Arial" w:cs="Arial" w:eastAsia="Arial" w:hAnsi="Arial"/>
                <w:sz w:val="18"/>
                <w:szCs w:val="18"/>
                <w:color w:val="0000FF"/>
                <w:w w:val="91"/>
              </w:rPr>
            </w:pPr>
            <w:hyperlink r:id="rId288">
              <w:r>
                <w:rPr>
                  <w:rFonts w:ascii="Arial" w:cs="Arial" w:eastAsia="Arial" w:hAnsi="Arial"/>
                  <w:sz w:val="18"/>
                  <w:szCs w:val="18"/>
                  <w:color w:val="0000FF"/>
                  <w:w w:val="91"/>
                </w:rPr>
                <w:t>Form of Executive Employment Agreement between the Registrant</w:t>
              </w:r>
            </w:hyperlink>
          </w:p>
        </w:tc>
        <w:tc>
          <w:tcPr>
            <w:tcW w:w="260" w:type="dxa"/>
            <w:vAlign w:val="bottom"/>
            <w:gridSpan w:val="10"/>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S-1</w:t>
            </w:r>
          </w:p>
        </w:tc>
      </w:tr>
      <w:tr>
        <w:trPr>
          <w:trHeight w:val="210"/>
        </w:trPr>
        <w:tc>
          <w:tcPr>
            <w:tcW w:w="1040" w:type="dxa"/>
            <w:vAlign w:val="bottom"/>
          </w:tcPr>
          <w:p>
            <w:pPr>
              <w:spacing w:after="0"/>
              <w:rPr>
                <w:sz w:val="18"/>
                <w:szCs w:val="18"/>
                <w:color w:val="auto"/>
              </w:rPr>
            </w:pPr>
          </w:p>
        </w:tc>
        <w:tc>
          <w:tcPr>
            <w:tcW w:w="2480" w:type="dxa"/>
            <w:vAlign w:val="bottom"/>
            <w:tcBorders>
              <w:bottom w:val="single" w:sz="8" w:color="0000FF"/>
            </w:tcBorders>
            <w:gridSpan w:val="10"/>
          </w:tcPr>
          <w:p>
            <w:pPr>
              <w:spacing w:after="0"/>
              <w:rPr>
                <w:rFonts w:ascii="Arial" w:cs="Arial" w:eastAsia="Arial" w:hAnsi="Arial"/>
                <w:sz w:val="18"/>
                <w:szCs w:val="18"/>
                <w:color w:val="0000FF"/>
                <w:w w:val="90"/>
              </w:rPr>
            </w:pPr>
            <w:hyperlink r:id="rId288">
              <w:r>
                <w:rPr>
                  <w:rFonts w:ascii="Arial" w:cs="Arial" w:eastAsia="Arial" w:hAnsi="Arial"/>
                  <w:sz w:val="18"/>
                  <w:szCs w:val="18"/>
                  <w:color w:val="0000FF"/>
                  <w:w w:val="90"/>
                </w:rPr>
                <w:t>and each of its Executive Officers.</w:t>
              </w:r>
            </w:hyperlink>
          </w:p>
        </w:tc>
        <w:tc>
          <w:tcPr>
            <w:tcW w:w="2680" w:type="dxa"/>
            <w:vAlign w:val="bottom"/>
            <w:gridSpan w:val="27"/>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4800" w:type="dxa"/>
            <w:vAlign w:val="bottom"/>
            <w:tcBorders>
              <w:bottom w:val="single" w:sz="8" w:color="0000FF"/>
            </w:tcBorders>
            <w:gridSpan w:val="24"/>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Principal Executive Officer Pursuant to Rules 13a-</w:t>
              </w:r>
            </w:hyperlink>
          </w:p>
        </w:tc>
        <w:tc>
          <w:tcPr>
            <w:tcW w:w="20" w:type="dxa"/>
            <w:vAlign w:val="bottom"/>
            <w:tcBorders>
              <w:bottom w:val="single" w:sz="8" w:color="0000EE"/>
            </w:tcBorders>
          </w:tcPr>
          <w:p>
            <w:pPr>
              <w:spacing w:after="0"/>
              <w:rPr>
                <w:sz w:val="19"/>
                <w:szCs w:val="19"/>
                <w:color w:val="auto"/>
              </w:rPr>
            </w:pPr>
          </w:p>
        </w:tc>
        <w:tc>
          <w:tcPr>
            <w:tcW w:w="340" w:type="dxa"/>
            <w:vAlign w:val="bottom"/>
            <w:gridSpan w:val="12"/>
          </w:tcPr>
          <w:p>
            <w:pPr>
              <w:spacing w:after="0"/>
              <w:rPr>
                <w:sz w:val="19"/>
                <w:szCs w:val="19"/>
                <w:color w:val="auto"/>
              </w:rPr>
            </w:pPr>
          </w:p>
        </w:tc>
        <w:tc>
          <w:tcPr>
            <w:tcW w:w="44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86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14(a) and 15d-14(a) under the Securities Exchange Act of 1934, as</w:t>
              </w:r>
            </w:hyperlink>
          </w:p>
        </w:tc>
        <w:tc>
          <w:tcPr>
            <w:tcW w:w="300" w:type="dxa"/>
            <w:vAlign w:val="bottom"/>
            <w:gridSpan w:val="11"/>
          </w:tcPr>
          <w:p>
            <w:pPr>
              <w:spacing w:after="0"/>
              <w:rPr>
                <w:sz w:val="18"/>
                <w:szCs w:val="18"/>
                <w:color w:val="auto"/>
              </w:rPr>
            </w:pPr>
          </w:p>
        </w:tc>
        <w:tc>
          <w:tcPr>
            <w:tcW w:w="440" w:type="dxa"/>
            <w:vAlign w:val="bottom"/>
          </w:tcPr>
          <w:p>
            <w:pPr>
              <w:spacing w:after="0"/>
              <w:rPr>
                <w:sz w:val="18"/>
                <w:szCs w:val="18"/>
                <w:color w:val="auto"/>
              </w:rPr>
            </w:pPr>
          </w:p>
        </w:tc>
      </w:tr>
      <w:tr>
        <w:trPr>
          <w:trHeight w:val="209"/>
        </w:trPr>
        <w:tc>
          <w:tcPr>
            <w:tcW w:w="1040" w:type="dxa"/>
            <w:vAlign w:val="bottom"/>
          </w:tcPr>
          <w:p>
            <w:pPr>
              <w:spacing w:after="0"/>
              <w:rPr>
                <w:sz w:val="18"/>
                <w:szCs w:val="18"/>
                <w:color w:val="auto"/>
              </w:rPr>
            </w:pPr>
          </w:p>
        </w:tc>
        <w:tc>
          <w:tcPr>
            <w:tcW w:w="4980" w:type="dxa"/>
            <w:vAlign w:val="bottom"/>
            <w:tcBorders>
              <w:bottom w:val="single" w:sz="8" w:color="0000FF"/>
            </w:tcBorders>
            <w:gridSpan w:val="29"/>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16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r>
      <w:tr>
        <w:trPr>
          <w:trHeight w:val="426"/>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5160" w:type="dxa"/>
            <w:vAlign w:val="bottom"/>
            <w:tcBorders>
              <w:bottom w:val="single" w:sz="8" w:color="0000FF"/>
            </w:tcBorders>
            <w:gridSpan w:val="37"/>
          </w:tcPr>
          <w:p>
            <w:pPr>
              <w:spacing w:after="0"/>
              <w:rPr>
                <w:rFonts w:ascii="Arial" w:cs="Arial" w:eastAsia="Arial" w:hAnsi="Arial"/>
                <w:sz w:val="18"/>
                <w:szCs w:val="18"/>
                <w:color w:val="0000FF"/>
                <w:w w:val="92"/>
              </w:rPr>
            </w:pPr>
            <w:hyperlink w:anchor="page73">
              <w:r>
                <w:rPr>
                  <w:rFonts w:ascii="Arial" w:cs="Arial" w:eastAsia="Arial" w:hAnsi="Arial"/>
                  <w:sz w:val="18"/>
                  <w:szCs w:val="18"/>
                  <w:color w:val="0000FF"/>
                  <w:w w:val="92"/>
                </w:rPr>
                <w:t>Certification of Principal Financial Officer Pursuant to Rules 13a-14(a)</w:t>
              </w:r>
            </w:hyperlink>
          </w:p>
        </w:tc>
        <w:tc>
          <w:tcPr>
            <w:tcW w:w="440" w:type="dxa"/>
            <w:vAlign w:val="bottom"/>
          </w:tcPr>
          <w:p>
            <w:pPr>
              <w:spacing w:after="0"/>
              <w:rPr>
                <w:sz w:val="24"/>
                <w:szCs w:val="24"/>
                <w:color w:val="auto"/>
              </w:rPr>
            </w:pPr>
          </w:p>
        </w:tc>
      </w:tr>
      <w:tr>
        <w:trPr>
          <w:trHeight w:val="209"/>
        </w:trPr>
        <w:tc>
          <w:tcPr>
            <w:tcW w:w="1040" w:type="dxa"/>
            <w:vAlign w:val="bottom"/>
          </w:tcPr>
          <w:p>
            <w:pPr>
              <w:spacing w:after="0"/>
              <w:rPr>
                <w:sz w:val="18"/>
                <w:szCs w:val="18"/>
                <w:color w:val="auto"/>
              </w:rPr>
            </w:pPr>
          </w:p>
        </w:tc>
        <w:tc>
          <w:tcPr>
            <w:tcW w:w="5100" w:type="dxa"/>
            <w:vAlign w:val="bottom"/>
            <w:tcBorders>
              <w:bottom w:val="single" w:sz="8" w:color="0000FF"/>
            </w:tcBorders>
            <w:gridSpan w:val="34"/>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and 15d-14(a) under the Securities Exchange Act of 1934, as Adopted</w:t>
              </w:r>
            </w:hyperlink>
          </w:p>
        </w:tc>
        <w:tc>
          <w:tcPr>
            <w:tcW w:w="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43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820" w:type="dxa"/>
            <w:vAlign w:val="bottom"/>
            <w:gridSpan w:val="17"/>
          </w:tcPr>
          <w:p>
            <w:pPr>
              <w:spacing w:after="0"/>
              <w:rPr>
                <w:sz w:val="18"/>
                <w:szCs w:val="18"/>
                <w:color w:val="auto"/>
              </w:rPr>
            </w:pPr>
          </w:p>
        </w:tc>
        <w:tc>
          <w:tcPr>
            <w:tcW w:w="440" w:type="dxa"/>
            <w:vAlign w:val="bottom"/>
          </w:tcPr>
          <w:p>
            <w:pPr>
              <w:spacing w:after="0"/>
              <w:rPr>
                <w:sz w:val="18"/>
                <w:szCs w:val="18"/>
                <w:color w:val="auto"/>
              </w:rPr>
            </w:pPr>
          </w:p>
        </w:tc>
      </w:tr>
      <w:tr>
        <w:trPr>
          <w:trHeight w:val="425"/>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4780" w:type="dxa"/>
            <w:vAlign w:val="bottom"/>
            <w:tcBorders>
              <w:bottom w:val="single" w:sz="8" w:color="0000FF"/>
            </w:tcBorders>
            <w:gridSpan w:val="23"/>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Certification of Principal Executive Officer Pursuant to 18 U.S.C.</w:t>
              </w:r>
            </w:hyperlink>
          </w:p>
        </w:tc>
        <w:tc>
          <w:tcPr>
            <w:tcW w:w="380" w:type="dxa"/>
            <w:vAlign w:val="bottom"/>
            <w:gridSpan w:val="14"/>
          </w:tcPr>
          <w:p>
            <w:pPr>
              <w:spacing w:after="0"/>
              <w:rPr>
                <w:sz w:val="24"/>
                <w:szCs w:val="24"/>
                <w:color w:val="auto"/>
              </w:rPr>
            </w:pPr>
          </w:p>
        </w:tc>
        <w:tc>
          <w:tcPr>
            <w:tcW w:w="440" w:type="dxa"/>
            <w:vAlign w:val="bottom"/>
          </w:tcPr>
          <w:p>
            <w:pPr>
              <w:spacing w:after="0"/>
              <w:rPr>
                <w:sz w:val="24"/>
                <w:szCs w:val="24"/>
                <w:color w:val="auto"/>
              </w:rPr>
            </w:pPr>
          </w:p>
        </w:tc>
      </w:tr>
      <w:tr>
        <w:trPr>
          <w:trHeight w:val="210"/>
        </w:trPr>
        <w:tc>
          <w:tcPr>
            <w:tcW w:w="1040" w:type="dxa"/>
            <w:vAlign w:val="bottom"/>
          </w:tcPr>
          <w:p>
            <w:pPr>
              <w:spacing w:after="0"/>
              <w:rPr>
                <w:sz w:val="18"/>
                <w:szCs w:val="18"/>
                <w:color w:val="auto"/>
              </w:rPr>
            </w:pPr>
          </w:p>
        </w:tc>
        <w:tc>
          <w:tcPr>
            <w:tcW w:w="4820" w:type="dxa"/>
            <w:vAlign w:val="bottom"/>
            <w:tcBorders>
              <w:bottom w:val="single" w:sz="8" w:color="0000FF"/>
            </w:tcBorders>
            <w:gridSpan w:val="25"/>
          </w:tcPr>
          <w:p>
            <w:pPr>
              <w:spacing w:after="0"/>
              <w:rPr>
                <w:rFonts w:ascii="Arial" w:cs="Arial" w:eastAsia="Arial" w:hAnsi="Arial"/>
                <w:sz w:val="18"/>
                <w:szCs w:val="18"/>
                <w:color w:val="0000FF"/>
                <w:w w:val="88"/>
              </w:rPr>
            </w:pPr>
            <w:hyperlink w:anchor="page74">
              <w:r>
                <w:rPr>
                  <w:rFonts w:ascii="Arial" w:cs="Arial" w:eastAsia="Arial" w:hAnsi="Arial"/>
                  <w:sz w:val="18"/>
                  <w:szCs w:val="18"/>
                  <w:color w:val="0000FF"/>
                  <w:w w:val="88"/>
                </w:rPr>
                <w:t>Section 1350, as Adopted Pursuant to Section 906 of the Sarbanes-</w:t>
              </w:r>
            </w:hyperlink>
          </w:p>
        </w:tc>
        <w:tc>
          <w:tcPr>
            <w:tcW w:w="340" w:type="dxa"/>
            <w:vAlign w:val="bottom"/>
            <w:gridSpan w:val="12"/>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5160" w:type="dxa"/>
            <w:vAlign w:val="bottom"/>
            <w:gridSpan w:val="3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Oxley Act of 2002.</w:t>
              </w:r>
            </w:hyperlink>
          </w:p>
        </w:tc>
        <w:tc>
          <w:tcPr>
            <w:tcW w:w="4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tcBorders>
              <w:right w:val="single" w:sz="8" w:color="0000EE"/>
            </w:tcBorders>
            <w:gridSpan w:val="6"/>
            <w:shd w:val="clear" w:color="auto" w:fill="0000FF"/>
          </w:tcPr>
          <w:p>
            <w:pPr>
              <w:spacing w:after="0" w:line="20" w:lineRule="exact"/>
              <w:rPr>
                <w:sz w:val="1"/>
                <w:szCs w:val="1"/>
                <w:color w:val="auto"/>
              </w:rPr>
            </w:pPr>
          </w:p>
        </w:tc>
        <w:tc>
          <w:tcPr>
            <w:tcW w:w="3320" w:type="dxa"/>
            <w:vAlign w:val="bottom"/>
            <w:gridSpan w:val="16"/>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4720" w:type="dxa"/>
            <w:vAlign w:val="bottom"/>
            <w:tcBorders>
              <w:bottom w:val="single" w:sz="8" w:color="0000FF"/>
            </w:tcBorders>
            <w:gridSpan w:val="22"/>
          </w:tcPr>
          <w:p>
            <w:pPr>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Certification of Principal Financial Officer Pursuant to 18 U.S.C.</w:t>
              </w:r>
            </w:hyperlink>
          </w:p>
        </w:tc>
        <w:tc>
          <w:tcPr>
            <w:tcW w:w="440" w:type="dxa"/>
            <w:vAlign w:val="bottom"/>
            <w:gridSpan w:val="15"/>
          </w:tcPr>
          <w:p>
            <w:pPr>
              <w:spacing w:after="0"/>
              <w:rPr>
                <w:sz w:val="19"/>
                <w:szCs w:val="19"/>
                <w:color w:val="auto"/>
              </w:rPr>
            </w:pPr>
          </w:p>
        </w:tc>
        <w:tc>
          <w:tcPr>
            <w:tcW w:w="44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4820" w:type="dxa"/>
            <w:vAlign w:val="bottom"/>
            <w:tcBorders>
              <w:bottom w:val="single" w:sz="8" w:color="0000FF"/>
            </w:tcBorders>
            <w:gridSpan w:val="25"/>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Section 1350, as Adopted Pursuant to Section 906 of the Sarbanes-</w:t>
              </w:r>
            </w:hyperlink>
          </w:p>
        </w:tc>
        <w:tc>
          <w:tcPr>
            <w:tcW w:w="340" w:type="dxa"/>
            <w:vAlign w:val="bottom"/>
            <w:gridSpan w:val="12"/>
          </w:tcPr>
          <w:p>
            <w:pPr>
              <w:spacing w:after="0"/>
              <w:rPr>
                <w:sz w:val="18"/>
                <w:szCs w:val="18"/>
                <w:color w:val="auto"/>
              </w:rPr>
            </w:pPr>
          </w:p>
        </w:tc>
        <w:tc>
          <w:tcPr>
            <w:tcW w:w="440" w:type="dxa"/>
            <w:vAlign w:val="bottom"/>
          </w:tcPr>
          <w:p>
            <w:pPr>
              <w:spacing w:after="0"/>
              <w:rPr>
                <w:sz w:val="18"/>
                <w:szCs w:val="18"/>
                <w:color w:val="auto"/>
              </w:rPr>
            </w:pPr>
          </w:p>
        </w:tc>
      </w:tr>
      <w:tr>
        <w:trPr>
          <w:trHeight w:val="209"/>
        </w:trPr>
        <w:tc>
          <w:tcPr>
            <w:tcW w:w="1040" w:type="dxa"/>
            <w:vAlign w:val="bottom"/>
          </w:tcPr>
          <w:p>
            <w:pPr>
              <w:spacing w:after="0"/>
              <w:rPr>
                <w:sz w:val="18"/>
                <w:szCs w:val="18"/>
                <w:color w:val="auto"/>
              </w:rPr>
            </w:pPr>
          </w:p>
        </w:tc>
        <w:tc>
          <w:tcPr>
            <w:tcW w:w="5160" w:type="dxa"/>
            <w:vAlign w:val="bottom"/>
            <w:gridSpan w:val="3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Oxley Act of 2002.</w:t>
              </w:r>
            </w:hyperlink>
          </w:p>
        </w:tc>
        <w:tc>
          <w:tcPr>
            <w:tcW w:w="4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tcBorders>
              <w:right w:val="single" w:sz="8" w:color="0000EE"/>
            </w:tcBorders>
            <w:gridSpan w:val="6"/>
            <w:shd w:val="clear" w:color="auto" w:fill="0000FF"/>
          </w:tcPr>
          <w:p>
            <w:pPr>
              <w:spacing w:after="0" w:line="20" w:lineRule="exact"/>
              <w:rPr>
                <w:sz w:val="1"/>
                <w:szCs w:val="1"/>
                <w:color w:val="auto"/>
              </w:rPr>
            </w:pPr>
          </w:p>
        </w:tc>
        <w:tc>
          <w:tcPr>
            <w:tcW w:w="3760" w:type="dxa"/>
            <w:vAlign w:val="bottom"/>
            <w:gridSpan w:val="3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5160" w:type="dxa"/>
            <w:vAlign w:val="bottom"/>
            <w:gridSpan w:val="37"/>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440" w:type="dxa"/>
            <w:vAlign w:val="bottom"/>
          </w:tcPr>
          <w:p>
            <w:pPr>
              <w:spacing w:after="0"/>
              <w:rPr>
                <w:sz w:val="22"/>
                <w:szCs w:val="22"/>
                <w:color w:val="auto"/>
              </w:rPr>
            </w:pPr>
          </w:p>
        </w:tc>
      </w:tr>
      <w:tr>
        <w:trPr>
          <w:trHeight w:val="230"/>
        </w:trPr>
        <w:tc>
          <w:tcPr>
            <w:tcW w:w="1040" w:type="dxa"/>
            <w:vAlign w:val="bottom"/>
          </w:tcPr>
          <w:p>
            <w:pPr>
              <w:spacing w:after="0"/>
              <w:rPr>
                <w:sz w:val="19"/>
                <w:szCs w:val="19"/>
                <w:color w:val="auto"/>
              </w:rPr>
            </w:pPr>
          </w:p>
        </w:tc>
        <w:tc>
          <w:tcPr>
            <w:tcW w:w="5160" w:type="dxa"/>
            <w:vAlign w:val="bottom"/>
            <w:gridSpan w:val="37"/>
          </w:tcPr>
          <w:p>
            <w:pPr>
              <w:spacing w:after="0"/>
              <w:rPr>
                <w:sz w:val="20"/>
                <w:szCs w:val="20"/>
                <w:color w:val="auto"/>
              </w:rPr>
            </w:pPr>
            <w:r>
              <w:rPr>
                <w:rFonts w:ascii="Arial" w:cs="Arial" w:eastAsia="Arial" w:hAnsi="Arial"/>
                <w:sz w:val="18"/>
                <w:szCs w:val="18"/>
                <w:color w:val="auto"/>
                <w:w w:val="92"/>
              </w:rPr>
              <w:t>appear in the Interactive Data File because XBRL tags are embedded</w:t>
            </w:r>
          </w:p>
        </w:tc>
        <w:tc>
          <w:tcPr>
            <w:tcW w:w="44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5160" w:type="dxa"/>
            <w:vAlign w:val="bottom"/>
            <w:gridSpan w:val="37"/>
          </w:tcPr>
          <w:p>
            <w:pPr>
              <w:spacing w:after="0"/>
              <w:rPr>
                <w:sz w:val="20"/>
                <w:szCs w:val="20"/>
                <w:color w:val="auto"/>
              </w:rPr>
            </w:pPr>
            <w:r>
              <w:rPr>
                <w:rFonts w:ascii="Arial" w:cs="Arial" w:eastAsia="Arial" w:hAnsi="Arial"/>
                <w:sz w:val="18"/>
                <w:szCs w:val="18"/>
                <w:color w:val="auto"/>
              </w:rPr>
              <w:t>within the Inline XBRL document.</w:t>
            </w:r>
          </w:p>
        </w:tc>
        <w:tc>
          <w:tcPr>
            <w:tcW w:w="440" w:type="dxa"/>
            <w:vAlign w:val="bottom"/>
          </w:tcPr>
          <w:p>
            <w:pPr>
              <w:spacing w:after="0"/>
              <w:rPr>
                <w:sz w:val="20"/>
                <w:szCs w:val="20"/>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5160" w:type="dxa"/>
            <w:vAlign w:val="bottom"/>
            <w:gridSpan w:val="37"/>
          </w:tcPr>
          <w:p>
            <w:pPr>
              <w:spacing w:after="0"/>
              <w:rPr>
                <w:sz w:val="20"/>
                <w:szCs w:val="20"/>
                <w:color w:val="auto"/>
              </w:rPr>
            </w:pPr>
            <w:r>
              <w:rPr>
                <w:rFonts w:ascii="Arial" w:cs="Arial" w:eastAsia="Arial" w:hAnsi="Arial"/>
                <w:sz w:val="18"/>
                <w:szCs w:val="18"/>
                <w:color w:val="auto"/>
              </w:rPr>
              <w:t>Inline XBRL Taxonomy Extension Schema Document</w:t>
            </w:r>
          </w:p>
        </w:tc>
        <w:tc>
          <w:tcPr>
            <w:tcW w:w="440" w:type="dxa"/>
            <w:vAlign w:val="bottom"/>
          </w:tcPr>
          <w:p>
            <w:pPr>
              <w:spacing w:after="0"/>
              <w:rPr>
                <w:sz w:val="21"/>
                <w:szCs w:val="2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5160" w:type="dxa"/>
            <w:vAlign w:val="bottom"/>
            <w:gridSpan w:val="37"/>
          </w:tcPr>
          <w:p>
            <w:pPr>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440" w:type="dxa"/>
            <w:vAlign w:val="bottom"/>
          </w:tcPr>
          <w:p>
            <w:pPr>
              <w:spacing w:after="0"/>
              <w:rPr>
                <w:sz w:val="21"/>
                <w:szCs w:val="21"/>
                <w:color w:val="auto"/>
              </w:rPr>
            </w:pPr>
          </w:p>
        </w:tc>
      </w:tr>
      <w:tr>
        <w:trPr>
          <w:trHeight w:val="45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5160" w:type="dxa"/>
            <w:vAlign w:val="bottom"/>
            <w:gridSpan w:val="3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0" w:type="dxa"/>
            <w:vAlign w:val="bottom"/>
          </w:tcPr>
          <w:p>
            <w:pPr>
              <w:spacing w:after="0"/>
              <w:rPr>
                <w:sz w:val="24"/>
                <w:szCs w:val="24"/>
                <w:color w:val="auto"/>
              </w:rPr>
            </w:pPr>
          </w:p>
        </w:tc>
      </w:tr>
      <w:tr>
        <w:trPr>
          <w:trHeight w:val="796"/>
        </w:trPr>
        <w:tc>
          <w:tcPr>
            <w:tcW w:w="1040" w:type="dxa"/>
            <w:vAlign w:val="bottom"/>
          </w:tcPr>
          <w:p>
            <w:pPr>
              <w:spacing w:after="0"/>
              <w:rPr>
                <w:sz w:val="24"/>
                <w:szCs w:val="24"/>
                <w:color w:val="auto"/>
              </w:rPr>
            </w:pPr>
          </w:p>
        </w:tc>
        <w:tc>
          <w:tcPr>
            <w:tcW w:w="4720" w:type="dxa"/>
            <w:vAlign w:val="bottom"/>
            <w:gridSpan w:val="22"/>
          </w:tcPr>
          <w:p>
            <w:pPr>
              <w:ind w:left="4500"/>
              <w:spacing w:after="0"/>
              <w:rPr>
                <w:sz w:val="20"/>
                <w:szCs w:val="20"/>
                <w:color w:val="auto"/>
              </w:rPr>
            </w:pPr>
            <w:r>
              <w:rPr>
                <w:rFonts w:ascii="Arial" w:cs="Arial" w:eastAsia="Arial" w:hAnsi="Arial"/>
                <w:sz w:val="18"/>
                <w:szCs w:val="18"/>
                <w:color w:val="auto"/>
                <w:w w:val="99"/>
              </w:rPr>
              <w:t>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b w:val="1"/>
                <w:bCs w:val="1"/>
                <w:color w:val="auto"/>
              </w:rPr>
              <w:t>File No.</w:t>
            </w:r>
          </w:p>
        </w:tc>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940" w:type="dxa"/>
            <w:vAlign w:val="bottom"/>
          </w:tcPr>
          <w:p>
            <w:pPr>
              <w:ind w:left="220"/>
              <w:spacing w:after="0"/>
              <w:rPr>
                <w:sz w:val="20"/>
                <w:szCs w:val="20"/>
                <w:color w:val="auto"/>
              </w:rPr>
            </w:pPr>
            <w:r>
              <w:rPr>
                <w:rFonts w:ascii="Arial" w:cs="Arial" w:eastAsia="Arial" w:hAnsi="Arial"/>
                <w:sz w:val="18"/>
                <w:szCs w:val="18"/>
                <w:b w:val="1"/>
                <w:bCs w:val="1"/>
                <w:color w:val="auto"/>
              </w:rPr>
              <w:t>Filing Date  Filed</w:t>
            </w:r>
          </w:p>
        </w:tc>
      </w:tr>
      <w:tr>
        <w:trPr>
          <w:trHeight w:val="234"/>
        </w:trPr>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40" w:type="dxa"/>
            <w:vAlign w:val="bottom"/>
          </w:tcPr>
          <w:p>
            <w:pPr>
              <w:ind w:left="1220"/>
              <w:spacing w:after="0"/>
              <w:rPr>
                <w:sz w:val="20"/>
                <w:szCs w:val="20"/>
                <w:color w:val="auto"/>
              </w:rPr>
            </w:pPr>
            <w:r>
              <w:rPr>
                <w:rFonts w:ascii="Arial" w:cs="Arial" w:eastAsia="Arial" w:hAnsi="Arial"/>
                <w:sz w:val="18"/>
                <w:szCs w:val="18"/>
                <w:b w:val="1"/>
                <w:bCs w:val="1"/>
                <w:color w:val="auto"/>
                <w:w w:val="92"/>
              </w:rPr>
              <w:t>Herewith</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001-40817</w:t>
            </w:r>
          </w:p>
        </w:tc>
        <w:tc>
          <w:tcPr>
            <w:tcW w:w="860" w:type="dxa"/>
            <w:vAlign w:val="bottom"/>
          </w:tcPr>
          <w:p>
            <w:pPr>
              <w:ind w:left="60"/>
              <w:spacing w:after="0"/>
              <w:rPr>
                <w:sz w:val="20"/>
                <w:szCs w:val="20"/>
                <w:color w:val="auto"/>
              </w:rPr>
            </w:pPr>
            <w:r>
              <w:rPr>
                <w:rFonts w:ascii="Arial" w:cs="Arial" w:eastAsia="Arial" w:hAnsi="Arial"/>
                <w:sz w:val="18"/>
                <w:szCs w:val="18"/>
                <w:color w:val="auto"/>
              </w:rPr>
              <w:t>3.1</w:t>
            </w:r>
          </w:p>
        </w:tc>
        <w:tc>
          <w:tcPr>
            <w:tcW w:w="1940" w:type="dxa"/>
            <w:vAlign w:val="bottom"/>
          </w:tcPr>
          <w:p>
            <w:pPr>
              <w:ind w:left="220"/>
              <w:spacing w:after="0"/>
              <w:rPr>
                <w:sz w:val="20"/>
                <w:szCs w:val="20"/>
                <w:color w:val="auto"/>
              </w:rPr>
            </w:pPr>
            <w:r>
              <w:rPr>
                <w:rFonts w:ascii="Arial" w:cs="Arial" w:eastAsia="Arial" w:hAnsi="Arial"/>
                <w:sz w:val="18"/>
                <w:szCs w:val="18"/>
                <w:color w:val="auto"/>
              </w:rPr>
              <w:t>9/21/2021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001-40817</w:t>
            </w:r>
          </w:p>
        </w:tc>
        <w:tc>
          <w:tcPr>
            <w:tcW w:w="860" w:type="dxa"/>
            <w:vAlign w:val="bottom"/>
          </w:tcPr>
          <w:p>
            <w:pPr>
              <w:ind w:left="60"/>
              <w:spacing w:after="0"/>
              <w:rPr>
                <w:sz w:val="20"/>
                <w:szCs w:val="20"/>
                <w:color w:val="auto"/>
              </w:rPr>
            </w:pPr>
            <w:r>
              <w:rPr>
                <w:rFonts w:ascii="Arial" w:cs="Arial" w:eastAsia="Arial" w:hAnsi="Arial"/>
                <w:sz w:val="18"/>
                <w:szCs w:val="18"/>
                <w:color w:val="auto"/>
              </w:rPr>
              <w:t>3.2</w:t>
            </w:r>
          </w:p>
        </w:tc>
        <w:tc>
          <w:tcPr>
            <w:tcW w:w="1940" w:type="dxa"/>
            <w:vAlign w:val="bottom"/>
          </w:tcPr>
          <w:p>
            <w:pPr>
              <w:ind w:left="220"/>
              <w:spacing w:after="0"/>
              <w:rPr>
                <w:sz w:val="20"/>
                <w:szCs w:val="20"/>
                <w:color w:val="auto"/>
              </w:rPr>
            </w:pPr>
            <w:r>
              <w:rPr>
                <w:rFonts w:ascii="Arial" w:cs="Arial" w:eastAsia="Arial" w:hAnsi="Arial"/>
                <w:sz w:val="18"/>
                <w:szCs w:val="18"/>
                <w:color w:val="auto"/>
              </w:rPr>
              <w:t>9/21/2021</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4.2</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w w:val="95"/>
              </w:rPr>
              <w:t>333-259698</w:t>
            </w:r>
          </w:p>
        </w:tc>
        <w:tc>
          <w:tcPr>
            <w:tcW w:w="860" w:type="dxa"/>
            <w:vAlign w:val="bottom"/>
          </w:tcPr>
          <w:p>
            <w:pPr>
              <w:ind w:left="60"/>
              <w:spacing w:after="0"/>
              <w:rPr>
                <w:sz w:val="20"/>
                <w:szCs w:val="20"/>
                <w:color w:val="auto"/>
              </w:rPr>
            </w:pPr>
            <w:r>
              <w:rPr>
                <w:rFonts w:ascii="Arial" w:cs="Arial" w:eastAsia="Arial" w:hAnsi="Arial"/>
                <w:sz w:val="18"/>
                <w:szCs w:val="18"/>
                <w:color w:val="auto"/>
              </w:rPr>
              <w:t>4.4</w:t>
            </w:r>
          </w:p>
        </w:tc>
        <w:tc>
          <w:tcPr>
            <w:tcW w:w="1940" w:type="dxa"/>
            <w:vAlign w:val="bottom"/>
          </w:tcPr>
          <w:p>
            <w:pPr>
              <w:ind w:left="220"/>
              <w:spacing w:after="0"/>
              <w:rPr>
                <w:sz w:val="20"/>
                <w:szCs w:val="20"/>
                <w:color w:val="auto"/>
              </w:rPr>
            </w:pPr>
            <w:r>
              <w:rPr>
                <w:rFonts w:ascii="Arial" w:cs="Arial" w:eastAsia="Arial" w:hAnsi="Arial"/>
                <w:sz w:val="18"/>
                <w:szCs w:val="18"/>
                <w:color w:val="auto"/>
              </w:rPr>
              <w:t>9/21/2021</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4.3</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702"/>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10.1</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10.2(a)</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10.2(b)</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10.3(a)</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10.3(b)</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10.4</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10.5</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73"/>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10.6</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w w:val="95"/>
              </w:rPr>
              <w:t>333-259168</w:t>
            </w:r>
          </w:p>
        </w:tc>
        <w:tc>
          <w:tcPr>
            <w:tcW w:w="860" w:type="dxa"/>
            <w:vAlign w:val="bottom"/>
          </w:tcPr>
          <w:p>
            <w:pPr>
              <w:ind w:left="60"/>
              <w:spacing w:after="0"/>
              <w:rPr>
                <w:sz w:val="20"/>
                <w:szCs w:val="20"/>
                <w:color w:val="auto"/>
              </w:rPr>
            </w:pPr>
            <w:r>
              <w:rPr>
                <w:rFonts w:ascii="Arial" w:cs="Arial" w:eastAsia="Arial" w:hAnsi="Arial"/>
                <w:sz w:val="18"/>
                <w:szCs w:val="18"/>
                <w:color w:val="auto"/>
              </w:rPr>
              <w:t>10.7</w:t>
            </w:r>
          </w:p>
        </w:tc>
        <w:tc>
          <w:tcPr>
            <w:tcW w:w="1940" w:type="dxa"/>
            <w:vAlign w:val="bottom"/>
          </w:tcPr>
          <w:p>
            <w:pPr>
              <w:ind w:left="220"/>
              <w:spacing w:after="0"/>
              <w:rPr>
                <w:sz w:val="20"/>
                <w:szCs w:val="20"/>
                <w:color w:val="auto"/>
              </w:rPr>
            </w:pPr>
            <w:r>
              <w:rPr>
                <w:rFonts w:ascii="Arial" w:cs="Arial" w:eastAsia="Arial" w:hAnsi="Arial"/>
                <w:sz w:val="18"/>
                <w:szCs w:val="18"/>
                <w:color w:val="auto"/>
              </w:rPr>
              <w:t>8/30/2021</w:t>
            </w:r>
          </w:p>
        </w:tc>
      </w:tr>
    </w:tbl>
    <w:p>
      <w:pPr>
        <w:spacing w:after="0" w:line="24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3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640" w:space="600"/>
            <w:col w:w="3740"/>
          </w:cols>
          <w:pgMar w:left="320" w:top="688" w:right="59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748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c>
          <w:tcPr>
            <w:tcW w:w="2460" w:type="dxa"/>
            <w:vAlign w:val="bottom"/>
          </w:tcPr>
          <w:p>
            <w:pPr>
              <w:ind w:left="2340"/>
              <w:spacing w:after="0"/>
              <w:rPr>
                <w:sz w:val="20"/>
                <w:szCs w:val="20"/>
                <w:color w:val="auto"/>
              </w:rPr>
            </w:pPr>
            <w:r>
              <w:rPr>
                <w:rFonts w:ascii="Arial" w:cs="Arial" w:eastAsia="Arial" w:hAnsi="Arial"/>
                <w:sz w:val="18"/>
                <w:szCs w:val="18"/>
                <w:color w:val="auto"/>
                <w:w w:val="82"/>
              </w:rPr>
              <w:t>X</w:t>
            </w:r>
          </w:p>
        </w:tc>
      </w:tr>
      <w:tr>
        <w:trPr>
          <w:trHeight w:val="243"/>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748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c>
          <w:tcPr>
            <w:tcW w:w="2460" w:type="dxa"/>
            <w:vAlign w:val="bottom"/>
          </w:tcPr>
          <w:p>
            <w:pPr>
              <w:ind w:left="2340"/>
              <w:spacing w:after="0"/>
              <w:rPr>
                <w:sz w:val="20"/>
                <w:szCs w:val="20"/>
                <w:color w:val="auto"/>
              </w:rPr>
            </w:pPr>
            <w:r>
              <w:rPr>
                <w:rFonts w:ascii="Arial" w:cs="Arial" w:eastAsia="Arial" w:hAnsi="Arial"/>
                <w:sz w:val="18"/>
                <w:szCs w:val="18"/>
                <w:color w:val="auto"/>
                <w:w w:val="82"/>
              </w:rPr>
              <w:t>X</w:t>
            </w: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7480" w:type="dxa"/>
            <w:vAlign w:val="bottom"/>
          </w:tcPr>
          <w:p>
            <w:pPr>
              <w:ind w:left="180"/>
              <w:spacing w:after="0"/>
              <w:rPr>
                <w:sz w:val="20"/>
                <w:szCs w:val="20"/>
                <w:color w:val="auto"/>
              </w:rPr>
            </w:pPr>
            <w:r>
              <w:rPr>
                <w:rFonts w:ascii="Arial" w:cs="Arial" w:eastAsia="Arial" w:hAnsi="Arial"/>
                <w:sz w:val="18"/>
                <w:szCs w:val="18"/>
                <w:color w:val="auto"/>
              </w:rPr>
              <w:t>Cover Page Interactive Data File (embedded within the Inline XBRL</w:t>
            </w:r>
          </w:p>
        </w:tc>
        <w:tc>
          <w:tcPr>
            <w:tcW w:w="2460" w:type="dxa"/>
            <w:vAlign w:val="bottom"/>
          </w:tcPr>
          <w:p>
            <w:pPr>
              <w:ind w:left="2340"/>
              <w:spacing w:after="0"/>
              <w:rPr>
                <w:sz w:val="20"/>
                <w:szCs w:val="20"/>
                <w:color w:val="auto"/>
              </w:rPr>
            </w:pPr>
            <w:r>
              <w:rPr>
                <w:rFonts w:ascii="Arial" w:cs="Arial" w:eastAsia="Arial" w:hAnsi="Arial"/>
                <w:sz w:val="18"/>
                <w:szCs w:val="18"/>
                <w:color w:val="auto"/>
                <w:w w:val="82"/>
              </w:rPr>
              <w:t>X</w:t>
            </w:r>
          </w:p>
        </w:tc>
      </w:tr>
      <w:tr>
        <w:trPr>
          <w:trHeight w:val="230"/>
        </w:trPr>
        <w:tc>
          <w:tcPr>
            <w:tcW w:w="840" w:type="dxa"/>
            <w:vAlign w:val="bottom"/>
          </w:tcPr>
          <w:p>
            <w:pPr>
              <w:spacing w:after="0"/>
              <w:rPr>
                <w:sz w:val="20"/>
                <w:szCs w:val="20"/>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document)</w:t>
            </w:r>
          </w:p>
        </w:tc>
        <w:tc>
          <w:tcPr>
            <w:tcW w:w="2460" w:type="dxa"/>
            <w:vAlign w:val="bottom"/>
          </w:tcPr>
          <w:p>
            <w:pPr>
              <w:spacing w:after="0"/>
              <w:rPr>
                <w:sz w:val="20"/>
                <w:szCs w:val="20"/>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3" w:lineRule="exact"/>
        <w:rPr>
          <w:sz w:val="20"/>
          <w:szCs w:val="20"/>
          <w:color w:val="auto"/>
        </w:rPr>
      </w:pPr>
    </w:p>
    <w:p>
      <w:pPr>
        <w:jc w:val="both"/>
        <w:ind w:firstLine="8"/>
        <w:spacing w:after="0" w:line="274" w:lineRule="auto"/>
        <w:tabs>
          <w:tab w:leader="none" w:pos="1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Arial" w:cs="Arial" w:eastAsia="Arial" w:hAnsi="Arial"/>
                <w:sz w:val="18"/>
                <w:szCs w:val="18"/>
                <w:b w:val="1"/>
                <w:bCs w:val="1"/>
                <w:color w:val="auto"/>
              </w:rPr>
              <w:t>Amplitude, Inc.</w:t>
            </w:r>
          </w:p>
        </w:tc>
      </w:tr>
      <w:tr>
        <w:trPr>
          <w:trHeight w:val="486"/>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Spenser Skates</w:t>
            </w:r>
          </w:p>
        </w:tc>
      </w:tr>
      <w:tr>
        <w:trPr>
          <w:trHeight w:val="224"/>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Spenser Skates</w:t>
            </w:r>
          </w:p>
        </w:tc>
      </w:tr>
      <w:tr>
        <w:trPr>
          <w:trHeight w:val="241"/>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9,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Hoang Vuong</w:t>
            </w:r>
          </w:p>
        </w:tc>
      </w:tr>
      <w:tr>
        <w:trPr>
          <w:trHeight w:val="224"/>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Hoang Vuong</w:t>
            </w:r>
          </w:p>
        </w:tc>
      </w:tr>
      <w:tr>
        <w:trPr>
          <w:trHeight w:val="241"/>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581"/>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52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Spenser Skates, certify that:</w:t>
      </w:r>
    </w:p>
    <w:p>
      <w:pPr>
        <w:spacing w:after="0" w:line="239"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540" w:hanging="432"/>
        <w:spacing w:after="0" w:line="29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3"/>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Spenser Skates</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Hoang Vuong, certify that:</w:t>
      </w:r>
    </w:p>
    <w:p>
      <w:pPr>
        <w:spacing w:after="0" w:line="239"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Amplitude,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540" w:hanging="432"/>
        <w:spacing w:after="0" w:line="293"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3"/>
        <w:spacing w:after="0"/>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20" w:hanging="432"/>
        <w:spacing w:after="0" w:line="324"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Hoang Vuong</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September 30, 2021 as filed with the Securities and Exchange Commission on the date hereof (the “Report”), I certify, pursuant to 18 U.S.C. § 1350, as adopted pursuant to § 906 of the Sarbanes-Oxley Act of 2002, as amended, that:</w:t>
      </w:r>
    </w:p>
    <w:p>
      <w:pPr>
        <w:spacing w:after="0" w:line="183" w:lineRule="exact"/>
        <w:rPr>
          <w:sz w:val="20"/>
          <w:szCs w:val="20"/>
          <w:color w:val="auto"/>
        </w:rPr>
      </w:pPr>
    </w:p>
    <w:p>
      <w:pPr>
        <w:ind w:left="960" w:hanging="443"/>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960" w:right="620" w:hanging="443"/>
        <w:spacing w:after="0" w:line="29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Spenser Skates</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connection with the Quarterly Report of Amplitude, Inc. (the “Company”) on Form 10-Q for the quarter ended September 30, 2021 as filed with the Securities and Exchange Commission on the date hereof (the “Report”), I certify, pursuant to 18 U.S.C. § 1350, as adopted pursuant to § 906 of the Sarbanes-Oxley Act of 2002, as amended, that:</w:t>
      </w:r>
    </w:p>
    <w:p>
      <w:pPr>
        <w:spacing w:after="0" w:line="183" w:lineRule="exact"/>
        <w:rPr>
          <w:sz w:val="20"/>
          <w:szCs w:val="20"/>
          <w:color w:val="auto"/>
        </w:rPr>
      </w:pPr>
    </w:p>
    <w:p>
      <w:pPr>
        <w:ind w:left="960" w:hanging="443"/>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960" w:right="620" w:hanging="443"/>
        <w:spacing w:after="0" w:line="29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Hoang Vuong</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7"/>
    </w:lvl>
  </w:abstractNum>
  <w:abstractNum w:abstractNumId="12">
    <w:nsid w:val="75A2A8D4"/>
    <w:multiLevelType w:val="hybridMultilevel"/>
    <w:lvl w:ilvl="0">
      <w:lvlJc w:val="left"/>
      <w:lvlText w:val="(%1)"/>
      <w:numFmt w:val="decimal"/>
      <w:start w:val="8"/>
    </w:lvl>
  </w:abstractNum>
  <w:abstractNum w:abstractNumId="13">
    <w:nsid w:val="8EDBDAB"/>
    <w:multiLevelType w:val="hybridMultilevel"/>
    <w:lvl w:ilvl="0">
      <w:lvlJc w:val="left"/>
      <w:lvlText w:val="(%1)"/>
      <w:numFmt w:val="decimal"/>
      <w:start w:val="9"/>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275" Type="http://schemas.openxmlformats.org/officeDocument/2006/relationships/hyperlink" Target="https://www.sec.gov/Archives/edgar/data/1866692/000119312521278308/d93786dex31.htm" TargetMode="External"/><Relationship Id="rId276" Type="http://schemas.openxmlformats.org/officeDocument/2006/relationships/hyperlink" Target="https://www.sec.gov/Archives/edgar/data/1866692/000119312521278308/d93786dex32.htm" TargetMode="External"/><Relationship Id="rId277" Type="http://schemas.openxmlformats.org/officeDocument/2006/relationships/hyperlink" Target="https://www.sec.gov/Archives/edgar/data/1866692/000119312521260696/d143868dex42.htm" TargetMode="External"/><Relationship Id="rId278" Type="http://schemas.openxmlformats.org/officeDocument/2006/relationships/hyperlink" Target="https://www.sec.gov/Archives/edgar/data/1866692/000119312521278407/d114916dex44.htm" TargetMode="External"/><Relationship Id="rId279" Type="http://schemas.openxmlformats.org/officeDocument/2006/relationships/hyperlink" Target="https://www.sec.gov/Archives/edgar/data/1866692/000119312521260696/d143868dex43.htm" TargetMode="External"/><Relationship Id="rId280" Type="http://schemas.openxmlformats.org/officeDocument/2006/relationships/hyperlink" Target="https://www.sec.gov/Archives/edgar/data/1866692/000119312521260696/d143868dex101.htm" TargetMode="External"/><Relationship Id="rId281" Type="http://schemas.openxmlformats.org/officeDocument/2006/relationships/hyperlink" Target="https://www.sec.gov/Archives/edgar/data/1866692/000119312521260696/d143868dex102a.htm" TargetMode="External"/><Relationship Id="rId282" Type="http://schemas.openxmlformats.org/officeDocument/2006/relationships/hyperlink" Target="https://www.sec.gov/Archives/edgar/data/1866692/000119312521260696/d143868dex102b.htm" TargetMode="External"/><Relationship Id="rId283" Type="http://schemas.openxmlformats.org/officeDocument/2006/relationships/hyperlink" Target="https://www.sec.gov/Archives/edgar/data/1866692/000119312521260696/d143868dex103a.htm" TargetMode="External"/><Relationship Id="rId284" Type="http://schemas.openxmlformats.org/officeDocument/2006/relationships/hyperlink" Target="https://www.sec.gov/Archives/edgar/data/1866692/000119312521260696/d143868dex103b.htm" TargetMode="External"/><Relationship Id="rId285" Type="http://schemas.openxmlformats.org/officeDocument/2006/relationships/hyperlink" Target="https://www.sec.gov/Archives/edgar/data/1866692/000119312521260696/d143868dex104.htm" TargetMode="External"/><Relationship Id="rId286" Type="http://schemas.openxmlformats.org/officeDocument/2006/relationships/hyperlink" Target="https://www.sec.gov/Archives/edgar/data/1866692/000119312521260696/d143868dex105.htm" TargetMode="External"/><Relationship Id="rId287" Type="http://schemas.openxmlformats.org/officeDocument/2006/relationships/hyperlink" Target="https://www.sec.gov/Archives/edgar/data/1866692/000119312521260696/d143868dex106.htm" TargetMode="External"/><Relationship Id="rId288" Type="http://schemas.openxmlformats.org/officeDocument/2006/relationships/hyperlink" Target="https://www.sec.gov/Archives/edgar/data/1866692/000119312521260696/d143868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2021-11-09T15:46:37Z</dcterms:created>
  <dcterms:modified xsi:type="dcterms:W3CDTF">2021-11-09T15:46:37Z</dcterms:modified>
</cp:coreProperties>
</file>